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9a3b57c6e6540718c1f971b27802a66"/>
        <w:lock w:val="sdtLocked"/>
        <w:richText/>
      </w:sdtPr>
      <w:sdtContent>
        <w:p>
          <w:pPr>
            <w:jc w:val="both"/>
            <w:rPr>
              <w:rFonts w:ascii="Times New Roman" w:hAnsi="Times New Roman"/>
            </w:rPr>
          </w:pPr>
          <w:r>
            <w:rPr>
              <w:rFonts w:ascii="Times New Roman" w:hAnsi="Times New Roman"/>
              <w:b/>
              <w:i/>
            </w:rPr>
            <w:t>Suvestinė redakcija nuo 2025-07-01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A26E8A25CE44">
            <w:r w:rsidRPr="00532B9F">
              <w:rPr>
                <w:rFonts w:ascii="Times New Roman" w:eastAsia="MS Mincho" w:hAnsi="Times New Roman"/>
                <w:sz w:val="20"/>
                <w:i/>
                <w:iCs/>
                <w:color w:val="0000FF" w:themeColor="hyperlink"/>
                <w:u w:val="single"/>
              </w:rPr>
              <w:t>63-3184</w:t>
            </w:r>
          </w:fldSimple>
          <w:r>
            <w:rPr>
              <w:rFonts w:ascii="Times New Roman" w:eastAsia="MS Mincho" w:hAnsi="Times New Roman"/>
              <w:sz w:val="20"/>
              <w:i/>
              <w:iCs/>
            </w:rPr>
            <w:t>, i. k. 1122250ISAK000V-462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2018-07-18:</w:t>
          </w:r>
        </w:p>
        <w:p>
          <w:pPr>
            <w:rPr>
              <w:rFonts w:ascii="Times New Roman" w:hAnsi="Times New Roman"/>
              <w:sz w:val="20"/>
              <w:i/>
            </w:rPr>
          </w:pPr>
          <w:r>
            <w:rPr>
              <w:rFonts w:ascii="Times New Roman" w:hAnsi="Times New Roman"/>
              <w:sz w:val="20"/>
              <w:i/>
            </w:rPr>
            <w:t xml:space="preserve">Nr. </w:t>
          </w:r>
          <w:fldSimple w:instr="HYPERLINK https://www.e-tar.lt/portal/legalAct.html?documentId=40cffa5088ff11e8af589337bf1eb893">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2018-07-13,
paskelbta TAR 2018-07-17, i. k. 2018-12085                </w:t>
          </w:r>
        </w:p>
        <w:p>
          <w:pPr>
            <w:rPr>
              <w:rFonts w:ascii="Times New Roman" w:hAnsi="Times New Roman"/>
              <w:sz w:val="22"/>
            </w:rPr>
          </w:pPr>
        </w:p>
        <w:p>
          <w:pPr>
            <w:tabs>
              <w:tab w:val="left" w:pos="567"/>
            </w:tabs>
            <w:jc w:val="center"/>
            <w:rPr>
              <w:b/>
              <w:bCs/>
              <w:szCs w:val="24"/>
              <w:lang w:eastAsia="lt-LT"/>
            </w:rPr>
          </w:pPr>
          <w:r>
            <w:rPr>
              <w:b/>
              <w:bCs/>
              <w:szCs w:val="24"/>
              <w:lang w:eastAsia="lt-LT"/>
            </w:rPr>
            <w:t>LIETUVOS RESPUBLIKOS SVEIKATOS APSAUGOS MINISTRAS</w:t>
          </w:r>
        </w:p>
        <w:p>
          <w:pPr>
            <w:tabs>
              <w:tab w:val="left" w:pos="1134"/>
            </w:tabs>
            <w:ind w:firstLine="567"/>
            <w:jc w:val="center"/>
            <w:rPr>
              <w:b/>
              <w:szCs w:val="24"/>
              <w:lang w:eastAsia="lt-LT"/>
            </w:rPr>
          </w:pPr>
        </w:p>
        <w:p>
          <w:pPr>
            <w:tabs>
              <w:tab w:val="left" w:pos="1134"/>
            </w:tabs>
            <w:ind w:firstLine="567"/>
            <w:jc w:val="center"/>
            <w:rPr>
              <w:b/>
              <w:szCs w:val="24"/>
              <w:lang w:eastAsia="lt-LT"/>
            </w:rPr>
          </w:pPr>
          <w:r>
            <w:rPr>
              <w:b/>
              <w:szCs w:val="24"/>
              <w:lang w:eastAsia="lt-LT"/>
            </w:rPr>
            <w:t>ĮSAKYMAS</w:t>
          </w:r>
        </w:p>
        <w:p>
          <w:pPr>
            <w:tabs>
              <w:tab w:val="left" w:pos="1134"/>
            </w:tabs>
            <w:ind w:firstLine="567"/>
            <w:jc w:val="center"/>
            <w:rPr>
              <w:b/>
              <w:bCs/>
              <w:szCs w:val="24"/>
              <w:lang w:eastAsia="lt-LT"/>
            </w:rPr>
          </w:pPr>
          <w:r>
            <w:rPr>
              <w:b/>
              <w:szCs w:val="24"/>
              <w:lang w:eastAsia="lt-LT"/>
            </w:rPr>
            <w:t xml:space="preserve">DĖL GYDYTOJO ODONTOLOGO IR </w:t>
          </w:r>
          <w:r>
            <w:rPr>
              <w:b/>
              <w:bCs/>
              <w:szCs w:val="24"/>
              <w:lang w:eastAsia="lt-LT"/>
            </w:rPr>
            <w:t>GYDYTOJO ODONTOLOGO SPECIALISTO KONSULTACIJOS TEIKIMO ORGANIZAVIMO IR APMOKĖJIMO UŽ JĄ TVARKOS APRAŠO PATVIRTINIMO</w:t>
          </w:r>
        </w:p>
        <w:p>
          <w:pPr>
            <w:tabs>
              <w:tab w:val="left" w:pos="1134"/>
            </w:tabs>
            <w:ind w:firstLine="567"/>
            <w:jc w:val="center"/>
            <w:rPr>
              <w:b/>
              <w:bCs/>
              <w:szCs w:val="24"/>
              <w:lang w:eastAsia="lt-LT"/>
            </w:rPr>
          </w:pPr>
        </w:p>
        <w:p>
          <w:pPr>
            <w:tabs>
              <w:tab w:val="left" w:pos="1134"/>
            </w:tabs>
            <w:ind w:firstLine="567"/>
            <w:jc w:val="center"/>
            <w:rPr>
              <w:color w:val="000000"/>
            </w:rPr>
          </w:pPr>
          <w:r>
            <w:rPr>
              <w:color w:val="000000"/>
            </w:rPr>
            <w:t>2012 m. gegužės 28 d. Nr. V-462</w:t>
          </w:r>
        </w:p>
        <w:p>
          <w:pPr>
            <w:tabs>
              <w:tab w:val="left" w:pos="1134"/>
            </w:tabs>
            <w:ind w:firstLine="567"/>
            <w:jc w:val="center"/>
            <w:rPr>
              <w:color w:val="000000"/>
            </w:rPr>
          </w:pPr>
          <w:r>
            <w:rPr>
              <w:color w:val="000000"/>
            </w:rPr>
            <w:t>Vilnius</w:t>
          </w:r>
        </w:p>
        <w:p>
          <w:pPr>
            <w:tabs>
              <w:tab w:val="left" w:pos="1134"/>
            </w:tabs>
            <w:ind w:firstLine="567"/>
            <w:jc w:val="center"/>
            <w:rPr>
              <w:szCs w:val="24"/>
              <w:lang w:eastAsia="lt-LT"/>
            </w:rPr>
          </w:pPr>
        </w:p>
        <w:p>
          <w:pPr>
            <w:tabs>
              <w:tab w:val="left" w:pos="1134"/>
            </w:tabs>
            <w:ind w:firstLine="567"/>
            <w:jc w:val="both"/>
            <w:rPr>
              <w:szCs w:val="24"/>
              <w:lang w:eastAsia="lt-LT"/>
            </w:rPr>
          </w:pPr>
        </w:p>
        <w:sdt>
          <w:sdtPr>
            <w:alias w:val="preambule"/>
            <w:tag w:val="part_2b04fb60a140462f902e7bf5f50b3b14"/>
            <w:lock w:val="sdtLocked"/>
            <w:richText/>
          </w:sdtPr>
          <w:sdtContent>
            <w:p>
              <w:pPr>
                <w:tabs>
                  <w:tab w:val="left" w:pos="1134"/>
                </w:tabs>
                <w:ind w:firstLine="567"/>
                <w:jc w:val="both"/>
                <w:rPr>
                  <w:szCs w:val="24"/>
                  <w:lang w:eastAsia="lt-LT"/>
                </w:rPr>
              </w:pPr>
              <w:r>
                <w:rPr>
                  <w:szCs w:val="24"/>
                  <w:lang w:eastAsia="lt-LT"/>
                </w:rPr>
                <w:t xml:space="preserve">Siekdamas užtikrinti tinkamą gydytojo odontologo </w:t>
              </w:r>
              <w:r>
                <w:rPr>
                  <w:bCs/>
                  <w:szCs w:val="24"/>
                  <w:lang w:eastAsia="lt-LT"/>
                </w:rPr>
                <w:t>ir gydytojo odontologo</w:t>
              </w:r>
              <w:r>
                <w:rPr>
                  <w:b/>
                  <w:bCs/>
                  <w:szCs w:val="24"/>
                  <w:lang w:eastAsia="lt-LT"/>
                </w:rPr>
                <w:t xml:space="preserve"> </w:t>
              </w:r>
              <w:r>
                <w:rPr>
                  <w:szCs w:val="24"/>
                  <w:lang w:eastAsia="lt-LT"/>
                </w:rPr>
                <w:t>specialisto konsultacijos teikimo organizavimo ir apmokėjimo už ją tvarką:</w:t>
              </w:r>
            </w:p>
          </w:sdtContent>
        </w:sdt>
        <w:sdt>
          <w:sdtPr>
            <w:alias w:val="1 p."/>
            <w:tag w:val="part_50a8d68c846245da91d0c380a4144e1d"/>
            <w:lock w:val="sdtLocked"/>
            <w:richText/>
          </w:sdtPr>
          <w:sdtContent>
            <w:p>
              <w:pPr>
                <w:tabs>
                  <w:tab w:val="left" w:pos="1134"/>
                </w:tabs>
                <w:ind w:firstLine="567"/>
                <w:jc w:val="both"/>
                <w:rPr>
                  <w:szCs w:val="24"/>
                  <w:lang w:eastAsia="lt-LT"/>
                </w:rPr>
              </w:pPr>
              <w:sdt>
                <w:sdtPr>
                  <w:alias w:val="Numeris"/>
                  <w:tag w:val="nr_50a8d68c846245da91d0c380a4144e1d"/>
                  <w:lock w:val="sdtLocked"/>
                  <w:richText/>
                </w:sdtPr>
                <w:sdtContent>
                  <w:r>
                    <w:rPr>
                      <w:szCs w:val="24"/>
                      <w:lang w:eastAsia="lt-LT"/>
                    </w:rPr>
                    <w:t>1</w:t>
                  </w:r>
                </w:sdtContent>
              </w:sdt>
              <w:r>
                <w:rPr>
                  <w:szCs w:val="24"/>
                  <w:lang w:eastAsia="lt-LT"/>
                </w:rPr>
                <w:t>. Tvirtinu pridedamus:</w:t>
              </w:r>
            </w:p>
            <w:sdt>
              <w:sdtPr>
                <w:alias w:val="1.1 pp."/>
                <w:tag w:val="part_c7b4dd89f15245edb86855cd25cf248d"/>
                <w:lock w:val="sdtLocked"/>
                <w:richText/>
              </w:sdtPr>
              <w:sdtContent>
                <w:p>
                  <w:pPr>
                    <w:tabs>
                      <w:tab w:val="left" w:pos="1134"/>
                    </w:tabs>
                    <w:ind w:firstLine="567"/>
                    <w:jc w:val="both"/>
                    <w:rPr>
                      <w:szCs w:val="24"/>
                      <w:lang w:eastAsia="lt-LT"/>
                    </w:rPr>
                  </w:pPr>
                  <w:sdt>
                    <w:sdtPr>
                      <w:alias w:val="Numeris"/>
                      <w:tag w:val="nr_c7b4dd89f15245edb86855cd25cf248d"/>
                      <w:lock w:val="sdtLocked"/>
                      <w:richText/>
                    </w:sdtPr>
                    <w:sdtContent>
                      <w:r>
                        <w:rPr>
                          <w:szCs w:val="24"/>
                          <w:lang w:eastAsia="lt-LT"/>
                        </w:rPr>
                        <w:t>1.1</w:t>
                      </w:r>
                    </w:sdtContent>
                  </w:sdt>
                  <w:r>
                    <w:rPr>
                      <w:szCs w:val="24"/>
                      <w:lang w:eastAsia="lt-LT"/>
                    </w:rPr>
                    <w:t xml:space="preserve">. Gydytojo odontologo </w:t>
                  </w:r>
                  <w:r>
                    <w:rPr>
                      <w:bCs/>
                      <w:szCs w:val="24"/>
                      <w:lang w:eastAsia="lt-LT"/>
                    </w:rPr>
                    <w:t>ir gydytojo odontologo</w:t>
                  </w:r>
                  <w:r>
                    <w:rPr>
                      <w:b/>
                      <w:bCs/>
                      <w:szCs w:val="24"/>
                      <w:lang w:eastAsia="lt-LT"/>
                    </w:rPr>
                    <w:t xml:space="preserve"> </w:t>
                  </w:r>
                  <w:r>
                    <w:rPr>
                      <w:szCs w:val="24"/>
                      <w:lang w:eastAsia="lt-LT"/>
                    </w:rPr>
                    <w:t>specialisto konsultacijos teikimo organizavimo ir apmokėjimo už ją tvarkos aprašą;</w:t>
                  </w:r>
                </w:p>
              </w:sdtContent>
            </w:sdt>
            <w:sdt>
              <w:sdtPr>
                <w:alias w:val="1.2 pp."/>
                <w:tag w:val="part_4b237adc5d53468ea91b9fd6b63ffd12"/>
                <w:lock w:val="sdtLocked"/>
                <w:richText/>
              </w:sdtPr>
              <w:sdtContent>
                <w:p>
                  <w:pPr>
                    <w:tabs>
                      <w:tab w:val="left" w:pos="1134"/>
                    </w:tabs>
                    <w:ind w:firstLine="629"/>
                    <w:jc w:val="both"/>
                    <w:rPr>
                      <w:szCs w:val="24"/>
                      <w:lang w:eastAsia="lt-LT"/>
                    </w:rPr>
                  </w:pPr>
                  <w:sdt>
                    <w:sdtPr>
                      <w:alias w:val="Numeris"/>
                      <w:tag w:val="nr_4b237adc5d53468ea91b9fd6b63ffd12"/>
                      <w:lock w:val="sdtLocked"/>
                      <w:richText/>
                    </w:sdtPr>
                    <w:sdtContent>
                      <w:r>
                        <w:rPr>
                          <w:szCs w:val="24"/>
                          <w:lang w:eastAsia="lt-LT"/>
                        </w:rPr>
                        <w:t>1.2</w:t>
                      </w:r>
                    </w:sdtContent>
                  </w:sdt>
                  <w:r>
                    <w:rPr>
                      <w:szCs w:val="24"/>
                      <w:lang w:eastAsia="lt-LT"/>
                    </w:rPr>
                    <w:t>. G</w:t>
                  </w:r>
                  <w:r>
                    <w:rPr>
                      <w:color w:val="000000"/>
                      <w:szCs w:val="24"/>
                    </w:rPr>
                    <w:t>ydytojo odontologo specialisto konsultacijos metu atliekamų odontologinių procedūrų, apmokamų Privalomojo sveikatos draudimo fondo biudžeto lėšomis, sąrašą.“</w:t>
                  </w:r>
                </w:p>
              </w:sdtContent>
            </w:sdt>
          </w:sdtContent>
        </w:sdt>
        <w:sdt>
          <w:sdtPr>
            <w:alias w:val="2 p."/>
            <w:tag w:val="part_22acdacf061843aabc65f5399e3b4129"/>
            <w:lock w:val="sdtLocked"/>
            <w:richText/>
          </w:sdtPr>
          <w:sdtContent>
            <w:p>
              <w:pPr>
                <w:tabs>
                  <w:tab w:val="left" w:pos="1134"/>
                </w:tabs>
                <w:ind w:firstLine="567"/>
                <w:jc w:val="both"/>
              </w:pPr>
              <w:sdt>
                <w:sdtPr>
                  <w:alias w:val="Numeris"/>
                  <w:tag w:val="nr_22acdacf061843aabc65f5399e3b4129"/>
                  <w:lock w:val="sdtLocked"/>
                  <w:richText/>
                </w:sdtPr>
                <w:sdtContent>
                  <w:r>
                    <w:rPr>
                      <w:szCs w:val="24"/>
                      <w:lang w:eastAsia="lt-LT"/>
                    </w:rPr>
                    <w:t>2</w:t>
                  </w:r>
                </w:sdtContent>
              </w:sdt>
              <w:r>
                <w:rPr>
                  <w:szCs w:val="24"/>
                  <w:lang w:eastAsia="lt-LT"/>
                </w:rPr>
                <w:t>. Pavedu viceministrui pagal veiklos sritį kontroliuoti šio įsakymo vykdymą.</w:t>
              </w:r>
            </w:p>
          </w:sdtContent>
        </w:sdt>
        <w:sdt>
          <w:sdtPr>
            <w:alias w:val="signatura"/>
            <w:tag w:val="part_55a6fb91138b4c6c9e281600c5dfd066"/>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SVEIKATOS APSAUGOS MINISTRAS</w:t>
                <w:tab/>
                <w:t>RAIMONDAS ŠUKYS</w:t>
              </w:r>
            </w:p>
          </w:sdtContent>
        </w:sdt>
        <w:p/>
      </w:sdtContent>
    </w:sdt>
    <w:sdt>
      <w:sdtPr>
        <w:alias w:val="patvirtinta"/>
        <w:tag w:val="part_9542352d22a34178a4cd813c0252c371"/>
        <w:lock w:val="sdtLocked"/>
        <w:richText/>
      </w:sdtPr>
      <w:sdtContent>
        <w:p>
          <w:pPr>
            <w:keepLines/>
            <w:widowControl w:val="0"/>
            <w:suppressAutoHyphens/>
            <w:ind w:left="4535"/>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567" w:footer="284" w:gutter="0"/>
              <w:cols w:space="1296"/>
              <w:titlePg/>
              <w:docGrid w:linePitch="360"/>
            </w:sectPr>
          </w:pPr>
        </w:p>
        <w:p>
          <w:pPr>
            <w:keepLines/>
            <w:widowControl w:val="0"/>
            <w:suppressAutoHyphens/>
            <w:ind w:left="4535"/>
            <w:rPr>
              <w:color w:val="000000"/>
            </w:rPr>
          </w:pPr>
          <w:r>
            <w:rPr>
              <w:color w:val="000000"/>
            </w:rPr>
            <w:t>PATVIRTINTA</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sveikatos apsaugos ministro </w:t>
          </w:r>
        </w:p>
        <w:p>
          <w:pPr>
            <w:keepLines/>
            <w:widowControl w:val="0"/>
            <w:suppressAutoHyphens/>
            <w:ind w:left="4535"/>
            <w:rPr>
              <w:color w:val="000000"/>
            </w:rPr>
          </w:pPr>
          <w:r>
            <w:rPr>
              <w:color w:val="000000"/>
            </w:rPr>
            <w:t>2012 m. gegužės 28 d. įsakymu Nr. V-462</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542352d22a34178a4cd813c0252c371"/>
              <w:lock w:val="sdtLocked"/>
              <w:richText/>
            </w:sdtPr>
            <w:sdtContent>
              <w:r>
                <w:rPr>
                  <w:b/>
                  <w:bCs/>
                  <w:caps/>
                  <w:color w:val="000000"/>
                </w:rPr>
                <w:t xml:space="preserve">GYDYTOJO ODONTOLOGO IR GYDYTOJO ODONTOLOGO SPECIALISTO KONSULTACIJOS TEIKIMO ORGANIZAVIMO IR APMOKĖJIMO UŽ JĄ TVARKOS APRAŠAS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ffa5088ff11e8af589337bf1eb893">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2018-07-13,
paskelbta TAR 2018-07-17, i. k. 2018-12085        </w:t>
          </w:r>
        </w:p>
        <w:p/>
        <w:sdt>
          <w:sdtPr>
            <w:alias w:val="skyrius"/>
            <w:tag w:val="part_8a3752edbd4548f584acbe83b823a00c"/>
            <w:lock w:val="sdtLocked"/>
            <w:richText/>
          </w:sdtPr>
          <w:sdtContent>
            <w:p>
              <w:pPr>
                <w:keepLines/>
                <w:widowControl w:val="0"/>
                <w:suppressAutoHyphens/>
                <w:jc w:val="center"/>
                <w:rPr>
                  <w:b/>
                  <w:bCs/>
                  <w:caps/>
                  <w:color w:val="000000"/>
                </w:rPr>
              </w:pPr>
              <w:sdt>
                <w:sdtPr>
                  <w:alias w:val="Numeris"/>
                  <w:tag w:val="nr_8a3752edbd4548f584acbe83b823a00c"/>
                  <w:lock w:val="sdtLocked"/>
                  <w:richText/>
                </w:sdtPr>
                <w:sdtContent>
                  <w:r>
                    <w:rPr>
                      <w:b/>
                      <w:bCs/>
                      <w:caps/>
                      <w:color w:val="000000"/>
                    </w:rPr>
                    <w:t>I</w:t>
                  </w:r>
                </w:sdtContent>
              </w:sdt>
              <w:r>
                <w:rPr>
                  <w:b/>
                  <w:bCs/>
                  <w:caps/>
                  <w:color w:val="000000"/>
                </w:rPr>
                <w:t xml:space="preserve"> SKYRIUS </w:t>
              </w:r>
              <w:sdt>
                <w:sdtPr>
                  <w:alias w:val="Pavadinimas"/>
                  <w:tag w:val="title_8a3752edbd4548f584acbe83b823a00c"/>
                  <w:lock w:val="sdtLocked"/>
                  <w:richText/>
                </w:sdtPr>
                <w:sdtContent>
                  <w:r>
                    <w:rPr>
                      <w:b/>
                      <w:bCs/>
                      <w:caps/>
                      <w:color w:val="000000"/>
                    </w:rPr>
                    <w:b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2f4a0897011e6b969d7ae07280e89">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2016-09-30,
paskelbta TAR 2016-10-03, i. k. 2016-24436        </w:t>
              </w:r>
            </w:p>
            <w:p/>
            <w:sdt>
              <w:sdtPr>
                <w:alias w:val="1 p."/>
                <w:tag w:val="part_566600a081694ddea7124845a1104d7c"/>
                <w:lock w:val="sdtLocked"/>
                <w:richText/>
              </w:sdtPr>
              <w:sdtContent>
                <w:p>
                  <w:pPr>
                    <w:tabs>
                      <w:tab w:val="left" w:pos="1134"/>
                    </w:tabs>
                    <w:ind w:firstLine="567"/>
                    <w:jc w:val="both"/>
                    <w:rPr>
                      <w:color w:val="000000"/>
                    </w:rPr>
                  </w:pPr>
                  <w:sdt>
                    <w:sdtPr>
                      <w:alias w:val="Numeris"/>
                      <w:tag w:val="nr_566600a081694ddea7124845a1104d7c"/>
                      <w:lock w:val="sdtLocked"/>
                      <w:richText/>
                    </w:sdtPr>
                    <w:sdtContent>
                      <w:r>
                        <w:rPr>
                          <w:bCs/>
                          <w:szCs w:val="24"/>
                          <w:lang w:eastAsia="lt-LT"/>
                        </w:rPr>
                        <w:t>1</w:t>
                      </w:r>
                    </w:sdtContent>
                  </w:sdt>
                  <w:r>
                    <w:rPr>
                      <w:bCs/>
                      <w:szCs w:val="24"/>
                      <w:lang w:eastAsia="lt-LT"/>
                    </w:rPr>
                    <w:t xml:space="preserve">. Gydytojo odontologo ir gydytojo odontologo specialisto konsultacijos teikimo organizavimo ir apmokėjimo už ją tvarkos aprašas (toliau – aprašas) reglamentuoja gydytojo odontologo, išskyrus gydytoją odontologą, teikiantį pirminės odontologinės priežiūros (pagalbos) paslaugas (toliau – gydytojas odontologas), ir gydytojo odontologo specialisto konsultacijos teikimo organizavimo asmens sveikatos priežiūros įstaigose ir apmokėjimo už ją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ffa5088ff11e8af589337bf1eb893">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2018-07-13,
paskelbta TAR 2018-07-17, i. k. 2018-12085            </w:t>
                  </w:r>
                </w:p>
                <w:p/>
              </w:sdtContent>
            </w:sdt>
            <w:sdt>
              <w:sdtPr>
                <w:alias w:val="2 p."/>
                <w:tag w:val="part_1ae4418ee87c4925a24efa847398ee14"/>
                <w:lock w:val="sdtLocked"/>
                <w:richText/>
              </w:sdtPr>
              <w:sdtContent>
                <w:p>
                  <w:pPr>
                    <w:ind w:firstLine="567"/>
                    <w:jc w:val="both"/>
                    <w:rPr>
                      <w:color w:val="000000"/>
                    </w:rPr>
                  </w:pPr>
                  <w:sdt>
                    <w:sdtPr>
                      <w:alias w:val="Numeris"/>
                      <w:tag w:val="nr_1ae4418ee87c4925a24efa847398ee14"/>
                      <w:lock w:val="sdtLocked"/>
                      <w:richText/>
                    </w:sdtPr>
                    <w:sdtContent>
                      <w:r>
                        <w:rPr>
                          <w:color w:val="000000"/>
                          <w:szCs w:val="24"/>
                          <w:lang w:eastAsia="lt-LT"/>
                        </w:rPr>
                        <w:t>2</w:t>
                      </w:r>
                    </w:sdtContent>
                  </w:sdt>
                  <w:r>
                    <w:rPr>
                      <w:color w:val="000000"/>
                      <w:szCs w:val="24"/>
                      <w:lang w:eastAsia="lt-LT"/>
                    </w:rPr>
                    <w:t>. Šis aprašas taikomas asmens sveikatos priežiūros įstaigoms, teikiančioms gydytojo odontologo ir (ar) gydytojo odontologo specialisto konsultacijas ir sudariusioms sutartis su Valstybine ligonių kasa prie Sveikatos apsaugos ministerijos dėl šių konsultacijų apmokėjimo Privalomojo sveikatos draudimo fondo (toliau – PSDF) biudžeto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ffa5088ff11e8af589337bf1eb893">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2018-07-13,
paskelbta TAR 2018-07-17, i. k. 2018-12085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910f6117f11f0b164e744cdb165f2">
                    <w:r w:rsidRPr="00532B9F">
                      <w:rPr>
                        <w:rFonts w:ascii="Times New Roman" w:eastAsia="MS Mincho" w:hAnsi="Times New Roman"/>
                        <w:sz w:val="20"/>
                        <w:i/>
                        <w:iCs/>
                        <w:color w:val="0000FF" w:themeColor="hyperlink"/>
                        <w:u w:val="single"/>
                      </w:rPr>
                      <w:t>V-297</w:t>
                    </w:r>
                  </w:fldSimple>
                  <w:r>
                    <w:rPr>
                      <w:rFonts w:ascii="Times New Roman" w:eastAsia="MS Mincho" w:hAnsi="Times New Roman"/>
                      <w:sz w:val="20"/>
                      <w:i/>
                      <w:iCs/>
                    </w:rPr>
                    <w:t>,
2025-04-04,
paskelbta TAR 2025-04-07, i. k. 2025-06025            </w:t>
                  </w:r>
                </w:p>
                <w:p/>
              </w:sdtContent>
            </w:sdt>
            <w:sdt>
              <w:sdtPr>
                <w:alias w:val="3 p."/>
                <w:tag w:val="part_f1132a5dd45f473fa9564640c8f62814"/>
                <w:lock w:val="sdtLocked"/>
                <w:richText/>
              </w:sdtPr>
              <w:sdtContent>
                <w:p>
                  <w:pPr>
                    <w:tabs>
                      <w:tab w:val="left" w:pos="1134"/>
                    </w:tabs>
                    <w:ind w:firstLine="567"/>
                    <w:jc w:val="both"/>
                  </w:pPr>
                  <w:sdt>
                    <w:sdtPr>
                      <w:alias w:val="Numeris"/>
                      <w:tag w:val="nr_f1132a5dd45f473fa9564640c8f62814"/>
                      <w:lock w:val="sdtLocked"/>
                      <w:richText/>
                    </w:sdtPr>
                    <w:sdtContent>
                      <w:r>
                        <w:rPr>
                          <w:szCs w:val="24"/>
                          <w:lang w:eastAsia="lt-LT"/>
                        </w:rPr>
                        <w:t>3</w:t>
                      </w:r>
                    </w:sdtContent>
                  </w:sdt>
                  <w:r>
                    <w:rPr>
                      <w:szCs w:val="24"/>
                      <w:lang w:eastAsia="lt-LT"/>
                    </w:rPr>
                    <w:t xml:space="preserve">. </w:t>
                  </w:r>
                  <w:r>
                    <w:rPr>
                      <w:szCs w:val="24"/>
                    </w:rPr>
                    <w:t xml:space="preserve">Gydytojo odontologo specialisto ar gydytojo odontologo konsultacija laikomas </w:t>
                  </w:r>
                  <w:r>
                    <w:rPr>
                      <w:szCs w:val="24"/>
                      <w:lang w:eastAsia="lt-LT"/>
                    </w:rPr>
                    <w:t>paciento apsilankymas pas g</w:t>
                  </w:r>
                  <w:r>
                    <w:rPr>
                      <w:szCs w:val="24"/>
                    </w:rPr>
                    <w:t>ydytoją odontologą specialistą ar gydytoją odontologą</w:t>
                  </w:r>
                  <w:r>
                    <w:rPr>
                      <w:szCs w:val="24"/>
                      <w:lang w:eastAsia="lt-LT"/>
                    </w:rPr>
                    <w:t>, turint šeimos gydytojo, gydytojo specialisto, gydytojo odontologo, gydytojo odontologo specialisto išduotą siuntimą arba burnos higienisto pagal kompetenciją išduotą siuntimą pas gydytoją periodontologą.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ffa5088ff11e8af589337bf1eb893">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2018-07-13,
paskelbta TAR 2018-07-17, i. k. 2018-12085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f463e1846111efabdbb4a1fc8b0b63">
                    <w:r w:rsidRPr="00532B9F">
                      <w:rPr>
                        <w:rFonts w:ascii="Times New Roman" w:eastAsia="MS Mincho" w:hAnsi="Times New Roman"/>
                        <w:sz w:val="20"/>
                        <w:i/>
                        <w:iCs/>
                        <w:color w:val="0000FF" w:themeColor="hyperlink"/>
                        <w:u w:val="single"/>
                      </w:rPr>
                      <w:t>V-965</w:t>
                    </w:r>
                  </w:fldSimple>
                  <w:r>
                    <w:rPr>
                      <w:rFonts w:ascii="Times New Roman" w:eastAsia="MS Mincho" w:hAnsi="Times New Roman"/>
                      <w:sz w:val="20"/>
                      <w:i/>
                      <w:iCs/>
                    </w:rPr>
                    <w:t>,
2024-10-07,
paskelbta TAR 2024-10-07, i. k. 2024-17545            </w:t>
                  </w:r>
                </w:p>
                <w:p/>
              </w:sdtContent>
            </w:sdt>
            <w:sdt>
              <w:sdtPr>
                <w:alias w:val="3-1 p."/>
                <w:tag w:val="part_089a23db2c724622b9f33bca4060fec0"/>
                <w:lock w:val="sdtLocked"/>
                <w:richText/>
              </w:sdtPr>
              <w:sdtContent>
                <w:p>
                  <w:pPr>
                    <w:ind w:firstLine="567"/>
                    <w:jc w:val="both"/>
                  </w:pPr>
                  <w:sdt>
                    <w:sdtPr>
                      <w:alias w:val="Numeris"/>
                      <w:tag w:val="nr_089a23db2c724622b9f33bca4060fec0"/>
                      <w:lock w:val="sdtLocked"/>
                      <w:richText/>
                    </w:sdtPr>
                    <w:sdtContent>
                      <w:r>
                        <w:rPr>
                          <w:szCs w:val="24"/>
                          <w:lang w:eastAsia="lt-LT"/>
                        </w:rPr>
                        <w:t>3</w:t>
                      </w:r>
                      <w:r>
                        <w:rPr>
                          <w:szCs w:val="24"/>
                          <w:vertAlign w:val="superscript"/>
                          <w:lang w:eastAsia="lt-LT"/>
                        </w:rPr>
                        <w:t>1</w:t>
                      </w:r>
                    </w:sdtContent>
                  </w:sdt>
                  <w:r>
                    <w:rPr>
                      <w:szCs w:val="24"/>
                      <w:lang w:eastAsia="lt-LT"/>
                    </w:rPr>
                    <w:t>. Gydytojo odontologo specialisto konsultaciją pagal savo kompetenciją teikia gydytojas endodontologas, gydytojas ortodontas, gydytojas odontologas ortopedas, gydytojas periodontologas, gydytojas burnos chirurgas, gydytojas burnos, veido ir žandikaulių chirurgas, gydytojas vaikų odontologas.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ffa5088ff11e8af589337bf1eb893">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2018-07-13,
paskelbta TAR 2018-07-17, i. k. 2018-12085            </w:t>
                  </w:r>
                </w:p>
                <w:p/>
              </w:sdtContent>
            </w:sdt>
            <w:sdt>
              <w:sdtPr>
                <w:alias w:val="3-2 p."/>
                <w:tag w:val="part_b603de2bb7bf4a9e970e2f0a6e75c18c"/>
                <w:lock w:val="sdtLocked"/>
                <w:richText/>
              </w:sdtPr>
              <w:sdtContent>
                <w:p>
                  <w:pPr>
                    <w:ind w:firstLine="567"/>
                    <w:jc w:val="both"/>
                    <w:rPr>
                      <w:color w:val="000000"/>
                      <w:szCs w:val="24"/>
                    </w:rPr>
                  </w:pPr>
                  <w:sdt>
                    <w:sdtPr>
                      <w:alias w:val="Numeris"/>
                      <w:tag w:val="nr_b603de2bb7bf4a9e970e2f0a6e75c18c"/>
                      <w:lock w:val="sdtLocked"/>
                      <w:richText/>
                    </w:sdtPr>
                    <w:sdtContent>
                      <w:r>
                        <w:rPr>
                          <w:szCs w:val="24"/>
                          <w:lang w:eastAsia="lt-LT"/>
                        </w:rPr>
                        <w:t>3</w:t>
                      </w:r>
                      <w:r>
                        <w:rPr>
                          <w:szCs w:val="24"/>
                          <w:vertAlign w:val="superscript"/>
                          <w:lang w:eastAsia="lt-LT"/>
                        </w:rPr>
                        <w:t>2</w:t>
                      </w:r>
                    </w:sdtContent>
                  </w:sdt>
                  <w:r>
                    <w:rPr>
                      <w:szCs w:val="24"/>
                      <w:lang w:eastAsia="lt-LT"/>
                    </w:rPr>
                    <w:t xml:space="preserve">. Gydytojo odontologo konsultacijos metu gydytojas odontologas asmens sveikatos priežiūros įstaigoje, turinčioje licenciją teikti antrines ir (ar) tretines ambulatorines ir (ar) stacionarines asmens sveikatos priežiūros paslaugas, pagal savo kompetenciją teikia nespecializuotas ambulatorines odontologinės priežiūros (pagalbos) paslaugas, kai viršijamas </w:t>
                  </w:r>
                  <w:r>
                    <w:rPr>
                      <w:color w:val="000000"/>
                      <w:szCs w:val="24"/>
                    </w:rPr>
                    <w:t xml:space="preserve">pirminės odontologinės priežiūros (pagalbos) paslaugų, kompensuojamų iš Privalomojo sveikatos </w:t>
                  </w:r>
                </w:p>
                <w:p>
                  <w:pPr>
                    <w:jc w:val="both"/>
                    <w:rPr>
                      <w:color w:val="000000"/>
                    </w:rPr>
                  </w:pPr>
                  <w:r>
                    <w:rPr>
                      <w:color w:val="000000"/>
                      <w:szCs w:val="24"/>
                    </w:rPr>
                    <w:t>draudimo biudžeto lėšų, mastas (sudėtis)</w:t>
                  </w:r>
                  <w:r>
                    <w:rPr>
                      <w:szCs w:val="24"/>
                      <w:lang w:eastAsia="lt-LT"/>
                    </w:rPr>
                    <w:t>, patvirtintas Lietuvos Respublikos sveikatos apsaugos ministro 2008 m. gegužės 23 d. įsakymu Nr. V-483 „</w:t>
                  </w:r>
                  <w:r>
                    <w:rPr>
                      <w:color w:val="000000"/>
                      <w:szCs w:val="24"/>
                    </w:rPr>
                    <w:t>Dėl Pirminės odontologinės priežiūros (pagalbos) paslaugų, kompensuojamų iš Privalomojo sveikatos draudimo fondo biudžeto lėšų, masto (sudėties) patvirtinimo</w:t>
                  </w:r>
                  <w:r>
                    <w:rPr>
                      <w:szCs w:val="24"/>
                      <w:lang w:eastAsia="lt-LT"/>
                    </w:rPr>
                    <w:t>“ (toliau – gydytojo odontologo konsultacija).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ffa5088ff11e8af589337bf1eb893">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2018-07-13,
paskelbta TAR 2018-07-17, i. k. 2018-12085        </w:t>
                  </w:r>
                </w:p>
                <w:p/>
              </w:sdtContent>
            </w:sdt>
          </w:sdtContent>
        </w:sdt>
        <w:sdt>
          <w:sdtPr>
            <w:alias w:val="skyrius"/>
            <w:tag w:val="part_c579e74c8cea416ba25a98909cbdb37e"/>
            <w:lock w:val="sdtLocked"/>
            <w:richText/>
          </w:sdtPr>
          <w:sdtContent>
            <w:p>
              <w:pPr>
                <w:keepLines/>
                <w:widowControl w:val="0"/>
                <w:suppressAutoHyphens/>
                <w:jc w:val="center"/>
                <w:rPr>
                  <w:b/>
                  <w:bCs/>
                  <w:caps/>
                  <w:color w:val="000000"/>
                </w:rPr>
              </w:pPr>
              <w:sdt>
                <w:sdtPr>
                  <w:alias w:val="Numeris"/>
                  <w:tag w:val="nr_c579e74c8cea416ba25a98909cbdb37e"/>
                  <w:lock w:val="sdtLocked"/>
                  <w:richText/>
                </w:sdtPr>
                <w:sdtContent>
                  <w:r>
                    <w:rPr>
                      <w:b/>
                      <w:bCs/>
                      <w:caps/>
                      <w:color w:val="000000"/>
                    </w:rPr>
                    <w:t>II</w:t>
                  </w:r>
                </w:sdtContent>
              </w:sdt>
              <w:r>
                <w:rPr>
                  <w:b/>
                  <w:bCs/>
                  <w:caps/>
                  <w:color w:val="000000"/>
                </w:rPr>
                <w:t xml:space="preserve"> SKYRIUS </w:t>
              </w:r>
              <w:sdt>
                <w:sdtPr>
                  <w:alias w:val="Pavadinimas"/>
                  <w:tag w:val="title_c579e74c8cea416ba25a98909cbdb37e"/>
                  <w:lock w:val="sdtLocked"/>
                  <w:richText/>
                </w:sdtPr>
                <w:sdtContent>
                  <w:r>
                    <w:rPr>
                      <w:b/>
                      <w:bCs/>
                      <w:caps/>
                      <w:color w:val="000000"/>
                    </w:rPr>
                    <w:br/>
                    <w:t xml:space="preserve">GYDYTOJO ODONTOLOGO SPECIALISTO KONSULTACIJOS TEIKIMO ORGANIZAVIMO IR MOKĖJIMO UŽ JĄ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2f4a0897011e6b969d7ae07280e89">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2016-09-30,
paskelbta TAR 2016-10-03, i. k. 2016-24436        </w:t>
              </w:r>
            </w:p>
            <w:p/>
            <w:sdt>
              <w:sdtPr>
                <w:alias w:val="4 p."/>
                <w:tag w:val="part_8c0d113c0a2144acb43b13e39ea6df15"/>
                <w:lock w:val="sdtLocked"/>
                <w:richText/>
              </w:sdtPr>
              <w:sdtContent>
                <w:p>
                  <w:pPr>
                    <w:ind w:firstLine="567"/>
                    <w:jc w:val="both"/>
                    <w:rPr>
                      <w:color w:val="000000"/>
                    </w:rPr>
                  </w:pPr>
                  <w:sdt>
                    <w:sdtPr>
                      <w:alias w:val="Numeris"/>
                      <w:tag w:val="nr_8c0d113c0a2144acb43b13e39ea6df15"/>
                      <w:lock w:val="sdtLocked"/>
                      <w:richText/>
                    </w:sdtPr>
                    <w:sdtContent>
                      <w:r>
                        <w:rPr>
                          <w:szCs w:val="24"/>
                          <w:lang w:eastAsia="lt-LT"/>
                        </w:rPr>
                        <w:t>4</w:t>
                      </w:r>
                    </w:sdtContent>
                  </w:sdt>
                  <w:r>
                    <w:rPr>
                      <w:szCs w:val="24"/>
                      <w:lang w:eastAsia="lt-LT"/>
                    </w:rPr>
                    <w:t xml:space="preserve">. </w:t>
                  </w:r>
                  <w:r>
                    <w:rPr>
                      <w:color w:val="000000"/>
                      <w:szCs w:val="24"/>
                    </w:rPr>
                    <w:t xml:space="preserve">Gydytojo odontologo specialisto konsultacijos metu pagal aprašo </w:t>
                  </w:r>
                  <w:r>
                    <w:rPr>
                      <w:szCs w:val="24"/>
                      <w:lang w:eastAsia="lt-LT"/>
                    </w:rPr>
                    <w:t>3</w:t>
                  </w:r>
                  <w:r>
                    <w:rPr>
                      <w:szCs w:val="24"/>
                      <w:vertAlign w:val="superscript"/>
                      <w:lang w:eastAsia="lt-LT"/>
                    </w:rPr>
                    <w:t>1</w:t>
                  </w:r>
                  <w:r>
                    <w:rPr>
                      <w:szCs w:val="24"/>
                      <w:lang w:eastAsia="lt-LT"/>
                    </w:rPr>
                    <w:t xml:space="preserve"> punkte nurodytų gydytojų odontologų specialistų </w:t>
                  </w:r>
                  <w:r>
                    <w:rPr>
                      <w:color w:val="000000"/>
                      <w:szCs w:val="24"/>
                    </w:rPr>
                    <w:t xml:space="preserve">kompetenciją atliekamos diagnostinės procedūros ir pacientui būtinos gydomosios procedūros, nurodytos Gydytojo odontologo specialisto konsultacijos metu atliekamų odontologinių procedūrų, apmokamų PSDF biudžeto lėšomis, sąraše, patvirtintame </w:t>
                  </w:r>
                  <w:r>
                    <w:rPr>
                      <w:szCs w:val="24"/>
                      <w:lang w:eastAsia="lt-LT"/>
                    </w:rPr>
                    <w:t xml:space="preserve">Lietuvos Respublikos sveikatos apsaugos ministro 2012 m. gegužės 28 d. įsakymu Nr. V-462 „Dėl Gydytojo odontologo specialisto konsultacijos teikimo organizavimo ir apmokėjimo už ją tvarkos“, </w:t>
                  </w:r>
                  <w:r>
                    <w:rPr>
                      <w:color w:val="000000"/>
                      <w:szCs w:val="24"/>
                    </w:rPr>
                    <w:t xml:space="preserve">už kuriuos mokama PSDF biudžeto lėšomis pagal bazinę gydytojo odontologo specialisto konsultacijos kainą. Konsultavęs gydytojas odontologas specialistas raštu pateikia atsakymą siuntusiajam gydytojui Siuntimų asmens sveikatos priežiūros paslaugoms gauti išdavimo, įforminimo ir atsakymų pateikimo tvarkos aprašo, patvirtinto </w:t>
                  </w:r>
                  <w:r>
                    <w:rPr>
                      <w:szCs w:val="24"/>
                      <w:lang w:val="fi-FI"/>
                    </w:rPr>
                    <w:t>Lietuvos Respublikos sveikatos apsaugos ministro 2008 m. birželio 28 d. įsakymu Nr. V-636 „Dėl Siuntimų asmens sveikatos priežiūros paslaugoms gauti išdavimo, įforminimo ir atsakymų pateikimo tvarkos aprašo patvirtinimo“ nustatyta tvarka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2f4a0897011e6b969d7ae07280e89">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2016-09-30,
paskelbta TAR 2016-10-03, i. k. 2016-24436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ffa5088ff11e8af589337bf1eb893">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2018-07-13,
paskelbta TAR 2018-07-17, i. k. 2018-12085            </w:t>
                  </w:r>
                </w:p>
                <w:p/>
              </w:sdtContent>
            </w:sdt>
            <w:sdt>
              <w:sdtPr>
                <w:alias w:val="5 p."/>
                <w:tag w:val="part_c1bf1ebd9b5e418f82b749878da181e9"/>
                <w:lock w:val="sdtLocked"/>
                <w:richText/>
              </w:sdtPr>
              <w:sdtContent>
                <w:p>
                  <w:pPr>
                    <w:ind w:firstLine="567"/>
                    <w:jc w:val="both"/>
                    <w:rPr>
                      <w:color w:val="000000"/>
                    </w:rPr>
                  </w:pPr>
                  <w:sdt>
                    <w:sdtPr>
                      <w:alias w:val="Numeris"/>
                      <w:tag w:val="nr_c1bf1ebd9b5e418f82b749878da181e9"/>
                      <w:lock w:val="sdtLocked"/>
                      <w:richText/>
                    </w:sdtPr>
                    <w:sdtContent>
                      <w:r>
                        <w:rPr>
                          <w:bCs/>
                          <w:szCs w:val="24"/>
                          <w:lang w:eastAsia="lt-LT"/>
                        </w:rPr>
                        <w:t>5</w:t>
                      </w:r>
                    </w:sdtContent>
                  </w:sdt>
                  <w:r>
                    <w:rPr>
                      <w:bCs/>
                      <w:szCs w:val="24"/>
                      <w:lang w:eastAsia="lt-LT"/>
                    </w:rPr>
                    <w:t xml:space="preserve">. </w:t>
                  </w:r>
                  <w:r>
                    <w:rPr>
                      <w:szCs w:val="24"/>
                    </w:rPr>
                    <w:t xml:space="preserve">Į  gydytojo odontologo specialisto</w:t>
                  </w:r>
                  <w:r>
                    <w:rPr>
                      <w:sz w:val="22"/>
                      <w:szCs w:val="22"/>
                    </w:rPr>
                    <w:t xml:space="preserve"> </w:t>
                  </w:r>
                  <w:r>
                    <w:rPr>
                      <w:szCs w:val="24"/>
                    </w:rPr>
                    <w:t xml:space="preserve">ir gydytojo odontologo (toliau kartu – gydytojas odontologas specialistas) konsultacijos bazinę kainą įeina gydytojo odontologo specialisto konsultavimo, visų pacientui reikiamų diagnostinių ir gydomųjų procedūrų sąnaudos, išskyrus šioms procedūroms atlikti sunaudotų odontologinių medžiagų ir vienkartinių  priemonių  įsigijimo išlaidas. Šios išlaidos apmokamos vadovaujantis Mokamų asmens sveikatos priežiūros  paslaugų  teikimo ir apmokėjimo tvarkos, patvirtintos Lietuvos Respublikos sveikatos apsaugos ministro 1999 m. liepos 30 d. įsakymu Nr. 357 „Dėl Mokamų asmens sveikatos priežiūros paslaugų sąrašo, kainų nustatymo ir jų indeksavimo tvarkos bei šių paslaugų teikimo ir apmokėjimo tvarkos“, nuostatomis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2f4a0897011e6b969d7ae07280e89">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2016-09-30,
paskelbta TAR 2016-10-03, i. k. 2016-24436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ffa5088ff11e8af589337bf1eb893">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2018-07-13,
paskelbta TAR 2018-07-17, i. k. 2018-12085            </w:t>
                  </w:r>
                </w:p>
                <w:p/>
              </w:sdtContent>
            </w:sdt>
            <w:sdt>
              <w:sdtPr>
                <w:alias w:val="6 p."/>
                <w:tag w:val="part_c8ad12e783064e25ad8b47bc098a4d55"/>
                <w:lock w:val="sdtLocked"/>
                <w:richText/>
              </w:sdtPr>
              <w:sdtContent>
                <w:p>
                  <w:pPr>
                    <w:ind w:firstLine="567"/>
                    <w:jc w:val="both"/>
                    <w:rPr>
                      <w:color w:val="000000"/>
                    </w:rPr>
                  </w:pPr>
                  <w:sdt>
                    <w:sdtPr>
                      <w:alias w:val="Numeris"/>
                      <w:tag w:val="nr_c8ad12e783064e25ad8b47bc098a4d55"/>
                      <w:lock w:val="sdtLocked"/>
                      <w:richText/>
                    </w:sdtPr>
                    <w:sdtContent>
                      <w:r>
                        <w:rPr>
                          <w:szCs w:val="24"/>
                        </w:rPr>
                        <w:t>6</w:t>
                      </w:r>
                    </w:sdtContent>
                  </w:sdt>
                  <w:r>
                    <w:rPr>
                      <w:szCs w:val="24"/>
                    </w:rPr>
                    <w:t xml:space="preserve">. Už gydytojo odontologo specialisto konsultaciją, </w:t>
                  </w:r>
                  <w:r>
                    <w:rPr>
                      <w:szCs w:val="24"/>
                      <w:lang w:eastAsia="lt-LT"/>
                    </w:rPr>
                    <w:t>atitinkančią Apraše nustatytus reikalavimus,</w:t>
                  </w:r>
                  <w:r>
                    <w:rPr>
                      <w:szCs w:val="24"/>
                    </w:rPr>
                    <w:t xml:space="preserve"> mokama PSDF biudžeto lėšomis pagal jos bazinę kainą, nustatytą </w:t>
                  </w:r>
                  <w:r>
                    <w:rPr>
                      <w:color w:val="000000"/>
                      <w:szCs w:val="24"/>
                    </w:rPr>
                    <w:t xml:space="preserve">Asmens sveikatos priežiūros paslaugų (išskyrus aktyviojo gydymo), apmokamų Privalomojo sveikatos draudimo fondo biudžeto lėšomis, ir jų bazinių kainų sąraše, </w:t>
                  </w:r>
                  <w:r>
                    <w:rPr>
                      <w:szCs w:val="24"/>
                    </w:rPr>
                    <w:t xml:space="preserve">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2f4a0897011e6b969d7ae07280e89">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2016-09-30,
paskelbta TAR 2016-10-03, i. k. 2016-24436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638f0881611ed8df094f359a60216">
                    <w:r w:rsidRPr="00532B9F">
                      <w:rPr>
                        <w:rFonts w:ascii="Times New Roman" w:eastAsia="MS Mincho" w:hAnsi="Times New Roman"/>
                        <w:sz w:val="20"/>
                        <w:i/>
                        <w:iCs/>
                        <w:color w:val="0000FF" w:themeColor="hyperlink"/>
                        <w:u w:val="single"/>
                      </w:rPr>
                      <w:t>V-2009</w:t>
                    </w:r>
                  </w:fldSimple>
                  <w:r>
                    <w:rPr>
                      <w:rFonts w:ascii="Times New Roman" w:eastAsia="MS Mincho" w:hAnsi="Times New Roman"/>
                      <w:sz w:val="20"/>
                      <w:i/>
                      <w:iCs/>
                    </w:rPr>
                    <w:t>,
2022-12-30,
paskelbta TAR 2022-12-30, i. k. 2022-27542            </w:t>
                  </w:r>
                </w:p>
                <w:p/>
              </w:sdtContent>
            </w:sdt>
            <w:sdt>
              <w:sdtPr>
                <w:alias w:val="7 p."/>
                <w:tag w:val="part_719bb098ad1b498c9b1f6991024bd90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2016-10-03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2f4a0897011e6b969d7ae07280e89">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2016-09-30,
paskelbta TAR 2016-10-03, i. k. 2016-24436        </w:t>
                  </w:r>
                </w:p>
                <w:p/>
              </w:sdtContent>
            </w:sdt>
            <w:sdt>
              <w:sdtPr>
                <w:alias w:val="8 p."/>
                <w:tag w:val="part_f751ab14dab04260839c7dca7dfcfe51"/>
                <w:lock w:val="sdtLocked"/>
                <w:richText/>
              </w:sdtPr>
              <w:sdtContent>
                <w:p>
                  <w:pPr>
                    <w:widowControl w:val="0"/>
                    <w:suppressAutoHyphens/>
                    <w:ind w:firstLine="567"/>
                    <w:jc w:val="both"/>
                    <w:rPr>
                      <w:color w:val="000000"/>
                    </w:rPr>
                  </w:pPr>
                  <w:sdt>
                    <w:sdtPr>
                      <w:alias w:val="Numeris"/>
                      <w:tag w:val="nr_f751ab14dab04260839c7dca7dfcfe51"/>
                      <w:lock w:val="sdtLocked"/>
                      <w:richText/>
                    </w:sdtPr>
                    <w:sdtContent>
                      <w:r>
                        <w:rPr>
                          <w:color w:val="000000"/>
                        </w:rPr>
                        <w:t>8</w:t>
                      </w:r>
                    </w:sdtContent>
                  </w:sdt>
                  <w:r>
                    <w:rPr>
                      <w:color w:val="000000"/>
                    </w:rPr>
                    <w:t>. Be siuntimų pas antrinio ir tretinio lygio gydytoją odontologą specialistą pacientai gali lankytis, jeigu:</w:t>
                  </w:r>
                </w:p>
                <w:sdt>
                  <w:sdtPr>
                    <w:alias w:val="8.1 p."/>
                    <w:tag w:val="part_7cccac583cd1425db5e3a61583bcf9f6"/>
                    <w:lock w:val="sdtLocked"/>
                    <w:richText/>
                  </w:sdtPr>
                  <w:sdtContent>
                    <w:p>
                      <w:pPr>
                        <w:widowControl w:val="0"/>
                        <w:suppressAutoHyphens/>
                        <w:ind w:firstLine="567"/>
                        <w:jc w:val="both"/>
                        <w:rPr>
                          <w:color w:val="000000"/>
                        </w:rPr>
                      </w:pPr>
                      <w:sdt>
                        <w:sdtPr>
                          <w:alias w:val="Numeris"/>
                          <w:tag w:val="nr_7cccac583cd1425db5e3a61583bcf9f6"/>
                          <w:lock w:val="sdtLocked"/>
                          <w:richText/>
                        </w:sdtPr>
                        <w:sdtContent>
                          <w:r>
                            <w:rPr>
                              <w:color w:val="000000"/>
                            </w:rPr>
                            <w:t>8.1</w:t>
                          </w:r>
                        </w:sdtContent>
                      </w:sdt>
                      <w:r>
                        <w:rPr>
                          <w:color w:val="000000"/>
                        </w:rPr>
                        <w:t>. pacientas atvyksta į sveikatos priežiūros įstaigą dėl būtinosios odontologinės pagalbos paslaugų ir registratūros darbuotojas, turintis medicininį išsilavinimą, registruoja pacientą į gydytojo odontologo specialisto konsultaciją;</w:t>
                      </w:r>
                    </w:p>
                  </w:sdtContent>
                </w:sdt>
                <w:sdt>
                  <w:sdtPr>
                    <w:alias w:val="8.2 p."/>
                    <w:tag w:val="part_a47c94107be2443bbab188cd1120f2ca"/>
                    <w:lock w:val="sdtLocked"/>
                    <w:richText/>
                  </w:sdtPr>
                  <w:sdtContent>
                    <w:p>
                      <w:pPr>
                        <w:widowControl w:val="0"/>
                        <w:suppressAutoHyphens/>
                        <w:ind w:firstLine="567"/>
                        <w:jc w:val="both"/>
                        <w:rPr>
                          <w:color w:val="000000"/>
                        </w:rPr>
                      </w:pPr>
                      <w:sdt>
                        <w:sdtPr>
                          <w:alias w:val="Numeris"/>
                          <w:tag w:val="nr_a47c94107be2443bbab188cd1120f2ca"/>
                          <w:lock w:val="sdtLocked"/>
                          <w:richText/>
                        </w:sdtPr>
                        <w:sdtContent>
                          <w:r>
                            <w:rPr>
                              <w:color w:val="000000"/>
                            </w:rPr>
                            <w:t>8.2</w:t>
                          </w:r>
                        </w:sdtContent>
                      </w:sdt>
                      <w:r>
                        <w:rPr>
                          <w:color w:val="000000"/>
                        </w:rPr>
                        <w:t>. pacientas lankosi dėl tos pačios priežasties pas tą patį gydytoją odontologą specialistą;</w:t>
                      </w:r>
                    </w:p>
                  </w:sdtContent>
                </w:sdt>
                <w:sdt>
                  <w:sdtPr>
                    <w:alias w:val="8.3 p."/>
                    <w:tag w:val="part_5bdc2675d4d140a3bd8930fecc77b3ba"/>
                    <w:lock w:val="sdtLocked"/>
                    <w:richText/>
                  </w:sdtPr>
                  <w:sdtContent>
                    <w:p>
                      <w:pPr>
                        <w:widowControl w:val="0"/>
                        <w:suppressAutoHyphens/>
                        <w:ind w:firstLine="567"/>
                        <w:jc w:val="both"/>
                        <w:rPr>
                          <w:color w:val="000000"/>
                        </w:rPr>
                      </w:pPr>
                      <w:sdt>
                        <w:sdtPr>
                          <w:alias w:val="Numeris"/>
                          <w:tag w:val="nr_5bdc2675d4d140a3bd8930fecc77b3ba"/>
                          <w:lock w:val="sdtLocked"/>
                          <w:richText/>
                        </w:sdtPr>
                        <w:sdtContent>
                          <w:r>
                            <w:rPr>
                              <w:color w:val="000000"/>
                            </w:rPr>
                            <w:t>8.3</w:t>
                          </w:r>
                        </w:sdtContent>
                      </w:sdt>
                      <w:r>
                        <w:rPr>
                          <w:color w:val="000000"/>
                        </w:rPr>
                        <w:t>. kitais teisės aktų numatytais atvejais.</w:t>
                      </w:r>
                    </w:p>
                  </w:sdtContent>
                </w:sdt>
              </w:sdtContent>
            </w:sdt>
            <w:sdt>
              <w:sdtPr>
                <w:alias w:val="9 p."/>
                <w:tag w:val="part_37d117fefd1645aa97f5eaac12adf516"/>
                <w:lock w:val="sdtLocked"/>
                <w:richText/>
              </w:sdtPr>
              <w:sdtContent>
                <w:p>
                  <w:pPr>
                    <w:tabs>
                      <w:tab w:val="left" w:pos="1134"/>
                    </w:tabs>
                    <w:ind w:firstLine="567"/>
                    <w:jc w:val="both"/>
                    <w:rPr>
                      <w:color w:val="000000"/>
                    </w:rPr>
                  </w:pPr>
                  <w:sdt>
                    <w:sdtPr>
                      <w:alias w:val="Numeris"/>
                      <w:tag w:val="nr_37d117fefd1645aa97f5eaac12adf516"/>
                      <w:lock w:val="sdtLocked"/>
                      <w:richText/>
                    </w:sdtPr>
                    <w:sdtContent>
                      <w:r>
                        <w:rPr>
                          <w:color w:val="000000"/>
                          <w:szCs w:val="24"/>
                        </w:rPr>
                        <w:t>9</w:t>
                      </w:r>
                    </w:sdtContent>
                  </w:sdt>
                  <w:r>
                    <w:rPr>
                      <w:color w:val="000000"/>
                      <w:szCs w:val="24"/>
                    </w:rPr>
                    <w:t xml:space="preserve">. Šeimos gydytojo, gydytojo specialisto, gydytojo odontologo arba gydytojo odontologo specialisto išduodamame siuntime nurodoma trumpa anamnezė, objektyvūs duomenys, atlikti tyrimai, taikytas gydymas, preliminari diagnozė, siuntimo konsultuoti tikslas ir kokio gydytojo odontologo specialisto konsultacijos yra siunčiamas pacientas. </w:t>
                  </w:r>
                  <w:r>
                    <w:rPr>
                      <w:szCs w:val="24"/>
                    </w:rPr>
                    <w:t>Burnos higienisto išduodamame siuntime nurodoma trumpa anamnezė, objektyvūs duomenys, siuntimo konsultuoti gydytojui periodontologui tikslas.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f463e1846111efabdbb4a1fc8b0b63">
                    <w:r w:rsidRPr="00532B9F">
                      <w:rPr>
                        <w:rFonts w:ascii="Times New Roman" w:eastAsia="MS Mincho" w:hAnsi="Times New Roman"/>
                        <w:sz w:val="20"/>
                        <w:i/>
                        <w:iCs/>
                        <w:color w:val="0000FF" w:themeColor="hyperlink"/>
                        <w:u w:val="single"/>
                      </w:rPr>
                      <w:t>V-965</w:t>
                    </w:r>
                  </w:fldSimple>
                  <w:r>
                    <w:rPr>
                      <w:rFonts w:ascii="Times New Roman" w:eastAsia="MS Mincho" w:hAnsi="Times New Roman"/>
                      <w:sz w:val="20"/>
                      <w:i/>
                      <w:iCs/>
                    </w:rPr>
                    <w:t>,
2024-10-07,
paskelbta TAR 2024-10-07, i. k. 2024-17545            </w:t>
                  </w:r>
                </w:p>
                <w:p/>
              </w:sdtContent>
            </w:sdt>
            <w:sdt>
              <w:sdtPr>
                <w:alias w:val="10 p."/>
                <w:tag w:val="part_5d68b42051414e91a6b7386a3e5f4f51"/>
                <w:lock w:val="sdtLocked"/>
                <w:richText/>
              </w:sdtPr>
              <w:sdtContent>
                <w:p>
                  <w:pPr>
                    <w:widowControl w:val="0"/>
                    <w:suppressAutoHyphens/>
                    <w:ind w:firstLine="567"/>
                    <w:jc w:val="both"/>
                    <w:rPr>
                      <w:color w:val="000000"/>
                    </w:rPr>
                  </w:pPr>
                  <w:sdt>
                    <w:sdtPr>
                      <w:alias w:val="Numeris"/>
                      <w:tag w:val="nr_5d68b42051414e91a6b7386a3e5f4f51"/>
                      <w:lock w:val="sdtLocked"/>
                      <w:richText/>
                    </w:sdtPr>
                    <w:sdtContent>
                      <w:r>
                        <w:rPr>
                          <w:color w:val="000000"/>
                        </w:rPr>
                        <w:t>10</w:t>
                      </w:r>
                    </w:sdtContent>
                  </w:sdt>
                  <w:r>
                    <w:rPr>
                      <w:color w:val="000000"/>
                    </w:rPr>
                    <w:t>. Jeigu tretinio lygio gydytojas odontologas specialistas teikia ambulatorines būtinosios odontologinės pagalbos paslaugas, už jas mokama kaip už antrinio lygio konsultaciją.</w:t>
                  </w:r>
                </w:p>
              </w:sdtContent>
            </w:sdt>
            <w:sdt>
              <w:sdtPr>
                <w:alias w:val="11 p."/>
                <w:tag w:val="part_942655328f7b493c8474dafc0cdd6de0"/>
                <w:lock w:val="sdtLocked"/>
                <w:richText/>
              </w:sdtPr>
              <w:sdtContent>
                <w:p>
                  <w:pPr>
                    <w:widowControl w:val="0"/>
                    <w:suppressAutoHyphens/>
                    <w:ind w:firstLine="567"/>
                    <w:jc w:val="both"/>
                    <w:rPr>
                      <w:color w:val="000000"/>
                    </w:rPr>
                  </w:pPr>
                  <w:sdt>
                    <w:sdtPr>
                      <w:alias w:val="Numeris"/>
                      <w:tag w:val="nr_942655328f7b493c8474dafc0cdd6de0"/>
                      <w:lock w:val="sdtLocked"/>
                      <w:richText/>
                    </w:sdtPr>
                    <w:sdtContent>
                      <w:r>
                        <w:rPr>
                          <w:color w:val="000000"/>
                        </w:rPr>
                        <w:t>11</w:t>
                      </w:r>
                    </w:sdtContent>
                  </w:sdt>
                  <w:r>
                    <w:rPr>
                      <w:color w:val="000000"/>
                    </w:rPr>
                    <w:t>. Tos pačios specialybės kelių gydytojų odontologų specialistų konsultacija vienoje įstaigoje laikoma konsiliumu ir už ją mokama kaip už vieną konsultaciją.</w:t>
                  </w:r>
                </w:p>
              </w:sdtContent>
            </w:sdt>
            <w:sdt>
              <w:sdtPr>
                <w:alias w:val="12 p."/>
                <w:tag w:val="part_59ed003a233d4942878b7476a1118011"/>
                <w:lock w:val="sdtLocked"/>
                <w:richText/>
              </w:sdtPr>
              <w:sdtContent>
                <w:p>
                  <w:pPr>
                    <w:widowControl w:val="0"/>
                    <w:suppressAutoHyphens/>
                    <w:ind w:firstLine="567"/>
                    <w:jc w:val="both"/>
                    <w:rPr>
                      <w:color w:val="000000"/>
                    </w:rPr>
                  </w:pPr>
                  <w:sdt>
                    <w:sdtPr>
                      <w:alias w:val="Numeris"/>
                      <w:tag w:val="nr_59ed003a233d4942878b7476a1118011"/>
                      <w:lock w:val="sdtLocked"/>
                      <w:richText/>
                    </w:sdtPr>
                    <w:sdtContent>
                      <w:r>
                        <w:rPr>
                          <w:color w:val="000000"/>
                        </w:rPr>
                        <w:t>12</w:t>
                      </w:r>
                    </w:sdtContent>
                  </w:sdt>
                  <w:r>
                    <w:rPr>
                      <w:color w:val="000000"/>
                    </w:rPr>
                    <w:t>. Jeigu pirmojo apsilankymo dėl konkrečios priežasties pas gydytoją odontologą specialistą metu nustatoma, kad pacientui būtina gydytis stacionare ir jis iškart siunčiamas į tos pačios įstaigos stacionaro skyrių, toks atvejis nelaikomas konsultacija ir apsilankymo išlaidos įskaičiuojamos į stacionaro gydymo bazinę kainą. Jei ambulatoriškai ištyrus arba gydant paaiškėja, kad pacientą reikia gydyti stacionare, ir po to jis siunčiamas į stacionarą, tokios ambulatorinės konsultacijos apmokamos bendra tvarka.</w:t>
                  </w:r>
                </w:p>
              </w:sdtContent>
            </w:sdt>
            <w:sdt>
              <w:sdtPr>
                <w:alias w:val="13 p."/>
                <w:tag w:val="part_cb2c1bc48d42419da4bbd733adf4ad7c"/>
                <w:lock w:val="sdtLocked"/>
                <w:richText/>
              </w:sdtPr>
              <w:sdtContent>
                <w:p>
                  <w:pPr>
                    <w:widowControl w:val="0"/>
                    <w:suppressAutoHyphens/>
                    <w:ind w:firstLine="567"/>
                    <w:jc w:val="both"/>
                    <w:rPr>
                      <w:color w:val="000000"/>
                    </w:rPr>
                  </w:pPr>
                  <w:sdt>
                    <w:sdtPr>
                      <w:alias w:val="Numeris"/>
                      <w:tag w:val="nr_cb2c1bc48d42419da4bbd733adf4ad7c"/>
                      <w:lock w:val="sdtLocked"/>
                      <w:richText/>
                    </w:sdtPr>
                    <w:sdtContent>
                      <w:r>
                        <w:rPr>
                          <w:color w:val="000000"/>
                        </w:rPr>
                        <w:t>13</w:t>
                      </w:r>
                    </w:sdtContent>
                  </w:sdt>
                  <w:r>
                    <w:rPr>
                      <w:color w:val="000000"/>
                    </w:rPr>
                    <w:t>. Siunčiant pacientą į tos pačios įstaigos kitą skyrių (kabinetą), siuntimai nerašomi, bet apie tai įrašoma asmens sveikatos istorijoje. Kai pacientas pasirenka kitos įstaigos gydytoją odontologą specialistą, siuntimas turi būti išrašomas nustatyta tvarka.</w:t>
                  </w:r>
                </w:p>
              </w:sdtContent>
            </w:sdt>
            <w:sdt>
              <w:sdtPr>
                <w:alias w:val="14 p."/>
                <w:tag w:val="part_0ee22cbc485c4a46907a0f8cad0898b1"/>
                <w:lock w:val="sdtLocked"/>
                <w:richText/>
              </w:sdtPr>
              <w:sdtContent>
                <w:p>
                  <w:pPr>
                    <w:widowControl w:val="0"/>
                    <w:suppressAutoHyphens/>
                    <w:ind w:firstLine="567"/>
                    <w:jc w:val="both"/>
                    <w:rPr>
                      <w:color w:val="000000"/>
                    </w:rPr>
                  </w:pPr>
                  <w:sdt>
                    <w:sdtPr>
                      <w:alias w:val="Numeris"/>
                      <w:tag w:val="nr_0ee22cbc485c4a46907a0f8cad0898b1"/>
                      <w:lock w:val="sdtLocked"/>
                      <w:richText/>
                    </w:sdtPr>
                    <w:sdtContent>
                      <w:r>
                        <w:rPr>
                          <w:color w:val="000000"/>
                        </w:rPr>
                        <w:t>14</w:t>
                      </w:r>
                    </w:sdtContent>
                  </w:sdt>
                  <w:r>
                    <w:rPr>
                      <w:color w:val="000000"/>
                    </w:rPr>
                    <w:t>. Visais atvejais gydytojai odontologai specialistai informaciją apie suteiktas asmens sveikatos priežiūros paslaugas (konsultacijas) per 3 darbo dienas privalo pateikti asmens sveikatos priežiūros įstaigos, prie kurios pacientas yra prisirašęs, gydytojui odontologui ir siuntusiajam gydytojui.</w:t>
                  </w:r>
                </w:p>
              </w:sdtContent>
            </w:sdt>
            <w:sdt>
              <w:sdtPr>
                <w:alias w:val="15 p."/>
                <w:tag w:val="part_1f3780b0884e4f65af9a9cdc8c0d08d4"/>
                <w:lock w:val="sdtLocked"/>
                <w:richText/>
              </w:sdtPr>
              <w:sdtContent>
                <w:p>
                  <w:pPr>
                    <w:widowControl w:val="0"/>
                    <w:suppressAutoHyphens/>
                    <w:ind w:firstLine="567"/>
                    <w:jc w:val="both"/>
                    <w:rPr>
                      <w:color w:val="000000"/>
                    </w:rPr>
                  </w:pPr>
                  <w:sdt>
                    <w:sdtPr>
                      <w:alias w:val="Numeris"/>
                      <w:tag w:val="nr_1f3780b0884e4f65af9a9cdc8c0d08d4"/>
                      <w:lock w:val="sdtLocked"/>
                      <w:richText/>
                    </w:sdtPr>
                    <w:sdtContent>
                      <w:r>
                        <w:rPr>
                          <w:color w:val="000000"/>
                        </w:rPr>
                        <w:t>15</w:t>
                      </w:r>
                    </w:sdtContent>
                  </w:sdt>
                  <w:r>
                    <w:rPr>
                      <w:color w:val="000000"/>
                    </w:rPr>
                    <w:t>. Už gydytojo odontologo specialisto konsultaciją mokama, jei pacientas pirmą kartą dėl konkrečios priežasties kreipiasi į gydytoją odontologą specialistą. Vieno gydymo epizodo metu tos pačios srities gydytojas odontologas specialistas gali teikti skirtingai apmokamas specializuotas ambulatorines asmens sveikatos priežiūros paslaugas.</w:t>
                  </w:r>
                </w:p>
              </w:sdtContent>
            </w:sdt>
            <w:sdt>
              <w:sdtPr>
                <w:alias w:val="16 p."/>
                <w:tag w:val="part_bb28eb40d4b54351b009e4d58318b3a9"/>
                <w:lock w:val="sdtLocked"/>
                <w:richText/>
              </w:sdtPr>
              <w:sdtContent>
                <w:p>
                  <w:pPr>
                    <w:widowControl w:val="0"/>
                    <w:suppressAutoHyphens/>
                    <w:ind w:firstLine="567"/>
                    <w:jc w:val="both"/>
                    <w:rPr>
                      <w:color w:val="000000"/>
                    </w:rPr>
                  </w:pPr>
                  <w:sdt>
                    <w:sdtPr>
                      <w:alias w:val="Numeris"/>
                      <w:tag w:val="nr_bb28eb40d4b54351b009e4d58318b3a9"/>
                      <w:lock w:val="sdtLocked"/>
                      <w:richText/>
                    </w:sdtPr>
                    <w:sdtContent>
                      <w:r>
                        <w:rPr>
                          <w:color w:val="000000"/>
                        </w:rPr>
                        <w:t>16</w:t>
                      </w:r>
                    </w:sdtContent>
                  </w:sdt>
                  <w:r>
                    <w:rPr>
                      <w:color w:val="000000"/>
                    </w:rPr>
                    <w:t>. Jeigu paciento antro arba trečio apsilankymo pas tos pačios srities gydytoją odontologą specialistą metu suteikiama brangiau apmokama specializuota ambulatorinė asmens sveikatos priežiūros paslauga, tai pirmojo apsilankymo metu suteikta paslauga gali būti pateikta apmokėti brangiau kainuojančios paslaugos bazine kaina. Jeigu dėl tos pačios priežasties pacientas kreipiasi į tos pačios srities gydytoją specialistą daugiau nei tris kartus, už konsultaciją mokama pakartotinai. Už vėlesnius apsilankymus mokama tokia pačia tvarka. Jeigu pirmųjų trijų apsilankymų metu brangiau kainuojanti specializuota ambulatorinė asmens sveikatos priežiūros paslauga pacientui buvo suteikta daugiau nei vieną kartą, pakartotinai (kreipiantis ketvirtą kartą) tos srities gydytojo odontologo specialisto paslaugos apmokamos brangiau kainuojančios specializuotos ambulatorinės asmens sveikatos priežiūros paslaugos bazine kaina. Tolesnių pakartotinių (kreipiantis septintą, dešimtą kartus ir t. t.) mokėjimų dydis priklauso nuo to, kokios specializuotos ambulatorinės asmens sveikatos priežiūros paslaugos buvo suteiktos.</w:t>
                  </w:r>
                </w:p>
              </w:sdtContent>
            </w:sdt>
            <w:sdt>
              <w:sdtPr>
                <w:alias w:val="17 p."/>
                <w:tag w:val="part_b39f8d6a550245fabf8f2a5b76e4019d"/>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910f6117f11f0b164e744cdb165f2">
                    <w:r w:rsidRPr="00532B9F">
                      <w:rPr>
                        <w:rFonts w:ascii="Times New Roman" w:eastAsia="MS Mincho" w:hAnsi="Times New Roman"/>
                        <w:sz w:val="20"/>
                        <w:i/>
                        <w:iCs/>
                        <w:color w:val="0000FF" w:themeColor="hyperlink"/>
                        <w:u w:val="single"/>
                      </w:rPr>
                      <w:t>V-297</w:t>
                    </w:r>
                  </w:fldSimple>
                  <w:r>
                    <w:rPr>
                      <w:rFonts w:ascii="Times New Roman" w:eastAsia="MS Mincho" w:hAnsi="Times New Roman"/>
                      <w:sz w:val="20"/>
                      <w:i/>
                      <w:iCs/>
                    </w:rPr>
                    <w:t>,
2025-04-04,
paskelbta TAR 2025-04-07, i. k. 2025-06025        </w:t>
                  </w:r>
                </w:p>
                <w:p/>
              </w:sdtContent>
            </w:sdt>
            <w:sdt>
              <w:sdtPr>
                <w:alias w:val="18 p."/>
                <w:tag w:val="part_b896595d00874188b33829346c64d58d"/>
                <w:lock w:val="sdtLocked"/>
                <w:richText/>
              </w:sdtPr>
              <w:sdtContent>
                <w:p>
                  <w:pPr>
                    <w:widowControl w:val="0"/>
                    <w:suppressAutoHyphens/>
                    <w:ind w:firstLine="567"/>
                    <w:jc w:val="both"/>
                    <w:rPr>
                      <w:color w:val="000000"/>
                    </w:rPr>
                  </w:pPr>
                  <w:sdt>
                    <w:sdtPr>
                      <w:alias w:val="Numeris"/>
                      <w:tag w:val="nr_b896595d00874188b33829346c64d58d"/>
                      <w:lock w:val="sdtLocked"/>
                      <w:richText/>
                    </w:sdtPr>
                    <w:sdtContent>
                      <w:r>
                        <w:rPr>
                          <w:color w:val="000000"/>
                        </w:rPr>
                        <w:t>18</w:t>
                      </w:r>
                    </w:sdtContent>
                  </w:sdt>
                  <w:r>
                    <w:rPr>
                      <w:color w:val="000000"/>
                    </w:rPr>
                    <w:t>. Gydytojai odontologai ir odontologai specialistai, teikiantys ambulatorines asmens sveikatos priežiūros paslaugas, jas aprašo asmens sveikatos istorijoje (forma Nr. 025-043/a). Joje nurodoma paciento lankymosi data ir laikas, anamnezė, aprašoma paciento būklė, ligos eiga, paskirti tyrimai ir gydymas, siuntimai pas kitus gydytojus odontologus specialistus bei į kitas gydymo įstaigas (nurodant siuntimo tikslą).</w:t>
                  </w:r>
                </w:p>
              </w:sdtContent>
            </w:sdt>
            <w:sdt>
              <w:sdtPr>
                <w:alias w:val="19 p."/>
                <w:tag w:val="part_eaf16cf9fa5145d5b198c7f58523fe4f"/>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910f6117f11f0b164e744cdb165f2">
                    <w:r w:rsidRPr="00532B9F">
                      <w:rPr>
                        <w:rFonts w:ascii="Times New Roman" w:eastAsia="MS Mincho" w:hAnsi="Times New Roman"/>
                        <w:sz w:val="20"/>
                        <w:i/>
                        <w:iCs/>
                        <w:color w:val="0000FF" w:themeColor="hyperlink"/>
                        <w:u w:val="single"/>
                      </w:rPr>
                      <w:t>V-297</w:t>
                    </w:r>
                  </w:fldSimple>
                  <w:r>
                    <w:rPr>
                      <w:rFonts w:ascii="Times New Roman" w:eastAsia="MS Mincho" w:hAnsi="Times New Roman"/>
                      <w:sz w:val="20"/>
                      <w:i/>
                      <w:iCs/>
                    </w:rPr>
                    <w:t>,
2025-04-04,
paskelbta TAR 2025-04-07, i. k. 2025-06025        </w:t>
                  </w:r>
                </w:p>
                <w:p/>
              </w:sdtContent>
            </w:sdt>
          </w:sdtContent>
        </w:sdt>
        <w:sdt>
          <w:sdtPr>
            <w:alias w:val="skyrius"/>
            <w:tag w:val="part_e0dfd7e4cdc04278ab1c285719da9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skyrius.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910f6117f11f0b164e744cdb165f2">
                <w:r w:rsidRPr="00532B9F">
                  <w:rPr>
                    <w:rFonts w:ascii="Times New Roman" w:eastAsia="MS Mincho" w:hAnsi="Times New Roman"/>
                    <w:sz w:val="20"/>
                    <w:i/>
                    <w:iCs/>
                    <w:color w:val="0000FF" w:themeColor="hyperlink"/>
                    <w:u w:val="single"/>
                  </w:rPr>
                  <w:t>V-297</w:t>
                </w:r>
              </w:fldSimple>
              <w:r>
                <w:rPr>
                  <w:rFonts w:ascii="Times New Roman" w:eastAsia="MS Mincho" w:hAnsi="Times New Roman"/>
                  <w:sz w:val="20"/>
                  <w:i/>
                  <w:iCs/>
                </w:rPr>
                <w:t>,
2025-04-04,
paskelbta TAR 2025-04-07, i. k. 2025-06025        </w:t>
              </w:r>
            </w:p>
            <w:p/>
          </w:sdtContent>
        </w:sdt>
        <w:sdt>
          <w:sdtPr>
            <w:alias w:val="pabaiga"/>
            <w:tag w:val="part_0af8ba65172a400a8ec5d528b5e1e850"/>
            <w:lock w:val="sdtLocked"/>
            <w:richText/>
          </w:sdtPr>
          <w:sdtContent>
            <w:p>
              <w:pPr>
                <w:widowControl w:val="0"/>
                <w:suppressAutoHyphens/>
                <w:jc w:val="center"/>
                <w:rPr>
                  <w:color w:val="000000"/>
                </w:rPr>
              </w:pPr>
              <w:r>
                <w:rPr>
                  <w:color w:val="000000"/>
                </w:rPr>
                <w:t>_________________</w:t>
              </w:r>
            </w:p>
            <w:p>
              <w:pPr>
                <w:widowControl w:val="0"/>
                <w:suppressAutoHyphens/>
                <w:jc w:val="center"/>
                <w:rPr>
                  <w:color w:val="000000"/>
                </w:rPr>
              </w:pPr>
            </w:p>
          </w:sdtContent>
        </w:sdt>
      </w:sdtContent>
    </w:sdt>
    <w:sdt>
      <w:sdtPr>
        <w:alias w:val="patvirtinta"/>
        <w:tag w:val="part_4e8196d0d77e45cbb0fcd3c8ca3856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2016-10-03</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2f4a0897011e6b969d7ae07280e89">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2016-09-30,
paskelbta TAR 2016-10-03, i. k. 2016-24436        </w:t>
          </w:r>
        </w:p>
        <w:p/>
      </w:sdtContent>
    </w:sdt>
    <w:sdt>
      <w:sdtPr>
        <w:alias w:val="patvirtinta"/>
        <w:tag w:val="part_9b42fd2f16624a1b88e8e87d09de3863"/>
        <w:lock w:val="sdtLocked"/>
        <w:richText/>
      </w:sdtPr>
      <w:sdtContent>
        <w:p>
          <w:pPr>
            <w:keepLines/>
            <w:widowControl w:val="0"/>
            <w:suppressAutoHyphens/>
            <w:ind w:left="4535"/>
            <w:sectPr>
              <w:headerReference w:type="even" r:id="rId14"/>
              <w:headerReference w:type="default" r:id="rId15"/>
              <w:footerReference w:type="even" r:id="rId16"/>
              <w:footerReference w:type="default" r:id="rId17"/>
              <w:headerReference w:type="first" r:id="rId18"/>
              <w:footerReference w:type="first" r:id="rId19"/>
              <w:pgSz w:w="11906" w:h="16838"/>
              <w:pgMar w:top="993" w:right="849" w:bottom="1134" w:left="1701" w:header="567" w:footer="567" w:gutter="0"/>
              <w:cols w:space="1296"/>
              <w:titlePg/>
              <w:docGrid w:linePitch="360"/>
            </w:sectPr>
          </w:pPr>
        </w:p>
        <w:p>
          <w:pPr>
            <w:keepLines/>
            <w:widowControl w:val="0"/>
            <w:suppressAutoHyphens/>
            <w:ind w:left="4535"/>
            <w:rPr>
              <w:color w:val="000000"/>
              <w:szCs w:val="24"/>
            </w:rPr>
          </w:pPr>
          <w:r>
            <w:rPr>
              <w:color w:val="000000"/>
              <w:szCs w:val="24"/>
            </w:rPr>
            <w:t>PATVIRTINTA</w:t>
          </w:r>
        </w:p>
        <w:p>
          <w:pPr>
            <w:keepLines/>
            <w:widowControl w:val="0"/>
            <w:suppressAutoHyphens/>
            <w:ind w:left="4535"/>
            <w:rPr>
              <w:color w:val="000000"/>
              <w:szCs w:val="24"/>
            </w:rPr>
          </w:pPr>
          <w:r>
            <w:rPr>
              <w:color w:val="000000"/>
              <w:szCs w:val="24"/>
            </w:rPr>
            <w:t xml:space="preserve">Lietuvos Respublikos </w:t>
          </w:r>
        </w:p>
        <w:p>
          <w:pPr>
            <w:keepLines/>
            <w:widowControl w:val="0"/>
            <w:suppressAutoHyphens/>
            <w:ind w:left="4535"/>
            <w:rPr>
              <w:color w:val="000000"/>
              <w:szCs w:val="24"/>
            </w:rPr>
          </w:pPr>
          <w:r>
            <w:rPr>
              <w:color w:val="000000"/>
              <w:szCs w:val="24"/>
            </w:rPr>
            <w:t xml:space="preserve">sveikatos apsaugos ministro </w:t>
          </w:r>
        </w:p>
        <w:p>
          <w:pPr>
            <w:keepLines/>
            <w:widowControl w:val="0"/>
            <w:suppressAutoHyphens/>
            <w:ind w:left="4535"/>
            <w:rPr>
              <w:color w:val="000000"/>
              <w:szCs w:val="24"/>
            </w:rPr>
          </w:pPr>
          <w:r>
            <w:rPr>
              <w:color w:val="000000"/>
              <w:szCs w:val="24"/>
            </w:rPr>
            <w:t>2018 m. liepos 13 d. įsakymu Nr. V-802</w:t>
          </w:r>
        </w:p>
        <w:p>
          <w:pPr>
            <w:widowControl w:val="0"/>
            <w:suppressAutoHyphens/>
            <w:ind w:firstLine="567"/>
            <w:jc w:val="both"/>
            <w:rPr>
              <w:color w:val="000000"/>
              <w:szCs w:val="24"/>
            </w:rPr>
          </w:pPr>
        </w:p>
        <w:sdt>
          <w:sdtPr>
            <w:alias w:val="Pavadinimas"/>
            <w:tag w:val="title_9b42fd2f16624a1b88e8e87d09de3863"/>
            <w:lock w:val="sdtLocked"/>
            <w:richText/>
          </w:sdtPr>
          <w:sdtContent>
            <w:p>
              <w:pPr>
                <w:keepLines/>
                <w:widowControl w:val="0"/>
                <w:suppressAutoHyphens/>
                <w:jc w:val="center"/>
                <w:rPr>
                  <w:b/>
                  <w:bCs/>
                  <w:caps/>
                  <w:color w:val="000000"/>
                  <w:szCs w:val="24"/>
                </w:rPr>
              </w:pPr>
              <w:r>
                <w:rPr>
                  <w:b/>
                  <w:bCs/>
                  <w:caps/>
                  <w:color w:val="000000"/>
                  <w:szCs w:val="24"/>
                </w:rPr>
                <w:t xml:space="preserve">GYDYTOJO ODONTOLOGO SPECIALISTO KONSULTACIJOS METU ATLIEKAMŲ ODONTOLOGINIŲ PROCEDŪRŲ, APMOKAMŲ PRIVALOMOJO SVEIKATOS DRAUDIMO FONDO BIUDŽETO LĖŠOMIS, </w:t>
              </w:r>
            </w:p>
            <w:p>
              <w:pPr>
                <w:keepLines/>
                <w:widowControl w:val="0"/>
                <w:suppressAutoHyphens/>
                <w:jc w:val="center"/>
                <w:rPr>
                  <w:b/>
                  <w:bCs/>
                  <w:caps/>
                  <w:color w:val="000000"/>
                  <w:szCs w:val="24"/>
                </w:rPr>
              </w:pPr>
              <w:r>
                <w:rPr>
                  <w:b/>
                  <w:bCs/>
                  <w:caps/>
                  <w:color w:val="000000"/>
                  <w:szCs w:val="24"/>
                </w:rPr>
                <w:t>SĄRAŠAS</w:t>
              </w:r>
            </w:p>
          </w:sdtContent>
        </w:sdt>
        <w:p>
          <w:pPr>
            <w:widowControl w:val="0"/>
            <w:suppressAutoHyphens/>
            <w:ind w:firstLine="567"/>
            <w:jc w:val="both"/>
            <w:rPr>
              <w:color w:val="000000"/>
              <w:szCs w:val="24"/>
            </w:rPr>
          </w:pPr>
        </w:p>
        <w:tbl>
          <w:tblPr>
            <w:tblW w:w="5000" w:type="pct"/>
            <w:tblCellMar>
              <w:left w:w="0" w:type="dxa"/>
              <w:right w:w="0" w:type="dxa"/>
            </w:tblCellMar>
            <w:tblLook w:val="0000" w:firstRow="0" w:lastRow="0" w:firstColumn="0" w:lastColumn="0" w:noHBand="0" w:noVBand="0"/>
          </w:tblPr>
          <w:tblGrid>
            <w:gridCol w:w="2060"/>
            <w:gridCol w:w="7126"/>
          </w:tblGrid>
          <w:tr>
            <w:trPr>
              <w:trHeight w:val="60"/>
              <w:tblHeader/>
            </w:trPr>
            <w:tc>
              <w:tcPr>
                <w:tcW w:w="112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szCs w:val="24"/>
                  </w:rPr>
                </w:pPr>
                <w:r>
                  <w:rPr>
                    <w:bCs/>
                    <w:color w:val="000000"/>
                    <w:szCs w:val="24"/>
                  </w:rPr>
                  <w:t>Gydytojas odontologas specialistas</w:t>
                </w:r>
              </w:p>
            </w:tc>
            <w:tc>
              <w:tcPr>
                <w:tcW w:w="3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szCs w:val="24"/>
                  </w:rPr>
                </w:pPr>
                <w:r>
                  <w:rPr>
                    <w:bCs/>
                    <w:color w:val="000000"/>
                    <w:szCs w:val="24"/>
                  </w:rPr>
                  <w:t>Konsultacijos metu atliekamos odontologinės procedūros, apmokamos PSDF biudžeto lėšomis*</w:t>
                </w:r>
              </w:p>
            </w:tc>
          </w:tr>
          <w:tr>
            <w:trPr>
              <w:trHeight w:val="60"/>
            </w:trPr>
            <w:tc>
              <w:tcPr>
                <w:tcW w:w="112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szCs w:val="24"/>
                  </w:rPr>
                </w:pPr>
                <w:r>
                  <w:rPr>
                    <w:color w:val="000000"/>
                    <w:szCs w:val="24"/>
                  </w:rPr>
                  <w:t>1. Gydytojas endodontologas</w:t>
                </w:r>
              </w:p>
            </w:tc>
            <w:tc>
              <w:tcPr>
                <w:tcW w:w="3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zCs w:val="24"/>
                  </w:rPr>
                </w:pPr>
                <w:r>
                  <w:rPr>
                    <w:color w:val="000000"/>
                    <w:szCs w:val="24"/>
                  </w:rPr>
                  <w:t>1.1. Vietinės aplikacinės, infiltracinės ar laidinės nejautros atlikimas.</w:t>
                </w:r>
              </w:p>
              <w:p>
                <w:pPr>
                  <w:widowControl w:val="0"/>
                  <w:suppressAutoHyphens/>
                  <w:rPr>
                    <w:color w:val="000000"/>
                    <w:szCs w:val="24"/>
                  </w:rPr>
                </w:pPr>
                <w:r>
                  <w:rPr>
                    <w:color w:val="000000"/>
                    <w:szCs w:val="24"/>
                  </w:rPr>
                  <w:t>1.2. Plombos išėmimas arba laikino vainikėlio nuėmimas.</w:t>
                </w:r>
              </w:p>
              <w:p>
                <w:pPr>
                  <w:widowControl w:val="0"/>
                  <w:suppressAutoHyphens/>
                  <w:rPr>
                    <w:color w:val="000000"/>
                    <w:szCs w:val="24"/>
                  </w:rPr>
                </w:pPr>
                <w:r>
                  <w:rPr>
                    <w:color w:val="000000"/>
                    <w:szCs w:val="24"/>
                  </w:rPr>
                  <w:t xml:space="preserve">1.3. Visos diagnostinės procedūros (transiliuminacinis testas, kandimo testas, pulpos jautrumo vertinimas, periodontologinis zondavimas, rentgeno tyrimas, tyrimas mikroskopu (dantų šaknų kanalų morfologijos ypatumams nustatyti,  danties vainiko atkūrimo galimybei įvertinti,  esamai arba įtariamai danties šaknies perforacijai diagnozuoti, </w:t>
                </w:r>
              </w:p>
              <w:p>
                <w:pPr>
                  <w:widowControl w:val="0"/>
                  <w:suppressAutoHyphens/>
                  <w:rPr>
                    <w:color w:val="000000"/>
                    <w:szCs w:val="24"/>
                  </w:rPr>
                </w:pPr>
                <w:r>
                  <w:rPr>
                    <w:color w:val="000000"/>
                    <w:szCs w:val="24"/>
                  </w:rPr>
                  <w:t>dantų šaknų skilimams diagnozuoti, danties endodontinio pergydymo galimybėms įvertinti) ir kt.)</w:t>
                </w:r>
              </w:p>
              <w:p>
                <w:pPr>
                  <w:widowControl w:val="0"/>
                  <w:suppressAutoHyphens/>
                  <w:rPr>
                    <w:color w:val="000000"/>
                    <w:szCs w:val="24"/>
                  </w:rPr>
                </w:pPr>
                <w:r>
                  <w:rPr>
                    <w:color w:val="000000"/>
                    <w:szCs w:val="24"/>
                  </w:rPr>
                  <w:t>1.4. Nuolatinio danties repozicija, įtvaro uždėjimas esant danties dislokacijai dėl traumos arba esant danties lūžiui.</w:t>
                </w:r>
              </w:p>
              <w:p>
                <w:pPr>
                  <w:widowControl w:val="0"/>
                  <w:suppressAutoHyphens/>
                  <w:rPr>
                    <w:color w:val="000000"/>
                    <w:szCs w:val="24"/>
                  </w:rPr>
                </w:pPr>
                <w:r>
                  <w:rPr>
                    <w:color w:val="000000"/>
                    <w:szCs w:val="24"/>
                  </w:rPr>
                  <w:t>1.5. Danties plombavimas laikinu cementu.</w:t>
                </w:r>
              </w:p>
              <w:p>
                <w:pPr>
                  <w:widowControl w:val="0"/>
                  <w:suppressAutoHyphens/>
                  <w:rPr>
                    <w:color w:val="000000"/>
                    <w:szCs w:val="24"/>
                  </w:rPr>
                </w:pPr>
                <w:r>
                  <w:rPr>
                    <w:color w:val="000000"/>
                    <w:szCs w:val="24"/>
                  </w:rPr>
                  <w:t>1.6. Visos būtinos diagnostinės ir gydomosios procedūros vaikams pagal gydytojo endodontologo kompetenciją.</w:t>
                </w:r>
              </w:p>
            </w:tc>
          </w:tr>
          <w:tr>
            <w:trPr>
              <w:trHeight w:val="60"/>
            </w:trPr>
            <w:tc>
              <w:tcPr>
                <w:tcW w:w="112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szCs w:val="24"/>
                    <w:highlight w:val="yellow"/>
                  </w:rPr>
                </w:pPr>
                <w:r>
                  <w:rPr>
                    <w:color w:val="000000"/>
                    <w:szCs w:val="24"/>
                  </w:rPr>
                  <w:t>2. Gydytojas ortodontas</w:t>
                </w:r>
              </w:p>
            </w:tc>
            <w:tc>
              <w:tcPr>
                <w:tcW w:w="3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zCs w:val="24"/>
                  </w:rPr>
                </w:pPr>
                <w:r>
                  <w:rPr>
                    <w:color w:val="000000"/>
                    <w:szCs w:val="24"/>
                  </w:rPr>
                  <w:t>2.1. Diagnostinės procedūros;</w:t>
                </w:r>
              </w:p>
              <w:p>
                <w:pPr>
                  <w:widowControl w:val="0"/>
                  <w:suppressAutoHyphens/>
                  <w:rPr>
                    <w:color w:val="000000"/>
                    <w:szCs w:val="24"/>
                  </w:rPr>
                </w:pPr>
                <w:r>
                  <w:rPr>
                    <w:color w:val="000000"/>
                    <w:szCs w:val="24"/>
                  </w:rPr>
                  <w:t>2.2. Klinikinių ir laboratorinių diagnostinių duomenų įvertinimas (modelių tyrimas, radiologinių tyrimo duomenų įvertinimas, cefalometrinė analizė).</w:t>
                </w:r>
              </w:p>
              <w:p>
                <w:pPr>
                  <w:widowControl w:val="0"/>
                  <w:suppressAutoHyphens/>
                  <w:rPr>
                    <w:color w:val="000000"/>
                    <w:szCs w:val="24"/>
                  </w:rPr>
                </w:pPr>
                <w:r>
                  <w:rPr>
                    <w:color w:val="000000"/>
                    <w:szCs w:val="24"/>
                  </w:rPr>
                  <w:t>2.3. Visos būtinos diagnostinės ir gydomosios procedūros vaikams pagal gydytojo ortodonto kompetenciją, išskyrus gydymą, kai yra nustatyta I ar II ortodontinės anomalijos sunkumo grupė.</w:t>
                </w:r>
              </w:p>
            </w:tc>
          </w:tr>
          <w:tr>
            <w:trPr>
              <w:trHeight w:val="60"/>
            </w:trPr>
            <w:tc>
              <w:tcPr>
                <w:tcW w:w="112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szCs w:val="24"/>
                  </w:rPr>
                </w:pPr>
                <w:r>
                  <w:rPr>
                    <w:color w:val="000000"/>
                    <w:szCs w:val="24"/>
                  </w:rPr>
                  <w:t>3. Gydytojas odontologas ortopedas</w:t>
                </w:r>
              </w:p>
            </w:tc>
            <w:tc>
              <w:tcPr>
                <w:tcW w:w="3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zCs w:val="24"/>
                  </w:rPr>
                </w:pPr>
                <w:r>
                  <w:rPr>
                    <w:color w:val="000000"/>
                    <w:szCs w:val="24"/>
                  </w:rPr>
                  <w:t>3.1. Vietinės aplikacinės, infiltracinės ar laidinės nejautros atlikimas.</w:t>
                </w:r>
              </w:p>
              <w:p>
                <w:pPr>
                  <w:widowControl w:val="0"/>
                  <w:suppressAutoHyphens/>
                  <w:rPr>
                    <w:color w:val="000000"/>
                    <w:szCs w:val="24"/>
                  </w:rPr>
                </w:pPr>
                <w:r>
                  <w:rPr>
                    <w:color w:val="000000"/>
                    <w:szCs w:val="24"/>
                  </w:rPr>
                  <w:t>3.2. Diagnostinės ir gydomosios procedūros (periodontologinio zondavimo, perkrovos testas, kandimo testas, pulpos jautrumo testas ir kt.).</w:t>
                </w:r>
              </w:p>
              <w:p>
                <w:pPr>
                  <w:widowControl w:val="0"/>
                  <w:suppressAutoHyphens/>
                  <w:rPr>
                    <w:color w:val="000000"/>
                    <w:szCs w:val="24"/>
                  </w:rPr>
                </w:pPr>
                <w:r>
                  <w:rPr>
                    <w:color w:val="000000"/>
                    <w:szCs w:val="24"/>
                  </w:rPr>
                  <w:t>3.3. Laikinos plombos išėmimas ir uždėjimas.</w:t>
                </w:r>
              </w:p>
              <w:p>
                <w:pPr>
                  <w:widowControl w:val="0"/>
                  <w:suppressAutoHyphens/>
                  <w:rPr>
                    <w:color w:val="000000"/>
                    <w:szCs w:val="24"/>
                  </w:rPr>
                </w:pPr>
                <w:r>
                  <w:rPr>
                    <w:color w:val="000000"/>
                    <w:szCs w:val="24"/>
                  </w:rPr>
                  <w:t>3.4. Lūžusios danties sienelės šalinimas lūžio lokalizacijai nustatyti.</w:t>
                </w:r>
              </w:p>
              <w:p>
                <w:pPr>
                  <w:widowControl w:val="0"/>
                  <w:suppressAutoHyphens/>
                  <w:rPr>
                    <w:color w:val="000000"/>
                    <w:szCs w:val="24"/>
                  </w:rPr>
                </w:pPr>
                <w:r>
                  <w:rPr>
                    <w:color w:val="000000"/>
                    <w:szCs w:val="24"/>
                  </w:rPr>
                  <w:t>3.5. Laikino vainikėlio cementavimas.</w:t>
                </w:r>
              </w:p>
              <w:p>
                <w:pPr>
                  <w:widowControl w:val="0"/>
                  <w:suppressAutoHyphens/>
                  <w:rPr>
                    <w:color w:val="000000"/>
                    <w:szCs w:val="24"/>
                  </w:rPr>
                </w:pPr>
                <w:r>
                  <w:rPr>
                    <w:color w:val="000000"/>
                    <w:szCs w:val="24"/>
                  </w:rPr>
                  <w:t>3.6. Laikinos restauracijos okliuzijos koregavimas.</w:t>
                </w:r>
              </w:p>
              <w:p>
                <w:pPr>
                  <w:widowControl w:val="0"/>
                  <w:suppressAutoHyphens/>
                  <w:rPr>
                    <w:color w:val="000000"/>
                    <w:szCs w:val="24"/>
                  </w:rPr>
                </w:pPr>
                <w:r>
                  <w:rPr>
                    <w:color w:val="000000"/>
                    <w:szCs w:val="24"/>
                  </w:rPr>
                  <w:t xml:space="preserve">3.7. Visos būtinos diagnostinės ir gydomosios procedūros vaikams pagal gydytojo odontologo ortopedo kompetenciją. </w:t>
                </w:r>
              </w:p>
            </w:tc>
          </w:tr>
          <w:tr>
            <w:trPr>
              <w:trHeight w:val="60"/>
            </w:trPr>
            <w:tc>
              <w:tcPr>
                <w:tcW w:w="112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szCs w:val="24"/>
                  </w:rPr>
                </w:pPr>
                <w:r>
                  <w:rPr>
                    <w:color w:val="000000"/>
                    <w:szCs w:val="24"/>
                  </w:rPr>
                  <w:t>4. Gydytojas periodontologas</w:t>
                </w:r>
              </w:p>
            </w:tc>
            <w:tc>
              <w:tcPr>
                <w:tcW w:w="3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zCs w:val="24"/>
                  </w:rPr>
                </w:pPr>
                <w:r>
                  <w:rPr>
                    <w:color w:val="000000"/>
                    <w:szCs w:val="24"/>
                  </w:rPr>
                  <w:t>4.1. Vietinės aplikacinės, infiltracinės ar laidinės nejautros atlikimas.</w:t>
                </w:r>
              </w:p>
              <w:p>
                <w:pPr>
                  <w:widowControl w:val="0"/>
                  <w:suppressAutoHyphens/>
                  <w:rPr>
                    <w:color w:val="000000"/>
                    <w:szCs w:val="24"/>
                  </w:rPr>
                </w:pPr>
                <w:r>
                  <w:rPr>
                    <w:color w:val="000000"/>
                    <w:szCs w:val="24"/>
                  </w:rPr>
                  <w:t>4.2. Periodontologinės diagnostinės ir gydomosios procedūros (periodonto kišenių, furkacijų zondavimas, minkštųjų audinių įvertinimas, pulpos jautrumo, kraujavimo, perkrūvio testai ir kt.).</w:t>
                </w:r>
              </w:p>
              <w:p>
                <w:pPr>
                  <w:widowControl w:val="0"/>
                  <w:suppressAutoHyphens/>
                  <w:rPr>
                    <w:color w:val="000000"/>
                    <w:szCs w:val="24"/>
                  </w:rPr>
                </w:pPr>
                <w:r>
                  <w:rPr>
                    <w:color w:val="000000"/>
                    <w:szCs w:val="24"/>
                  </w:rPr>
                  <w:t>4.3. Gutaperčios kaiščio įdėjimas į fistulę / kišenę kaulinės kišenės pūlinio lokalizacijai nustatyti.</w:t>
                </w:r>
              </w:p>
              <w:p>
                <w:pPr>
                  <w:widowControl w:val="0"/>
                  <w:suppressAutoHyphens/>
                  <w:rPr>
                    <w:color w:val="000000"/>
                    <w:szCs w:val="24"/>
                  </w:rPr>
                </w:pPr>
                <w:r>
                  <w:rPr>
                    <w:color w:val="000000"/>
                    <w:szCs w:val="24"/>
                  </w:rPr>
                  <w:t>4.4. Nuograndų nuo liežuvio / burnos gleivinės paėmimas.</w:t>
                </w:r>
              </w:p>
              <w:p>
                <w:pPr>
                  <w:widowControl w:val="0"/>
                  <w:suppressAutoHyphens/>
                  <w:rPr>
                    <w:color w:val="000000"/>
                    <w:szCs w:val="24"/>
                  </w:rPr>
                </w:pPr>
                <w:r>
                  <w:rPr>
                    <w:color w:val="000000"/>
                    <w:szCs w:val="24"/>
                  </w:rPr>
                  <w:t>4.5. Periodonto absceso atvėrimas, drenažas, periodonto kišenės išplovimas antiseptiniu tirpalu taikant vietinę nejautrą, pūlinio / pūliavimo, periodonto pažeidimo lokalizacijai nustatyti.</w:t>
                </w:r>
              </w:p>
              <w:p>
                <w:pPr>
                  <w:widowControl w:val="0"/>
                  <w:suppressAutoHyphens/>
                  <w:rPr>
                    <w:color w:val="000000"/>
                    <w:szCs w:val="24"/>
                  </w:rPr>
                </w:pPr>
                <w:r>
                  <w:rPr>
                    <w:color w:val="000000"/>
                    <w:szCs w:val="24"/>
                  </w:rPr>
                  <w:t xml:space="preserve">4.6. Visos būtinos diagnostinės ir gydomosios procedūros vaikams pagal gydytojo periodontologo kompetenciją. </w:t>
                </w:r>
              </w:p>
            </w:tc>
          </w:tr>
          <w:tr>
            <w:trPr>
              <w:trHeight w:val="60"/>
            </w:trPr>
            <w:tc>
              <w:tcPr>
                <w:tcW w:w="112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szCs w:val="24"/>
                  </w:rPr>
                </w:pPr>
                <w:r>
                  <w:rPr>
                    <w:color w:val="000000"/>
                    <w:szCs w:val="24"/>
                  </w:rPr>
                  <w:t>5. Gydytojas burnos chirurgas ir gydytojas burnos, veido ir žandikaulių chirurgas</w:t>
                </w:r>
              </w:p>
            </w:tc>
            <w:tc>
              <w:tcPr>
                <w:tcW w:w="3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zCs w:val="24"/>
                  </w:rPr>
                </w:pPr>
                <w:r>
                  <w:rPr>
                    <w:color w:val="000000"/>
                    <w:szCs w:val="24"/>
                  </w:rPr>
                  <w:t>5.1. Vietinės aplikacinės, infiltracinės ar laidinės nejautros atlikimas.</w:t>
                </w:r>
              </w:p>
              <w:p>
                <w:pPr>
                  <w:widowControl w:val="0"/>
                  <w:suppressAutoHyphens/>
                  <w:rPr>
                    <w:color w:val="000000"/>
                    <w:szCs w:val="24"/>
                  </w:rPr>
                </w:pPr>
                <w:r>
                  <w:rPr>
                    <w:color w:val="000000"/>
                    <w:szCs w:val="24"/>
                  </w:rPr>
                  <w:t>5.2. Nuolatinio danties repozicija, įtvaro uždėjimas esant danties dislokacijai dėl traumos arba esant danties lūžiui.</w:t>
                </w:r>
              </w:p>
              <w:p>
                <w:pPr>
                  <w:widowControl w:val="0"/>
                  <w:suppressAutoHyphens/>
                  <w:rPr>
                    <w:color w:val="000000"/>
                    <w:szCs w:val="24"/>
                  </w:rPr>
                </w:pPr>
                <w:r>
                  <w:rPr>
                    <w:color w:val="000000"/>
                    <w:szCs w:val="24"/>
                  </w:rPr>
                  <w:t>5.3. Veido ir žandikaulių srities kaulų lūžimų pirmosios pagalbos suteikimas.</w:t>
                </w:r>
              </w:p>
              <w:p>
                <w:pPr>
                  <w:widowControl w:val="0"/>
                  <w:suppressAutoHyphens/>
                  <w:rPr>
                    <w:color w:val="000000"/>
                    <w:szCs w:val="24"/>
                  </w:rPr>
                </w:pPr>
                <w:r>
                  <w:rPr>
                    <w:color w:val="000000"/>
                    <w:szCs w:val="24"/>
                  </w:rPr>
                  <w:t>5.4. Veido ir žandikaulių srities žaizdų pirminis chirurginis sutvarkymas.</w:t>
                </w:r>
              </w:p>
              <w:p>
                <w:pPr>
                  <w:widowControl w:val="0"/>
                  <w:suppressAutoHyphens/>
                  <w:rPr>
                    <w:color w:val="000000"/>
                    <w:szCs w:val="24"/>
                  </w:rPr>
                </w:pPr>
                <w:r>
                  <w:rPr>
                    <w:color w:val="000000"/>
                    <w:szCs w:val="24"/>
                  </w:rPr>
                  <w:t>5.5. Veido ir žandikaulių srities uždegimų gydomosios procedūros.</w:t>
                </w:r>
              </w:p>
              <w:p>
                <w:pPr>
                  <w:widowControl w:val="0"/>
                  <w:suppressAutoHyphens/>
                  <w:rPr>
                    <w:color w:val="000000"/>
                    <w:szCs w:val="24"/>
                  </w:rPr>
                </w:pPr>
                <w:r>
                  <w:rPr>
                    <w:color w:val="000000"/>
                    <w:szCs w:val="24"/>
                  </w:rPr>
                  <w:t>5.6. Seilių liaukų patologijos gydomosios procedūros.</w:t>
                </w:r>
              </w:p>
              <w:p>
                <w:pPr>
                  <w:widowControl w:val="0"/>
                  <w:suppressAutoHyphens/>
                  <w:rPr>
                    <w:color w:val="000000"/>
                    <w:szCs w:val="24"/>
                  </w:rPr>
                </w:pPr>
                <w:r>
                  <w:rPr>
                    <w:color w:val="000000"/>
                    <w:szCs w:val="24"/>
                  </w:rPr>
                  <w:t>5.7. Minkštųjų audinių pakitimų citologinis tyrimas.</w:t>
                </w:r>
              </w:p>
              <w:p>
                <w:pPr>
                  <w:widowControl w:val="0"/>
                  <w:suppressAutoHyphens/>
                  <w:rPr>
                    <w:color w:val="000000"/>
                    <w:szCs w:val="24"/>
                  </w:rPr>
                </w:pPr>
                <w:r>
                  <w:rPr>
                    <w:color w:val="000000"/>
                    <w:szCs w:val="24"/>
                  </w:rPr>
                  <w:t>5.8. Kraujavimo stabdymas.</w:t>
                </w:r>
              </w:p>
              <w:p>
                <w:pPr>
                  <w:widowControl w:val="0"/>
                  <w:suppressAutoHyphens/>
                  <w:rPr>
                    <w:color w:val="000000"/>
                    <w:szCs w:val="24"/>
                  </w:rPr>
                </w:pPr>
                <w:r>
                  <w:rPr>
                    <w:color w:val="000000"/>
                    <w:szCs w:val="24"/>
                  </w:rPr>
                  <w:t>5.9. Dantų ir dantų šaknų šalinimo operacijos.</w:t>
                </w:r>
              </w:p>
              <w:p>
                <w:pPr>
                  <w:widowControl w:val="0"/>
                  <w:suppressAutoHyphens/>
                  <w:rPr>
                    <w:color w:val="000000"/>
                    <w:szCs w:val="24"/>
                  </w:rPr>
                </w:pPr>
                <w:r>
                  <w:rPr>
                    <w:color w:val="000000"/>
                    <w:szCs w:val="24"/>
                  </w:rPr>
                  <w:t xml:space="preserve">5.10. Visos būtinos diagnostinės ir gydomosios  procedūros vaikams pagal gydytojo burnos chirurgo ir gydytojo burnos, veido ir žandikaulių chirurgo kompetenciją.</w:t>
                </w:r>
              </w:p>
            </w:tc>
          </w:tr>
          <w:tr>
            <w:trPr>
              <w:trHeight w:val="60"/>
            </w:trPr>
            <w:tc>
              <w:tcPr>
                <w:tcW w:w="112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szCs w:val="24"/>
                  </w:rPr>
                </w:pPr>
                <w:r>
                  <w:rPr>
                    <w:color w:val="000000"/>
                    <w:szCs w:val="24"/>
                  </w:rPr>
                  <w:t>6. Gydytojas vaikų odontologas</w:t>
                </w:r>
              </w:p>
            </w:tc>
            <w:tc>
              <w:tcPr>
                <w:tcW w:w="3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zCs w:val="24"/>
                  </w:rPr>
                </w:pPr>
                <w:r>
                  <w:rPr>
                    <w:color w:val="000000"/>
                    <w:szCs w:val="24"/>
                  </w:rPr>
                  <w:t xml:space="preserve">Visos būtinos diagnostinės ir gydomosios procedūros pagal gydytojo vaikų odontologo kompetenciją. </w:t>
                </w:r>
              </w:p>
            </w:tc>
          </w:tr>
        </w:tbl>
        <w:p>
          <w:pPr>
            <w:widowControl w:val="0"/>
            <w:suppressAutoHyphens/>
            <w:ind w:firstLine="567"/>
            <w:jc w:val="both"/>
            <w:rPr>
              <w:color w:val="000000"/>
              <w:szCs w:val="24"/>
            </w:rPr>
          </w:pPr>
          <w:r>
            <w:rPr>
              <w:color w:val="000000"/>
              <w:szCs w:val="24"/>
            </w:rPr>
            <w:t>* Procedūros atliekamos esant indikacijų.</w:t>
          </w:r>
        </w:p>
        <w:sdt>
          <w:sdtPr>
            <w:alias w:val="pabaiga"/>
            <w:tag w:val="part_b81fe8e0916249bca68a1dbf80c7bcf7"/>
            <w:lock w:val="sdtLocked"/>
            <w:richText/>
          </w:sdtPr>
          <w:sdtContent>
            <w:p>
              <w:pPr>
                <w:widowControl w:val="0"/>
                <w:suppressAutoHyphens/>
                <w:jc w:val="center"/>
                <w:rPr>
                  <w:color w:val="000000"/>
                </w:rPr>
              </w:pPr>
              <w:r>
                <w:rPr>
                  <w:color w:val="000000"/>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ffa5088ff11e8af589337bf1eb893">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2018-07-13,
paskelbta TAR 2018-07-17, i. k. 2018-12085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2d2f4a0897011e6b969d7ae07280e89">
            <w:r w:rsidRPr="00532B9F">
              <w:rPr>
                <w:rFonts w:ascii="Times New Roman" w:eastAsia="MS Mincho" w:hAnsi="Times New Roman"/>
                <w:sz w:val="20"/>
                <w:iCs/>
                <w:color w:val="0000FF" w:themeColor="hyperlink"/>
                <w:u w:val="single"/>
              </w:rPr>
              <w:t>V-1130</w:t>
            </w:r>
          </w:fldSimple>
          <w:r>
            <w:rPr>
              <w:rFonts w:ascii="Times New Roman" w:eastAsia="MS Mincho" w:hAnsi="Times New Roman"/>
              <w:sz w:val="20"/>
              <w:iCs/>
            </w:rPr>
            <w:t>,
2016-09-30,
paskelbta TAR 2016-10-03, i. k. 2016-24436                </w:t>
          </w:r>
        </w:p>
        <w:p>
          <w:pPr>
            <w:jc w:val="both"/>
            <w:rPr>
              <w:rFonts w:ascii="Times New Roman" w:hAnsi="Times New Roman"/>
            </w:rPr>
          </w:pPr>
          <w:r>
            <w:rPr>
              <w:rFonts w:ascii="Times New Roman" w:hAnsi="Times New Roman"/>
              <w:sz w:val="20"/>
            </w:rPr>
            <w:t>Dėl Lietuvos Respublikos sveikatos apsaugos ministro 2012 m. gegužės 28 d. įsakymo Nr. V-462 „Dėl Gydytojo odontologo specialisto konsultacijos teikimo organizavimo ir apmokėjimo už ją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cffa5088ff11e8af589337bf1eb893">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2018-07-13,
paskelbta TAR 2018-07-17, i. k. 2018-12085                </w:t>
          </w:r>
        </w:p>
        <w:p>
          <w:pPr>
            <w:jc w:val="both"/>
            <w:rPr>
              <w:rFonts w:ascii="Times New Roman" w:hAnsi="Times New Roman"/>
            </w:rPr>
          </w:pPr>
          <w:r>
            <w:rPr>
              <w:rFonts w:ascii="Times New Roman" w:hAnsi="Times New Roman"/>
              <w:sz w:val="20"/>
            </w:rPr>
            <w:t>Dėl Lietuvos Respublikos sveikatos apsaugos ministro 2012 m. gegužės 28 d. įsakymo Nr. V-462 „Dėl Gydytojo odontologo specialisto konsultacijos teikimo organizavimo ir apmokėjimo už ją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0638f0881611ed8df094f359a60216">
            <w:r w:rsidRPr="00532B9F">
              <w:rPr>
                <w:rFonts w:ascii="Times New Roman" w:eastAsia="MS Mincho" w:hAnsi="Times New Roman"/>
                <w:sz w:val="20"/>
                <w:iCs/>
                <w:color w:val="0000FF" w:themeColor="hyperlink"/>
                <w:u w:val="single"/>
              </w:rPr>
              <w:t>V-2009</w:t>
            </w:r>
          </w:fldSimple>
          <w:r>
            <w:rPr>
              <w:rFonts w:ascii="Times New Roman" w:eastAsia="MS Mincho" w:hAnsi="Times New Roman"/>
              <w:sz w:val="20"/>
              <w:iCs/>
            </w:rPr>
            <w:t>,
2022-12-30,
paskelbta TAR 2022-12-30, i. k. 2022-27542                </w:t>
          </w:r>
        </w:p>
        <w:p>
          <w:pPr>
            <w:jc w:val="both"/>
            <w:rPr>
              <w:rFonts w:ascii="Times New Roman" w:hAnsi="Times New Roman"/>
            </w:rPr>
          </w:pPr>
          <w:r>
            <w:rPr>
              <w:rFonts w:ascii="Times New Roman" w:hAnsi="Times New Roman"/>
              <w:sz w:val="20"/>
            </w:rPr>
            <w:t>Dėl Lietuvos Respublikos sveikatos apsaugos ministro 2012 m. gegužės 28 d. įsakymo Nr. V-462 „Dėl Gydytojo odontologo ir gydytojo odontologo specialisto konsultacijos teikimo organizavimo ir apmokėjimo už ją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f463e1846111efabdbb4a1fc8b0b63">
            <w:r w:rsidRPr="00532B9F">
              <w:rPr>
                <w:rFonts w:ascii="Times New Roman" w:eastAsia="MS Mincho" w:hAnsi="Times New Roman"/>
                <w:sz w:val="20"/>
                <w:iCs/>
                <w:color w:val="0000FF" w:themeColor="hyperlink"/>
                <w:u w:val="single"/>
              </w:rPr>
              <w:t>V-965</w:t>
            </w:r>
          </w:fldSimple>
          <w:r>
            <w:rPr>
              <w:rFonts w:ascii="Times New Roman" w:eastAsia="MS Mincho" w:hAnsi="Times New Roman"/>
              <w:sz w:val="20"/>
              <w:iCs/>
            </w:rPr>
            <w:t>,
2024-10-07,
paskelbta TAR 2024-10-07, i. k. 2024-17545                </w:t>
          </w:r>
        </w:p>
        <w:p>
          <w:pPr>
            <w:jc w:val="both"/>
            <w:rPr>
              <w:rFonts w:ascii="Times New Roman" w:hAnsi="Times New Roman"/>
            </w:rPr>
          </w:pPr>
          <w:r>
            <w:rPr>
              <w:rFonts w:ascii="Times New Roman" w:hAnsi="Times New Roman"/>
              <w:sz w:val="20"/>
            </w:rPr>
            <w:t>Dėl Lietuvos Respublikos sveikatos apsaugos ministro 2012 m. gegužės 28 d. įsakymo Nr. V-462 „Dėl Gydytojo odontologo ir gydytojo odontologo specialisto konsultacijos teikimo organizavimo ir apmokėjimo už ją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a910f6117f11f0b164e744cdb165f2">
            <w:r w:rsidRPr="00532B9F">
              <w:rPr>
                <w:rFonts w:ascii="Times New Roman" w:eastAsia="MS Mincho" w:hAnsi="Times New Roman"/>
                <w:sz w:val="20"/>
                <w:iCs/>
                <w:color w:val="0000FF" w:themeColor="hyperlink"/>
                <w:u w:val="single"/>
              </w:rPr>
              <w:t>V-297</w:t>
            </w:r>
          </w:fldSimple>
          <w:r>
            <w:rPr>
              <w:rFonts w:ascii="Times New Roman" w:eastAsia="MS Mincho" w:hAnsi="Times New Roman"/>
              <w:sz w:val="20"/>
              <w:iCs/>
            </w:rPr>
            <w:t>,
2025-04-04,
paskelbta TAR 2025-04-07, i. k. 2025-06025                </w:t>
          </w:r>
        </w:p>
        <w:p>
          <w:pPr>
            <w:jc w:val="both"/>
            <w:rPr>
              <w:rFonts w:ascii="Times New Roman" w:hAnsi="Times New Roman"/>
            </w:rPr>
          </w:pPr>
          <w:r>
            <w:rPr>
              <w:rFonts w:ascii="Times New Roman" w:hAnsi="Times New Roman"/>
              <w:sz w:val="20"/>
            </w:rPr>
            <w:t>Dėl Lietuvos Respublikos sveikatos apsaugos ministro 2012 m. gegužės 28 d. įsakymo Nr. V-462 „Dėl Gydytojo odontologo ir gydytojo odontologo specialisto konsultacijos teikimo organizavimo ir apmokėjimo už ją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r>
      <w:rPr>
        <w:sz w:val="22"/>
        <w:szCs w:val="22"/>
      </w:rPr>
      <w:t>2</w:t>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2</w:t>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74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29FC7"/>
  <w15:docId w15:val="{5E72838C-BB07-4E6C-8DD4-2AAD3C5EABD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2.xml"/>
  <Relationship Id="rId13" Type="http://schemas.openxmlformats.org/officeDocument/2006/relationships/footer" Target="footer12.xml"/>
  <Relationship Id="rId14" Type="http://schemas.openxmlformats.org/officeDocument/2006/relationships/header" Target="header16.xml"/>
  <Relationship Id="rId15" Type="http://schemas.openxmlformats.org/officeDocument/2006/relationships/header" Target="header17.xml"/>
  <Relationship Id="rId16" Type="http://schemas.openxmlformats.org/officeDocument/2006/relationships/footer" Target="footer16.xml"/>
  <Relationship Id="rId17" Type="http://schemas.openxmlformats.org/officeDocument/2006/relationships/footer" Target="footer17.xml"/>
  <Relationship Id="rId18" Type="http://schemas.openxmlformats.org/officeDocument/2006/relationships/header" Target="header18.xml"/>
  <Relationship Id="rId19" Type="http://schemas.openxmlformats.org/officeDocument/2006/relationships/footer" Target="footer18.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header" Target="header1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0e5766d8734b749035efa2174170c7" PartId="89a3b57c6e6540718c1f971b27802a66">
    <Part Type="preambule" DocPartId="3b10cadef9024d658baf97874448dca6" PartId="2b04fb60a140462f902e7bf5f50b3b14"/>
    <Part Type="punktas" Nr="1" Abbr="1 p." DocPartId="350347b217d54e7792eb255286a9f956" PartId="50a8d68c846245da91d0c380a4144e1d">
      <Part Type="papunktis" Nr="1.1" Abbr="1.1 pp." DocPartId="e0ff9a2b397c40f0b9aa86261dd4e42b" PartId="c7b4dd89f15245edb86855cd25cf248d"/>
      <Part Type="papunktis" Nr="1.2" Abbr="1.2 pp." DocPartId="f4b4cabc3a004316be6bbbc1ad2786fb" PartId="4b237adc5d53468ea91b9fd6b63ffd12"/>
    </Part>
    <Part Type="punktas" Nr="2" Abbr="2 p." DocPartId="ef04e9b5ca5441c69b2d7447cbaa6c76" PartId="22acdacf061843aabc65f5399e3b4129"/>
    <Part Type="signatura" DocPartId="14c5bef4d8de4d3f937e6ee37efe6d42" PartId="55a6fb91138b4c6c9e281600c5dfd066"/>
  </Part>
  <Part Type="patvirtinta" Title="„GYDYTOJO ODONTOLOGO IR GYDYTOJO ODONTOLOGO SPECIALISTO KONSULTACIJOS TEIKIMO ORGANIZAVIMO IR APMOKĖJIMO UŽ JĄ TVARKOS APRAŠAS“." DocPartId="f74c83c9ffc74ae5b8874521f664cb22" PartId="9542352d22a34178a4cd813c0252c371">
    <Part Type="skyrius" Nr="1" Title="„I SKYRIUS BENDROSIOS NUOSTATOS“." DocPartId="26e6a2757baa46c0bbe558307446ea6b" PartId="8a3752edbd4548f584acbe83b823a00c">
      <Part Type="punktas" Nr="1" Abbr="1 p." DocPartId="80e10053a1f6462695f16d9bd87a4cba" PartId="566600a081694ddea7124845a1104d7c"/>
      <Part Type="punktas" Nr="2" Abbr="2 p." DocPartId="0a5381a74daf4b6f8f50320e02127bbd" PartId="1ae4418ee87c4925a24efa847398ee14"/>
      <Part Type="punktas" Nr="3" Abbr="3 p." DocPartId="9ab6bfae6166416eacbcb7f2011f6449" PartId="f1132a5dd45f473fa9564640c8f62814"/>
      <Part Type="punktas" Nr="3-1" Abbr="3-1 p." DocPartId="da7ea34b7cd34fd6b168a5c9c5dcea75" PartId="089a23db2c724622b9f33bca4060fec0"/>
      <Part Type="punktas" Nr="3-2" Abbr="3-2 p." DocPartId="912ba350c0ca45eb807390d059dbd10e" PartId="b603de2bb7bf4a9e970e2f0a6e75c18c"/>
    </Part>
    <Part Type="skyrius" Nr="2" Title="„II SKYRIUS GYDYTOJO ODONTOLOGO SPECIALISTO KONSULTACIJOS TEIKIMO ORGANIZAVIMO IR MOKĖJIMO UŽ JĄ TVARKA“." DocPartId="fdbbb6ae03af4bfd8ce08dd81ac18a4e" PartId="c579e74c8cea416ba25a98909cbdb37e">
      <Part Type="punktas" Nr="4" Abbr="4 p." DocPartId="e3057d2fc1f64def994211bdfa890afa" PartId="8c0d113c0a2144acb43b13e39ea6df15"/>
      <Part Type="punktas" Nr="5" Abbr="5 p." DocPartId="6cc2c7acc6a84546a5eacdecdcc88852" PartId="c1bf1ebd9b5e418f82b749878da181e9"/>
      <Part Type="punktas" Nr="6" Abbr="6 p." DocPartId="5cd9400abff741c789b2934c4731adff" PartId="c8ad12e783064e25ad8b47bc098a4d55"/>
      <Part Type="punktas" Nr="7" Abbr="7 p." DocPartId="230440c7cffe4dd78cb0f1c99baac5a0" PartId="719bb098ad1b498c9b1f6991024bd900"/>
      <Part Type="punktas" Nr="8" Abbr="8 p." DocPartId="1c60b3bf5519488cbc387ceecfe7529e" PartId="f751ab14dab04260839c7dca7dfcfe51">
        <Part Type="punktas" Nr="8.1" Abbr="8.1 p." DocPartId="6a5d4e52470d43be8fa3a55290ce536e" PartId="7cccac583cd1425db5e3a61583bcf9f6"/>
        <Part Type="punktas" Nr="8.2" Abbr="8.2 p." DocPartId="e16023a47c7941d9adf72f16a6ac8a0b" PartId="a47c94107be2443bbab188cd1120f2ca"/>
        <Part Type="punktas" Nr="8.3" Abbr="8.3 p." DocPartId="79a5bbbe495b496dbbd865b5b324435d" PartId="5bdc2675d4d140a3bd8930fecc77b3ba"/>
      </Part>
      <Part Type="punktas" Nr="9" Abbr="9 p." DocPartId="ef47276c21494f9e8389dbb2d8fa697b" PartId="37d117fefd1645aa97f5eaac12adf516"/>
      <Part Type="punktas" Nr="10" Abbr="10 p." DocPartId="b887b3b070b041f1a1b87a83c5dcdef5" PartId="5d68b42051414e91a6b7386a3e5f4f51"/>
      <Part Type="punktas" Nr="11" Abbr="11 p." DocPartId="c90bcea1d2e04b23bd5905bd1196cc1c" PartId="942655328f7b493c8474dafc0cdd6de0"/>
      <Part Type="punktas" Nr="12" Abbr="12 p." DocPartId="c1677ea6aef74cffacbfe9888da65016" PartId="59ed003a233d4942878b7476a1118011"/>
      <Part Type="punktas" Nr="13" Abbr="13 p." DocPartId="01194c1ae679409987ff755ff768ad12" PartId="cb2c1bc48d42419da4bbd733adf4ad7c"/>
      <Part Type="punktas" Nr="14" Abbr="14 p." DocPartId="370066e85daa47d3a72482af604dcb7b" PartId="0ee22cbc485c4a46907a0f8cad0898b1"/>
      <Part Type="punktas" Nr="15" Abbr="15 p." DocPartId="94d94b44b75148c982ac30e23c53cfcf" PartId="1f3780b0884e4f65af9a9cdc8c0d08d4"/>
      <Part Type="punktas" Nr="16" Abbr="16 p." DocPartId="43c21656ffe44b8ea23a8e11fca9166c" PartId="bb28eb40d4b54351b009e4d58318b3a9"/>
      <Part Type="punktas" Nr="17" Abbr="17 p." DocPartId="ae33be8bf5c74cc4a27212b1a544c71b" PartId="b39f8d6a550245fabf8f2a5b76e4019d"/>
      <Part Type="punktas" Nr="18" Abbr="18 p." DocPartId="5ff50ab6d71b45a0bfd924f0f886a172" PartId="b896595d00874188b33829346c64d58d"/>
      <Part Type="punktas" Nr="19" Abbr="19 p." DocPartId="87de48ee2a7e4a578e5493067e89d626" PartId="eaf16cf9fa5145d5b198c7f58523fe4f"/>
    </Part>
    <Part Type="skyrius" Nr="3" Title="„III SKYRIUS BAIGIAMOSIOS NUOSTATOS“." DocPartId="752efe1581aa470fa52bb65074ae0262" PartId="e0dfd7e4cdc04278ab1c285719da9e95"/>
    <Part Type="pabaiga" DocPartId="37332dff35584b2abe2eb2e1c8a3e1b2" PartId="0af8ba65172a400a8ec5d528b5e1e850"/>
  </Part>
  <Part Type="patvirtinta" Title="GYDYTOJO ODONTOLOGO SPECIALISTO KONSULTACIJOS METU ATLIEKAMŲ ODONTOLOGINIŲ PROCEDŪRŲ, APMOKAMŲ PRIVALOMOJO SVEIKATOS DRAUDIMO FONDO BIUDŽETO LĖŠOMIS, SĄRAŠAS" DocPartId="059878b749564180897cb19a88ae4032" PartId="4e8196d0d77e45cbb0fcd3c8ca385600"/>
  <Part Type="patvirtinta" Title="GYDYTOJO ODONTOLOGO SPECIALISTO KONSULTACIJOS METU ATLIEKAMŲ ODONTOLOGINIŲ PROCEDŪRŲ, APMOKAMŲ PRIVALOMOJO SVEIKATOS DRAUDIMO FONDO BIUDŽETO LĖŠOMIS, SĄRAŠAS" DocPartId="0574faa86ac745a98d29f23d41262cbe" PartId="9b42fd2f16624a1b88e8e87d09de3863">
    <Part Type="pabaiga" DocPartId="3649a634650a4a6fa7091d05b4b2a2d5" PartId="b81fe8e0916249bca68a1dbf80c7bcf7"/>
  </Part>
</Parts>
</file>

<file path=customXml/itemProps1.xml><?xml version="1.0" encoding="utf-8"?>
<ds:datastoreItem xmlns:ds="http://schemas.openxmlformats.org/officeDocument/2006/customXml" ds:itemID="{F47A5199-CE84-4A2B-9F8A-FCB2D3FF0586}">
  <ds:schemaRefs>
    <ds:schemaRef ds:uri="http://lrs.lt/TAIS/DocParts"/>
  </ds:schemaRefs>
</ds:datastoreItem>
</file>

<file path=docProps/app.xml><?xml version="1.0" encoding="utf-8"?>
<Properties xmlns="http://schemas.openxmlformats.org/officeDocument/2006/extended-properties">
  <Template>Normal.dotm</Template>
  <TotalTime>11</TotalTime>
  <Pages>6</Pages>
  <Words>10035</Words>
  <Characters>5721</Characters>
  <Application>Microsoft Office Word</Application>
  <DocSecurity>0</DocSecurity>
  <Lines>47</Lines>
  <Paragraphs>31</Paragraphs>
  <ScaleCrop>false</ScaleCrop>
  <Company/>
  <LinksUpToDate>false</LinksUpToDate>
  <CharactersWithSpaces>15725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2015-09-11T13:54:00Z</dcterms:created>
  <dc:creator>Rima</dc:creator>
  <lastModifiedBy>TAMALIŪNIENĖ Vilija</lastModifiedBy>
  <dcterms:modified xsi:type="dcterms:W3CDTF">2025-04-08T10:30:00Z</dcterms:modified>
  <revision>10</revision>
  <dc:title>LIETUVOS RESPUBLIKOS SVEIKATOS APSAUGOS MINISTRO</dc:title>
</coreProperties>
</file>