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62fce3894e0a4fbc81430a26da2ec7e8"/>
        <w:lock w:val="sdtLocked"/>
        <w:richText/>
      </w:sdtPr>
      <w:sdtContent>
        <w:p>
          <w:pPr>
            <w:jc w:val="both"/>
            <w:rPr>
              <w:rFonts w:ascii="Times New Roman" w:hAnsi="Times New Roman"/>
            </w:rPr>
          </w:pPr>
          <w:r>
            <w:rPr>
              <w:rFonts w:ascii="Times New Roman" w:hAnsi="Times New Roman"/>
              <w:b/>
              <w:i/>
            </w:rPr>
            <w:t>Suvestinė redakcija nuo 2022-06-09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A09EBA1DA34A">
            <w:r w:rsidRPr="00532B9F">
              <w:rPr>
                <w:rFonts w:ascii="Times New Roman" w:eastAsia="MS Mincho" w:hAnsi="Times New Roman"/>
                <w:sz w:val="20"/>
                <w:i/>
                <w:iCs/>
                <w:color w:val="0000FF" w:themeColor="hyperlink"/>
                <w:u w:val="single"/>
              </w:rPr>
              <w:t>55-2741</w:t>
            </w:r>
          </w:fldSimple>
          <w:r>
            <w:rPr>
              <w:rFonts w:ascii="Times New Roman" w:eastAsia="MS Mincho" w:hAnsi="Times New Roman"/>
              <w:sz w:val="20"/>
              <w:i/>
              <w:iCs/>
            </w:rPr>
            <w:t>, i. k. 1122330ISAK0/D1-401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2022-06-09:</w:t>
          </w:r>
        </w:p>
        <w:p>
          <w:pPr>
            <w:rPr>
              <w:rFonts w:ascii="Times New Roman" w:hAnsi="Times New Roman"/>
              <w:sz w:val="20"/>
              <w:i/>
            </w:rPr>
          </w:pPr>
          <w:r>
            <w:rPr>
              <w:rFonts w:ascii="Times New Roman" w:hAnsi="Times New Roman"/>
              <w:sz w:val="20"/>
              <w:i/>
            </w:rPr>
            <w:t xml:space="preserve">Nr. </w:t>
          </w:r>
          <w:fldSimple w:instr="HYPERLINK https://www.e-tar.lt/portal/legalAct.html?documentId=4da90bc0e62711ecb369fde863feb27d">
            <w:r w:rsidRPr="00532B9F">
              <w:rPr>
                <w:rFonts w:ascii="Times New Roman" w:eastAsia="MS Mincho" w:hAnsi="Times New Roman"/>
                <w:sz w:val="20"/>
                <w:i/>
                <w:iCs/>
                <w:color w:val="0000FF" w:themeColor="hyperlink"/>
                <w:u w:val="single"/>
              </w:rPr>
              <w:t>3D-385/D1-166</w:t>
            </w:r>
          </w:fldSimple>
          <w:r>
            <w:rPr>
              <w:rFonts w:ascii="Times New Roman" w:eastAsia="MS Mincho" w:hAnsi="Times New Roman"/>
              <w:sz w:val="20"/>
              <w:i/>
              <w:iCs/>
            </w:rPr>
            <w:t>,
2022-06-07,
paskelbta TAR 2022-06-08, i. k. 2022-12357                </w:t>
          </w:r>
        </w:p>
        <w:p>
          <w:pPr>
            <w:rPr>
              <w:rFonts w:ascii="Times New Roman" w:hAnsi="Times New Roman"/>
              <w:sz w:val="22"/>
            </w:rPr>
          </w:pPr>
        </w:p>
        <w:p>
          <w:pPr>
            <w:jc w:val="center"/>
            <w:rPr>
              <w:b/>
              <w:bCs/>
              <w:szCs w:val="24"/>
              <w:lang w:val="en-US" w:eastAsia="lt-LT"/>
            </w:rPr>
          </w:pPr>
          <w:r>
            <w:rPr>
              <w:b/>
              <w:bCs/>
              <w:color w:val="000000"/>
              <w:szCs w:val="24"/>
              <w:lang w:eastAsia="lt-LT"/>
            </w:rPr>
            <w:t>LIETUVOS RESPUBLIKOS ŽEMĖS ŪKIO MINISTRAS</w:t>
          </w:r>
        </w:p>
        <w:p>
          <w:pPr>
            <w:jc w:val="center"/>
            <w:rPr>
              <w:b/>
              <w:bCs/>
              <w:color w:val="000000"/>
              <w:szCs w:val="24"/>
              <w:lang w:eastAsia="lt-LT"/>
            </w:rPr>
          </w:pPr>
        </w:p>
        <w:p>
          <w:pPr>
            <w:jc w:val="center"/>
            <w:rPr>
              <w:b/>
              <w:bCs/>
              <w:szCs w:val="24"/>
              <w:lang w:eastAsia="lt-LT"/>
            </w:rPr>
          </w:pPr>
          <w:r>
            <w:rPr>
              <w:b/>
              <w:bCs/>
              <w:color w:val="000000"/>
              <w:szCs w:val="24"/>
              <w:lang w:eastAsia="lt-LT"/>
            </w:rPr>
            <w:t>LIETUVOS RESPUBLIKOS APLINKOS MINISTRAS</w:t>
          </w:r>
        </w:p>
        <w:p>
          <w:pPr>
            <w:overflowPunct w:val="0"/>
            <w:jc w:val="center"/>
            <w:textAlignment w:val="baseline"/>
            <w:rPr>
              <w:b/>
              <w:bCs/>
              <w:szCs w:val="24"/>
            </w:rPr>
          </w:pPr>
        </w:p>
        <w:p>
          <w:pPr>
            <w:overflowPunct w:val="0"/>
            <w:jc w:val="center"/>
            <w:textAlignment w:val="baseline"/>
            <w:rPr>
              <w:b/>
              <w:bCs/>
              <w:szCs w:val="24"/>
            </w:rPr>
          </w:pPr>
          <w:r>
            <w:rPr>
              <w:b/>
              <w:bCs/>
              <w:szCs w:val="24"/>
            </w:rPr>
            <w:t>ĮSAKYMAS</w:t>
          </w:r>
        </w:p>
        <w:sdt>
          <w:sdtPr>
            <w:alias w:val="Pavadinimas"/>
            <w:tag w:val="title_62fce3894e0a4fbc81430a26da2ec7e8"/>
            <w:lock w:val="sdtLocked"/>
            <w:richText/>
          </w:sdtPr>
          <w:sdtContent>
            <w:p>
              <w:pPr>
                <w:jc w:val="center"/>
                <w:rPr>
                  <w:szCs w:val="24"/>
                  <w:lang w:eastAsia="lt-LT"/>
                </w:rPr>
              </w:pPr>
              <w:r>
                <w:rPr>
                  <w:b/>
                  <w:bCs/>
                  <w:caps/>
                  <w:color w:val="000000"/>
                  <w:szCs w:val="24"/>
                  <w:lang w:eastAsia="lt-LT"/>
                </w:rPr>
                <w:t xml:space="preserve">DĖL AŠTRIAŠNIPIŲ ERŠKETŲ POPULIACIJOS ATKŪRIMO LIETUVOJE </w:t>
                <w:br/>
                <w:t>2022–2026 METAIS PROGRAMOS PATVIRTINIMO</w:t>
              </w:r>
            </w:p>
          </w:sdtContent>
        </w:sdt>
        <w:p>
          <w:pPr>
            <w:ind w:firstLine="629"/>
            <w:jc w:val="both"/>
          </w:pPr>
        </w:p>
        <w:p>
          <w:pPr>
            <w:jc w:val="center"/>
            <w:rPr>
              <w:szCs w:val="24"/>
              <w:lang w:eastAsia="lt-LT"/>
            </w:rPr>
          </w:pPr>
          <w:r>
            <w:rPr>
              <w:szCs w:val="24"/>
              <w:lang w:eastAsia="lt-LT"/>
            </w:rPr>
            <w:t>2012 m. gegužės 8 d. Nr. 3D-330/D1-401</w:t>
          </w:r>
        </w:p>
        <w:p>
          <w:pPr>
            <w:jc w:val="center"/>
            <w:rPr>
              <w:szCs w:val="24"/>
              <w:lang w:eastAsia="lt-LT"/>
            </w:rPr>
          </w:pPr>
          <w:r>
            <w:rPr>
              <w:szCs w:val="24"/>
              <w:lang w:eastAsia="lt-LT"/>
            </w:rPr>
            <w:t>Vilnius</w:t>
          </w:r>
        </w:p>
        <w:p>
          <w:pPr>
            <w:jc w:val="center"/>
            <w:rPr>
              <w:szCs w:val="24"/>
              <w:lang w:eastAsia="lt-LT"/>
            </w:rPr>
          </w:pPr>
        </w:p>
        <w:p>
          <w:pPr>
            <w:jc w:val="both"/>
            <w:rPr>
              <w:szCs w:val="24"/>
              <w:lang w:eastAsia="lt-LT"/>
            </w:rPr>
          </w:pPr>
        </w:p>
        <w:sdt>
          <w:sdtPr>
            <w:alias w:val="preambule"/>
            <w:tag w:val="part_c77074b021e8425090819d55ce3c881f"/>
            <w:lock w:val="sdtLocked"/>
            <w:richText/>
          </w:sdtPr>
          <w:sdtContent>
            <w:p>
              <w:pPr>
                <w:spacing w:line="360" w:lineRule="auto"/>
                <w:ind w:firstLine="567"/>
                <w:jc w:val="both"/>
                <w:textAlignment w:val="center"/>
                <w:rPr>
                  <w:szCs w:val="24"/>
                  <w:lang w:eastAsia="lt-LT"/>
                </w:rPr>
              </w:pPr>
              <w:r>
                <w:rPr>
                  <w:color w:val="000000"/>
                  <w:spacing w:val="-6"/>
                  <w:szCs w:val="24"/>
                  <w:lang w:eastAsia="lt-LT"/>
                </w:rPr>
                <w:t>Vadovaudamiesi Lietuvos Respublikos žuvininkystės įstatymo</w:t>
              </w:r>
              <w:r>
                <w:rPr>
                  <w:color w:val="000000"/>
                  <w:szCs w:val="24"/>
                  <w:lang w:eastAsia="lt-LT"/>
                </w:rPr>
                <w:t xml:space="preserve"> 3 straipsnio 1 dalies 3 punktu, 22 straipsnio 2 dalimi ir 23 straipsnio 1 dalimi, atsižvelgdami į tai, kad aštriašnipiai eršketai įrašyti į Lietuvos Respublikos saugomų gyvūnų, augalų ir grybų rūšių sąrašą, patvirtintą Lietuvos Respublikos aplinkos ministro 2003 m. spalio 13 d. įsakymu Nr. 504 „Dėl Lietuvos Respublikos saugomų gyvūnų, augalų ir grybų rūšių sąrašo patvirtinimo“, į </w:t>
              </w:r>
              <w:r>
                <w:t>2019 metais Helsinkio komisijos patvirtintą Aštriašnipių eršketų (</w:t>
              </w:r>
              <w:r>
                <w:rPr>
                  <w:i/>
                  <w:iCs/>
                </w:rPr>
                <w:t>Acipenser oxyrinchus</w:t>
              </w:r>
              <w:r>
                <w:t>) išteklių išsaugojimo ir atkūrimo planą 2019–2029 metams</w:t>
              </w:r>
              <w:r>
                <w:rPr>
                  <w:color w:val="000000"/>
                  <w:szCs w:val="24"/>
                  <w:lang w:eastAsia="lt-LT"/>
                </w:rPr>
                <w:t xml:space="preserve"> ir įvertindami šios žuvų rūšies išteklių atkūrimo bei išsaugojimo Lietuvoje svarbą:</w:t>
              </w:r>
              <w:r>
                <w:rPr>
                  <w:szCs w:val="24"/>
                  <w:lang w:eastAsia="lt-LT"/>
                </w:rPr>
                <w:t xml:space="preserve"> </w:t>
              </w:r>
            </w:p>
          </w:sdtContent>
        </w:sdt>
        <w:sdt>
          <w:sdtPr>
            <w:alias w:val="1 p."/>
            <w:tag w:val="part_d73b7108d273487ebf2afa74fa601dc0"/>
            <w:lock w:val="sdtLocked"/>
            <w:richText/>
          </w:sdtPr>
          <w:sdtContent>
            <w:p>
              <w:pPr>
                <w:spacing w:line="360" w:lineRule="auto"/>
                <w:ind w:firstLine="567"/>
                <w:jc w:val="both"/>
                <w:textAlignment w:val="center"/>
                <w:rPr>
                  <w:szCs w:val="24"/>
                  <w:lang w:val="en-US" w:eastAsia="lt-LT"/>
                </w:rPr>
              </w:pPr>
              <w:sdt>
                <w:sdtPr>
                  <w:alias w:val="Numeris"/>
                  <w:tag w:val="nr_d73b7108d273487ebf2afa74fa601dc0"/>
                  <w:lock w:val="sdtLocked"/>
                  <w:richText/>
                </w:sdtPr>
                <w:sdtContent>
                  <w:r>
                    <w:rPr>
                      <w:spacing w:val="-2"/>
                      <w:szCs w:val="24"/>
                      <w:lang w:eastAsia="lt-LT"/>
                    </w:rPr>
                    <w:t>1</w:t>
                  </w:r>
                </w:sdtContent>
              </w:sdt>
              <w:r>
                <w:rPr>
                  <w:spacing w:val="-2"/>
                  <w:szCs w:val="24"/>
                  <w:lang w:eastAsia="lt-LT"/>
                </w:rPr>
                <w:t>. T v i r t i n a m e</w:t>
              </w:r>
              <w:r>
                <w:rPr>
                  <w:szCs w:val="24"/>
                  <w:lang w:eastAsia="lt-LT"/>
                </w:rPr>
                <w:t xml:space="preserve"> Aštriašnipių eršketų populiacijos atkūrimo Lietuvoje 2022–2026 metais programą (pridedama).</w:t>
              </w:r>
            </w:p>
          </w:sdtContent>
        </w:sdt>
        <w:sdt>
          <w:sdtPr>
            <w:alias w:val="2 p."/>
            <w:tag w:val="part_ebc4ca4893ef4cb8af20fad88bca3c61"/>
            <w:lock w:val="sdtLocked"/>
            <w:richText/>
          </w:sdtPr>
          <w:sdtContent>
            <w:p>
              <w:pPr>
                <w:overflowPunct w:val="0"/>
                <w:spacing w:line="360" w:lineRule="auto"/>
                <w:ind w:firstLine="567"/>
                <w:jc w:val="both"/>
                <w:textAlignment w:val="center"/>
              </w:pPr>
              <w:sdt>
                <w:sdtPr>
                  <w:alias w:val="Numeris"/>
                  <w:tag w:val="nr_ebc4ca4893ef4cb8af20fad88bca3c61"/>
                  <w:lock w:val="sdtLocked"/>
                  <w:richText/>
                </w:sdtPr>
                <w:sdtContent>
                  <w:r>
                    <w:rPr>
                      <w:szCs w:val="24"/>
                      <w:lang w:eastAsia="lt-LT"/>
                    </w:rPr>
                    <w:t>2</w:t>
                  </w:r>
                </w:sdtContent>
              </w:sdt>
              <w:r>
                <w:rPr>
                  <w:szCs w:val="24"/>
                  <w:lang w:eastAsia="lt-LT"/>
                </w:rPr>
                <w:t xml:space="preserve">. </w:t>
              </w:r>
              <w:r>
                <w:t xml:space="preserve">S u d a r o m e Aštriašnipių eršketų populiacijos atkūrimo Lietuvoje 2022–2026 </w:t>
              </w:r>
              <w:r>
                <w:rPr>
                  <w:color w:val="000000"/>
                </w:rPr>
                <w:t>metais programos įgyvendinimo priežiūros grupę (toliau – Priežiūros grupė):</w:t>
              </w:r>
            </w:p>
            <w:p>
              <w:pPr>
                <w:overflowPunct w:val="0"/>
                <w:spacing w:line="360" w:lineRule="auto"/>
                <w:ind w:firstLine="567"/>
                <w:jc w:val="both"/>
                <w:textAlignment w:val="baseline"/>
              </w:pPr>
              <w:r>
                <w:rPr>
                  <w:szCs w:val="24"/>
                </w:rPr>
                <w:t xml:space="preserve">Tomas Keršys – </w:t>
              </w:r>
              <w:r>
                <w:rPr>
                  <w:color w:val="000000"/>
                </w:rPr>
                <w:t>Lietuvos Respublikos žemės ūkio ministerijos Žuvininkystės skyriaus</w:t>
              </w:r>
              <w:r>
                <w:t xml:space="preserve"> </w:t>
              </w:r>
              <w:r>
                <w:rPr>
                  <w:color w:val="000000"/>
                </w:rPr>
                <w:t xml:space="preserve">(toliau – Žuvininkystės skyrius) </w:t>
              </w:r>
              <w:r>
                <w:rPr>
                  <w:szCs w:val="24"/>
                </w:rPr>
                <w:t xml:space="preserve">patarėjas, atliekantis skyriaus vedėjo funkcijas, </w:t>
              </w:r>
              <w:r>
                <w:rPr>
                  <w:color w:val="000000"/>
                </w:rPr>
                <w:t xml:space="preserve">Priežiūros grupės </w:t>
              </w:r>
              <w:r>
                <w:t>vadovas;</w:t>
              </w:r>
            </w:p>
            <w:p>
              <w:pPr>
                <w:overflowPunct w:val="0"/>
                <w:spacing w:line="360" w:lineRule="auto"/>
                <w:ind w:firstLine="567"/>
                <w:jc w:val="both"/>
                <w:textAlignment w:val="center"/>
              </w:pPr>
              <w:r>
                <w:t xml:space="preserve">Justas Poviliūnas – Žuvininkystės tarnybos prie Lietuvos Respublikos žemės ūkio ministerijos (toliau – Žuvininkystės tarnyba) Žuvivaisos  departamento direktorius, Priežiūros grupės vadovo pavaduotojas; </w:t>
              </w:r>
            </w:p>
            <w:p>
              <w:pPr>
                <w:overflowPunct w:val="0"/>
                <w:spacing w:line="360" w:lineRule="auto"/>
                <w:ind w:firstLine="567"/>
                <w:jc w:val="both"/>
                <w:textAlignment w:val="center"/>
              </w:pPr>
              <w:r>
                <w:t xml:space="preserve">Valdas Gečys – Žuvininkystės tarnybos Žuvų </w:t>
              </w:r>
              <w:r>
                <w:rPr>
                  <w:color w:val="000000"/>
                </w:rPr>
                <w:t>išteklių atkūrimo skyriaus vedėjas;</w:t>
              </w:r>
            </w:p>
            <w:p>
              <w:pPr>
                <w:overflowPunct w:val="0"/>
                <w:spacing w:line="360" w:lineRule="auto"/>
                <w:ind w:firstLine="567"/>
                <w:jc w:val="both"/>
                <w:textAlignment w:val="center"/>
              </w:pPr>
              <w:r>
                <w:rPr>
                  <w:color w:val="000000"/>
                </w:rPr>
                <w:t xml:space="preserve">Vilmantas Graičiūnas – Lietuvos Respublikos aplinkos ministerijos </w:t>
              </w:r>
              <w:r>
                <w:t>Gamtos apsaugos politikos grupės vyresnysis patarėjas</w:t>
              </w:r>
              <w:r>
                <w:rPr>
                  <w:color w:val="000000"/>
                </w:rPr>
                <w:t xml:space="preserve">; </w:t>
              </w:r>
            </w:p>
            <w:p>
              <w:pPr>
                <w:overflowPunct w:val="0"/>
                <w:spacing w:line="360" w:lineRule="auto"/>
                <w:ind w:firstLine="567"/>
                <w:jc w:val="both"/>
                <w:textAlignment w:val="baseline"/>
              </w:pPr>
              <w:r>
                <w:rPr>
                  <w:color w:val="000000"/>
                </w:rPr>
                <w:t xml:space="preserve">Tomas Kazlauskas – Žuvininkystės tarnybos direktorius; </w:t>
              </w:r>
            </w:p>
            <w:p>
              <w:pPr>
                <w:overflowPunct w:val="0"/>
                <w:spacing w:line="360" w:lineRule="auto"/>
                <w:ind w:firstLine="567"/>
                <w:jc w:val="both"/>
                <w:textAlignment w:val="center"/>
                <w:rPr>
                  <w:color w:val="000000"/>
                </w:rPr>
              </w:pPr>
              <w:r>
                <w:rPr>
                  <w:color w:val="000000"/>
                  <w:spacing w:val="-4"/>
                </w:rPr>
                <w:t xml:space="preserve">Vytautas Kesminas – Gamtos tyrimų centro Ekologijos instituto </w:t>
              </w:r>
              <w:r>
                <w:rPr>
                  <w:color w:val="000000"/>
                </w:rPr>
                <w:t>Žuvų ekologijos laboratorijos vyresnysis mokslo darbuotojas;</w:t>
              </w:r>
            </w:p>
            <w:p>
              <w:pPr>
                <w:overflowPunct w:val="0"/>
                <w:spacing w:line="360" w:lineRule="auto"/>
                <w:ind w:firstLine="567"/>
                <w:jc w:val="both"/>
                <w:textAlignment w:val="center"/>
              </w:pPr>
              <w:r>
                <w:rPr>
                  <w:color w:val="000000"/>
                </w:rPr>
                <w:t xml:space="preserve">Linas Ložys – </w:t>
              </w:r>
              <w:r>
                <w:rPr>
                  <w:color w:val="000000"/>
                  <w:spacing w:val="-4"/>
                </w:rPr>
                <w:t xml:space="preserve">Gamtos tyrimų centro Ekologijos instituto </w:t>
              </w:r>
              <w:r>
                <w:rPr>
                  <w:color w:val="000000"/>
                </w:rPr>
                <w:t>Žuvų ekologijos laboratorijos vadovas, vyriausiasis mokslo darbuotojas;</w:t>
              </w:r>
            </w:p>
            <w:p>
              <w:pPr>
                <w:overflowPunct w:val="0"/>
                <w:spacing w:line="360" w:lineRule="auto"/>
                <w:ind w:firstLine="567"/>
                <w:jc w:val="both"/>
                <w:textAlignment w:val="center"/>
                <w:rPr>
                  <w:color w:val="000000"/>
                  <w:spacing w:val="-6"/>
                </w:rPr>
              </w:pPr>
              <w:r>
                <w:t>Jonas Pašukonis – Valstybinės saugomų teritorijų tarnybos prie A</w:t>
              </w:r>
              <w:r>
                <w:rPr>
                  <w:color w:val="000000"/>
                </w:rPr>
                <w:t xml:space="preserve">plinkos ministerijos </w:t>
              </w:r>
              <w:r>
                <w:t>Biologinės įvairovės skyriaus vyriausiasis specialistas</w:t>
              </w:r>
              <w:r>
                <w:rPr>
                  <w:color w:val="000000"/>
                  <w:spacing w:val="-6"/>
                </w:rPr>
                <w:t>;</w:t>
              </w:r>
            </w:p>
            <w:p>
              <w:pPr>
                <w:overflowPunct w:val="0"/>
                <w:spacing w:line="360" w:lineRule="auto"/>
                <w:ind w:firstLine="567"/>
                <w:jc w:val="both"/>
                <w:textAlignment w:val="baseline"/>
              </w:pPr>
              <w:r>
                <w:rPr>
                  <w:color w:val="000000"/>
                </w:rPr>
                <w:t>Laima Vaitonytė – Žuvininkystės skyriaus vyriausioji specialistė.</w:t>
              </w:r>
            </w:p>
          </w:sdtContent>
        </w:sdt>
        <w:sdt>
          <w:sdtPr>
            <w:alias w:val="3 p."/>
            <w:tag w:val="part_34c671ae0de54e90bb5f29d70ca6ad79"/>
            <w:lock w:val="sdtLocked"/>
            <w:richText/>
          </w:sdtPr>
          <w:sdtContent>
            <w:p>
              <w:pPr>
                <w:spacing w:line="360" w:lineRule="auto"/>
                <w:ind w:firstLine="567"/>
                <w:jc w:val="both"/>
                <w:rPr>
                  <w:szCs w:val="24"/>
                  <w:lang w:eastAsia="lt-LT"/>
                </w:rPr>
              </w:pPr>
              <w:sdt>
                <w:sdtPr>
                  <w:alias w:val="Numeris"/>
                  <w:tag w:val="nr_34c671ae0de54e90bb5f29d70ca6ad79"/>
                  <w:lock w:val="sdtLocked"/>
                  <w:richText/>
                </w:sdtPr>
                <w:sdtContent>
                  <w:r>
                    <w:rPr>
                      <w:szCs w:val="24"/>
                      <w:lang w:eastAsia="lt-LT"/>
                    </w:rPr>
                    <w:t>3</w:t>
                  </w:r>
                </w:sdtContent>
              </w:sdt>
              <w:r>
                <w:rPr>
                  <w:szCs w:val="24"/>
                  <w:lang w:eastAsia="lt-LT"/>
                </w:rPr>
                <w:t xml:space="preserve">. P a v e d a m e  Priežiūros grupei koordinuoti Aštriašnipių eršketų populiacijos atkūrimo Lietuvoje 2022–2026 metais programoje numatytų priemonių įgyvendinimą ir prireikus teikti pasiūlymus žemės ūkio ir aplinkos ministrams</w:t>
              </w:r>
              <w:r>
                <w:rPr>
                  <w:b/>
                  <w:bCs/>
                  <w:szCs w:val="24"/>
                  <w:lang w:eastAsia="lt-LT"/>
                </w:rPr>
                <w:t xml:space="preserve"> </w:t>
              </w:r>
              <w:r>
                <w:rPr>
                  <w:szCs w:val="24"/>
                  <w:lang w:eastAsia="lt-LT"/>
                </w:rPr>
                <w:t xml:space="preserve"> dėl šios programos priemonių ir jų įgyvendinimo. </w:t>
              </w:r>
            </w:p>
          </w:sdtContent>
        </w:sdt>
        <w:sdt>
          <w:sdtPr>
            <w:alias w:val="4 p."/>
            <w:tag w:val="part_cee988e6de8a451aa702e5fb8c861975"/>
            <w:lock w:val="sdtLocked"/>
            <w:richText/>
          </w:sdtPr>
          <w:sdtContent>
            <w:p>
              <w:pPr>
                <w:spacing w:line="360" w:lineRule="auto"/>
                <w:ind w:firstLine="567"/>
                <w:jc w:val="both"/>
              </w:pPr>
              <w:sdt>
                <w:sdtPr>
                  <w:alias w:val="Numeris"/>
                  <w:tag w:val="nr_cee988e6de8a451aa702e5fb8c861975"/>
                  <w:lock w:val="sdtLocked"/>
                  <w:richText/>
                </w:sdtPr>
                <w:sdtContent>
                  <w:r>
                    <w:t>4</w:t>
                  </w:r>
                </w:sdtContent>
              </w:sdt>
              <w:r>
                <w:t xml:space="preserve">. N u s t a t o m e,  kad Priežiūros grupės posėdžiuose</w:t>
              </w:r>
              <w:r>
                <w:rPr>
                  <w:spacing w:val="-2"/>
                  <w:szCs w:val="24"/>
                  <w:lang w:eastAsia="lt-LT"/>
                </w:rPr>
                <w:t xml:space="preserve"> gali dalyvauti kviečiami ekspertai ir kitų institucijų, </w:t>
              </w:r>
              <w:r>
                <w:t>įmonių bei organizacijų</w:t>
              </w:r>
              <w:r>
                <w:rPr>
                  <w:spacing w:val="-2"/>
                  <w:szCs w:val="24"/>
                  <w:lang w:eastAsia="lt-LT"/>
                </w:rPr>
                <w:t xml:space="preserve"> atstovai.</w:t>
              </w:r>
            </w:p>
          </w:sdtContent>
        </w:sdt>
        <w:sdt>
          <w:sdtPr>
            <w:alias w:val="signatura"/>
            <w:tag w:val="part_f9aab95f19b746328a8a6c08ec62768f"/>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pPr>
              <w:r>
                <w:rPr>
                  <w:caps/>
                  <w:color w:val="000000"/>
                </w:rPr>
                <w:t>Aplinkos ministras</w:t>
                <w:tab/>
                <w:t>Gediminas Kazlauskas</w:t>
              </w:r>
            </w:p>
          </w:sdtContent>
        </w:sdt>
        <w:p/>
      </w:sdtContent>
    </w:sdt>
    <w:sdt>
      <w:sdtPr>
        <w:alias w:val="patvirtinta"/>
        <w:tag w:val="part_632cf0379f4640b7aba057a1420c836c"/>
        <w:lock w:val="sdtLocked"/>
        <w:richText/>
      </w:sdtPr>
      <w:sdtContent>
        <w:p>
          <w:pPr>
            <w:overflowPunct w:val="0"/>
            <w:ind w:left="4111"/>
            <w:jc w:val="both"/>
            <w:textAlignment w:val="baseline"/>
            <w:sectPr>
              <w:headerReference w:type="even" r:id="rId16"/>
              <w:headerReference w:type="default" r:id="rId17"/>
              <w:footerReference w:type="even" r:id="rId18"/>
              <w:footerReference w:type="default" r:id="rId19"/>
              <w:footerReference w:type="first" r:id="rId20"/>
              <w:pgSz w:w="11907" w:h="16840"/>
              <w:pgMar w:top="1701" w:right="567" w:bottom="1134" w:left="1701" w:header="567" w:footer="567" w:gutter="0"/>
              <w:pgNumType w:start="1"/>
              <w:cols w:space="1296"/>
              <w:titlePg/>
              <w:docGrid w:linePitch="326"/>
            </w:sectPr>
          </w:pPr>
        </w:p>
        <w:p>
          <w:pPr>
            <w:overflowPunct w:val="0"/>
            <w:ind w:left="4111"/>
            <w:jc w:val="both"/>
            <w:textAlignment w:val="baseline"/>
            <w:rPr>
              <w:lang w:eastAsia="lt-LT"/>
            </w:rPr>
          </w:pPr>
          <w:r>
            <w:rPr>
              <w:color w:val="000000"/>
            </w:rPr>
            <w:t>PATVIRTINTA</w:t>
          </w:r>
        </w:p>
        <w:p>
          <w:pPr>
            <w:overflowPunct w:val="0"/>
            <w:ind w:left="4111"/>
            <w:jc w:val="both"/>
            <w:textAlignment w:val="baseline"/>
            <w:rPr>
              <w:color w:val="000000"/>
              <w:szCs w:val="24"/>
              <w:lang w:eastAsia="lt-LT"/>
            </w:rPr>
          </w:pPr>
          <w:r>
            <w:rPr>
              <w:color w:val="000000"/>
              <w:szCs w:val="24"/>
              <w:lang w:eastAsia="lt-LT"/>
            </w:rPr>
            <w:t xml:space="preserve">Lietuvos Respublikos žemės ūkio ministro ir </w:t>
          </w:r>
        </w:p>
        <w:p>
          <w:pPr>
            <w:overflowPunct w:val="0"/>
            <w:ind w:left="4111"/>
            <w:jc w:val="both"/>
            <w:textAlignment w:val="baseline"/>
            <w:rPr>
              <w:color w:val="000000"/>
              <w:szCs w:val="24"/>
              <w:lang w:eastAsia="lt-LT"/>
            </w:rPr>
          </w:pPr>
          <w:r>
            <w:rPr>
              <w:color w:val="000000"/>
              <w:szCs w:val="24"/>
              <w:lang w:eastAsia="lt-LT"/>
            </w:rPr>
            <w:t xml:space="preserve">Lietuvos Respublikos aplinkos ministro </w:t>
          </w:r>
        </w:p>
        <w:p>
          <w:pPr>
            <w:overflowPunct w:val="0"/>
            <w:ind w:left="4111"/>
            <w:jc w:val="both"/>
            <w:textAlignment w:val="baseline"/>
            <w:rPr>
              <w:color w:val="000000"/>
            </w:rPr>
          </w:pPr>
          <w:r>
            <w:rPr>
              <w:color w:val="000000"/>
              <w:szCs w:val="24"/>
              <w:lang w:eastAsia="lt-LT"/>
            </w:rPr>
            <w:t>2012 m. gegužės 8 d. įsakymu Nr. 3D-330/D1-401</w:t>
          </w:r>
        </w:p>
        <w:p>
          <w:pPr>
            <w:overflowPunct w:val="0"/>
            <w:ind w:left="4111"/>
            <w:jc w:val="both"/>
            <w:textAlignment w:val="baseline"/>
          </w:pPr>
          <w:r>
            <w:rPr>
              <w:color w:val="000000"/>
            </w:rPr>
            <w:t xml:space="preserve">(Lietuvos Respublikos žemės ūkio ministro ir </w:t>
          </w:r>
        </w:p>
        <w:p>
          <w:pPr>
            <w:overflowPunct w:val="0"/>
            <w:ind w:left="4111"/>
            <w:jc w:val="both"/>
            <w:textAlignment w:val="baseline"/>
          </w:pPr>
          <w:r>
            <w:rPr>
              <w:color w:val="000000"/>
            </w:rPr>
            <w:t xml:space="preserve">Lietuvos Respublikos aplinkos ministro </w:t>
          </w:r>
        </w:p>
        <w:p>
          <w:pPr>
            <w:overflowPunct w:val="0"/>
            <w:ind w:left="4111"/>
            <w:jc w:val="both"/>
            <w:textAlignment w:val="baseline"/>
          </w:pPr>
          <w:r>
            <w:rPr>
              <w:color w:val="000000"/>
            </w:rPr>
            <w:t xml:space="preserve">2022 m. birželio 7 d. </w:t>
          </w:r>
        </w:p>
        <w:p>
          <w:pPr>
            <w:overflowPunct w:val="0"/>
            <w:ind w:left="4111"/>
            <w:jc w:val="both"/>
            <w:textAlignment w:val="baseline"/>
          </w:pPr>
          <w:r>
            <w:rPr>
              <w:color w:val="000000"/>
            </w:rPr>
            <w:t>įsakymo Nr. 3D-385/D1-166 redakcija)</w:t>
          </w:r>
        </w:p>
        <w:p>
          <w:pPr>
            <w:ind w:firstLine="629"/>
            <w:jc w:val="both"/>
            <w:rPr>
              <w:szCs w:val="24"/>
              <w:lang w:val="en-US" w:eastAsia="lt-LT"/>
            </w:rPr>
          </w:pPr>
        </w:p>
        <w:sdt>
          <w:sdtPr>
            <w:alias w:val="Pavadinimas"/>
            <w:tag w:val="title_632cf0379f4640b7aba057a1420c836c"/>
            <w:lock w:val="sdtLocked"/>
            <w:richText/>
          </w:sdtPr>
          <w:sdtContent>
            <w:p>
              <w:pPr>
                <w:jc w:val="center"/>
                <w:rPr>
                  <w:szCs w:val="24"/>
                  <w:lang w:val="en-US" w:eastAsia="lt-LT"/>
                </w:rPr>
              </w:pPr>
              <w:r>
                <w:rPr>
                  <w:b/>
                  <w:bCs/>
                  <w:caps/>
                  <w:color w:val="000000"/>
                  <w:szCs w:val="24"/>
                  <w:lang w:eastAsia="lt-LT"/>
                </w:rPr>
                <w:t>AŠTRIAŠNIPIŲ ERŠKETŲ POPULIACIJOS ATKŪRIMO LIETUVOJE</w:t>
              </w:r>
            </w:p>
            <w:p>
              <w:pPr>
                <w:jc w:val="center"/>
                <w:rPr>
                  <w:szCs w:val="24"/>
                  <w:lang w:val="en-US" w:eastAsia="lt-LT"/>
                </w:rPr>
              </w:pPr>
              <w:r>
                <w:rPr>
                  <w:b/>
                  <w:bCs/>
                  <w:caps/>
                  <w:color w:val="000000"/>
                  <w:szCs w:val="24"/>
                  <w:lang w:eastAsia="lt-LT"/>
                </w:rPr>
                <w:t>2022–2026 METAIS PROGRAMA</w:t>
              </w:r>
            </w:p>
          </w:sdtContent>
        </w:sdt>
        <w:p>
          <w:pPr>
            <w:ind w:firstLine="62"/>
            <w:jc w:val="center"/>
            <w:rPr>
              <w:szCs w:val="24"/>
              <w:lang w:val="en-US" w:eastAsia="lt-LT"/>
            </w:rPr>
          </w:pPr>
        </w:p>
        <w:sdt>
          <w:sdtPr>
            <w:alias w:val="skyrius"/>
            <w:tag w:val="part_64d440806a734b7480c7148a51e56299"/>
            <w:lock w:val="sdtLocked"/>
            <w:richText/>
          </w:sdtPr>
          <w:sdtContent>
            <w:p>
              <w:pPr>
                <w:jc w:val="center"/>
                <w:rPr>
                  <w:b/>
                  <w:bCs/>
                  <w:caps/>
                  <w:color w:val="000000"/>
                  <w:szCs w:val="24"/>
                  <w:lang w:eastAsia="lt-LT"/>
                </w:rPr>
              </w:pPr>
              <w:sdt>
                <w:sdtPr>
                  <w:alias w:val="Numeris"/>
                  <w:tag w:val="nr_64d440806a734b7480c7148a51e56299"/>
                  <w:lock w:val="sdtLocked"/>
                  <w:richText/>
                </w:sdtPr>
                <w:sdtContent>
                  <w:r>
                    <w:rPr>
                      <w:b/>
                      <w:bCs/>
                      <w:caps/>
                      <w:color w:val="000000"/>
                      <w:szCs w:val="24"/>
                      <w:lang w:eastAsia="lt-LT"/>
                    </w:rPr>
                    <w:t>I</w:t>
                  </w:r>
                </w:sdtContent>
              </w:sdt>
              <w:r>
                <w:rPr>
                  <w:b/>
                  <w:bCs/>
                  <w:caps/>
                  <w:color w:val="000000"/>
                  <w:szCs w:val="24"/>
                  <w:lang w:eastAsia="lt-LT"/>
                </w:rPr>
                <w:t xml:space="preserve"> SKYRIUS</w:t>
              </w:r>
            </w:p>
            <w:p>
              <w:pPr>
                <w:ind w:firstLine="62"/>
                <w:jc w:val="center"/>
                <w:rPr>
                  <w:szCs w:val="24"/>
                  <w:lang w:eastAsia="lt-LT"/>
                </w:rPr>
              </w:pPr>
              <w:sdt>
                <w:sdtPr>
                  <w:alias w:val="Pavadinimas"/>
                  <w:tag w:val="title_64d440806a734b7480c7148a51e56299"/>
                  <w:lock w:val="sdtLocked"/>
                  <w:richText/>
                </w:sdtPr>
                <w:sdtContent>
                  <w:r>
                    <w:rPr>
                      <w:b/>
                      <w:bCs/>
                      <w:caps/>
                      <w:color w:val="000000"/>
                      <w:szCs w:val="24"/>
                      <w:lang w:eastAsia="lt-LT"/>
                    </w:rPr>
                    <w:t>BENDROSIOS NUOSTATOS</w:t>
                  </w:r>
                </w:sdtContent>
              </w:sdt>
            </w:p>
            <w:p>
              <w:pPr>
                <w:spacing w:line="276" w:lineRule="auto"/>
                <w:ind w:right="-284" w:firstLine="629"/>
                <w:jc w:val="both"/>
                <w:rPr>
                  <w:szCs w:val="24"/>
                  <w:lang w:eastAsia="lt-LT"/>
                </w:rPr>
              </w:pPr>
            </w:p>
            <w:sdt>
              <w:sdtPr>
                <w:alias w:val="1 p."/>
                <w:tag w:val="part_3b54c8b595a844e5b31f933093ab4603"/>
                <w:lock w:val="sdtLocked"/>
                <w:richText/>
              </w:sdtPr>
              <w:sdtContent>
                <w:p>
                  <w:pPr>
                    <w:spacing w:line="276" w:lineRule="auto"/>
                    <w:ind w:firstLine="567"/>
                    <w:jc w:val="both"/>
                    <w:textAlignment w:val="center"/>
                    <w:rPr>
                      <w:szCs w:val="24"/>
                      <w:lang w:eastAsia="lt-LT"/>
                    </w:rPr>
                  </w:pPr>
                  <w:sdt>
                    <w:sdtPr>
                      <w:alias w:val="Numeris"/>
                      <w:tag w:val="nr_3b54c8b595a844e5b31f933093ab4603"/>
                      <w:lock w:val="sdtLocked"/>
                      <w:richText/>
                    </w:sdtPr>
                    <w:sdtContent>
                      <w:r>
                        <w:rPr>
                          <w:szCs w:val="24"/>
                          <w:lang w:eastAsia="lt-LT"/>
                        </w:rPr>
                        <w:t>1</w:t>
                      </w:r>
                    </w:sdtContent>
                  </w:sdt>
                  <w:r>
                    <w:rPr>
                      <w:szCs w:val="24"/>
                      <w:lang w:eastAsia="lt-LT"/>
                    </w:rPr>
                    <w:t xml:space="preserve">. Aštriašnipių eršketų populiacijos atkūrimo Lietuvoje 2022–2026 metais programos (toliau – Programa) tikslas – įgyvendinti teisines, materialines ir finansines priemones, siekiant gausinti Lietuvos biologinę įvairovę, atkurti ir išsaugoti į Lietuvos Respublikos saugomų gyvūnų, augalų ir grybų rūšių sąrašą, patvirtintą Lietuvos Respublikos aplinkos ministro </w:t>
                  </w:r>
                  <w:r>
                    <w:rPr>
                      <w:color w:val="000000"/>
                      <w:szCs w:val="24"/>
                      <w:lang w:eastAsia="lt-LT"/>
                    </w:rPr>
                    <w:t xml:space="preserve">2003 m. spalio 13 d. įsakymu Nr. 504 </w:t>
                  </w:r>
                  <w:r>
                    <w:rPr>
                      <w:szCs w:val="24"/>
                      <w:lang w:eastAsia="lt-LT"/>
                    </w:rPr>
                    <w:t xml:space="preserve">„Dėl Lietuvos Respublikos saugomų gyvūnų, augalų ir grybų rūšių sąrašo patvirtinimo“, įrašytos žuvų rūšies aštriašnipių eršketų </w:t>
                  </w:r>
                  <w:r>
                    <w:rPr>
                      <w:iCs/>
                      <w:szCs w:val="24"/>
                      <w:lang w:eastAsia="lt-LT"/>
                    </w:rPr>
                    <w:t>(</w:t>
                  </w:r>
                  <w:r>
                    <w:rPr>
                      <w:i/>
                      <w:iCs/>
                      <w:szCs w:val="24"/>
                      <w:lang w:eastAsia="lt-LT"/>
                    </w:rPr>
                    <w:t>Acipenser oxyrinchus</w:t>
                  </w:r>
                  <w:r>
                    <w:rPr>
                      <w:b/>
                      <w:bCs/>
                      <w:i/>
                      <w:iCs/>
                      <w:szCs w:val="24"/>
                      <w:lang w:eastAsia="lt-LT"/>
                    </w:rPr>
                    <w:t xml:space="preserve"> </w:t>
                  </w:r>
                  <w:r>
                    <w:rPr>
                      <w:i/>
                      <w:iCs/>
                      <w:szCs w:val="24"/>
                      <w:lang w:eastAsia="lt-LT"/>
                    </w:rPr>
                    <w:t>Mitchill</w:t>
                  </w:r>
                  <w:r>
                    <w:rPr>
                      <w:iCs/>
                      <w:szCs w:val="24"/>
                      <w:lang w:eastAsia="lt-LT"/>
                    </w:rPr>
                    <w:t>)</w:t>
                  </w:r>
                  <w:r>
                    <w:rPr>
                      <w:szCs w:val="24"/>
                      <w:lang w:eastAsia="lt-LT"/>
                    </w:rPr>
                    <w:t xml:space="preserve"> populiaciją.</w:t>
                  </w:r>
                </w:p>
              </w:sdtContent>
            </w:sdt>
            <w:sdt>
              <w:sdtPr>
                <w:alias w:val="2 p."/>
                <w:tag w:val="part_cfd3adbb0fe448568e5fc30ddae84882"/>
                <w:lock w:val="sdtLocked"/>
                <w:richText/>
              </w:sdtPr>
              <w:sdtContent>
                <w:p>
                  <w:pPr>
                    <w:spacing w:line="276" w:lineRule="auto"/>
                    <w:ind w:firstLine="567"/>
                    <w:jc w:val="both"/>
                    <w:textAlignment w:val="center"/>
                    <w:rPr>
                      <w:szCs w:val="24"/>
                      <w:lang w:eastAsia="lt-LT"/>
                    </w:rPr>
                  </w:pPr>
                  <w:sdt>
                    <w:sdtPr>
                      <w:alias w:val="Numeris"/>
                      <w:tag w:val="nr_cfd3adbb0fe448568e5fc30ddae84882"/>
                      <w:lock w:val="sdtLocked"/>
                      <w:richText/>
                    </w:sdtPr>
                    <w:sdtContent>
                      <w:r>
                        <w:rPr>
                          <w:szCs w:val="24"/>
                          <w:lang w:eastAsia="lt-LT"/>
                        </w:rPr>
                        <w:t>2</w:t>
                      </w:r>
                    </w:sdtContent>
                  </w:sdt>
                  <w:r>
                    <w:rPr>
                      <w:szCs w:val="24"/>
                      <w:lang w:eastAsia="lt-LT"/>
                    </w:rPr>
                    <w:t xml:space="preserve">. Programoje vartojamos sąvokos yra apibrėžtos Lietuvos Respublikos žuvininkystės įstatyme, Lietuvos Respublikos mėgėjų žvejybos įstatyme, Lietuvos Respublikos laukinės gyvūnijos įstatyme. </w:t>
                  </w:r>
                </w:p>
                <w:p>
                  <w:pPr>
                    <w:spacing w:line="276" w:lineRule="auto"/>
                    <w:ind w:firstLine="567"/>
                    <w:jc w:val="both"/>
                    <w:textAlignment w:val="center"/>
                    <w:rPr>
                      <w:szCs w:val="24"/>
                      <w:lang w:eastAsia="lt-LT"/>
                    </w:rPr>
                  </w:pPr>
                </w:p>
              </w:sdtContent>
            </w:sdt>
          </w:sdtContent>
        </w:sdt>
        <w:sdt>
          <w:sdtPr>
            <w:alias w:val="skyrius"/>
            <w:tag w:val="part_8a88bd11f24c4f87a5bb0a176298a467"/>
            <w:lock w:val="sdtLocked"/>
            <w:richText/>
          </w:sdtPr>
          <w:sdtContent>
            <w:p>
              <w:pPr>
                <w:spacing w:line="276" w:lineRule="auto"/>
                <w:ind w:right="-284"/>
                <w:jc w:val="center"/>
                <w:rPr>
                  <w:b/>
                  <w:bCs/>
                  <w:caps/>
                  <w:szCs w:val="24"/>
                  <w:lang w:eastAsia="lt-LT"/>
                </w:rPr>
              </w:pPr>
              <w:sdt>
                <w:sdtPr>
                  <w:alias w:val="Numeris"/>
                  <w:tag w:val="nr_8a88bd11f24c4f87a5bb0a176298a467"/>
                  <w:lock w:val="sdtLocked"/>
                  <w:richText/>
                </w:sdtPr>
                <w:sdtContent>
                  <w:r>
                    <w:rPr>
                      <w:b/>
                      <w:bCs/>
                      <w:caps/>
                      <w:szCs w:val="24"/>
                      <w:lang w:eastAsia="lt-LT"/>
                    </w:rPr>
                    <w:t>II</w:t>
                  </w:r>
                </w:sdtContent>
              </w:sdt>
              <w:r>
                <w:rPr>
                  <w:b/>
                  <w:bCs/>
                  <w:caps/>
                  <w:szCs w:val="24"/>
                  <w:lang w:eastAsia="lt-LT"/>
                </w:rPr>
                <w:t xml:space="preserve"> SKYRIUS</w:t>
              </w:r>
            </w:p>
            <w:p>
              <w:pPr>
                <w:spacing w:line="276" w:lineRule="auto"/>
                <w:ind w:right="-284" w:firstLine="62"/>
                <w:jc w:val="center"/>
                <w:rPr>
                  <w:szCs w:val="24"/>
                  <w:lang w:eastAsia="lt-LT"/>
                </w:rPr>
              </w:pPr>
              <w:sdt>
                <w:sdtPr>
                  <w:alias w:val="Pavadinimas"/>
                  <w:tag w:val="title_8a88bd11f24c4f87a5bb0a176298a467"/>
                  <w:lock w:val="sdtLocked"/>
                  <w:richText/>
                </w:sdtPr>
                <w:sdtContent>
                  <w:r>
                    <w:rPr>
                      <w:b/>
                      <w:bCs/>
                      <w:caps/>
                      <w:szCs w:val="24"/>
                      <w:lang w:eastAsia="lt-LT"/>
                    </w:rPr>
                    <w:t>ESAMA BŪKLĖ</w:t>
                  </w:r>
                </w:sdtContent>
              </w:sdt>
            </w:p>
            <w:p>
              <w:pPr>
                <w:spacing w:line="276" w:lineRule="auto"/>
                <w:ind w:right="-284" w:firstLine="629"/>
                <w:jc w:val="both"/>
                <w:rPr>
                  <w:szCs w:val="24"/>
                  <w:lang w:eastAsia="lt-LT"/>
                </w:rPr>
              </w:pPr>
            </w:p>
            <w:sdt>
              <w:sdtPr>
                <w:alias w:val="3 p."/>
                <w:tag w:val="part_16a9660b48cf4a9390634437a36f7c67"/>
                <w:lock w:val="sdtLocked"/>
                <w:richText/>
              </w:sdtPr>
              <w:sdtContent>
                <w:p>
                  <w:pPr>
                    <w:spacing w:line="276" w:lineRule="auto"/>
                    <w:ind w:firstLine="567"/>
                    <w:jc w:val="both"/>
                    <w:rPr>
                      <w:szCs w:val="24"/>
                      <w:lang w:eastAsia="lt-LT"/>
                    </w:rPr>
                  </w:pPr>
                  <w:sdt>
                    <w:sdtPr>
                      <w:alias w:val="Numeris"/>
                      <w:tag w:val="nr_16a9660b48cf4a9390634437a36f7c67"/>
                      <w:lock w:val="sdtLocked"/>
                      <w:richText/>
                    </w:sdtPr>
                    <w:sdtContent>
                      <w:r>
                        <w:rPr>
                          <w:szCs w:val="24"/>
                          <w:lang w:eastAsia="lt-LT"/>
                        </w:rPr>
                        <w:t>3</w:t>
                      </w:r>
                    </w:sdtContent>
                  </w:sdt>
                  <w:r>
                    <w:rPr>
                      <w:szCs w:val="24"/>
                      <w:lang w:eastAsia="lt-LT"/>
                    </w:rPr>
                    <w:t xml:space="preserve">. Iki XIX a. pabaigos eršketų buvo aptinkama Lietuvos žuvininkystės vandens telkiniuose – Nemune, Neryje, Merkyje, Šventojoje, Baltijos jūroje. Dėl didėjančios taršos, upių tvenkimo ir melioravimo nuskurdo buveinės, o drastiška šių žuvų žvejyba Lietuvos žuvininkystės vandens telkiniuose XX a. viduryje lėmė jų išnykimą. Manyta, kad Lietuvos žuvininkystės vandens telkiniuose gyveno atlantiniai eršketai </w:t>
                  </w:r>
                  <w:r>
                    <w:rPr>
                      <w:iCs/>
                      <w:szCs w:val="24"/>
                      <w:lang w:eastAsia="lt-LT"/>
                    </w:rPr>
                    <w:t>(</w:t>
                  </w:r>
                  <w:r>
                    <w:rPr>
                      <w:i/>
                      <w:iCs/>
                      <w:szCs w:val="24"/>
                      <w:lang w:eastAsia="lt-LT"/>
                    </w:rPr>
                    <w:t>Acipenser sturio L.</w:t>
                  </w:r>
                  <w:r>
                    <w:rPr>
                      <w:iCs/>
                      <w:szCs w:val="24"/>
                      <w:lang w:eastAsia="lt-LT"/>
                    </w:rPr>
                    <w:t>)</w:t>
                  </w:r>
                  <w:r>
                    <w:rPr>
                      <w:szCs w:val="24"/>
                      <w:lang w:eastAsia="lt-LT"/>
                    </w:rPr>
                    <w:t>, tačiau pastarąjį dešimtmetį atlikus genetinius tyrimus nustatyta, kad Baltijos jūroje prieš 800–1 200 metų gyveno aštriašnipiai eršketai. Šis faktas atvėrė naujas galimybes eršketų ištekliams atkurti. Aštriašnipiai eršketai yra gana plačiai paplitę Šiaurės Amerikoje, ten jų populiacija pakankamai gausi, kad būtų galima panaudoti reintrodukcijos darbams. Vokietijoje ir Lenkijoje pradėti vykdyti aštriašnipių eršketų reintrodukcijos darbai. Iš Kanados vandenyse sugautų reproduktorių ikrų išauginta ir į Oderio, Vyslos baseinų upes per paskutinius 6-erius metus išleista daugiau kaip 100 tūkst. aštriašnipių eršketų jauniklių.</w:t>
                  </w:r>
                </w:p>
              </w:sdtContent>
            </w:sdt>
            <w:sdt>
              <w:sdtPr>
                <w:alias w:val="4 p."/>
                <w:tag w:val="part_8619f11405ae43e58ea686584df1de10"/>
                <w:lock w:val="sdtLocked"/>
                <w:richText/>
              </w:sdtPr>
              <w:sdtContent>
                <w:p>
                  <w:pPr>
                    <w:spacing w:line="276" w:lineRule="auto"/>
                    <w:ind w:firstLine="567"/>
                    <w:jc w:val="both"/>
                    <w:textAlignment w:val="center"/>
                    <w:rPr>
                      <w:szCs w:val="24"/>
                      <w:lang w:eastAsia="lt-LT"/>
                    </w:rPr>
                  </w:pPr>
                  <w:sdt>
                    <w:sdtPr>
                      <w:alias w:val="Numeris"/>
                      <w:tag w:val="nr_8619f11405ae43e58ea686584df1de10"/>
                      <w:lock w:val="sdtLocked"/>
                      <w:richText/>
                    </w:sdtPr>
                    <w:sdtContent>
                      <w:r>
                        <w:rPr>
                          <w:color w:val="000000"/>
                          <w:szCs w:val="24"/>
                          <w:lang w:eastAsia="lt-LT"/>
                        </w:rPr>
                        <w:t>4</w:t>
                      </w:r>
                    </w:sdtContent>
                  </w:sdt>
                  <w:r>
                    <w:rPr>
                      <w:color w:val="000000"/>
                      <w:szCs w:val="24"/>
                      <w:lang w:eastAsia="lt-LT"/>
                    </w:rPr>
                    <w:t xml:space="preserve">. </w:t>
                  </w:r>
                  <w:r>
                    <w:rPr>
                      <w:szCs w:val="24"/>
                      <w:lang w:eastAsia="lt-LT"/>
                    </w:rPr>
                    <w:t xml:space="preserve">1992 m. balandžio 9 d. Helsinkio konvenciją dėl Baltijos jūros baseino jūrinės aplinkos apsaugos pasirašiusios šalys įsipareigojo siekti geros Baltijos jūros biologinės įvairovės būklės ir imtis priemonių išnykusioms rūšims atkurti. 2007 m. lapkričio 15 d. Helsinkio komisija (HELCOM) patvirtino Baltijos jūros veiksmų planą, o </w:t>
                  </w:r>
                  <w:r>
                    <w:t>2019 metais – Aštriašnipių eršketų (</w:t>
                  </w:r>
                  <w:r>
                    <w:rPr>
                      <w:i/>
                      <w:iCs/>
                    </w:rPr>
                    <w:t>Acipenser oxyrinchus</w:t>
                  </w:r>
                  <w:r>
                    <w:t>) išteklių išsaugojimo ir atkūrimo planą 2019–2029 metams. Lietuva, kaip ir kitos apie Baltijos jūrą išsidėsčiusios šalys, turi užtikrinti, kad minėtas planas bus įgyvendinamas Nemuno baseino upių istorinėse aštriašnipių eršketų buveinėse. Būtina sukurti finansinį mechanizmą šiam tikslui pasiekti, suformuoti aštriašnipių eršketų reproduktorių bandą, gauti iš jų lytinius produktus ir gyvybingus jauniklius.</w:t>
                  </w:r>
                </w:p>
              </w:sdtContent>
            </w:sdt>
            <w:sdt>
              <w:sdtPr>
                <w:alias w:val="5 p."/>
                <w:tag w:val="part_dfee2e64075b460ea784a7fea8e810cd"/>
                <w:lock w:val="sdtLocked"/>
                <w:richText/>
              </w:sdtPr>
              <w:sdtContent>
                <w:p>
                  <w:pPr>
                    <w:spacing w:line="276" w:lineRule="auto"/>
                    <w:ind w:firstLine="567"/>
                    <w:jc w:val="both"/>
                    <w:rPr>
                      <w:szCs w:val="24"/>
                      <w:lang w:eastAsia="lt-LT"/>
                    </w:rPr>
                  </w:pPr>
                  <w:sdt>
                    <w:sdtPr>
                      <w:alias w:val="Numeris"/>
                      <w:tag w:val="nr_dfee2e64075b460ea784a7fea8e810cd"/>
                      <w:lock w:val="sdtLocked"/>
                      <w:richText/>
                    </w:sdtPr>
                    <w:sdtContent>
                      <w:r>
                        <w:rPr>
                          <w:szCs w:val="24"/>
                          <w:lang w:eastAsia="lt-LT"/>
                        </w:rPr>
                        <w:t>5</w:t>
                      </w:r>
                    </w:sdtContent>
                  </w:sdt>
                  <w:r>
                    <w:rPr>
                      <w:szCs w:val="24"/>
                      <w:lang w:eastAsia="lt-LT"/>
                    </w:rPr>
                    <w:t xml:space="preserve">. Įgyvendinant 2000 m. spalio 23 d. Europos Parlamento ir Tarybos direktyvos 2000/60/EB, nustatančios Bendrijos veiksmų vandens politikos srityje pagrindus, su paskutiniais pakeitimais, padarytais 2013 m. gruodžio 17 d. Tarybos direktyva 2013/64/E, ir 2006 m. rugsėjo 6 d. Europos Parlamento ir Tarybos direktyvos 2006/44/EB dėl gėlojo vandens, kuriam reikalinga apsauga arba kurį reikia gerinti, kad jame galėtų gyventi žuvys, kokybės su paskutiniais pakeitimais, padarytais 2008 m. spalio 22 d. Europos Parlamento ir Tarybos reglamentu (EB) Nr.1137/2008, nuostatas, vandens kokybė Lietuvos upėse gerėja, verslinė žvejyba (išskyrus specializuotą stintų ir ungurių žvejybą) upėse nevykdoma, tai sudaro palankias sąlygas didžiausių Lietuvoje praeivių žuvų aštriašnipių eršketų  populiacijai atkurti. </w:t>
                  </w:r>
                </w:p>
              </w:sdtContent>
            </w:sdt>
            <w:sdt>
              <w:sdtPr>
                <w:alias w:val="6 p."/>
                <w:tag w:val="part_7000b6ba76a8477ea0bf6db025038225"/>
                <w:lock w:val="sdtLocked"/>
                <w:richText/>
              </w:sdtPr>
              <w:sdtContent>
                <w:p>
                  <w:pPr>
                    <w:overflowPunct w:val="0"/>
                    <w:spacing w:line="276" w:lineRule="auto"/>
                    <w:ind w:firstLine="567"/>
                    <w:jc w:val="both"/>
                    <w:textAlignment w:val="baseline"/>
                    <w:rPr>
                      <w:szCs w:val="24"/>
                      <w:lang w:eastAsia="en-ZW"/>
                    </w:rPr>
                  </w:pPr>
                  <w:sdt>
                    <w:sdtPr>
                      <w:alias w:val="Numeris"/>
                      <w:tag w:val="nr_7000b6ba76a8477ea0bf6db025038225"/>
                      <w:lock w:val="sdtLocked"/>
                      <w:richText/>
                    </w:sdtPr>
                    <w:sdtContent>
                      <w:r>
                        <w:rPr>
                          <w:szCs w:val="24"/>
                          <w:lang w:eastAsia="en-ZW"/>
                        </w:rPr>
                        <w:t>6</w:t>
                      </w:r>
                    </w:sdtContent>
                  </w:sdt>
                  <w:r>
                    <w:rPr>
                      <w:szCs w:val="24"/>
                      <w:lang w:eastAsia="en-ZW"/>
                    </w:rPr>
                    <w:t xml:space="preserve">. Šiuo metu didžiausią grėsmę aštriašnipių eršketų reintrodukcijai Baltijos jūros regione  kelia šie veiksniai:</w:t>
                  </w:r>
                </w:p>
                <w:sdt>
                  <w:sdtPr>
                    <w:alias w:val="6.1 pp."/>
                    <w:tag w:val="part_ff4cd25ed1364048a5868cc0e4de8de6"/>
                    <w:lock w:val="sdtLocked"/>
                    <w:richText/>
                  </w:sdtPr>
                  <w:sdtContent>
                    <w:p>
                      <w:pPr>
                        <w:overflowPunct w:val="0"/>
                        <w:spacing w:line="276" w:lineRule="auto"/>
                        <w:ind w:firstLine="567"/>
                        <w:jc w:val="both"/>
                        <w:textAlignment w:val="baseline"/>
                        <w:rPr>
                          <w:szCs w:val="24"/>
                          <w:lang w:eastAsia="en-ZW"/>
                        </w:rPr>
                      </w:pPr>
                      <w:sdt>
                        <w:sdtPr>
                          <w:alias w:val="Numeris"/>
                          <w:tag w:val="nr_ff4cd25ed1364048a5868cc0e4de8de6"/>
                          <w:lock w:val="sdtLocked"/>
                          <w:richText/>
                        </w:sdtPr>
                        <w:sdtContent>
                          <w:r>
                            <w:rPr>
                              <w:szCs w:val="24"/>
                              <w:lang w:eastAsia="en-ZW"/>
                            </w:rPr>
                            <w:t>6.1</w:t>
                          </w:r>
                        </w:sdtContent>
                      </w:sdt>
                      <w:r>
                        <w:rPr>
                          <w:szCs w:val="24"/>
                          <w:lang w:eastAsia="en-ZW"/>
                        </w:rPr>
                        <w:t>. mirtingumas dėl žvejybos (verslinės žvejybos, nelegalios žvejybos (brakonieriavimo). Populiacijos nuostoliai dėl žvejybos kol kas smarkiai viršija tvarumo ribą, tad, norint sėkmingai atkurti gyvybingą aštriašnipių eršketų populiaciją, labai svarbu šiuos nuostolius mažinti;</w:t>
                      </w:r>
                    </w:p>
                  </w:sdtContent>
                </w:sdt>
                <w:sdt>
                  <w:sdtPr>
                    <w:alias w:val="6.2 pp."/>
                    <w:tag w:val="part_e375fdc7da364628b66d74385813237b"/>
                    <w:lock w:val="sdtLocked"/>
                    <w:richText/>
                  </w:sdtPr>
                  <w:sdtContent>
                    <w:p>
                      <w:pPr>
                        <w:overflowPunct w:val="0"/>
                        <w:spacing w:line="276" w:lineRule="auto"/>
                        <w:ind w:firstLine="567"/>
                        <w:jc w:val="both"/>
                        <w:textAlignment w:val="baseline"/>
                        <w:rPr>
                          <w:szCs w:val="24"/>
                          <w:lang w:eastAsia="en-ZW"/>
                        </w:rPr>
                      </w:pPr>
                      <w:sdt>
                        <w:sdtPr>
                          <w:alias w:val="Numeris"/>
                          <w:tag w:val="nr_e375fdc7da364628b66d74385813237b"/>
                          <w:lock w:val="sdtLocked"/>
                          <w:richText/>
                        </w:sdtPr>
                        <w:sdtContent>
                          <w:r>
                            <w:rPr>
                              <w:szCs w:val="24"/>
                              <w:lang w:eastAsia="en-ZW"/>
                            </w:rPr>
                            <w:t>6.2</w:t>
                          </w:r>
                        </w:sdtContent>
                      </w:sdt>
                      <w:r>
                        <w:rPr>
                          <w:szCs w:val="24"/>
                          <w:lang w:eastAsia="en-ZW"/>
                        </w:rPr>
                        <w:t>. upių ir lagūnų ekosistemų hidrologiniai pokyčiai (upių vagų reguliavimas, smėlio ir žvyro gavyba, užtvankos ir su jomis susijęs poveikis) daro didelę įtaką nerštavietėms, jauniklių buveinėms, užkerta migracijos kelius į neršto vietas;</w:t>
                      </w:r>
                    </w:p>
                  </w:sdtContent>
                </w:sdt>
                <w:sdt>
                  <w:sdtPr>
                    <w:alias w:val="6.3 pp."/>
                    <w:tag w:val="part_61fd7e5743144733936dead0841d2429"/>
                    <w:lock w:val="sdtLocked"/>
                    <w:richText/>
                  </w:sdtPr>
                  <w:sdtContent>
                    <w:p>
                      <w:pPr>
                        <w:overflowPunct w:val="0"/>
                        <w:spacing w:line="276" w:lineRule="auto"/>
                        <w:ind w:firstLine="567"/>
                        <w:jc w:val="both"/>
                        <w:textAlignment w:val="baseline"/>
                        <w:rPr>
                          <w:szCs w:val="24"/>
                          <w:lang w:eastAsia="en-ZW"/>
                        </w:rPr>
                      </w:pPr>
                      <w:sdt>
                        <w:sdtPr>
                          <w:alias w:val="Numeris"/>
                          <w:tag w:val="nr_61fd7e5743144733936dead0841d2429"/>
                          <w:lock w:val="sdtLocked"/>
                          <w:richText/>
                        </w:sdtPr>
                        <w:sdtContent>
                          <w:r>
                            <w:rPr>
                              <w:szCs w:val="24"/>
                              <w:lang w:eastAsia="en-ZW"/>
                            </w:rPr>
                            <w:t>6.3</w:t>
                          </w:r>
                        </w:sdtContent>
                      </w:sdt>
                      <w:r>
                        <w:rPr>
                          <w:szCs w:val="24"/>
                          <w:lang w:eastAsia="en-ZW"/>
                        </w:rPr>
                        <w:t>. antropogeninė aplinkos tarša (pramoniniai ir buitiniai teršalai, žemės ūkio chemizacija, dėl trąšų padidėjusi eutrofikacija ir šiluminė tarša). Tai gali smarkiai paveikti reprodukcijos galimybes ir jauniklių išgyvenamumą;</w:t>
                      </w:r>
                    </w:p>
                  </w:sdtContent>
                </w:sdt>
                <w:sdt>
                  <w:sdtPr>
                    <w:alias w:val="6.4 pp."/>
                    <w:tag w:val="part_d58589c7fe4941f6af988984a4b09b09"/>
                    <w:lock w:val="sdtLocked"/>
                    <w:richText/>
                  </w:sdtPr>
                  <w:sdtContent>
                    <w:p>
                      <w:pPr>
                        <w:overflowPunct w:val="0"/>
                        <w:spacing w:line="276" w:lineRule="auto"/>
                        <w:ind w:firstLine="567"/>
                        <w:jc w:val="both"/>
                        <w:textAlignment w:val="baseline"/>
                        <w:rPr>
                          <w:szCs w:val="24"/>
                          <w:lang w:eastAsia="en-ZW"/>
                        </w:rPr>
                      </w:pPr>
                      <w:sdt>
                        <w:sdtPr>
                          <w:alias w:val="Numeris"/>
                          <w:tag w:val="nr_d58589c7fe4941f6af988984a4b09b09"/>
                          <w:lock w:val="sdtLocked"/>
                          <w:richText/>
                        </w:sdtPr>
                        <w:sdtContent>
                          <w:r>
                            <w:rPr>
                              <w:szCs w:val="24"/>
                              <w:lang w:eastAsia="en-ZW"/>
                            </w:rPr>
                            <w:t>6.4</w:t>
                          </w:r>
                        </w:sdtContent>
                      </w:sdt>
                      <w:r>
                        <w:rPr>
                          <w:szCs w:val="24"/>
                          <w:lang w:eastAsia="en-ZW"/>
                        </w:rPr>
                        <w:t xml:space="preserve">. nevietinių eršketų rūšių patekimas į gamtą iš akvakultūros įmonių arba dėl sąmoningo įveisimo. Dėl to padidėja konkurencija tarp rūšių, atsiranda hibridizacijos rizika, labiau pernešamos ligos, ypač jei tokios introdukcijos poveikis nesumažėja iki nereikšmingo lygio; </w:t>
                      </w:r>
                    </w:p>
                  </w:sdtContent>
                </w:sdt>
                <w:sdt>
                  <w:sdtPr>
                    <w:alias w:val="6.5 pp."/>
                    <w:tag w:val="part_8797c8cce4f0417b8abe371c2d9324fa"/>
                    <w:lock w:val="sdtLocked"/>
                    <w:richText/>
                  </w:sdtPr>
                  <w:sdtContent>
                    <w:p>
                      <w:pPr>
                        <w:overflowPunct w:val="0"/>
                        <w:spacing w:line="276" w:lineRule="auto"/>
                        <w:ind w:firstLine="567"/>
                        <w:jc w:val="both"/>
                        <w:textAlignment w:val="baseline"/>
                        <w:rPr>
                          <w:szCs w:val="24"/>
                          <w:lang w:eastAsia="en-ZW"/>
                        </w:rPr>
                      </w:pPr>
                      <w:sdt>
                        <w:sdtPr>
                          <w:alias w:val="Numeris"/>
                          <w:tag w:val="nr_8797c8cce4f0417b8abe371c2d9324fa"/>
                          <w:lock w:val="sdtLocked"/>
                          <w:richText/>
                        </w:sdtPr>
                        <w:sdtContent>
                          <w:r>
                            <w:rPr>
                              <w:szCs w:val="24"/>
                              <w:lang w:eastAsia="en-ZW"/>
                            </w:rPr>
                            <w:t>6.5</w:t>
                          </w:r>
                        </w:sdtContent>
                      </w:sdt>
                      <w:r>
                        <w:rPr>
                          <w:szCs w:val="24"/>
                          <w:lang w:eastAsia="en-ZW"/>
                        </w:rPr>
                        <w:t>. klimato kaita. Dėl jos pakilusi vandens temperatūra, pakitusi faunos sudėtis, vandens debito režimas gali paveikti aštriašnipių eršketų elgseną.</w:t>
                      </w:r>
                    </w:p>
                    <w:p>
                      <w:pPr>
                        <w:spacing w:line="276" w:lineRule="auto"/>
                        <w:ind w:firstLine="567"/>
                        <w:jc w:val="both"/>
                        <w:rPr>
                          <w:b/>
                          <w:bCs/>
                          <w:caps/>
                          <w:szCs w:val="24"/>
                          <w:lang w:eastAsia="lt-LT"/>
                        </w:rPr>
                      </w:pPr>
                    </w:p>
                  </w:sdtContent>
                </w:sdt>
              </w:sdtContent>
            </w:sdt>
          </w:sdtContent>
        </w:sdt>
        <w:sdt>
          <w:sdtPr>
            <w:alias w:val="skyrius"/>
            <w:tag w:val="part_5a6a562b0800421aa9387c3ce3dd350b"/>
            <w:lock w:val="sdtLocked"/>
            <w:richText/>
          </w:sdtPr>
          <w:sdtContent>
            <w:p>
              <w:pPr>
                <w:spacing w:line="276" w:lineRule="auto"/>
                <w:ind w:right="-284"/>
                <w:jc w:val="center"/>
                <w:rPr>
                  <w:b/>
                  <w:bCs/>
                  <w:caps/>
                  <w:szCs w:val="24"/>
                  <w:lang w:eastAsia="lt-LT"/>
                </w:rPr>
              </w:pPr>
              <w:sdt>
                <w:sdtPr>
                  <w:alias w:val="Numeris"/>
                  <w:tag w:val="nr_5a6a562b0800421aa9387c3ce3dd350b"/>
                  <w:lock w:val="sdtLocked"/>
                  <w:richText/>
                </w:sdtPr>
                <w:sdtContent>
                  <w:r>
                    <w:rPr>
                      <w:b/>
                      <w:bCs/>
                      <w:caps/>
                      <w:szCs w:val="24"/>
                      <w:lang w:eastAsia="lt-LT"/>
                    </w:rPr>
                    <w:t>III</w:t>
                  </w:r>
                </w:sdtContent>
              </w:sdt>
              <w:r>
                <w:rPr>
                  <w:b/>
                  <w:bCs/>
                  <w:caps/>
                  <w:szCs w:val="24"/>
                  <w:lang w:eastAsia="lt-LT"/>
                </w:rPr>
                <w:t xml:space="preserve"> SKYRIUS</w:t>
              </w:r>
            </w:p>
            <w:p>
              <w:pPr>
                <w:spacing w:line="276" w:lineRule="auto"/>
                <w:ind w:right="-284" w:firstLine="62"/>
                <w:jc w:val="center"/>
                <w:rPr>
                  <w:szCs w:val="24"/>
                  <w:lang w:eastAsia="lt-LT"/>
                </w:rPr>
              </w:pPr>
              <w:sdt>
                <w:sdtPr>
                  <w:alias w:val="Pavadinimas"/>
                  <w:tag w:val="title_5a6a562b0800421aa9387c3ce3dd350b"/>
                  <w:lock w:val="sdtLocked"/>
                  <w:richText/>
                </w:sdtPr>
                <w:sdtContent>
                  <w:r>
                    <w:rPr>
                      <w:b/>
                      <w:bCs/>
                      <w:caps/>
                      <w:szCs w:val="24"/>
                      <w:lang w:eastAsia="lt-LT"/>
                    </w:rPr>
                    <w:t>PROGRAMOS TIKSLAI ir UŽDAVINIAI</w:t>
                  </w:r>
                </w:sdtContent>
              </w:sdt>
            </w:p>
            <w:p>
              <w:pPr>
                <w:spacing w:line="276" w:lineRule="auto"/>
                <w:ind w:right="-284" w:firstLine="629"/>
                <w:jc w:val="both"/>
                <w:rPr>
                  <w:szCs w:val="24"/>
                  <w:lang w:eastAsia="lt-LT"/>
                </w:rPr>
              </w:pPr>
            </w:p>
            <w:sdt>
              <w:sdtPr>
                <w:alias w:val="7 p."/>
                <w:tag w:val="part_60ee4cfd084246079e634041a67729d4"/>
                <w:lock w:val="sdtLocked"/>
                <w:richText/>
              </w:sdtPr>
              <w:sdtContent>
                <w:p>
                  <w:pPr>
                    <w:spacing w:line="276" w:lineRule="auto"/>
                    <w:ind w:firstLine="567"/>
                    <w:jc w:val="both"/>
                    <w:rPr>
                      <w:szCs w:val="24"/>
                      <w:lang w:eastAsia="lt-LT"/>
                    </w:rPr>
                  </w:pPr>
                  <w:sdt>
                    <w:sdtPr>
                      <w:alias w:val="Numeris"/>
                      <w:tag w:val="nr_60ee4cfd084246079e634041a67729d4"/>
                      <w:lock w:val="sdtLocked"/>
                      <w:richText/>
                    </w:sdtPr>
                    <w:sdtContent>
                      <w:r>
                        <w:rPr>
                          <w:szCs w:val="24"/>
                          <w:lang w:eastAsia="lt-LT"/>
                        </w:rPr>
                        <w:t>7</w:t>
                      </w:r>
                    </w:sdtContent>
                  </w:sdt>
                  <w:r>
                    <w:rPr>
                      <w:szCs w:val="24"/>
                      <w:lang w:eastAsia="lt-LT"/>
                    </w:rPr>
                    <w:t xml:space="preserve">. Programos tikslas – nustatyti aštriašnipių eršketų išteklių Lietuvos žuvininkystės vandens telkiniuose atkūrimo ir išsaugojimo priemones. </w:t>
                  </w:r>
                  <w:r>
                    <w:rPr>
                      <w:szCs w:val="24"/>
                    </w:rPr>
                    <w:t>Sudėtingas ir ilgas aštriašnipių eršketų gyvenimo ciklas, vėlyvas brendimas ir įvairių buveinių pasirinkimas skirtingais gyvenimo etapais yra kritiniai aspektai, dėl kurių itin sunku sėkmingai atkurti šią diadrominę rūšį.</w:t>
                  </w:r>
                  <w:r>
                    <w:rPr>
                      <w:szCs w:val="24"/>
                      <w:lang w:eastAsia="lt-LT"/>
                    </w:rPr>
                    <w:t xml:space="preserve"> Helsinkio komisija</w:t>
                  </w:r>
                  <w:r>
                    <w:rPr>
                      <w:szCs w:val="24"/>
                    </w:rPr>
                    <w:t xml:space="preserve"> (HELCOM) aštriašnipių eršketų atkūrimo plane būtinus veiksmus suskirsto į tris pagrindines kategorijas, kurioms priskiriami 7 tikslai: </w:t>
                  </w:r>
                </w:p>
                <w:sdt>
                  <w:sdtPr>
                    <w:alias w:val="7.1 pp."/>
                    <w:tag w:val="part_2ad838d269484ab99a46162ac974fcbf"/>
                    <w:lock w:val="sdtLocked"/>
                    <w:richText/>
                  </w:sdtPr>
                  <w:sdtContent>
                    <w:p>
                      <w:pPr>
                        <w:spacing w:line="276" w:lineRule="auto"/>
                        <w:ind w:firstLine="567"/>
                        <w:jc w:val="both"/>
                        <w:rPr>
                          <w:szCs w:val="24"/>
                        </w:rPr>
                      </w:pPr>
                      <w:sdt>
                        <w:sdtPr>
                          <w:alias w:val="Numeris"/>
                          <w:tag w:val="nr_2ad838d269484ab99a46162ac974fcbf"/>
                          <w:lock w:val="sdtLocked"/>
                          <w:richText/>
                        </w:sdtPr>
                        <w:sdtContent>
                          <w:r>
                            <w:rPr>
                              <w:bCs/>
                              <w:szCs w:val="24"/>
                            </w:rPr>
                            <w:t>7.1</w:t>
                          </w:r>
                        </w:sdtContent>
                      </w:sdt>
                      <w:r>
                        <w:rPr>
                          <w:bCs/>
                          <w:szCs w:val="24"/>
                        </w:rPr>
                        <w:t>.</w:t>
                      </w:r>
                      <w:r>
                        <w:rPr>
                          <w:b/>
                          <w:szCs w:val="24"/>
                        </w:rPr>
                        <w:t xml:space="preserve"> 1 kategorija</w:t>
                      </w:r>
                      <w:r>
                        <w:rPr>
                          <w:szCs w:val="24"/>
                        </w:rPr>
                        <w:t xml:space="preserve"> – apsauga </w:t>
                      </w:r>
                      <w:r>
                        <w:t>už natūralių buveinių ribų (</w:t>
                      </w:r>
                      <w:r>
                        <w:rPr>
                          <w:i/>
                          <w:iCs/>
                          <w:szCs w:val="24"/>
                        </w:rPr>
                        <w:t>ex situ)</w:t>
                      </w:r>
                      <w:r>
                        <w:rPr>
                          <w:szCs w:val="24"/>
                        </w:rPr>
                        <w:t>:</w:t>
                      </w:r>
                    </w:p>
                    <w:sdt>
                      <w:sdtPr>
                        <w:alias w:val="7.1.1 pp."/>
                        <w:tag w:val="part_37e6972c208749e2a44ced986375d09b"/>
                        <w:lock w:val="sdtLocked"/>
                        <w:richText/>
                      </w:sdtPr>
                      <w:sdtContent>
                        <w:p>
                          <w:pPr>
                            <w:overflowPunct w:val="0"/>
                            <w:spacing w:line="276" w:lineRule="auto"/>
                            <w:ind w:firstLine="567"/>
                            <w:jc w:val="both"/>
                            <w:textAlignment w:val="baseline"/>
                            <w:rPr>
                              <w:szCs w:val="24"/>
                            </w:rPr>
                          </w:pPr>
                          <w:sdt>
                            <w:sdtPr>
                              <w:alias w:val="Numeris"/>
                              <w:tag w:val="nr_37e6972c208749e2a44ced986375d09b"/>
                              <w:lock w:val="sdtLocked"/>
                              <w:richText/>
                            </w:sdtPr>
                            <w:sdtContent>
                              <w:r>
                                <w:rPr>
                                  <w:szCs w:val="24"/>
                                </w:rPr>
                                <w:t>7.1.1</w:t>
                              </w:r>
                            </w:sdtContent>
                          </w:sdt>
                          <w:r>
                            <w:rPr>
                              <w:szCs w:val="24"/>
                            </w:rPr>
                            <w:t>.</w:t>
                          </w:r>
                          <w:r>
                            <w:rPr>
                              <w:b/>
                              <w:bCs/>
                              <w:szCs w:val="24"/>
                            </w:rPr>
                            <w:t xml:space="preserve"> 1 tikslas</w:t>
                          </w:r>
                          <w:r>
                            <w:rPr>
                              <w:szCs w:val="24"/>
                            </w:rPr>
                            <w:t xml:space="preserve"> – aktyviai remti tikslinių populiacijų atsigavimą visose istorinėse gyvavimo vietose;</w:t>
                          </w:r>
                        </w:p>
                      </w:sdtContent>
                    </w:sdt>
                  </w:sdtContent>
                </w:sdt>
                <w:sdt>
                  <w:sdtPr>
                    <w:alias w:val="7.2 pp."/>
                    <w:tag w:val="part_18164aeeb66a48dfbba119bbbb32a450"/>
                    <w:lock w:val="sdtLocked"/>
                    <w:richText/>
                  </w:sdtPr>
                  <w:sdtContent>
                    <w:p>
                      <w:pPr>
                        <w:overflowPunct w:val="0"/>
                        <w:spacing w:line="276" w:lineRule="auto"/>
                        <w:ind w:firstLine="567"/>
                        <w:jc w:val="both"/>
                        <w:textAlignment w:val="baseline"/>
                        <w:rPr>
                          <w:szCs w:val="24"/>
                        </w:rPr>
                      </w:pPr>
                      <w:sdt>
                        <w:sdtPr>
                          <w:alias w:val="Numeris"/>
                          <w:tag w:val="nr_18164aeeb66a48dfbba119bbbb32a450"/>
                          <w:lock w:val="sdtLocked"/>
                          <w:richText/>
                        </w:sdtPr>
                        <w:sdtContent>
                          <w:r>
                            <w:rPr>
                              <w:bCs/>
                              <w:szCs w:val="24"/>
                            </w:rPr>
                            <w:t>7.2</w:t>
                          </w:r>
                        </w:sdtContent>
                      </w:sdt>
                      <w:r>
                        <w:rPr>
                          <w:bCs/>
                          <w:szCs w:val="24"/>
                        </w:rPr>
                        <w:t>.</w:t>
                      </w:r>
                      <w:r>
                        <w:rPr>
                          <w:b/>
                          <w:szCs w:val="24"/>
                        </w:rPr>
                        <w:t xml:space="preserve"> 2 kategorija</w:t>
                      </w:r>
                      <w:r>
                        <w:rPr>
                          <w:szCs w:val="24"/>
                        </w:rPr>
                        <w:t xml:space="preserve"> – apsauga </w:t>
                      </w:r>
                      <w:r>
                        <w:rPr>
                          <w:lang w:val="en-GB"/>
                        </w:rPr>
                        <w:t xml:space="preserve">natūraliose buveinėse </w:t>
                      </w:r>
                      <w:r>
                        <w:rPr>
                          <w:i/>
                          <w:iCs/>
                          <w:szCs w:val="24"/>
                        </w:rPr>
                        <w:t>(in situ)</w:t>
                      </w:r>
                      <w:r>
                        <w:rPr>
                          <w:szCs w:val="24"/>
                        </w:rPr>
                        <w:t>:</w:t>
                      </w:r>
                    </w:p>
                    <w:sdt>
                      <w:sdtPr>
                        <w:alias w:val="7.2.1 pp."/>
                        <w:tag w:val="part_74f41f9680f64ffabcfd978ed2484478"/>
                        <w:lock w:val="sdtLocked"/>
                        <w:richText/>
                      </w:sdtPr>
                      <w:sdtContent>
                        <w:p>
                          <w:pPr>
                            <w:overflowPunct w:val="0"/>
                            <w:spacing w:line="276" w:lineRule="auto"/>
                            <w:ind w:firstLine="567"/>
                            <w:jc w:val="both"/>
                            <w:textAlignment w:val="baseline"/>
                            <w:rPr>
                              <w:szCs w:val="24"/>
                            </w:rPr>
                          </w:pPr>
                          <w:sdt>
                            <w:sdtPr>
                              <w:alias w:val="Numeris"/>
                              <w:tag w:val="nr_74f41f9680f64ffabcfd978ed2484478"/>
                              <w:lock w:val="sdtLocked"/>
                              <w:richText/>
                            </w:sdtPr>
                            <w:sdtContent>
                              <w:r>
                                <w:rPr>
                                  <w:szCs w:val="24"/>
                                </w:rPr>
                                <w:t>7.2.1</w:t>
                              </w:r>
                            </w:sdtContent>
                          </w:sdt>
                          <w:r>
                            <w:rPr>
                              <w:szCs w:val="24"/>
                            </w:rPr>
                            <w:t xml:space="preserve">. </w:t>
                          </w:r>
                          <w:r>
                            <w:rPr>
                              <w:b/>
                              <w:bCs/>
                              <w:szCs w:val="24"/>
                            </w:rPr>
                            <w:t>2 tikslas</w:t>
                          </w:r>
                          <w:r>
                            <w:rPr>
                              <w:szCs w:val="24"/>
                            </w:rPr>
                            <w:t xml:space="preserve"> – mažinti aštriašnipių eršketų mirtingumą dėl žvejybos ir kito antropogeninio poveikio;</w:t>
                          </w:r>
                        </w:p>
                      </w:sdtContent>
                    </w:sdt>
                    <w:sdt>
                      <w:sdtPr>
                        <w:alias w:val="7.2.2 pp."/>
                        <w:tag w:val="part_98d7deef14f84ce393da3cf27fec245f"/>
                        <w:lock w:val="sdtLocked"/>
                        <w:richText/>
                      </w:sdtPr>
                      <w:sdtContent>
                        <w:p>
                          <w:pPr>
                            <w:overflowPunct w:val="0"/>
                            <w:spacing w:line="276" w:lineRule="auto"/>
                            <w:ind w:firstLine="567"/>
                            <w:jc w:val="both"/>
                            <w:textAlignment w:val="baseline"/>
                            <w:rPr>
                              <w:szCs w:val="24"/>
                            </w:rPr>
                          </w:pPr>
                          <w:sdt>
                            <w:sdtPr>
                              <w:alias w:val="Numeris"/>
                              <w:tag w:val="nr_98d7deef14f84ce393da3cf27fec245f"/>
                              <w:lock w:val="sdtLocked"/>
                              <w:richText/>
                            </w:sdtPr>
                            <w:sdtContent>
                              <w:r>
                                <w:rPr>
                                  <w:szCs w:val="24"/>
                                </w:rPr>
                                <w:t>7.2.2</w:t>
                              </w:r>
                            </w:sdtContent>
                          </w:sdt>
                          <w:r>
                            <w:rPr>
                              <w:b/>
                              <w:bCs/>
                              <w:szCs w:val="24"/>
                            </w:rPr>
                            <w:t xml:space="preserve">. 3 tikslas </w:t>
                          </w:r>
                          <w:r>
                            <w:rPr>
                              <w:szCs w:val="24"/>
                            </w:rPr>
                            <w:t>– saugoti esamas ir, jei yra galimybė, atkurti buvusias aštriašnipių eršketų natūralias buveines;</w:t>
                          </w:r>
                        </w:p>
                      </w:sdtContent>
                    </w:sdt>
                    <w:sdt>
                      <w:sdtPr>
                        <w:alias w:val="7.2.3 pp."/>
                        <w:tag w:val="part_1f2b6f5ad2184ac582113b72740d10d0"/>
                        <w:lock w:val="sdtLocked"/>
                        <w:richText/>
                      </w:sdtPr>
                      <w:sdtContent>
                        <w:p>
                          <w:pPr>
                            <w:overflowPunct w:val="0"/>
                            <w:spacing w:line="276" w:lineRule="auto"/>
                            <w:ind w:firstLine="567"/>
                            <w:jc w:val="both"/>
                            <w:textAlignment w:val="baseline"/>
                            <w:rPr>
                              <w:szCs w:val="24"/>
                            </w:rPr>
                          </w:pPr>
                          <w:sdt>
                            <w:sdtPr>
                              <w:alias w:val="Numeris"/>
                              <w:tag w:val="nr_1f2b6f5ad2184ac582113b72740d10d0"/>
                              <w:lock w:val="sdtLocked"/>
                              <w:richText/>
                            </w:sdtPr>
                            <w:sdtContent>
                              <w:r>
                                <w:rPr>
                                  <w:szCs w:val="24"/>
                                </w:rPr>
                                <w:t>7.2.3</w:t>
                              </w:r>
                            </w:sdtContent>
                          </w:sdt>
                          <w:r>
                            <w:rPr>
                              <w:szCs w:val="24"/>
                            </w:rPr>
                            <w:t xml:space="preserve">. </w:t>
                          </w:r>
                          <w:r>
                            <w:rPr>
                              <w:b/>
                              <w:bCs/>
                              <w:szCs w:val="24"/>
                            </w:rPr>
                            <w:t>4 tikslas</w:t>
                          </w:r>
                          <w:r>
                            <w:rPr>
                              <w:szCs w:val="24"/>
                            </w:rPr>
                            <w:t xml:space="preserve"> – užtikrinti ar palengvinti aštriašnipių eršketų migraciją Nemuno ir Neries baseinų upėse;</w:t>
                          </w:r>
                        </w:p>
                      </w:sdtContent>
                    </w:sdt>
                  </w:sdtContent>
                </w:sdt>
                <w:sdt>
                  <w:sdtPr>
                    <w:alias w:val="7.3 pp."/>
                    <w:tag w:val="part_7f8505e088a24c55933690a14abfaea1"/>
                    <w:lock w:val="sdtLocked"/>
                    <w:richText/>
                  </w:sdtPr>
                  <w:sdtContent>
                    <w:p>
                      <w:pPr>
                        <w:overflowPunct w:val="0"/>
                        <w:spacing w:line="276" w:lineRule="auto"/>
                        <w:ind w:firstLine="567"/>
                        <w:jc w:val="both"/>
                        <w:textAlignment w:val="baseline"/>
                        <w:rPr>
                          <w:szCs w:val="24"/>
                        </w:rPr>
                      </w:pPr>
                      <w:sdt>
                        <w:sdtPr>
                          <w:alias w:val="Numeris"/>
                          <w:tag w:val="nr_7f8505e088a24c55933690a14abfaea1"/>
                          <w:lock w:val="sdtLocked"/>
                          <w:richText/>
                        </w:sdtPr>
                        <w:sdtContent>
                          <w:r>
                            <w:rPr>
                              <w:szCs w:val="24"/>
                            </w:rPr>
                            <w:t>7.3</w:t>
                          </w:r>
                        </w:sdtContent>
                      </w:sdt>
                      <w:r>
                        <w:rPr>
                          <w:szCs w:val="24"/>
                        </w:rPr>
                        <w:t xml:space="preserve">. </w:t>
                      </w:r>
                      <w:r>
                        <w:rPr>
                          <w:b/>
                          <w:szCs w:val="24"/>
                        </w:rPr>
                        <w:t>3 kategorija</w:t>
                      </w:r>
                      <w:r>
                        <w:rPr>
                          <w:szCs w:val="24"/>
                        </w:rPr>
                        <w:t xml:space="preserve"> – administracinės sąlygos ir informavimas:</w:t>
                      </w:r>
                    </w:p>
                    <w:sdt>
                      <w:sdtPr>
                        <w:alias w:val="7.3.1 pp."/>
                        <w:tag w:val="part_9212dee54d6746e19b02711d60515ca6"/>
                        <w:lock w:val="sdtLocked"/>
                        <w:richText/>
                      </w:sdtPr>
                      <w:sdtContent>
                        <w:p>
                          <w:pPr>
                            <w:overflowPunct w:val="0"/>
                            <w:spacing w:line="276" w:lineRule="auto"/>
                            <w:ind w:firstLine="567"/>
                            <w:jc w:val="both"/>
                            <w:textAlignment w:val="baseline"/>
                            <w:rPr>
                              <w:szCs w:val="24"/>
                            </w:rPr>
                          </w:pPr>
                          <w:sdt>
                            <w:sdtPr>
                              <w:alias w:val="Numeris"/>
                              <w:tag w:val="nr_9212dee54d6746e19b02711d60515ca6"/>
                              <w:lock w:val="sdtLocked"/>
                              <w:richText/>
                            </w:sdtPr>
                            <w:sdtContent>
                              <w:r>
                                <w:rPr>
                                  <w:szCs w:val="24"/>
                                </w:rPr>
                                <w:t>7.3.1</w:t>
                              </w:r>
                            </w:sdtContent>
                          </w:sdt>
                          <w:r>
                            <w:rPr>
                              <w:szCs w:val="24"/>
                            </w:rPr>
                            <w:t xml:space="preserve">. </w:t>
                          </w:r>
                          <w:r>
                            <w:rPr>
                              <w:b/>
                              <w:bCs/>
                              <w:szCs w:val="24"/>
                            </w:rPr>
                            <w:t>5 tikslas</w:t>
                          </w:r>
                          <w:r>
                            <w:rPr>
                              <w:szCs w:val="24"/>
                            </w:rPr>
                            <w:t xml:space="preserve"> – didinti visuomenės, administracinį ir politinį supratimą apie aštriašnipių eršketų išsaugojimo reikšmingumą ir būtinumą;</w:t>
                          </w:r>
                        </w:p>
                      </w:sdtContent>
                    </w:sdt>
                    <w:sdt>
                      <w:sdtPr>
                        <w:alias w:val="7.3.2 pp."/>
                        <w:tag w:val="part_27aaeacafb434b40be3408755ed7e90e"/>
                        <w:lock w:val="sdtLocked"/>
                        <w:richText/>
                      </w:sdtPr>
                      <w:sdtContent>
                        <w:p>
                          <w:pPr>
                            <w:overflowPunct w:val="0"/>
                            <w:spacing w:line="276" w:lineRule="auto"/>
                            <w:ind w:firstLine="567"/>
                            <w:jc w:val="both"/>
                            <w:textAlignment w:val="baseline"/>
                            <w:rPr>
                              <w:szCs w:val="24"/>
                            </w:rPr>
                          </w:pPr>
                          <w:sdt>
                            <w:sdtPr>
                              <w:alias w:val="Numeris"/>
                              <w:tag w:val="nr_27aaeacafb434b40be3408755ed7e90e"/>
                              <w:lock w:val="sdtLocked"/>
                              <w:richText/>
                            </w:sdtPr>
                            <w:sdtContent>
                              <w:r>
                                <w:rPr>
                                  <w:szCs w:val="24"/>
                                </w:rPr>
                                <w:t>7.3.2</w:t>
                              </w:r>
                            </w:sdtContent>
                          </w:sdt>
                          <w:r>
                            <w:rPr>
                              <w:szCs w:val="24"/>
                            </w:rPr>
                            <w:t xml:space="preserve">. </w:t>
                          </w:r>
                          <w:r>
                            <w:rPr>
                              <w:b/>
                              <w:bCs/>
                              <w:szCs w:val="24"/>
                            </w:rPr>
                            <w:t>6 tikslas</w:t>
                          </w:r>
                          <w:r>
                            <w:rPr>
                              <w:szCs w:val="24"/>
                            </w:rPr>
                            <w:t xml:space="preserve"> – nustatyti tinkamas finansines ir teisines prielaidas aštriašnipių eršketų populiacijai atkurti;</w:t>
                          </w:r>
                        </w:p>
                      </w:sdtContent>
                    </w:sdt>
                    <w:sdt>
                      <w:sdtPr>
                        <w:alias w:val="7.3.3 pp."/>
                        <w:tag w:val="part_f699aee23bec484b8994e17f55f2cd26"/>
                        <w:lock w:val="sdtLocked"/>
                        <w:richText/>
                      </w:sdtPr>
                      <w:sdtContent>
                        <w:p>
                          <w:pPr>
                            <w:overflowPunct w:val="0"/>
                            <w:spacing w:line="276" w:lineRule="auto"/>
                            <w:ind w:firstLine="567"/>
                            <w:jc w:val="both"/>
                            <w:textAlignment w:val="baseline"/>
                            <w:rPr>
                              <w:szCs w:val="24"/>
                            </w:rPr>
                          </w:pPr>
                          <w:sdt>
                            <w:sdtPr>
                              <w:alias w:val="Numeris"/>
                              <w:tag w:val="nr_f699aee23bec484b8994e17f55f2cd26"/>
                              <w:lock w:val="sdtLocked"/>
                              <w:richText/>
                            </w:sdtPr>
                            <w:sdtContent>
                              <w:r>
                                <w:rPr>
                                  <w:szCs w:val="24"/>
                                </w:rPr>
                                <w:t>7.3.3</w:t>
                              </w:r>
                            </w:sdtContent>
                          </w:sdt>
                          <w:r>
                            <w:rPr>
                              <w:szCs w:val="24"/>
                            </w:rPr>
                            <w:t xml:space="preserve">. </w:t>
                          </w:r>
                          <w:r>
                            <w:rPr>
                              <w:b/>
                              <w:bCs/>
                              <w:szCs w:val="24"/>
                            </w:rPr>
                            <w:t>7 tikslas</w:t>
                          </w:r>
                          <w:r>
                            <w:rPr>
                              <w:szCs w:val="24"/>
                            </w:rPr>
                            <w:t xml:space="preserve"> – stebėti ir vertinti, kaip įgyvendinamas veiksmų planas.</w:t>
                          </w:r>
                        </w:p>
                      </w:sdtContent>
                    </w:sdt>
                  </w:sdtContent>
                </w:sdt>
              </w:sdtContent>
            </w:sdt>
            <w:sdt>
              <w:sdtPr>
                <w:alias w:val="8 p."/>
                <w:tag w:val="part_c6797d6087db474aa922c0ab47bdd117"/>
                <w:lock w:val="sdtLocked"/>
                <w:richText/>
              </w:sdtPr>
              <w:sdtContent>
                <w:p>
                  <w:pPr>
                    <w:spacing w:line="276" w:lineRule="auto"/>
                    <w:ind w:firstLine="567"/>
                    <w:jc w:val="both"/>
                    <w:rPr>
                      <w:szCs w:val="24"/>
                      <w:lang w:eastAsia="lt-LT"/>
                    </w:rPr>
                  </w:pPr>
                  <w:sdt>
                    <w:sdtPr>
                      <w:alias w:val="Numeris"/>
                      <w:tag w:val="nr_c6797d6087db474aa922c0ab47bdd117"/>
                      <w:lock w:val="sdtLocked"/>
                      <w:richText/>
                    </w:sdtPr>
                    <w:sdtContent>
                      <w:r>
                        <w:rPr>
                          <w:szCs w:val="24"/>
                          <w:lang w:eastAsia="lt-LT"/>
                        </w:rPr>
                        <w:t>8</w:t>
                      </w:r>
                    </w:sdtContent>
                  </w:sdt>
                  <w:r>
                    <w:rPr>
                      <w:szCs w:val="24"/>
                      <w:lang w:eastAsia="lt-LT"/>
                    </w:rPr>
                    <w:t>. Programos uždaviniai:</w:t>
                  </w:r>
                </w:p>
                <w:sdt>
                  <w:sdtPr>
                    <w:alias w:val="8.1 pp."/>
                    <w:tag w:val="part_1f11ba3ef4864f98a7fb47da5b02d3d7"/>
                    <w:lock w:val="sdtLocked"/>
                    <w:richText/>
                  </w:sdtPr>
                  <w:sdtContent>
                    <w:p>
                      <w:pPr>
                        <w:spacing w:line="276" w:lineRule="auto"/>
                        <w:ind w:firstLine="567"/>
                        <w:jc w:val="both"/>
                        <w:rPr>
                          <w:szCs w:val="24"/>
                          <w:lang w:eastAsia="lt-LT"/>
                        </w:rPr>
                      </w:pPr>
                      <w:sdt>
                        <w:sdtPr>
                          <w:alias w:val="Numeris"/>
                          <w:tag w:val="nr_1f11ba3ef4864f98a7fb47da5b02d3d7"/>
                          <w:lock w:val="sdtLocked"/>
                          <w:richText/>
                        </w:sdtPr>
                        <w:sdtContent>
                          <w:r>
                            <w:rPr>
                              <w:szCs w:val="24"/>
                              <w:lang w:eastAsia="lt-LT"/>
                            </w:rPr>
                            <w:t>8.1</w:t>
                          </w:r>
                        </w:sdtContent>
                      </w:sdt>
                      <w:r>
                        <w:rPr>
                          <w:szCs w:val="24"/>
                          <w:lang w:eastAsia="lt-LT"/>
                        </w:rPr>
                        <w:t>. sudaryti palankias sąlygas aštriašnipių eršketų populiacijai atkurti Lietuvos vandens telkiniuose;</w:t>
                      </w:r>
                    </w:p>
                  </w:sdtContent>
                </w:sdt>
                <w:sdt>
                  <w:sdtPr>
                    <w:alias w:val="8.2 pp."/>
                    <w:tag w:val="part_928bf4555a114cd9bef600a4b9a5b720"/>
                    <w:lock w:val="sdtLocked"/>
                    <w:richText/>
                  </w:sdtPr>
                  <w:sdtContent>
                    <w:p>
                      <w:pPr>
                        <w:spacing w:line="276" w:lineRule="auto"/>
                        <w:ind w:firstLine="567"/>
                        <w:jc w:val="both"/>
                        <w:rPr>
                          <w:szCs w:val="24"/>
                          <w:lang w:eastAsia="lt-LT"/>
                        </w:rPr>
                      </w:pPr>
                      <w:sdt>
                        <w:sdtPr>
                          <w:alias w:val="Numeris"/>
                          <w:tag w:val="nr_928bf4555a114cd9bef600a4b9a5b720"/>
                          <w:lock w:val="sdtLocked"/>
                          <w:richText/>
                        </w:sdtPr>
                        <w:sdtContent>
                          <w:r>
                            <w:rPr>
                              <w:szCs w:val="24"/>
                              <w:lang w:eastAsia="lt-LT"/>
                            </w:rPr>
                            <w:t>8.2</w:t>
                          </w:r>
                        </w:sdtContent>
                      </w:sdt>
                      <w:r>
                        <w:rPr>
                          <w:szCs w:val="24"/>
                          <w:lang w:eastAsia="lt-LT"/>
                        </w:rPr>
                        <w:t>. užtikrinti, kad kasmet į Lietuvos upes būtų įveisiamas mokslininkų rekomenduojamas aštriašnipių eršketų jauniklių kiekis.</w:t>
                      </w:r>
                    </w:p>
                    <w:p>
                      <w:pPr>
                        <w:spacing w:line="276" w:lineRule="auto"/>
                        <w:ind w:firstLine="567"/>
                        <w:jc w:val="both"/>
                        <w:rPr>
                          <w:szCs w:val="24"/>
                          <w:lang w:eastAsia="lt-LT"/>
                        </w:rPr>
                      </w:pPr>
                    </w:p>
                  </w:sdtContent>
                </w:sdt>
              </w:sdtContent>
            </w:sdt>
          </w:sdtContent>
        </w:sdt>
        <w:sdt>
          <w:sdtPr>
            <w:alias w:val="skyrius"/>
            <w:tag w:val="part_0f7ca2756ad245efbbfdc7236ce573c6"/>
            <w:lock w:val="sdtLocked"/>
            <w:richText/>
          </w:sdtPr>
          <w:sdtContent>
            <w:p>
              <w:pPr>
                <w:spacing w:line="276" w:lineRule="auto"/>
                <w:ind w:right="-284"/>
                <w:jc w:val="center"/>
                <w:rPr>
                  <w:b/>
                  <w:bCs/>
                  <w:caps/>
                  <w:szCs w:val="24"/>
                  <w:lang w:eastAsia="lt-LT"/>
                </w:rPr>
              </w:pPr>
              <w:sdt>
                <w:sdtPr>
                  <w:alias w:val="Numeris"/>
                  <w:tag w:val="nr_0f7ca2756ad245efbbfdc7236ce573c6"/>
                  <w:lock w:val="sdtLocked"/>
                  <w:richText/>
                </w:sdtPr>
                <w:sdtContent>
                  <w:r>
                    <w:rPr>
                      <w:b/>
                      <w:bCs/>
                      <w:caps/>
                      <w:szCs w:val="24"/>
                      <w:lang w:eastAsia="lt-LT"/>
                    </w:rPr>
                    <w:t>IV</w:t>
                  </w:r>
                </w:sdtContent>
              </w:sdt>
              <w:r>
                <w:rPr>
                  <w:b/>
                  <w:bCs/>
                  <w:caps/>
                  <w:szCs w:val="24"/>
                  <w:lang w:eastAsia="lt-LT"/>
                </w:rPr>
                <w:t xml:space="preserve"> SKYRIUS</w:t>
              </w:r>
            </w:p>
            <w:sdt>
              <w:sdtPr>
                <w:alias w:val="Pavadinimas"/>
                <w:tag w:val="title_0f7ca2756ad245efbbfdc7236ce573c6"/>
                <w:lock w:val="sdtLocked"/>
                <w:richText/>
              </w:sdtPr>
              <w:sdtContent>
                <w:p>
                  <w:pPr>
                    <w:spacing w:line="276" w:lineRule="auto"/>
                    <w:ind w:right="-284"/>
                    <w:jc w:val="center"/>
                    <w:rPr>
                      <w:b/>
                      <w:bCs/>
                      <w:caps/>
                      <w:szCs w:val="24"/>
                      <w:lang w:eastAsia="lt-LT"/>
                    </w:rPr>
                  </w:pPr>
                  <w:r>
                    <w:rPr>
                      <w:b/>
                      <w:bCs/>
                      <w:caps/>
                      <w:szCs w:val="24"/>
                      <w:lang w:eastAsia="lt-LT"/>
                    </w:rPr>
                    <w:t xml:space="preserve">PROGRAMOS VERTINIMO KRITERIJAI IR </w:t>
                  </w:r>
                </w:p>
                <w:p>
                  <w:pPr>
                    <w:spacing w:line="276" w:lineRule="auto"/>
                    <w:ind w:right="-284"/>
                    <w:jc w:val="center"/>
                    <w:rPr>
                      <w:szCs w:val="24"/>
                      <w:lang w:eastAsia="lt-LT"/>
                    </w:rPr>
                  </w:pPr>
                  <w:r>
                    <w:rPr>
                      <w:b/>
                      <w:bCs/>
                      <w:caps/>
                      <w:szCs w:val="24"/>
                      <w:lang w:eastAsia="lt-LT"/>
                    </w:rPr>
                    <w:t>SIEKIAMAS REZULTATAS</w:t>
                  </w:r>
                </w:p>
              </w:sdtContent>
            </w:sdt>
            <w:p>
              <w:pPr>
                <w:spacing w:line="276" w:lineRule="auto"/>
                <w:ind w:right="-284" w:firstLine="629"/>
                <w:jc w:val="both"/>
                <w:rPr>
                  <w:szCs w:val="24"/>
                  <w:lang w:eastAsia="lt-LT"/>
                </w:rPr>
              </w:pPr>
            </w:p>
            <w:sdt>
              <w:sdtPr>
                <w:alias w:val="9 p."/>
                <w:tag w:val="part_b73103318f26404b892924e4a5910212"/>
                <w:lock w:val="sdtLocked"/>
                <w:richText/>
              </w:sdtPr>
              <w:sdtContent>
                <w:p>
                  <w:pPr>
                    <w:spacing w:line="276" w:lineRule="auto"/>
                    <w:ind w:firstLine="567"/>
                    <w:jc w:val="both"/>
                    <w:rPr>
                      <w:szCs w:val="24"/>
                      <w:lang w:eastAsia="lt-LT"/>
                    </w:rPr>
                  </w:pPr>
                  <w:sdt>
                    <w:sdtPr>
                      <w:alias w:val="Numeris"/>
                      <w:tag w:val="nr_b73103318f26404b892924e4a5910212"/>
                      <w:lock w:val="sdtLocked"/>
                      <w:richText/>
                    </w:sdtPr>
                    <w:sdtContent>
                      <w:r>
                        <w:rPr>
                          <w:szCs w:val="24"/>
                          <w:lang w:eastAsia="lt-LT"/>
                        </w:rPr>
                        <w:t>9</w:t>
                      </w:r>
                    </w:sdtContent>
                  </w:sdt>
                  <w:r>
                    <w:rPr>
                      <w:szCs w:val="24"/>
                      <w:lang w:eastAsia="lt-LT"/>
                    </w:rPr>
                    <w:t xml:space="preserve">. Programos vertinimo kriterijus – </w:t>
                  </w:r>
                  <w:r>
                    <w:rPr>
                      <w:spacing w:val="-2"/>
                      <w:szCs w:val="24"/>
                      <w:lang w:eastAsia="lt-LT"/>
                    </w:rPr>
                    <w:t>kasmet į Lietuvos upes išleidžiamas mokslininkų rekomenduojamas aštriašnipių eršketų jauniklių kiekis (vienetais).</w:t>
                  </w:r>
                </w:p>
              </w:sdtContent>
            </w:sdt>
            <w:sdt>
              <w:sdtPr>
                <w:alias w:val="10 p."/>
                <w:tag w:val="part_ff4ca08f9cfd4e879deb28d5b36c5b04"/>
                <w:lock w:val="sdtLocked"/>
                <w:richText/>
              </w:sdtPr>
              <w:sdtContent>
                <w:p>
                  <w:pPr>
                    <w:spacing w:line="276" w:lineRule="auto"/>
                    <w:ind w:firstLine="567"/>
                    <w:jc w:val="both"/>
                    <w:rPr>
                      <w:szCs w:val="24"/>
                      <w:lang w:eastAsia="lt-LT"/>
                    </w:rPr>
                  </w:pPr>
                  <w:sdt>
                    <w:sdtPr>
                      <w:alias w:val="Numeris"/>
                      <w:tag w:val="nr_ff4ca08f9cfd4e879deb28d5b36c5b04"/>
                      <w:lock w:val="sdtLocked"/>
                      <w:richText/>
                    </w:sdtPr>
                    <w:sdtContent>
                      <w:r>
                        <w:rPr>
                          <w:szCs w:val="24"/>
                          <w:lang w:eastAsia="lt-LT"/>
                        </w:rPr>
                        <w:t>10</w:t>
                      </w:r>
                    </w:sdtContent>
                  </w:sdt>
                  <w:r>
                    <w:rPr>
                      <w:szCs w:val="24"/>
                      <w:lang w:eastAsia="lt-LT"/>
                    </w:rPr>
                    <w:t>. Programos siekiamas rezultatas – iki 2030 m. Nemuno, Neries ir Šventosios upėse atkurti gyvybingą, natūraliai neršiančių aštriašnipių eršketų populiaciją.</w:t>
                  </w:r>
                </w:p>
                <w:p>
                  <w:pPr>
                    <w:spacing w:line="276" w:lineRule="auto"/>
                    <w:ind w:firstLine="567"/>
                    <w:jc w:val="both"/>
                    <w:rPr>
                      <w:szCs w:val="24"/>
                      <w:lang w:eastAsia="lt-LT"/>
                    </w:rPr>
                  </w:pPr>
                </w:p>
              </w:sdtContent>
            </w:sdt>
          </w:sdtContent>
        </w:sdt>
        <w:sdt>
          <w:sdtPr>
            <w:alias w:val="skyrius"/>
            <w:tag w:val="part_f63473388bd0435d95d1f65f92d557ac"/>
            <w:lock w:val="sdtLocked"/>
            <w:richText/>
          </w:sdtPr>
          <w:sdtContent>
            <w:p>
              <w:pPr>
                <w:spacing w:line="276" w:lineRule="auto"/>
                <w:ind w:right="-284"/>
                <w:jc w:val="center"/>
                <w:rPr>
                  <w:b/>
                  <w:bCs/>
                  <w:caps/>
                  <w:szCs w:val="24"/>
                  <w:lang w:eastAsia="lt-LT"/>
                </w:rPr>
              </w:pPr>
              <w:sdt>
                <w:sdtPr>
                  <w:alias w:val="Numeris"/>
                  <w:tag w:val="nr_f63473388bd0435d95d1f65f92d557ac"/>
                  <w:lock w:val="sdtLocked"/>
                  <w:richText/>
                </w:sdtPr>
                <w:sdtContent>
                  <w:r>
                    <w:rPr>
                      <w:b/>
                      <w:bCs/>
                      <w:caps/>
                      <w:szCs w:val="24"/>
                      <w:lang w:eastAsia="lt-LT"/>
                    </w:rPr>
                    <w:t>V</w:t>
                  </w:r>
                </w:sdtContent>
              </w:sdt>
              <w:r>
                <w:rPr>
                  <w:b/>
                  <w:bCs/>
                  <w:caps/>
                  <w:szCs w:val="24"/>
                  <w:lang w:eastAsia="lt-LT"/>
                </w:rPr>
                <w:t xml:space="preserve"> SKYRIUS</w:t>
              </w:r>
            </w:p>
            <w:p>
              <w:pPr>
                <w:spacing w:line="276" w:lineRule="auto"/>
                <w:ind w:right="-284" w:firstLine="62"/>
                <w:jc w:val="center"/>
                <w:rPr>
                  <w:szCs w:val="24"/>
                  <w:lang w:val="en-US" w:eastAsia="lt-LT"/>
                </w:rPr>
              </w:pPr>
              <w:sdt>
                <w:sdtPr>
                  <w:alias w:val="Pavadinimas"/>
                  <w:tag w:val="title_f63473388bd0435d95d1f65f92d557ac"/>
                  <w:lock w:val="sdtLocked"/>
                  <w:richText/>
                </w:sdtPr>
                <w:sdtContent>
                  <w:r>
                    <w:rPr>
                      <w:b/>
                      <w:bCs/>
                      <w:caps/>
                      <w:szCs w:val="24"/>
                      <w:lang w:eastAsia="lt-LT"/>
                    </w:rPr>
                    <w:t>PROGRAMOS ĮGYVENDINIMO PRIEMONĖS</w:t>
                  </w:r>
                </w:sdtContent>
              </w:sdt>
            </w:p>
            <w:p>
              <w:pPr>
                <w:spacing w:line="276" w:lineRule="auto"/>
                <w:ind w:right="-284" w:firstLine="629"/>
                <w:jc w:val="both"/>
                <w:rPr>
                  <w:szCs w:val="24"/>
                  <w:lang w:val="en-US" w:eastAsia="lt-LT"/>
                </w:rPr>
              </w:pPr>
            </w:p>
            <w:sdt>
              <w:sdtPr>
                <w:alias w:val="11 p."/>
                <w:tag w:val="part_ff6b9fef915c4afcbcf50247cd945e61"/>
                <w:lock w:val="sdtLocked"/>
                <w:richText/>
              </w:sdtPr>
              <w:sdtContent>
                <w:p>
                  <w:pPr>
                    <w:spacing w:line="276" w:lineRule="auto"/>
                    <w:ind w:firstLine="567"/>
                    <w:jc w:val="both"/>
                    <w:rPr>
                      <w:szCs w:val="24"/>
                      <w:lang w:val="en-US" w:eastAsia="lt-LT"/>
                    </w:rPr>
                  </w:pPr>
                  <w:sdt>
                    <w:sdtPr>
                      <w:alias w:val="Numeris"/>
                      <w:tag w:val="nr_ff6b9fef915c4afcbcf50247cd945e61"/>
                      <w:lock w:val="sdtLocked"/>
                      <w:richText/>
                    </w:sdtPr>
                    <w:sdtContent>
                      <w:r>
                        <w:rPr>
                          <w:szCs w:val="24"/>
                          <w:lang w:eastAsia="lt-LT"/>
                        </w:rPr>
                        <w:t>11</w:t>
                      </w:r>
                    </w:sdtContent>
                  </w:sdt>
                  <w:r>
                    <w:rPr>
                      <w:szCs w:val="24"/>
                      <w:lang w:eastAsia="lt-LT"/>
                    </w:rPr>
                    <w:t>. Įgyvendinant Programą, numatoma vykdyti šias priemones:</w:t>
                  </w:r>
                </w:p>
                <w:sdt>
                  <w:sdtPr>
                    <w:alias w:val="11.1 pp."/>
                    <w:tag w:val="part_47e2f05d79c54db086632cf1fb0a1d7d"/>
                    <w:lock w:val="sdtLocked"/>
                    <w:richText/>
                  </w:sdtPr>
                  <w:sdtContent>
                    <w:p>
                      <w:pPr>
                        <w:spacing w:line="276" w:lineRule="auto"/>
                        <w:ind w:firstLine="567"/>
                        <w:jc w:val="both"/>
                        <w:rPr>
                          <w:szCs w:val="24"/>
                          <w:lang w:val="en-US" w:eastAsia="lt-LT"/>
                        </w:rPr>
                      </w:pPr>
                      <w:sdt>
                        <w:sdtPr>
                          <w:alias w:val="Numeris"/>
                          <w:tag w:val="nr_47e2f05d79c54db086632cf1fb0a1d7d"/>
                          <w:lock w:val="sdtLocked"/>
                          <w:richText/>
                        </w:sdtPr>
                        <w:sdtContent>
                          <w:r>
                            <w:rPr>
                              <w:szCs w:val="24"/>
                              <w:lang w:eastAsia="lt-LT"/>
                            </w:rPr>
                            <w:t>11.1</w:t>
                          </w:r>
                        </w:sdtContent>
                      </w:sdt>
                      <w:r>
                        <w:rPr>
                          <w:szCs w:val="24"/>
                          <w:lang w:eastAsia="lt-LT"/>
                        </w:rPr>
                        <w:t>. eksploatuoti aštriašnipių eršketų veisimo ir paauginimo cechus Žuvininkystės tarnybos prie Lietuvos Respublikos žemės ūkio ministerijos (toliau – Žuvininkystės tarnyba) padaliniuose, taikyti naujausias eršketinių žuvų veisimo ir paauginimo technologijas, jei reikia, įsigyti tam skirtą įrangą ir priemonių;</w:t>
                      </w:r>
                    </w:p>
                  </w:sdtContent>
                </w:sdt>
                <w:sdt>
                  <w:sdtPr>
                    <w:alias w:val="11.2 pp."/>
                    <w:tag w:val="part_6c6b8b05a5aa4da093452a300ea0fe1a"/>
                    <w:lock w:val="sdtLocked"/>
                    <w:richText/>
                  </w:sdtPr>
                  <w:sdtContent>
                    <w:p>
                      <w:pPr>
                        <w:spacing w:line="276" w:lineRule="auto"/>
                        <w:ind w:firstLine="567"/>
                        <w:jc w:val="both"/>
                        <w:rPr>
                          <w:szCs w:val="24"/>
                          <w:lang w:val="en-US" w:eastAsia="lt-LT"/>
                        </w:rPr>
                      </w:pPr>
                      <w:sdt>
                        <w:sdtPr>
                          <w:alias w:val="Numeris"/>
                          <w:tag w:val="nr_6c6b8b05a5aa4da093452a300ea0fe1a"/>
                          <w:lock w:val="sdtLocked"/>
                          <w:richText/>
                        </w:sdtPr>
                        <w:sdtContent>
                          <w:r>
                            <w:rPr>
                              <w:szCs w:val="24"/>
                              <w:lang w:eastAsia="lt-LT"/>
                            </w:rPr>
                            <w:t>11.2</w:t>
                          </w:r>
                        </w:sdtContent>
                      </w:sdt>
                      <w:r>
                        <w:rPr>
                          <w:szCs w:val="24"/>
                          <w:lang w:eastAsia="lt-LT"/>
                        </w:rPr>
                        <w:t>. įsigyti aštriašnipių eršketų ikrų ir juos inkubuoti;</w:t>
                      </w:r>
                    </w:p>
                  </w:sdtContent>
                </w:sdt>
                <w:sdt>
                  <w:sdtPr>
                    <w:alias w:val="11.3 pp."/>
                    <w:tag w:val="part_ad9e0fd34a3940ef9bcfb69fa329125c"/>
                    <w:lock w:val="sdtLocked"/>
                    <w:richText/>
                  </w:sdtPr>
                  <w:sdtContent>
                    <w:p>
                      <w:pPr>
                        <w:spacing w:line="276" w:lineRule="auto"/>
                        <w:ind w:firstLine="567"/>
                        <w:jc w:val="both"/>
                        <w:rPr>
                          <w:szCs w:val="24"/>
                          <w:lang w:eastAsia="lt-LT"/>
                        </w:rPr>
                      </w:pPr>
                      <w:sdt>
                        <w:sdtPr>
                          <w:alias w:val="Numeris"/>
                          <w:tag w:val="nr_ad9e0fd34a3940ef9bcfb69fa329125c"/>
                          <w:lock w:val="sdtLocked"/>
                          <w:richText/>
                        </w:sdtPr>
                        <w:sdtContent>
                          <w:r>
                            <w:rPr>
                              <w:szCs w:val="24"/>
                              <w:lang w:eastAsia="lt-LT"/>
                            </w:rPr>
                            <w:t>11.3</w:t>
                          </w:r>
                        </w:sdtContent>
                      </w:sdt>
                      <w:r>
                        <w:rPr>
                          <w:szCs w:val="24"/>
                          <w:lang w:eastAsia="lt-LT"/>
                        </w:rPr>
                        <w:t>. veisti arba įsigyti aštriašnipių eršketų jauniklių ir juos paauginti;</w:t>
                      </w:r>
                    </w:p>
                  </w:sdtContent>
                </w:sdt>
                <w:sdt>
                  <w:sdtPr>
                    <w:alias w:val="11.4 pp."/>
                    <w:tag w:val="part_de49e0e4d9754ee8af2d7e4217023f9c"/>
                    <w:lock w:val="sdtLocked"/>
                    <w:richText/>
                  </w:sdtPr>
                  <w:sdtContent>
                    <w:p>
                      <w:pPr>
                        <w:spacing w:line="276" w:lineRule="auto"/>
                        <w:ind w:firstLine="567"/>
                        <w:jc w:val="both"/>
                        <w:rPr>
                          <w:szCs w:val="24"/>
                          <w:lang w:eastAsia="lt-LT"/>
                        </w:rPr>
                      </w:pPr>
                      <w:sdt>
                        <w:sdtPr>
                          <w:alias w:val="Numeris"/>
                          <w:tag w:val="nr_de49e0e4d9754ee8af2d7e4217023f9c"/>
                          <w:lock w:val="sdtLocked"/>
                          <w:richText/>
                        </w:sdtPr>
                        <w:sdtContent>
                          <w:r>
                            <w:rPr>
                              <w:szCs w:val="24"/>
                              <w:lang w:eastAsia="lt-LT"/>
                            </w:rPr>
                            <w:t>11.4</w:t>
                          </w:r>
                        </w:sdtContent>
                      </w:sdt>
                      <w:r>
                        <w:rPr>
                          <w:szCs w:val="24"/>
                          <w:lang w:eastAsia="lt-LT"/>
                        </w:rPr>
                        <w:t>. vykdyti aštriašnipių eršketų išteklių fiziologinės būklės stebėseną, atlikti ichtiopatologinius ir genetinius tyrimus;</w:t>
                      </w:r>
                    </w:p>
                  </w:sdtContent>
                </w:sdt>
                <w:sdt>
                  <w:sdtPr>
                    <w:alias w:val="11.5 pp."/>
                    <w:tag w:val="part_4b84d6818f214417acf324ef500b09f5"/>
                    <w:lock w:val="sdtLocked"/>
                    <w:richText/>
                  </w:sdtPr>
                  <w:sdtContent>
                    <w:p>
                      <w:pPr>
                        <w:spacing w:line="276" w:lineRule="auto"/>
                        <w:ind w:firstLine="567"/>
                        <w:jc w:val="both"/>
                        <w:rPr>
                          <w:szCs w:val="24"/>
                          <w:lang w:eastAsia="lt-LT"/>
                        </w:rPr>
                      </w:pPr>
                      <w:sdt>
                        <w:sdtPr>
                          <w:alias w:val="Numeris"/>
                          <w:tag w:val="nr_4b84d6818f214417acf324ef500b09f5"/>
                          <w:lock w:val="sdtLocked"/>
                          <w:richText/>
                        </w:sdtPr>
                        <w:sdtContent>
                          <w:r>
                            <w:rPr>
                              <w:szCs w:val="24"/>
                              <w:lang w:eastAsia="lt-LT"/>
                            </w:rPr>
                            <w:t>11.5</w:t>
                          </w:r>
                        </w:sdtContent>
                      </w:sdt>
                      <w:r>
                        <w:rPr>
                          <w:szCs w:val="24"/>
                          <w:lang w:eastAsia="lt-LT"/>
                        </w:rPr>
                        <w:t xml:space="preserve">. išleisti į Nemuno, Neries ir Šventosios  upes aštriašnipių eršketų jauniklių;</w:t>
                      </w:r>
                    </w:p>
                  </w:sdtContent>
                </w:sdt>
                <w:sdt>
                  <w:sdtPr>
                    <w:alias w:val="11.6 pp."/>
                    <w:tag w:val="part_ce8a93f80587424ea22216e9f6218cb6"/>
                    <w:lock w:val="sdtLocked"/>
                    <w:richText/>
                  </w:sdtPr>
                  <w:sdtContent>
                    <w:p>
                      <w:pPr>
                        <w:spacing w:line="276" w:lineRule="auto"/>
                        <w:ind w:firstLine="567"/>
                        <w:jc w:val="both"/>
                        <w:rPr>
                          <w:szCs w:val="24"/>
                          <w:lang w:eastAsia="lt-LT"/>
                        </w:rPr>
                      </w:pPr>
                      <w:sdt>
                        <w:sdtPr>
                          <w:alias w:val="Numeris"/>
                          <w:tag w:val="nr_ce8a93f80587424ea22216e9f6218cb6"/>
                          <w:lock w:val="sdtLocked"/>
                          <w:richText/>
                        </w:sdtPr>
                        <w:sdtContent>
                          <w:r>
                            <w:rPr>
                              <w:szCs w:val="24"/>
                              <w:lang w:eastAsia="lt-LT"/>
                            </w:rPr>
                            <w:t>11.6</w:t>
                          </w:r>
                        </w:sdtContent>
                      </w:sdt>
                      <w:r>
                        <w:rPr>
                          <w:szCs w:val="24"/>
                          <w:lang w:eastAsia="lt-LT"/>
                        </w:rPr>
                        <w:t>. aštriašnipius eršketų jauniklius ženklinti telemetriniais ženklais;</w:t>
                      </w:r>
                    </w:p>
                  </w:sdtContent>
                </w:sdt>
                <w:sdt>
                  <w:sdtPr>
                    <w:alias w:val="11.7 pp."/>
                    <w:tag w:val="part_85a98d8948de4680b5a2d50a76f20069"/>
                    <w:lock w:val="sdtLocked"/>
                    <w:richText/>
                  </w:sdtPr>
                  <w:sdtContent>
                    <w:p>
                      <w:pPr>
                        <w:spacing w:line="276" w:lineRule="auto"/>
                        <w:ind w:firstLine="567"/>
                        <w:jc w:val="both"/>
                        <w:rPr>
                          <w:szCs w:val="24"/>
                          <w:lang w:eastAsia="lt-LT"/>
                        </w:rPr>
                      </w:pPr>
                      <w:sdt>
                        <w:sdtPr>
                          <w:alias w:val="Numeris"/>
                          <w:tag w:val="nr_85a98d8948de4680b5a2d50a76f20069"/>
                          <w:lock w:val="sdtLocked"/>
                          <w:richText/>
                        </w:sdtPr>
                        <w:sdtContent>
                          <w:r>
                            <w:rPr>
                              <w:szCs w:val="24"/>
                              <w:lang w:eastAsia="lt-LT"/>
                            </w:rPr>
                            <w:t>11.7</w:t>
                          </w:r>
                        </w:sdtContent>
                      </w:sdt>
                      <w:r>
                        <w:rPr>
                          <w:szCs w:val="24"/>
                          <w:lang w:eastAsia="lt-LT"/>
                        </w:rPr>
                        <w:t>. įsigyti telemetrinių ženklų sekimo įrangą ir stebėti ženklintų aštriašnipių eršketų jauniklius;</w:t>
                      </w:r>
                    </w:p>
                  </w:sdtContent>
                </w:sdt>
                <w:sdt>
                  <w:sdtPr>
                    <w:alias w:val="11.8 pp."/>
                    <w:tag w:val="part_ddb3a0790a9e4e68bd0b9cb499d4eec0"/>
                    <w:lock w:val="sdtLocked"/>
                    <w:richText/>
                  </w:sdtPr>
                  <w:sdtContent>
                    <w:p>
                      <w:pPr>
                        <w:spacing w:line="276" w:lineRule="auto"/>
                        <w:ind w:firstLine="567"/>
                        <w:jc w:val="both"/>
                        <w:rPr>
                          <w:szCs w:val="24"/>
                          <w:lang w:eastAsia="lt-LT"/>
                        </w:rPr>
                      </w:pPr>
                      <w:sdt>
                        <w:sdtPr>
                          <w:alias w:val="Numeris"/>
                          <w:tag w:val="nr_ddb3a0790a9e4e68bd0b9cb499d4eec0"/>
                          <w:lock w:val="sdtLocked"/>
                          <w:richText/>
                        </w:sdtPr>
                        <w:sdtContent>
                          <w:r>
                            <w:rPr>
                              <w:szCs w:val="24"/>
                              <w:lang w:eastAsia="lt-LT"/>
                            </w:rPr>
                            <w:t>11.8</w:t>
                          </w:r>
                        </w:sdtContent>
                      </w:sdt>
                      <w:r>
                        <w:rPr>
                          <w:szCs w:val="24"/>
                          <w:lang w:eastAsia="lt-LT"/>
                        </w:rPr>
                        <w:t>. tirti aštriašnipių eršketų migraciją ir elgseną;</w:t>
                      </w:r>
                    </w:p>
                  </w:sdtContent>
                </w:sdt>
                <w:sdt>
                  <w:sdtPr>
                    <w:alias w:val="11.9 pp."/>
                    <w:tag w:val="part_bed006f06e564cb9b5cffaeb28dd5a73"/>
                    <w:lock w:val="sdtLocked"/>
                    <w:richText/>
                  </w:sdtPr>
                  <w:sdtContent>
                    <w:p>
                      <w:pPr>
                        <w:spacing w:line="276" w:lineRule="auto"/>
                        <w:ind w:firstLine="567"/>
                        <w:jc w:val="both"/>
                        <w:rPr>
                          <w:szCs w:val="24"/>
                          <w:lang w:eastAsia="lt-LT"/>
                        </w:rPr>
                      </w:pPr>
                      <w:sdt>
                        <w:sdtPr>
                          <w:alias w:val="Numeris"/>
                          <w:tag w:val="nr_bed006f06e564cb9b5cffaeb28dd5a73"/>
                          <w:lock w:val="sdtLocked"/>
                          <w:richText/>
                        </w:sdtPr>
                        <w:sdtContent>
                          <w:r>
                            <w:rPr>
                              <w:szCs w:val="24"/>
                              <w:lang w:eastAsia="lt-LT"/>
                            </w:rPr>
                            <w:t>11.9</w:t>
                          </w:r>
                        </w:sdtContent>
                      </w:sdt>
                      <w:r>
                        <w:rPr>
                          <w:szCs w:val="24"/>
                          <w:lang w:eastAsia="lt-LT"/>
                        </w:rPr>
                        <w:t>. tirti aštriašnipių eršketų augimą ir mitybą natūraliomis sąlygomis;</w:t>
                      </w:r>
                    </w:p>
                  </w:sdtContent>
                </w:sdt>
                <w:sdt>
                  <w:sdtPr>
                    <w:alias w:val="11.10 pp."/>
                    <w:tag w:val="part_c0c3d9a5d6b345a282fe694fda9b8f5c"/>
                    <w:lock w:val="sdtLocked"/>
                    <w:richText/>
                  </w:sdtPr>
                  <w:sdtContent>
                    <w:p>
                      <w:pPr>
                        <w:spacing w:line="276" w:lineRule="auto"/>
                        <w:ind w:firstLine="567"/>
                        <w:jc w:val="both"/>
                        <w:rPr>
                          <w:szCs w:val="24"/>
                          <w:lang w:eastAsia="lt-LT"/>
                        </w:rPr>
                      </w:pPr>
                      <w:sdt>
                        <w:sdtPr>
                          <w:alias w:val="Numeris"/>
                          <w:tag w:val="nr_c0c3d9a5d6b345a282fe694fda9b8f5c"/>
                          <w:lock w:val="sdtLocked"/>
                          <w:richText/>
                        </w:sdtPr>
                        <w:sdtContent>
                          <w:r>
                            <w:rPr>
                              <w:szCs w:val="24"/>
                              <w:lang w:eastAsia="lt-LT"/>
                            </w:rPr>
                            <w:t>11.10</w:t>
                          </w:r>
                        </w:sdtContent>
                      </w:sdt>
                      <w:r>
                        <w:rPr>
                          <w:szCs w:val="24"/>
                          <w:lang w:eastAsia="lt-LT"/>
                        </w:rPr>
                        <w:t>. sudaryti aštriašnipių eršketų reproduktorių bandą Žuvininkystės tarnybos Žuvivaisos skyriaus poskyriuose ir ją naudoti veisimui;</w:t>
                      </w:r>
                    </w:p>
                  </w:sdtContent>
                </w:sdt>
                <w:sdt>
                  <w:sdtPr>
                    <w:alias w:val="11.11 pp."/>
                    <w:tag w:val="part_f0d18071dc5d4bc28b11b164415bb57f"/>
                    <w:lock w:val="sdtLocked"/>
                    <w:richText/>
                  </w:sdtPr>
                  <w:sdtContent>
                    <w:p>
                      <w:pPr>
                        <w:spacing w:line="276" w:lineRule="auto"/>
                        <w:ind w:firstLine="567"/>
                        <w:jc w:val="both"/>
                        <w:rPr>
                          <w:szCs w:val="24"/>
                          <w:lang w:val="en-US" w:eastAsia="lt-LT"/>
                        </w:rPr>
                      </w:pPr>
                      <w:sdt>
                        <w:sdtPr>
                          <w:alias w:val="Numeris"/>
                          <w:tag w:val="nr_f0d18071dc5d4bc28b11b164415bb57f"/>
                          <w:lock w:val="sdtLocked"/>
                          <w:richText/>
                        </w:sdtPr>
                        <w:sdtContent>
                          <w:r>
                            <w:rPr>
                              <w:szCs w:val="24"/>
                              <w:lang w:eastAsia="lt-LT"/>
                            </w:rPr>
                            <w:t>11.11</w:t>
                          </w:r>
                        </w:sdtContent>
                      </w:sdt>
                      <w:r>
                        <w:rPr>
                          <w:szCs w:val="24"/>
                          <w:lang w:eastAsia="lt-LT"/>
                        </w:rPr>
                        <w:t>. įsigyti reproduktoriams auginti ir laikyti reikalingą įrangą;</w:t>
                      </w:r>
                    </w:p>
                  </w:sdtContent>
                </w:sdt>
                <w:sdt>
                  <w:sdtPr>
                    <w:alias w:val="11.12 pp."/>
                    <w:tag w:val="part_daf0eb231bac4fc5acdb27e321e02918"/>
                    <w:lock w:val="sdtLocked"/>
                    <w:richText/>
                  </w:sdtPr>
                  <w:sdtContent>
                    <w:p>
                      <w:pPr>
                        <w:spacing w:line="276" w:lineRule="auto"/>
                        <w:ind w:firstLine="567"/>
                        <w:jc w:val="both"/>
                        <w:rPr>
                          <w:szCs w:val="24"/>
                          <w:lang w:val="en-US" w:eastAsia="lt-LT"/>
                        </w:rPr>
                      </w:pPr>
                      <w:sdt>
                        <w:sdtPr>
                          <w:alias w:val="Numeris"/>
                          <w:tag w:val="nr_daf0eb231bac4fc5acdb27e321e02918"/>
                          <w:lock w:val="sdtLocked"/>
                          <w:richText/>
                        </w:sdtPr>
                        <w:sdtContent>
                          <w:r>
                            <w:rPr>
                              <w:szCs w:val="24"/>
                              <w:lang w:eastAsia="lt-LT"/>
                            </w:rPr>
                            <w:t>11.12</w:t>
                          </w:r>
                        </w:sdtContent>
                      </w:sdt>
                      <w:r>
                        <w:rPr>
                          <w:szCs w:val="24"/>
                          <w:lang w:eastAsia="lt-LT"/>
                        </w:rPr>
                        <w:t xml:space="preserve">. reglamentuoti verslinę ir mėgėjų žvejybą nustatant priemones, </w:t>
                      </w:r>
                      <w:r>
                        <w:rPr>
                          <w:szCs w:val="24"/>
                          <w:lang w:val="en-GB" w:eastAsia="lt-LT"/>
                        </w:rPr>
                        <w:t>kad aštriašnipių eršketų būtų sugaunama mažiau</w:t>
                      </w:r>
                      <w:r>
                        <w:rPr>
                          <w:szCs w:val="24"/>
                          <w:lang w:eastAsia="lt-LT"/>
                        </w:rPr>
                        <w:t>;</w:t>
                      </w:r>
                    </w:p>
                  </w:sdtContent>
                </w:sdt>
                <w:sdt>
                  <w:sdtPr>
                    <w:alias w:val="11.13 pp."/>
                    <w:tag w:val="part_d22f7a27f6264668a308c4fab9b7f058"/>
                    <w:lock w:val="sdtLocked"/>
                    <w:richText/>
                  </w:sdtPr>
                  <w:sdtContent>
                    <w:p>
                      <w:pPr>
                        <w:spacing w:line="276" w:lineRule="auto"/>
                        <w:ind w:firstLine="567"/>
                        <w:jc w:val="both"/>
                        <w:rPr>
                          <w:szCs w:val="24"/>
                          <w:lang w:val="en-US" w:eastAsia="lt-LT"/>
                        </w:rPr>
                      </w:pPr>
                      <w:sdt>
                        <w:sdtPr>
                          <w:alias w:val="Numeris"/>
                          <w:tag w:val="nr_d22f7a27f6264668a308c4fab9b7f058"/>
                          <w:lock w:val="sdtLocked"/>
                          <w:richText/>
                        </w:sdtPr>
                        <w:sdtContent>
                          <w:r>
                            <w:rPr>
                              <w:szCs w:val="24"/>
                              <w:lang w:eastAsia="lt-LT"/>
                            </w:rPr>
                            <w:t>11.13</w:t>
                          </w:r>
                        </w:sdtContent>
                      </w:sdt>
                      <w:r>
                        <w:rPr>
                          <w:szCs w:val="24"/>
                          <w:lang w:eastAsia="lt-LT"/>
                        </w:rPr>
                        <w:t>. siekti, kad nebūtų statomos užtvankos ar kiti hidrotechniniai įrenginiai, apsunkinantys žuvų migraciją upėse, svarbiose aštriašnipiams eršketams migruoti;</w:t>
                      </w:r>
                    </w:p>
                  </w:sdtContent>
                </w:sdt>
                <w:sdt>
                  <w:sdtPr>
                    <w:alias w:val="11.14 pp."/>
                    <w:tag w:val="part_145a862c05db498394938b5f6f5214ad"/>
                    <w:lock w:val="sdtLocked"/>
                    <w:richText/>
                  </w:sdtPr>
                  <w:sdtContent>
                    <w:p>
                      <w:pPr>
                        <w:spacing w:line="276" w:lineRule="auto"/>
                        <w:ind w:firstLine="567"/>
                        <w:jc w:val="both"/>
                        <w:rPr>
                          <w:szCs w:val="24"/>
                          <w:lang w:val="en-US" w:eastAsia="lt-LT"/>
                        </w:rPr>
                      </w:pPr>
                      <w:sdt>
                        <w:sdtPr>
                          <w:alias w:val="Numeris"/>
                          <w:tag w:val="nr_145a862c05db498394938b5f6f5214ad"/>
                          <w:lock w:val="sdtLocked"/>
                          <w:richText/>
                        </w:sdtPr>
                        <w:sdtContent>
                          <w:r>
                            <w:rPr>
                              <w:szCs w:val="24"/>
                              <w:lang w:eastAsia="lt-LT"/>
                            </w:rPr>
                            <w:t>11.14</w:t>
                          </w:r>
                        </w:sdtContent>
                      </w:sdt>
                      <w:r>
                        <w:rPr>
                          <w:szCs w:val="24"/>
                          <w:lang w:eastAsia="lt-LT"/>
                        </w:rPr>
                        <w:t>. informuoti visuomenę apie aštriašnipių eršketų išteklių atkūrimą.</w:t>
                      </w:r>
                    </w:p>
                  </w:sdtContent>
                </w:sdt>
              </w:sdtContent>
            </w:sdt>
            <w:sdt>
              <w:sdtPr>
                <w:alias w:val="12 p."/>
                <w:tag w:val="part_ce7a3adb5e304691b53f0f8cac9e4a9d"/>
                <w:lock w:val="sdtLocked"/>
                <w:richText/>
              </w:sdtPr>
              <w:sdtContent>
                <w:p>
                  <w:pPr>
                    <w:spacing w:line="276" w:lineRule="auto"/>
                    <w:ind w:firstLine="567"/>
                    <w:jc w:val="both"/>
                    <w:rPr>
                      <w:szCs w:val="24"/>
                      <w:lang w:val="en-US" w:eastAsia="lt-LT"/>
                    </w:rPr>
                  </w:pPr>
                  <w:sdt>
                    <w:sdtPr>
                      <w:alias w:val="Numeris"/>
                      <w:tag w:val="nr_ce7a3adb5e304691b53f0f8cac9e4a9d"/>
                      <w:lock w:val="sdtLocked"/>
                      <w:richText/>
                    </w:sdtPr>
                    <w:sdtContent>
                      <w:r>
                        <w:rPr>
                          <w:szCs w:val="24"/>
                          <w:lang w:eastAsia="lt-LT"/>
                        </w:rPr>
                        <w:t>12</w:t>
                      </w:r>
                    </w:sdtContent>
                  </w:sdt>
                  <w:r>
                    <w:rPr>
                      <w:szCs w:val="24"/>
                      <w:lang w:eastAsia="lt-LT"/>
                    </w:rPr>
                    <w:t>. Programos įgyvendinimo priemonių planas pateikiamas priede.</w:t>
                  </w:r>
                </w:p>
                <w:p>
                  <w:pPr>
                    <w:spacing w:line="276" w:lineRule="auto"/>
                    <w:ind w:firstLine="567"/>
                    <w:jc w:val="both"/>
                    <w:rPr>
                      <w:szCs w:val="24"/>
                      <w:lang w:val="en-US" w:eastAsia="lt-LT"/>
                    </w:rPr>
                  </w:pPr>
                </w:p>
              </w:sdtContent>
            </w:sdt>
          </w:sdtContent>
        </w:sdt>
        <w:sdt>
          <w:sdtPr>
            <w:alias w:val="skyrius"/>
            <w:tag w:val="part_a98ef85d3c084ad3b0cd06b8c6b1bd2a"/>
            <w:lock w:val="sdtLocked"/>
            <w:richText/>
          </w:sdtPr>
          <w:sdtContent>
            <w:p>
              <w:pPr>
                <w:spacing w:line="276" w:lineRule="auto"/>
                <w:ind w:right="-284"/>
                <w:jc w:val="center"/>
                <w:rPr>
                  <w:b/>
                  <w:bCs/>
                  <w:caps/>
                  <w:szCs w:val="24"/>
                  <w:lang w:eastAsia="lt-LT"/>
                </w:rPr>
              </w:pPr>
              <w:sdt>
                <w:sdtPr>
                  <w:alias w:val="Numeris"/>
                  <w:tag w:val="nr_a98ef85d3c084ad3b0cd06b8c6b1bd2a"/>
                  <w:lock w:val="sdtLocked"/>
                  <w:richText/>
                </w:sdtPr>
                <w:sdtContent>
                  <w:r>
                    <w:rPr>
                      <w:b/>
                      <w:bCs/>
                      <w:caps/>
                      <w:szCs w:val="24"/>
                      <w:lang w:eastAsia="lt-LT"/>
                    </w:rPr>
                    <w:t>VI</w:t>
                  </w:r>
                </w:sdtContent>
              </w:sdt>
              <w:r>
                <w:rPr>
                  <w:b/>
                  <w:bCs/>
                  <w:caps/>
                  <w:szCs w:val="24"/>
                  <w:lang w:eastAsia="lt-LT"/>
                </w:rPr>
                <w:t xml:space="preserve"> SKYRIUS</w:t>
              </w:r>
            </w:p>
            <w:p>
              <w:pPr>
                <w:spacing w:line="276" w:lineRule="auto"/>
                <w:ind w:right="-284" w:firstLine="62"/>
                <w:jc w:val="center"/>
                <w:rPr>
                  <w:szCs w:val="24"/>
                  <w:lang w:eastAsia="lt-LT"/>
                </w:rPr>
              </w:pPr>
              <w:sdt>
                <w:sdtPr>
                  <w:alias w:val="Pavadinimas"/>
                  <w:tag w:val="title_a98ef85d3c084ad3b0cd06b8c6b1bd2a"/>
                  <w:lock w:val="sdtLocked"/>
                  <w:richText/>
                </w:sdtPr>
                <w:sdtContent>
                  <w:r>
                    <w:rPr>
                      <w:b/>
                      <w:bCs/>
                      <w:caps/>
                      <w:szCs w:val="24"/>
                      <w:lang w:eastAsia="lt-LT"/>
                    </w:rPr>
                    <w:t>PROGRAMOS KOORDINAVIMAS IR ĮGYVENDINIMAS</w:t>
                  </w:r>
                </w:sdtContent>
              </w:sdt>
            </w:p>
            <w:p>
              <w:pPr>
                <w:spacing w:line="276" w:lineRule="auto"/>
                <w:ind w:right="-284" w:firstLine="629"/>
                <w:jc w:val="both"/>
                <w:rPr>
                  <w:szCs w:val="24"/>
                  <w:lang w:eastAsia="lt-LT"/>
                </w:rPr>
              </w:pPr>
            </w:p>
            <w:sdt>
              <w:sdtPr>
                <w:alias w:val="13 p."/>
                <w:tag w:val="part_4f331b5e62084ec7b8faa7b4e9b4d7f7"/>
                <w:lock w:val="sdtLocked"/>
                <w:richText/>
              </w:sdtPr>
              <w:sdtContent>
                <w:p>
                  <w:pPr>
                    <w:spacing w:line="276" w:lineRule="auto"/>
                    <w:ind w:firstLine="567"/>
                    <w:jc w:val="both"/>
                    <w:rPr>
                      <w:szCs w:val="24"/>
                      <w:lang w:eastAsia="lt-LT"/>
                    </w:rPr>
                  </w:pPr>
                  <w:sdt>
                    <w:sdtPr>
                      <w:alias w:val="Numeris"/>
                      <w:tag w:val="nr_4f331b5e62084ec7b8faa7b4e9b4d7f7"/>
                      <w:lock w:val="sdtLocked"/>
                      <w:richText/>
                    </w:sdtPr>
                    <w:sdtContent>
                      <w:r>
                        <w:rPr>
                          <w:szCs w:val="24"/>
                          <w:lang w:eastAsia="lt-LT"/>
                        </w:rPr>
                        <w:t>13</w:t>
                      </w:r>
                    </w:sdtContent>
                  </w:sdt>
                  <w:r>
                    <w:rPr>
                      <w:szCs w:val="24"/>
                      <w:lang w:eastAsia="lt-LT"/>
                    </w:rPr>
                    <w:t>. Programos įgyvendinimą koordinuoja Aštriašnipių eršketų populiacijos atkūrimo Lietuvoje 2022–2026 metais programos įgyvendinimo priežiūros grupė (toliau – Priežiūros grupė), kurios sudėtį tvirtina žemės ūkio ir aplinkos ministrai.</w:t>
                  </w:r>
                </w:p>
              </w:sdtContent>
            </w:sdt>
            <w:sdt>
              <w:sdtPr>
                <w:alias w:val="14 p."/>
                <w:tag w:val="part_7953a24ed1da4e92b02a9664741fc835"/>
                <w:lock w:val="sdtLocked"/>
                <w:richText/>
              </w:sdtPr>
              <w:sdtContent>
                <w:p>
                  <w:pPr>
                    <w:spacing w:line="276" w:lineRule="auto"/>
                    <w:ind w:firstLine="567"/>
                    <w:jc w:val="both"/>
                    <w:rPr>
                      <w:szCs w:val="24"/>
                      <w:lang w:eastAsia="lt-LT"/>
                    </w:rPr>
                  </w:pPr>
                  <w:sdt>
                    <w:sdtPr>
                      <w:alias w:val="Numeris"/>
                      <w:tag w:val="nr_7953a24ed1da4e92b02a9664741fc835"/>
                      <w:lock w:val="sdtLocked"/>
                      <w:richText/>
                    </w:sdtPr>
                    <w:sdtContent>
                      <w:r>
                        <w:rPr>
                          <w:szCs w:val="24"/>
                          <w:lang w:eastAsia="lt-LT"/>
                        </w:rPr>
                        <w:t>14</w:t>
                      </w:r>
                    </w:sdtContent>
                  </w:sdt>
                  <w:r>
                    <w:rPr>
                      <w:szCs w:val="24"/>
                      <w:lang w:eastAsia="lt-LT"/>
                    </w:rPr>
                    <w:t>. Programą pagal kompetenciją įgyvendina Žuvininkystės tarnyba. Įgyvendinant programą, gali dalyvauti mokslo ir studijų institucijos.</w:t>
                  </w:r>
                </w:p>
              </w:sdtContent>
            </w:sdt>
            <w:sdt>
              <w:sdtPr>
                <w:alias w:val="15 p."/>
                <w:tag w:val="part_3f891d65b4d448039d66338a10d8c128"/>
                <w:lock w:val="sdtLocked"/>
                <w:richText/>
              </w:sdtPr>
              <w:sdtContent>
                <w:p>
                  <w:pPr>
                    <w:spacing w:line="276" w:lineRule="auto"/>
                    <w:ind w:firstLine="567"/>
                    <w:jc w:val="both"/>
                    <w:rPr>
                      <w:szCs w:val="24"/>
                      <w:lang w:eastAsia="lt-LT"/>
                    </w:rPr>
                  </w:pPr>
                  <w:sdt>
                    <w:sdtPr>
                      <w:alias w:val="Numeris"/>
                      <w:tag w:val="nr_3f891d65b4d448039d66338a10d8c128"/>
                      <w:lock w:val="sdtLocked"/>
                      <w:richText/>
                    </w:sdtPr>
                    <w:sdtContent>
                      <w:r>
                        <w:rPr>
                          <w:spacing w:val="-2"/>
                          <w:szCs w:val="24"/>
                          <w:lang w:eastAsia="lt-LT"/>
                        </w:rPr>
                        <w:t>15</w:t>
                      </w:r>
                    </w:sdtContent>
                  </w:sdt>
                  <w:r>
                    <w:rPr>
                      <w:spacing w:val="-2"/>
                      <w:szCs w:val="24"/>
                      <w:lang w:eastAsia="lt-LT"/>
                    </w:rPr>
                    <w:t>. Žuvininkystės tarnyba, vadovaudamasi Programa, vykdo aštriašnipių eršketų dirbtinio veisimo ir išleidimo į Lietuvos vandens telkinius darbus pagal kasmetinius žuvų ir vėžių įveisimo į valstybinius vandens telkinius planus, organizuoja mokslinius tyrimus, susijusius su šių žuvų dirbtiniu veisimu.</w:t>
                  </w:r>
                  <w:r>
                    <w:rPr>
                      <w:szCs w:val="24"/>
                      <w:lang w:eastAsia="lt-LT"/>
                    </w:rPr>
                    <w:t xml:space="preserve"> </w:t>
                  </w:r>
                </w:p>
              </w:sdtContent>
            </w:sdt>
            <w:sdt>
              <w:sdtPr>
                <w:alias w:val="16 p."/>
                <w:tag w:val="part_aa5ac70f10bb49e09aa7fc06b8920a68"/>
                <w:lock w:val="sdtLocked"/>
                <w:richText/>
              </w:sdtPr>
              <w:sdtContent>
                <w:p>
                  <w:pPr>
                    <w:overflowPunct w:val="0"/>
                    <w:spacing w:line="276" w:lineRule="auto"/>
                    <w:ind w:firstLine="567"/>
                    <w:jc w:val="both"/>
                    <w:textAlignment w:val="baseline"/>
                    <w:rPr>
                      <w:caps/>
                      <w:szCs w:val="24"/>
                    </w:rPr>
                  </w:pPr>
                  <w:sdt>
                    <w:sdtPr>
                      <w:alias w:val="Numeris"/>
                      <w:tag w:val="nr_aa5ac70f10bb49e09aa7fc06b8920a68"/>
                      <w:lock w:val="sdtLocked"/>
                      <w:richText/>
                    </w:sdtPr>
                    <w:sdtContent>
                      <w:r>
                        <w:rPr>
                          <w:szCs w:val="24"/>
                          <w:lang w:eastAsia="lt-LT"/>
                        </w:rPr>
                        <w:t>16</w:t>
                      </w:r>
                    </w:sdtContent>
                  </w:sdt>
                  <w:r>
                    <w:rPr>
                      <w:szCs w:val="24"/>
                      <w:lang w:eastAsia="lt-LT"/>
                    </w:rPr>
                    <w:t xml:space="preserve">. Žuvininkystės tarnyba kiekvienais metais iki vasario 1 d. informuoja Lietuvos Respublikos žemės ūkio ir Lietuvos Respublikos aplinkos ministerijas apie atliktus darbus pagal </w:t>
                  </w:r>
                  <w:r>
                    <w:rPr>
                      <w:szCs w:val="24"/>
                    </w:rPr>
                    <w:t>Aštriašnipių eršketų atkūrimo Lietuvoje 2022–2026 metais priemonių planą.</w:t>
                  </w:r>
                </w:p>
                <w:p>
                  <w:pPr>
                    <w:spacing w:line="276" w:lineRule="auto"/>
                    <w:ind w:firstLine="567"/>
                    <w:jc w:val="both"/>
                    <w:rPr>
                      <w:szCs w:val="24"/>
                      <w:lang w:eastAsia="lt-LT"/>
                    </w:rPr>
                  </w:pPr>
                </w:p>
              </w:sdtContent>
            </w:sdt>
          </w:sdtContent>
        </w:sdt>
        <w:sdt>
          <w:sdtPr>
            <w:alias w:val="skyrius"/>
            <w:tag w:val="part_3061e380513b4289bf4c935babef2d4d"/>
            <w:lock w:val="sdtLocked"/>
            <w:richText/>
          </w:sdtPr>
          <w:sdtContent>
            <w:p>
              <w:pPr>
                <w:spacing w:line="276" w:lineRule="auto"/>
                <w:ind w:right="-284"/>
                <w:jc w:val="center"/>
                <w:rPr>
                  <w:b/>
                  <w:bCs/>
                  <w:caps/>
                  <w:szCs w:val="24"/>
                  <w:lang w:eastAsia="lt-LT"/>
                </w:rPr>
              </w:pPr>
              <w:sdt>
                <w:sdtPr>
                  <w:alias w:val="Numeris"/>
                  <w:tag w:val="nr_3061e380513b4289bf4c935babef2d4d"/>
                  <w:lock w:val="sdtLocked"/>
                  <w:richText/>
                </w:sdtPr>
                <w:sdtContent>
                  <w:r>
                    <w:rPr>
                      <w:b/>
                      <w:bCs/>
                      <w:caps/>
                      <w:szCs w:val="24"/>
                      <w:lang w:eastAsia="lt-LT"/>
                    </w:rPr>
                    <w:t>VII</w:t>
                  </w:r>
                </w:sdtContent>
              </w:sdt>
              <w:r>
                <w:rPr>
                  <w:b/>
                  <w:bCs/>
                  <w:caps/>
                  <w:szCs w:val="24"/>
                  <w:lang w:eastAsia="lt-LT"/>
                </w:rPr>
                <w:t xml:space="preserve"> SKYRIUS</w:t>
              </w:r>
            </w:p>
            <w:p>
              <w:pPr>
                <w:spacing w:line="276" w:lineRule="auto"/>
                <w:ind w:right="-284" w:firstLine="62"/>
                <w:jc w:val="center"/>
                <w:rPr>
                  <w:szCs w:val="24"/>
                  <w:lang w:eastAsia="lt-LT"/>
                </w:rPr>
              </w:pPr>
              <w:sdt>
                <w:sdtPr>
                  <w:alias w:val="Pavadinimas"/>
                  <w:tag w:val="title_3061e380513b4289bf4c935babef2d4d"/>
                  <w:lock w:val="sdtLocked"/>
                  <w:richText/>
                </w:sdtPr>
                <w:sdtContent>
                  <w:r>
                    <w:rPr>
                      <w:b/>
                      <w:bCs/>
                      <w:caps/>
                      <w:szCs w:val="24"/>
                      <w:lang w:eastAsia="lt-LT"/>
                    </w:rPr>
                    <w:t>PROGRAMOS FINANSAVIMAS</w:t>
                  </w:r>
                </w:sdtContent>
              </w:sdt>
            </w:p>
            <w:p>
              <w:pPr>
                <w:spacing w:line="276" w:lineRule="auto"/>
                <w:ind w:right="-284" w:firstLine="629"/>
                <w:jc w:val="both"/>
                <w:rPr>
                  <w:szCs w:val="24"/>
                  <w:lang w:eastAsia="lt-LT"/>
                </w:rPr>
              </w:pPr>
            </w:p>
            <w:sdt>
              <w:sdtPr>
                <w:alias w:val="17 p."/>
                <w:tag w:val="part_ab2b737e6ac14cf284d4232540442af6"/>
                <w:lock w:val="sdtLocked"/>
                <w:richText/>
              </w:sdtPr>
              <w:sdtContent>
                <w:p>
                  <w:pPr>
                    <w:spacing w:line="276" w:lineRule="auto"/>
                    <w:ind w:firstLine="567"/>
                    <w:jc w:val="both"/>
                    <w:rPr>
                      <w:szCs w:val="24"/>
                      <w:lang w:eastAsia="lt-LT"/>
                    </w:rPr>
                  </w:pPr>
                  <w:sdt>
                    <w:sdtPr>
                      <w:alias w:val="Numeris"/>
                      <w:tag w:val="nr_ab2b737e6ac14cf284d4232540442af6"/>
                      <w:lock w:val="sdtLocked"/>
                      <w:richText/>
                    </w:sdtPr>
                    <w:sdtContent>
                      <w:r>
                        <w:rPr>
                          <w:szCs w:val="24"/>
                          <w:lang w:eastAsia="lt-LT"/>
                        </w:rPr>
                        <w:t>17</w:t>
                      </w:r>
                    </w:sdtContent>
                  </w:sdt>
                  <w:r>
                    <w:rPr>
                      <w:szCs w:val="24"/>
                      <w:lang w:eastAsia="lt-LT"/>
                    </w:rPr>
                    <w:t xml:space="preserve">. Programos įgyvendinimas finansuojamas Lietuvos Respublikos valstybės biudžeto ir </w:t>
                  </w:r>
                  <w:r>
                    <w:rPr>
                      <w:szCs w:val="24"/>
                    </w:rPr>
                    <w:t>Europos jūrų reikalų, žuvininkystės ir akvakultūros fondo</w:t>
                  </w:r>
                  <w:r>
                    <w:rPr>
                      <w:szCs w:val="24"/>
                      <w:lang w:eastAsia="lt-LT"/>
                    </w:rPr>
                    <w:t xml:space="preserve"> lėšomis.</w:t>
                  </w:r>
                </w:p>
              </w:sdtContent>
            </w:sdt>
            <w:sdt>
              <w:sdtPr>
                <w:alias w:val="18 p."/>
                <w:tag w:val="part_44e75646f53f4a11b513aa38ed26ed9f"/>
                <w:lock w:val="sdtLocked"/>
                <w:richText/>
              </w:sdtPr>
              <w:sdtContent>
                <w:p>
                  <w:pPr>
                    <w:spacing w:line="276" w:lineRule="auto"/>
                    <w:ind w:firstLine="567"/>
                    <w:jc w:val="both"/>
                    <w:rPr>
                      <w:szCs w:val="24"/>
                      <w:lang w:eastAsia="lt-LT"/>
                    </w:rPr>
                  </w:pPr>
                  <w:sdt>
                    <w:sdtPr>
                      <w:alias w:val="Numeris"/>
                      <w:tag w:val="nr_44e75646f53f4a11b513aa38ed26ed9f"/>
                      <w:lock w:val="sdtLocked"/>
                      <w:richText/>
                    </w:sdtPr>
                    <w:sdtContent>
                      <w:r>
                        <w:rPr>
                          <w:szCs w:val="24"/>
                          <w:lang w:eastAsia="lt-LT"/>
                        </w:rPr>
                        <w:t>18</w:t>
                      </w:r>
                    </w:sdtContent>
                  </w:sdt>
                  <w:r>
                    <w:rPr>
                      <w:szCs w:val="24"/>
                      <w:lang w:eastAsia="lt-LT"/>
                    </w:rPr>
                    <w:t>. Programai įgyvendinti gali būti naudojamos Europos Sąjungos finansinės paramos lėšos, kitų užsienio valstybių ir tarptautinių fondų, privačių asmenų lėšos, kitų finansavimo šaltinių lėšos.</w:t>
                  </w:r>
                </w:p>
              </w:sdtContent>
            </w:sdt>
          </w:sdtContent>
        </w:sdt>
        <w:sdt>
          <w:sdtPr>
            <w:alias w:val="pabaiga"/>
            <w:tag w:val="part_8df17d8134d54c18b028cc7b4d92cc7a"/>
            <w:lock w:val="sdtLocked"/>
            <w:richText/>
          </w:sdtPr>
          <w:sdtContent>
            <w:p>
              <w:pPr>
                <w:spacing w:line="276" w:lineRule="auto"/>
                <w:jc w:val="center"/>
              </w:pPr>
              <w:r>
                <w:rPr>
                  <w:szCs w:val="24"/>
                  <w:lang w:eastAsia="lt-LT"/>
                </w:rPr>
                <w:t>_________________</w:t>
              </w:r>
            </w:p>
          </w:sdtContent>
        </w:sdt>
      </w:sdtContent>
    </w:sdt>
    <w:sdt>
      <w:sdtPr>
        <w:alias w:val="pr."/>
        <w:tag w:val="part_5663725706064c9580a7b5864d3a2954"/>
        <w:lock w:val="sdtLocked"/>
        <w:richText/>
      </w:sdtPr>
      <w:sdtContent>
        <w:p>
          <w:pPr>
            <w:overflowPunct w:val="0"/>
            <w:ind w:firstLine="10348"/>
            <w:jc w:val="both"/>
            <w:textAlignment w:val="baseline"/>
            <w:sectPr>
              <w:headerReference w:type="default" r:id="rId21"/>
              <w:headerReference w:type="first" r:id="rId22"/>
              <w:pgSz w:w="11907" w:h="16840"/>
              <w:pgMar w:top="1134" w:right="851" w:bottom="1134" w:left="1560" w:header="567" w:footer="567" w:gutter="0"/>
              <w:pgNumType w:start="1"/>
              <w:cols w:space="1296"/>
              <w:titlePg/>
              <w:docGrid w:linePitch="326"/>
            </w:sectPr>
          </w:pPr>
        </w:p>
        <w:p>
          <w:pPr>
            <w:overflowPunct w:val="0"/>
            <w:ind w:firstLine="10348"/>
            <w:jc w:val="both"/>
            <w:textAlignment w:val="baseline"/>
            <w:rPr>
              <w:szCs w:val="24"/>
            </w:rPr>
          </w:pPr>
          <w:r>
            <w:rPr>
              <w:bCs/>
              <w:szCs w:val="24"/>
            </w:rPr>
            <w:t>Aštriašnipių eršketų populiacijos atkūrimo</w:t>
          </w:r>
        </w:p>
        <w:p>
          <w:pPr>
            <w:overflowPunct w:val="0"/>
            <w:ind w:firstLine="10348"/>
            <w:jc w:val="both"/>
            <w:textAlignment w:val="baseline"/>
            <w:rPr>
              <w:bCs/>
              <w:szCs w:val="24"/>
            </w:rPr>
          </w:pPr>
          <w:r>
            <w:rPr>
              <w:bCs/>
              <w:szCs w:val="24"/>
            </w:rPr>
            <w:t>Lietuvoje 2022–2026 metais programos</w:t>
          </w:r>
        </w:p>
        <w:p>
          <w:pPr>
            <w:overflowPunct w:val="0"/>
            <w:ind w:firstLine="10348"/>
            <w:jc w:val="both"/>
            <w:textAlignment w:val="baseline"/>
            <w:rPr>
              <w:bCs/>
              <w:szCs w:val="24"/>
            </w:rPr>
          </w:pPr>
          <w:r>
            <w:rPr>
              <w:bCs/>
              <w:szCs w:val="24"/>
            </w:rPr>
            <w:t>priedas</w:t>
          </w:r>
        </w:p>
        <w:p>
          <w:pPr>
            <w:overflowPunct w:val="0"/>
            <w:ind w:firstLine="10348"/>
            <w:jc w:val="both"/>
            <w:textAlignment w:val="baseline"/>
            <w:rPr>
              <w:bCs/>
              <w:szCs w:val="24"/>
            </w:rPr>
          </w:pPr>
        </w:p>
        <w:sdt>
          <w:sdtPr>
            <w:alias w:val="Pavadinimas"/>
            <w:tag w:val="title_5663725706064c9580a7b5864d3a2954"/>
            <w:lock w:val="sdtLocked"/>
            <w:richText/>
          </w:sdtPr>
          <w:sdtContent>
            <w:p>
              <w:pPr>
                <w:overflowPunct w:val="0"/>
                <w:ind w:right="-874"/>
                <w:jc w:val="center"/>
                <w:textAlignment w:val="baseline"/>
                <w:rPr>
                  <w:b/>
                  <w:bCs/>
                  <w:caps/>
                  <w:szCs w:val="24"/>
                </w:rPr>
              </w:pPr>
              <w:r>
                <w:rPr>
                  <w:b/>
                  <w:bCs/>
                  <w:caps/>
                  <w:szCs w:val="24"/>
                </w:rPr>
                <w:t>Aštriašnipių eršketų atkūrimo Lietuvoje 2022–2026 metais</w:t>
              </w:r>
            </w:p>
            <w:p>
              <w:pPr>
                <w:overflowPunct w:val="0"/>
                <w:ind w:right="-874"/>
                <w:jc w:val="center"/>
                <w:textAlignment w:val="baseline"/>
                <w:rPr>
                  <w:b/>
                  <w:bCs/>
                  <w:caps/>
                  <w:szCs w:val="24"/>
                </w:rPr>
              </w:pPr>
              <w:r>
                <w:rPr>
                  <w:b/>
                  <w:bCs/>
                  <w:caps/>
                  <w:szCs w:val="24"/>
                </w:rPr>
                <w:t>priemonių planas</w:t>
              </w:r>
            </w:p>
          </w:sdtContent>
        </w:sdt>
        <w:p>
          <w:pPr>
            <w:overflowPunct w:val="0"/>
            <w:ind w:right="-874"/>
            <w:jc w:val="center"/>
            <w:textAlignment w:val="baseline"/>
            <w:rPr>
              <w:b/>
              <w:bCs/>
              <w:caps/>
              <w:szCs w:val="24"/>
            </w:rPr>
          </w:pPr>
        </w:p>
        <w:tbl>
          <w:tblPr>
            <w:tblW w:w="1504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662"/>
            <w:gridCol w:w="2118"/>
            <w:gridCol w:w="3821"/>
            <w:gridCol w:w="765"/>
            <w:gridCol w:w="709"/>
            <w:gridCol w:w="709"/>
            <w:gridCol w:w="709"/>
            <w:gridCol w:w="708"/>
            <w:gridCol w:w="84"/>
            <w:gridCol w:w="1759"/>
            <w:gridCol w:w="1701"/>
            <w:gridCol w:w="1276"/>
            <w:gridCol w:w="23"/>
          </w:tblGrid>
          <w:tr>
            <w:trPr>
              <w:gridAfter w:val="1"/>
              <w:wAfter w:w="23" w:type="dxa"/>
            </w:trPr>
            <w:tc>
              <w:tcPr>
                <w:tcW w:w="662" w:type="dxa"/>
                <w:vMerge w:val="restart"/>
                <w:noWrap/>
              </w:tcPr>
              <w:p>
                <w:pPr>
                  <w:overflowPunct w:val="0"/>
                  <w:jc w:val="center"/>
                  <w:textAlignment w:val="baseline"/>
                  <w:rPr>
                    <w:b/>
                    <w:bCs/>
                    <w:szCs w:val="24"/>
                  </w:rPr>
                </w:pPr>
                <w:r>
                  <w:rPr>
                    <w:b/>
                    <w:bCs/>
                    <w:szCs w:val="24"/>
                  </w:rPr>
                  <w:t>Eil. Nr.</w:t>
                </w:r>
              </w:p>
            </w:tc>
            <w:tc>
              <w:tcPr>
                <w:tcW w:w="2118" w:type="dxa"/>
                <w:vMerge w:val="restart"/>
              </w:tcPr>
              <w:p>
                <w:pPr>
                  <w:overflowPunct w:val="0"/>
                  <w:jc w:val="center"/>
                  <w:textAlignment w:val="baseline"/>
                  <w:rPr>
                    <w:b/>
                    <w:bCs/>
                    <w:szCs w:val="24"/>
                  </w:rPr>
                </w:pPr>
                <w:r>
                  <w:rPr>
                    <w:b/>
                    <w:bCs/>
                    <w:szCs w:val="24"/>
                  </w:rPr>
                  <w:t>Veiksmai</w:t>
                </w:r>
              </w:p>
            </w:tc>
            <w:tc>
              <w:tcPr>
                <w:tcW w:w="3821" w:type="dxa"/>
                <w:vMerge w:val="restart"/>
                <w:noWrap/>
              </w:tcPr>
              <w:p>
                <w:pPr>
                  <w:overflowPunct w:val="0"/>
                  <w:jc w:val="center"/>
                  <w:textAlignment w:val="baseline"/>
                  <w:rPr>
                    <w:b/>
                    <w:bCs/>
                    <w:szCs w:val="24"/>
                  </w:rPr>
                </w:pPr>
                <w:r>
                  <w:rPr>
                    <w:b/>
                    <w:bCs/>
                    <w:szCs w:val="24"/>
                  </w:rPr>
                  <w:t>Priemonės</w:t>
                </w:r>
              </w:p>
            </w:tc>
            <w:tc>
              <w:tcPr>
                <w:tcW w:w="3684" w:type="dxa"/>
                <w:gridSpan w:val="6"/>
              </w:tcPr>
              <w:p>
                <w:pPr>
                  <w:overflowPunct w:val="0"/>
                  <w:jc w:val="center"/>
                  <w:textAlignment w:val="baseline"/>
                  <w:rPr>
                    <w:b/>
                    <w:bCs/>
                    <w:szCs w:val="24"/>
                  </w:rPr>
                </w:pPr>
                <w:r>
                  <w:rPr>
                    <w:b/>
                    <w:bCs/>
                    <w:szCs w:val="24"/>
                  </w:rPr>
                  <w:t>Metai / lėšų poreikis, tūkst. Eur</w:t>
                </w:r>
              </w:p>
            </w:tc>
            <w:tc>
              <w:tcPr>
                <w:tcW w:w="1759" w:type="dxa"/>
              </w:tcPr>
              <w:p>
                <w:pPr>
                  <w:overflowPunct w:val="0"/>
                  <w:jc w:val="center"/>
                  <w:textAlignment w:val="baseline"/>
                  <w:rPr>
                    <w:b/>
                    <w:bCs/>
                    <w:szCs w:val="24"/>
                  </w:rPr>
                </w:pPr>
                <w:r>
                  <w:rPr>
                    <w:b/>
                    <w:bCs/>
                    <w:szCs w:val="24"/>
                  </w:rPr>
                  <w:t>Galimi asignavimo šaltiniai</w:t>
                </w:r>
              </w:p>
            </w:tc>
            <w:tc>
              <w:tcPr>
                <w:tcW w:w="1701" w:type="dxa"/>
              </w:tcPr>
              <w:p>
                <w:pPr>
                  <w:overflowPunct w:val="0"/>
                  <w:jc w:val="center"/>
                  <w:textAlignment w:val="baseline"/>
                  <w:rPr>
                    <w:b/>
                    <w:bCs/>
                    <w:szCs w:val="24"/>
                  </w:rPr>
                </w:pPr>
              </w:p>
              <w:p>
                <w:pPr>
                  <w:overflowPunct w:val="0"/>
                  <w:jc w:val="center"/>
                  <w:textAlignment w:val="baseline"/>
                  <w:rPr>
                    <w:b/>
                    <w:bCs/>
                    <w:szCs w:val="24"/>
                  </w:rPr>
                </w:pPr>
                <w:r>
                  <w:rPr>
                    <w:b/>
                    <w:bCs/>
                    <w:szCs w:val="24"/>
                  </w:rPr>
                  <w:t>Atsakinga institucija</w:t>
                </w:r>
              </w:p>
            </w:tc>
            <w:tc>
              <w:tcPr>
                <w:tcW w:w="1276" w:type="dxa"/>
                <w:noWrap/>
              </w:tcPr>
              <w:p>
                <w:pPr>
                  <w:overflowPunct w:val="0"/>
                  <w:jc w:val="center"/>
                  <w:textAlignment w:val="baseline"/>
                  <w:rPr>
                    <w:b/>
                    <w:bCs/>
                    <w:szCs w:val="24"/>
                  </w:rPr>
                </w:pPr>
              </w:p>
              <w:p>
                <w:pPr>
                  <w:overflowPunct w:val="0"/>
                  <w:jc w:val="center"/>
                  <w:textAlignment w:val="baseline"/>
                  <w:rPr>
                    <w:b/>
                    <w:bCs/>
                    <w:szCs w:val="24"/>
                  </w:rPr>
                </w:pPr>
                <w:r>
                  <w:rPr>
                    <w:b/>
                    <w:bCs/>
                    <w:szCs w:val="24"/>
                  </w:rPr>
                  <w:t>Pastabos</w:t>
                </w:r>
              </w:p>
            </w:tc>
          </w:tr>
          <w:tr>
            <w:trPr>
              <w:gridAfter w:val="1"/>
              <w:wAfter w:w="23" w:type="dxa"/>
            </w:trPr>
            <w:tc>
              <w:tcPr>
                <w:tcW w:w="662" w:type="dxa"/>
                <w:vMerge/>
                <w:noWrap/>
              </w:tcPr>
              <w:p>
                <w:pPr>
                  <w:overflowPunct w:val="0"/>
                  <w:jc w:val="both"/>
                  <w:textAlignment w:val="baseline"/>
                  <w:rPr>
                    <w:szCs w:val="24"/>
                  </w:rPr>
                </w:pPr>
              </w:p>
            </w:tc>
            <w:tc>
              <w:tcPr>
                <w:tcW w:w="2118" w:type="dxa"/>
                <w:vMerge/>
              </w:tcPr>
              <w:p>
                <w:pPr>
                  <w:overflowPunct w:val="0"/>
                  <w:jc w:val="both"/>
                  <w:textAlignment w:val="baseline"/>
                  <w:rPr>
                    <w:szCs w:val="24"/>
                  </w:rPr>
                </w:pPr>
              </w:p>
            </w:tc>
            <w:tc>
              <w:tcPr>
                <w:tcW w:w="3821" w:type="dxa"/>
                <w:vMerge/>
                <w:noWrap/>
              </w:tcPr>
              <w:p>
                <w:pPr>
                  <w:overflowPunct w:val="0"/>
                  <w:jc w:val="both"/>
                  <w:textAlignment w:val="baseline"/>
                  <w:rPr>
                    <w:szCs w:val="24"/>
                  </w:rPr>
                </w:pPr>
              </w:p>
            </w:tc>
            <w:tc>
              <w:tcPr>
                <w:tcW w:w="765" w:type="dxa"/>
              </w:tcPr>
              <w:p>
                <w:pPr>
                  <w:overflowPunct w:val="0"/>
                  <w:jc w:val="center"/>
                  <w:textAlignment w:val="baseline"/>
                  <w:rPr>
                    <w:b/>
                    <w:bCs/>
                    <w:szCs w:val="24"/>
                  </w:rPr>
                </w:pPr>
                <w:r>
                  <w:rPr>
                    <w:b/>
                    <w:bCs/>
                    <w:szCs w:val="24"/>
                  </w:rPr>
                  <w:t>2022</w:t>
                </w:r>
              </w:p>
            </w:tc>
            <w:tc>
              <w:tcPr>
                <w:tcW w:w="709" w:type="dxa"/>
              </w:tcPr>
              <w:p>
                <w:pPr>
                  <w:overflowPunct w:val="0"/>
                  <w:jc w:val="center"/>
                  <w:textAlignment w:val="baseline"/>
                  <w:rPr>
                    <w:b/>
                    <w:bCs/>
                    <w:szCs w:val="24"/>
                  </w:rPr>
                </w:pPr>
                <w:r>
                  <w:rPr>
                    <w:b/>
                    <w:bCs/>
                    <w:szCs w:val="24"/>
                  </w:rPr>
                  <w:t>2023</w:t>
                </w:r>
              </w:p>
            </w:tc>
            <w:tc>
              <w:tcPr>
                <w:tcW w:w="709" w:type="dxa"/>
              </w:tcPr>
              <w:p>
                <w:pPr>
                  <w:overflowPunct w:val="0"/>
                  <w:jc w:val="center"/>
                  <w:textAlignment w:val="baseline"/>
                  <w:rPr>
                    <w:b/>
                    <w:bCs/>
                    <w:szCs w:val="24"/>
                  </w:rPr>
                </w:pPr>
                <w:r>
                  <w:rPr>
                    <w:b/>
                    <w:bCs/>
                    <w:szCs w:val="24"/>
                  </w:rPr>
                  <w:t>2024</w:t>
                </w:r>
              </w:p>
            </w:tc>
            <w:tc>
              <w:tcPr>
                <w:tcW w:w="709" w:type="dxa"/>
              </w:tcPr>
              <w:p>
                <w:pPr>
                  <w:overflowPunct w:val="0"/>
                  <w:jc w:val="center"/>
                  <w:textAlignment w:val="baseline"/>
                  <w:rPr>
                    <w:b/>
                    <w:bCs/>
                    <w:szCs w:val="24"/>
                  </w:rPr>
                </w:pPr>
                <w:r>
                  <w:rPr>
                    <w:b/>
                    <w:bCs/>
                    <w:szCs w:val="24"/>
                  </w:rPr>
                  <w:t>2025</w:t>
                </w:r>
              </w:p>
            </w:tc>
            <w:tc>
              <w:tcPr>
                <w:tcW w:w="708" w:type="dxa"/>
              </w:tcPr>
              <w:p>
                <w:pPr>
                  <w:overflowPunct w:val="0"/>
                  <w:jc w:val="center"/>
                  <w:textAlignment w:val="baseline"/>
                  <w:rPr>
                    <w:b/>
                    <w:bCs/>
                    <w:szCs w:val="24"/>
                  </w:rPr>
                </w:pPr>
                <w:r>
                  <w:rPr>
                    <w:b/>
                    <w:bCs/>
                    <w:szCs w:val="24"/>
                  </w:rPr>
                  <w:t>2026</w:t>
                </w:r>
              </w:p>
            </w:tc>
            <w:tc>
              <w:tcPr>
                <w:tcW w:w="1843" w:type="dxa"/>
                <w:gridSpan w:val="2"/>
              </w:tcPr>
              <w:p>
                <w:pPr>
                  <w:overflowPunct w:val="0"/>
                  <w:jc w:val="both"/>
                  <w:textAlignment w:val="baseline"/>
                  <w:rPr>
                    <w:szCs w:val="24"/>
                  </w:rPr>
                </w:pPr>
              </w:p>
            </w:tc>
            <w:tc>
              <w:tcPr>
                <w:tcW w:w="1701" w:type="dxa"/>
              </w:tcPr>
              <w:p>
                <w:pPr>
                  <w:overflowPunct w:val="0"/>
                  <w:jc w:val="both"/>
                  <w:textAlignment w:val="baseline"/>
                  <w:rPr>
                    <w:szCs w:val="24"/>
                  </w:rPr>
                </w:pPr>
              </w:p>
            </w:tc>
            <w:tc>
              <w:tcPr>
                <w:tcW w:w="1276" w:type="dxa"/>
                <w:noWrap/>
              </w:tcPr>
              <w:p>
                <w:pPr>
                  <w:overflowPunct w:val="0"/>
                  <w:jc w:val="both"/>
                  <w:textAlignment w:val="baseline"/>
                  <w:rPr>
                    <w:szCs w:val="24"/>
                  </w:rPr>
                </w:pPr>
              </w:p>
            </w:tc>
          </w:tr>
          <w:t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en-ZW"/>
                  </w:rPr>
                </w:pPr>
                <w:r>
                  <w:rPr>
                    <w:szCs w:val="24"/>
                    <w:lang w:eastAsia="en-ZW"/>
                  </w:rPr>
                  <w:t>1.</w:t>
                </w:r>
              </w:p>
            </w:tc>
            <w:tc>
              <w:tcPr>
                <w:tcW w:w="14382" w:type="dxa"/>
                <w:gridSpan w:val="12"/>
              </w:tcPr>
              <w:p>
                <w:pPr>
                  <w:overflowPunct w:val="0"/>
                  <w:jc w:val="both"/>
                  <w:textAlignment w:val="baseline"/>
                  <w:rPr>
                    <w:szCs w:val="24"/>
                  </w:rPr>
                </w:pPr>
                <w:r>
                  <w:rPr>
                    <w:b/>
                    <w:bCs/>
                    <w:szCs w:val="24"/>
                  </w:rPr>
                  <w:t>1 tikslas – aktyviai remti tikslinių populiacijų atsigavimą visose istorinėse gyvavimo vietose</w:t>
                </w:r>
              </w:p>
            </w:tc>
          </w:tr>
          <w:tr>
            <w:trPr>
              <w:gridAfter w:val="1"/>
              <w:wAfter w:w="23" w:type="dxa"/>
              <w:trHeight w:val="623"/>
            </w:trPr>
            <w:tc>
              <w:tcPr>
                <w:tcW w:w="662" w:type="dxa"/>
                <w:vMerge w:val="restart"/>
                <w:noWrap/>
              </w:tcPr>
              <w:p>
                <w:pPr>
                  <w:overflowPunct w:val="0"/>
                  <w:jc w:val="both"/>
                  <w:textAlignment w:val="baseline"/>
                  <w:rPr>
                    <w:szCs w:val="24"/>
                  </w:rPr>
                </w:pPr>
                <w:r>
                  <w:rPr>
                    <w:szCs w:val="24"/>
                  </w:rPr>
                  <w:t>1.1.</w:t>
                </w:r>
              </w:p>
            </w:tc>
            <w:tc>
              <w:tcPr>
                <w:tcW w:w="2118" w:type="dxa"/>
                <w:vMerge w:val="restar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en-ZW"/>
                  </w:rPr>
                </w:pPr>
                <w:r>
                  <w:rPr>
                    <w:szCs w:val="24"/>
                    <w:lang w:eastAsia="en-ZW"/>
                  </w:rPr>
                  <w:t xml:space="preserve">aštriašnipių eršketų reproduktorių bandos  suformavimas ir auginimas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lt-LT"/>
                  </w:rPr>
                </w:pPr>
              </w:p>
            </w:tc>
            <w:tc>
              <w:tcPr>
                <w:tcW w:w="3821" w:type="dxa"/>
                <w:noWrap/>
              </w:tcPr>
              <w:p>
                <w:pPr>
                  <w:overflowPunct w:val="0"/>
                  <w:jc w:val="both"/>
                  <w:textAlignment w:val="baseline"/>
                  <w:rPr>
                    <w:szCs w:val="24"/>
                  </w:rPr>
                </w:pPr>
                <w:r>
                  <w:rPr>
                    <w:szCs w:val="24"/>
                    <w:lang w:eastAsia="lt-LT"/>
                  </w:rPr>
                  <w:t>1.1.1. užauginti reproduktorius dirbtiniam veisimui;</w:t>
                </w:r>
              </w:p>
            </w:tc>
            <w:tc>
              <w:tcPr>
                <w:tcW w:w="765"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8" w:type="dxa"/>
              </w:tcPr>
              <w:p>
                <w:pPr>
                  <w:overflowPunct w:val="0"/>
                  <w:jc w:val="center"/>
                  <w:textAlignment w:val="baseline"/>
                  <w:rPr>
                    <w:szCs w:val="24"/>
                  </w:rPr>
                </w:pPr>
                <w:r>
                  <w:rPr>
                    <w:szCs w:val="24"/>
                  </w:rPr>
                  <w:t>1</w:t>
                </w:r>
              </w:p>
            </w:tc>
            <w:tc>
              <w:tcPr>
                <w:tcW w:w="1843" w:type="dxa"/>
                <w:gridSpan w:val="2"/>
                <w:vMerge w:val="restart"/>
              </w:tcPr>
              <w:p>
                <w:pPr>
                  <w:overflowPunct w:val="0"/>
                  <w:jc w:val="center"/>
                  <w:textAlignment w:val="baseline"/>
                  <w:rPr>
                    <w:szCs w:val="24"/>
                  </w:rPr>
                </w:pPr>
                <w:r>
                  <w:rPr>
                    <w:szCs w:val="24"/>
                    <w:lang w:eastAsia="lt-LT"/>
                  </w:rPr>
                  <w:t>Žuvininkystės tarnybos prie Lietuvos Respublikos žemės ūkio ministerijos (toliau –</w:t>
                </w:r>
                <w:r>
                  <w:rPr>
                    <w:szCs w:val="24"/>
                  </w:rPr>
                  <w:t xml:space="preserve">Žuvininkystės tarnyba) biudžetas, </w:t>
                </w:r>
              </w:p>
            </w:tc>
            <w:tc>
              <w:tcPr>
                <w:tcW w:w="1701" w:type="dxa"/>
                <w:vMerge w:val="restart"/>
              </w:tcPr>
              <w:p>
                <w:pPr>
                  <w:overflowPunct w:val="0"/>
                  <w:jc w:val="center"/>
                  <w:textAlignment w:val="baseline"/>
                  <w:rPr>
                    <w:szCs w:val="24"/>
                  </w:rPr>
                </w:pPr>
              </w:p>
              <w:p>
                <w:pPr>
                  <w:overflowPunct w:val="0"/>
                  <w:jc w:val="center"/>
                  <w:textAlignment w:val="baseline"/>
                  <w:rPr>
                    <w:szCs w:val="24"/>
                  </w:rPr>
                </w:pPr>
                <w:r>
                  <w:rPr>
                    <w:szCs w:val="24"/>
                  </w:rPr>
                  <w:t>Žuvininkystės tarnyba</w:t>
                </w:r>
              </w:p>
              <w:p>
                <w:pPr>
                  <w:overflowPunct w:val="0"/>
                  <w:jc w:val="center"/>
                  <w:textAlignment w:val="baseline"/>
                  <w:rPr>
                    <w:szCs w:val="24"/>
                  </w:rPr>
                </w:pPr>
              </w:p>
            </w:tc>
            <w:tc>
              <w:tcPr>
                <w:tcW w:w="1276" w:type="dxa"/>
                <w:vMerge w:val="restart"/>
                <w:noWrap/>
              </w:tcPr>
              <w:p>
                <w:pPr>
                  <w:overflowPunct w:val="0"/>
                  <w:jc w:val="both"/>
                  <w:textAlignment w:val="baseline"/>
                  <w:rPr>
                    <w:szCs w:val="24"/>
                  </w:rPr>
                </w:pPr>
              </w:p>
              <w:p>
                <w:pPr>
                  <w:overflowPunct w:val="0"/>
                  <w:jc w:val="both"/>
                  <w:textAlignment w:val="baseline"/>
                  <w:rPr>
                    <w:szCs w:val="24"/>
                  </w:rPr>
                </w:pPr>
                <w:r>
                  <w:rPr>
                    <w:szCs w:val="24"/>
                  </w:rPr>
                  <w:t>2022–2026 (tęstinė priemonė)</w:t>
                </w:r>
              </w:p>
            </w:tc>
          </w:tr>
          <w:tr>
            <w:trPr>
              <w:gridAfter w:val="1"/>
              <w:wAfter w:w="23" w:type="dxa"/>
              <w:trHeight w:val="1257"/>
            </w:trPr>
            <w:tc>
              <w:tcPr>
                <w:tcW w:w="662" w:type="dxa"/>
                <w:vMerge/>
                <w:noWrap/>
              </w:tcPr>
              <w:p>
                <w:pPr>
                  <w:overflowPunct w:val="0"/>
                  <w:jc w:val="both"/>
                  <w:textAlignment w:val="baseline"/>
                  <w:rPr>
                    <w:szCs w:val="24"/>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3821" w:type="dxa"/>
                <w:noWrap/>
              </w:tcPr>
              <w:p>
                <w:pPr>
                  <w:overflowPunct w:val="0"/>
                  <w:jc w:val="both"/>
                  <w:textAlignment w:val="baseline"/>
                  <w:rPr>
                    <w:szCs w:val="24"/>
                  </w:rPr>
                </w:pPr>
                <w:r>
                  <w:rPr>
                    <w:szCs w:val="24"/>
                    <w:lang w:eastAsia="lt-LT"/>
                  </w:rPr>
                  <w:t>1.1.2. nustatyti reproduktorių ir išleidžiamų jauniklių genetinę struktūrą pagal tarptautinę metodiką ir palaikyti didesnę genetinę įvairovę;</w:t>
                </w:r>
              </w:p>
            </w:tc>
            <w:tc>
              <w:tcPr>
                <w:tcW w:w="765" w:type="dxa"/>
              </w:tcPr>
              <w:p>
                <w:pPr>
                  <w:overflowPunct w:val="0"/>
                  <w:jc w:val="center"/>
                  <w:textAlignment w:val="baseline"/>
                  <w:rPr>
                    <w:szCs w:val="24"/>
                    <w:lang w:val="en-US"/>
                  </w:rPr>
                </w:pPr>
                <w:r>
                  <w:rPr>
                    <w:szCs w:val="24"/>
                    <w:lang w:val="en-US"/>
                  </w:rPr>
                  <w:t>0</w:t>
                </w:r>
              </w:p>
            </w:tc>
            <w:tc>
              <w:tcPr>
                <w:tcW w:w="709" w:type="dxa"/>
              </w:tcPr>
              <w:p>
                <w:pPr>
                  <w:overflowPunct w:val="0"/>
                  <w:jc w:val="center"/>
                  <w:textAlignment w:val="baseline"/>
                  <w:rPr>
                    <w:szCs w:val="24"/>
                  </w:rPr>
                </w:pPr>
                <w:r>
                  <w:rPr>
                    <w:szCs w:val="24"/>
                  </w:rPr>
                  <w:t>10</w:t>
                </w:r>
              </w:p>
            </w:tc>
            <w:tc>
              <w:tcPr>
                <w:tcW w:w="709" w:type="dxa"/>
              </w:tcPr>
              <w:p>
                <w:pPr>
                  <w:overflowPunct w:val="0"/>
                  <w:jc w:val="center"/>
                  <w:textAlignment w:val="baseline"/>
                  <w:rPr>
                    <w:szCs w:val="24"/>
                  </w:rPr>
                </w:pPr>
              </w:p>
            </w:tc>
            <w:tc>
              <w:tcPr>
                <w:tcW w:w="709" w:type="dxa"/>
              </w:tcPr>
              <w:p>
                <w:pPr>
                  <w:overflowPunct w:val="0"/>
                  <w:jc w:val="center"/>
                  <w:textAlignment w:val="baseline"/>
                  <w:rPr>
                    <w:szCs w:val="24"/>
                  </w:rPr>
                </w:pPr>
                <w:r>
                  <w:rPr>
                    <w:szCs w:val="24"/>
                  </w:rPr>
                  <w:t>15</w:t>
                </w:r>
              </w:p>
            </w:tc>
            <w:tc>
              <w:tcPr>
                <w:tcW w:w="708" w:type="dxa"/>
              </w:tcPr>
              <w:p>
                <w:pPr>
                  <w:overflowPunct w:val="0"/>
                  <w:jc w:val="center"/>
                  <w:textAlignment w:val="baseline"/>
                  <w:rPr>
                    <w:szCs w:val="24"/>
                  </w:rPr>
                </w:pPr>
                <w:r>
                  <w:rPr>
                    <w:szCs w:val="24"/>
                  </w:rPr>
                  <w:t>0</w:t>
                </w:r>
              </w:p>
            </w:tc>
            <w:tc>
              <w:tcPr>
                <w:tcW w:w="1843" w:type="dxa"/>
                <w:gridSpan w:val="2"/>
                <w:vMerge/>
              </w:tcPr>
              <w:p>
                <w:pPr>
                  <w:overflowPunct w:val="0"/>
                  <w:jc w:val="center"/>
                  <w:textAlignment w:val="baseline"/>
                  <w:rPr>
                    <w:szCs w:val="24"/>
                  </w:rPr>
                </w:pPr>
              </w:p>
            </w:tc>
            <w:tc>
              <w:tcPr>
                <w:tcW w:w="1701" w:type="dxa"/>
                <w:vMerge/>
              </w:tcPr>
              <w:p>
                <w:pPr>
                  <w:overflowPunct w:val="0"/>
                  <w:jc w:val="center"/>
                  <w:textAlignment w:val="baseline"/>
                  <w:rPr>
                    <w:szCs w:val="24"/>
                  </w:rPr>
                </w:pPr>
              </w:p>
            </w:tc>
            <w:tc>
              <w:tcPr>
                <w:tcW w:w="1276" w:type="dxa"/>
                <w:vMerge/>
                <w:noWrap/>
              </w:tcPr>
              <w:p>
                <w:pPr>
                  <w:overflowPunct w:val="0"/>
                  <w:jc w:val="both"/>
                  <w:textAlignment w:val="baseline"/>
                  <w:rPr>
                    <w:szCs w:val="24"/>
                  </w:rPr>
                </w:pPr>
              </w:p>
            </w:tc>
          </w:tr>
          <w:tr>
            <w:trPr>
              <w:gridAfter w:val="1"/>
              <w:wAfter w:w="23" w:type="dxa"/>
              <w:trHeight w:val="1261"/>
            </w:trPr>
            <w:tc>
              <w:tcPr>
                <w:tcW w:w="662" w:type="dxa"/>
                <w:vMerge/>
                <w:noWrap/>
              </w:tcPr>
              <w:p>
                <w:pPr>
                  <w:overflowPunct w:val="0"/>
                  <w:jc w:val="both"/>
                  <w:textAlignment w:val="baseline"/>
                  <w:rPr>
                    <w:szCs w:val="24"/>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3821" w:type="dxa"/>
                <w:noWrap/>
              </w:tcPr>
              <w:p>
                <w:pPr>
                  <w:overflowPunct w:val="0"/>
                  <w:jc w:val="both"/>
                  <w:textAlignment w:val="baseline"/>
                  <w:rPr>
                    <w:szCs w:val="24"/>
                    <w:lang w:eastAsia="lt-LT"/>
                  </w:rPr>
                </w:pPr>
                <w:r>
                  <w:rPr>
                    <w:szCs w:val="24"/>
                    <w:lang w:eastAsia="lt-LT"/>
                  </w:rPr>
                  <w:t>1.1.3. įdiegti tvarią eršketų reproduktorių bandos rizikos valdymo sistemą, kad būtų apsisaugota nuo galimų pavojų;</w:t>
                </w:r>
              </w:p>
            </w:tc>
            <w:tc>
              <w:tcPr>
                <w:tcW w:w="765"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8" w:type="dxa"/>
              </w:tcPr>
              <w:p>
                <w:pPr>
                  <w:overflowPunct w:val="0"/>
                  <w:jc w:val="center"/>
                  <w:textAlignment w:val="baseline"/>
                  <w:rPr>
                    <w:szCs w:val="24"/>
                  </w:rPr>
                </w:pPr>
                <w:r>
                  <w:rPr>
                    <w:szCs w:val="24"/>
                  </w:rPr>
                  <w:t>1</w:t>
                </w:r>
              </w:p>
            </w:tc>
            <w:tc>
              <w:tcPr>
                <w:tcW w:w="1843" w:type="dxa"/>
                <w:gridSpan w:val="2"/>
                <w:vMerge/>
              </w:tcPr>
              <w:p>
                <w:pPr>
                  <w:overflowPunct w:val="0"/>
                  <w:jc w:val="both"/>
                  <w:textAlignment w:val="baseline"/>
                  <w:rPr>
                    <w:szCs w:val="24"/>
                  </w:rPr>
                </w:pPr>
              </w:p>
            </w:tc>
            <w:tc>
              <w:tcPr>
                <w:tcW w:w="1701" w:type="dxa"/>
                <w:vMerge/>
              </w:tcPr>
              <w:p>
                <w:pPr>
                  <w:overflowPunct w:val="0"/>
                  <w:jc w:val="center"/>
                  <w:textAlignment w:val="baseline"/>
                  <w:rPr>
                    <w:szCs w:val="24"/>
                  </w:rPr>
                </w:pPr>
              </w:p>
            </w:tc>
            <w:tc>
              <w:tcPr>
                <w:tcW w:w="1276" w:type="dxa"/>
                <w:vMerge/>
                <w:noWrap/>
              </w:tcPr>
              <w:p>
                <w:pPr>
                  <w:overflowPunct w:val="0"/>
                  <w:jc w:val="both"/>
                  <w:textAlignment w:val="baseline"/>
                  <w:rPr>
                    <w:szCs w:val="24"/>
                  </w:rPr>
                </w:pPr>
              </w:p>
            </w:tc>
          </w:tr>
          <w:tr>
            <w:trPr>
              <w:gridAfter w:val="1"/>
              <w:wAfter w:w="23" w:type="dxa"/>
              <w:trHeight w:val="1272"/>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en-ZW"/>
                  </w:rPr>
                </w:pPr>
              </w:p>
            </w:tc>
            <w:tc>
              <w:tcPr>
                <w:tcW w:w="3821" w:type="dxa"/>
                <w:noWrap/>
              </w:tcPr>
              <w:p>
                <w:pPr>
                  <w:overflowPunct w:val="0"/>
                  <w:jc w:val="both"/>
                  <w:textAlignment w:val="baseline"/>
                  <w:rPr>
                    <w:szCs w:val="24"/>
                    <w:lang w:eastAsia="lt-LT"/>
                  </w:rPr>
                </w:pPr>
                <w:r>
                  <w:rPr>
                    <w:szCs w:val="24"/>
                    <w:lang w:eastAsia="lt-LT"/>
                  </w:rPr>
                  <w:t>1.1.4. tobulinti auginimo metodiką: gerinti auginimo sąlygas, optimizuoti mitybą ir maitinimo režimą siekiant išlaikyti jauniklių gyvybingumą ir kokybišką augimą;</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6</w:t>
                </w:r>
              </w:p>
            </w:tc>
            <w:tc>
              <w:tcPr>
                <w:tcW w:w="709" w:type="dxa"/>
              </w:tcPr>
              <w:p>
                <w:pPr>
                  <w:overflowPunct w:val="0"/>
                  <w:jc w:val="center"/>
                  <w:textAlignment w:val="baseline"/>
                  <w:rPr>
                    <w:szCs w:val="24"/>
                  </w:rPr>
                </w:pPr>
                <w:r>
                  <w:rPr>
                    <w:szCs w:val="24"/>
                  </w:rPr>
                  <w:t>3</w:t>
                </w:r>
              </w:p>
            </w:tc>
            <w:tc>
              <w:tcPr>
                <w:tcW w:w="709" w:type="dxa"/>
              </w:tcPr>
              <w:p>
                <w:pPr>
                  <w:overflowPunct w:val="0"/>
                  <w:jc w:val="center"/>
                  <w:textAlignment w:val="baseline"/>
                  <w:rPr>
                    <w:szCs w:val="24"/>
                  </w:rPr>
                </w:pPr>
                <w:r>
                  <w:rPr>
                    <w:szCs w:val="24"/>
                  </w:rPr>
                  <w:t>3</w:t>
                </w:r>
              </w:p>
            </w:tc>
            <w:tc>
              <w:tcPr>
                <w:tcW w:w="708" w:type="dxa"/>
              </w:tcPr>
              <w:p>
                <w:pPr>
                  <w:overflowPunct w:val="0"/>
                  <w:jc w:val="center"/>
                  <w:textAlignment w:val="baseline"/>
                  <w:rPr>
                    <w:szCs w:val="24"/>
                  </w:rPr>
                </w:pPr>
                <w:r>
                  <w:rPr>
                    <w:szCs w:val="24"/>
                  </w:rPr>
                  <w:t>3</w:t>
                </w:r>
              </w:p>
            </w:tc>
            <w:tc>
              <w:tcPr>
                <w:tcW w:w="1843" w:type="dxa"/>
                <w:gridSpan w:val="2"/>
                <w:vMerge w:val="restart"/>
              </w:tcPr>
              <w:p>
                <w:pPr>
                  <w:overflowPunct w:val="0"/>
                  <w:jc w:val="both"/>
                  <w:textAlignment w:val="baseline"/>
                  <w:rPr>
                    <w:szCs w:val="24"/>
                  </w:rPr>
                </w:pPr>
                <w:r>
                  <w:rPr>
                    <w:szCs w:val="24"/>
                  </w:rPr>
                  <w:t>Europos jūrų reikalų, žuvininkystės ir akvakultūros fondo (toliau – EJRŽAF) lėšos</w:t>
                </w:r>
              </w:p>
            </w:tc>
            <w:tc>
              <w:tcPr>
                <w:tcW w:w="1701" w:type="dxa"/>
                <w:vMerge/>
                <w:tcBorders>
                  <w:bottom w:val="single" w:sz="4" w:space="0" w:color="auto"/>
                </w:tcBorders>
              </w:tcPr>
              <w:p>
                <w:pPr>
                  <w:overflowPunct w:val="0"/>
                  <w:jc w:val="center"/>
                  <w:textAlignment w:val="baseline"/>
                  <w:rPr>
                    <w:szCs w:val="24"/>
                  </w:rPr>
                </w:pPr>
              </w:p>
            </w:tc>
            <w:tc>
              <w:tcPr>
                <w:tcW w:w="1276" w:type="dxa"/>
                <w:vMerge/>
                <w:tcBorders>
                  <w:bottom w:val="single" w:sz="4" w:space="0" w:color="auto"/>
                </w:tcBorders>
                <w:noWrap/>
              </w:tcPr>
              <w:p>
                <w:pPr>
                  <w:overflowPunct w:val="0"/>
                  <w:jc w:val="both"/>
                  <w:textAlignment w:val="baseline"/>
                  <w:rPr>
                    <w:szCs w:val="24"/>
                  </w:rPr>
                </w:pPr>
              </w:p>
            </w:tc>
          </w:tr>
          <w:tr>
            <w:trPr>
              <w:gridAfter w:val="1"/>
              <w:wAfter w:w="23" w:type="dxa"/>
              <w:trHeight w:val="138"/>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en-ZW"/>
                  </w:rPr>
                </w:pPr>
              </w:p>
            </w:tc>
            <w:tc>
              <w:tcPr>
                <w:tcW w:w="3821" w:type="dxa"/>
                <w:noWrap/>
              </w:tcPr>
              <w:p>
                <w:pPr>
                  <w:overflowPunct w:val="0"/>
                  <w:jc w:val="both"/>
                  <w:textAlignment w:val="baseline"/>
                  <w:rPr>
                    <w:szCs w:val="24"/>
                    <w:lang w:eastAsia="lt-LT"/>
                  </w:rPr>
                </w:pPr>
                <w:r>
                  <w:rPr>
                    <w:szCs w:val="24"/>
                    <w:lang w:eastAsia="lt-LT"/>
                  </w:rPr>
                  <w:t>1.1.5. įrengti naują uždarosios akvakultūros sistemą formuojamai aštriašnipių eršketų motininei bandai;</w:t>
                </w:r>
              </w:p>
            </w:tc>
            <w:tc>
              <w:tcPr>
                <w:tcW w:w="765" w:type="dxa"/>
              </w:tcPr>
              <w:p>
                <w:pPr>
                  <w:overflowPunct w:val="0"/>
                  <w:jc w:val="center"/>
                  <w:textAlignment w:val="baseline"/>
                  <w:rPr>
                    <w:szCs w:val="24"/>
                  </w:rPr>
                </w:pPr>
                <w:r>
                  <w:rPr>
                    <w:szCs w:val="24"/>
                  </w:rPr>
                  <w:t>30</w:t>
                </w:r>
              </w:p>
            </w:tc>
            <w:tc>
              <w:tcPr>
                <w:tcW w:w="709" w:type="dxa"/>
              </w:tcPr>
              <w:p>
                <w:pPr>
                  <w:overflowPunct w:val="0"/>
                  <w:jc w:val="center"/>
                  <w:textAlignment w:val="baseline"/>
                  <w:rPr>
                    <w:szCs w:val="24"/>
                  </w:rPr>
                </w:pPr>
                <w:r>
                  <w:rPr>
                    <w:szCs w:val="24"/>
                  </w:rPr>
                  <w:t>400</w:t>
                </w:r>
              </w:p>
            </w:tc>
            <w:tc>
              <w:tcPr>
                <w:tcW w:w="709" w:type="dxa"/>
              </w:tcPr>
              <w:p>
                <w:pPr>
                  <w:overflowPunct w:val="0"/>
                  <w:jc w:val="center"/>
                  <w:textAlignment w:val="baseline"/>
                  <w:rPr>
                    <w:szCs w:val="24"/>
                  </w:rPr>
                </w:pPr>
                <w:r>
                  <w:rPr>
                    <w:szCs w:val="24"/>
                  </w:rPr>
                  <w:t>60</w:t>
                </w:r>
              </w:p>
            </w:tc>
            <w:tc>
              <w:tcPr>
                <w:tcW w:w="709" w:type="dxa"/>
              </w:tcPr>
              <w:p>
                <w:pPr>
                  <w:overflowPunct w:val="0"/>
                  <w:jc w:val="center"/>
                  <w:textAlignment w:val="baseline"/>
                  <w:rPr>
                    <w:szCs w:val="24"/>
                  </w:rPr>
                </w:pPr>
                <w:r>
                  <w:rPr>
                    <w:szCs w:val="24"/>
                  </w:rPr>
                  <w:t>0</w:t>
                </w:r>
              </w:p>
            </w:tc>
            <w:tc>
              <w:tcPr>
                <w:tcW w:w="708" w:type="dxa"/>
              </w:tcPr>
              <w:p>
                <w:pPr>
                  <w:overflowPunct w:val="0"/>
                  <w:jc w:val="center"/>
                  <w:textAlignment w:val="baseline"/>
                  <w:rPr>
                    <w:szCs w:val="24"/>
                  </w:rPr>
                </w:pPr>
                <w:r>
                  <w:rPr>
                    <w:szCs w:val="24"/>
                  </w:rPr>
                  <w:t>0</w:t>
                </w:r>
              </w:p>
            </w:tc>
            <w:tc>
              <w:tcPr>
                <w:tcW w:w="1843" w:type="dxa"/>
                <w:gridSpan w:val="2"/>
                <w:vMerge/>
                <w:tcBorders>
                  <w:bottom w:val="single" w:sz="4" w:space="0" w:color="auto"/>
                </w:tcBorders>
              </w:tcPr>
              <w:p>
                <w:pPr>
                  <w:overflowPunct w:val="0"/>
                  <w:jc w:val="both"/>
                  <w:textAlignment w:val="baseline"/>
                  <w:rPr>
                    <w:szCs w:val="24"/>
                  </w:rPr>
                </w:pPr>
              </w:p>
            </w:tc>
            <w:tc>
              <w:tcPr>
                <w:tcW w:w="1701" w:type="dxa"/>
                <w:vMerge/>
                <w:tcBorders>
                  <w:bottom w:val="single" w:sz="4" w:space="0" w:color="auto"/>
                </w:tcBorders>
              </w:tcPr>
              <w:p>
                <w:pPr>
                  <w:overflowPunct w:val="0"/>
                  <w:jc w:val="center"/>
                  <w:textAlignment w:val="baseline"/>
                  <w:rPr>
                    <w:szCs w:val="24"/>
                  </w:rPr>
                </w:pPr>
              </w:p>
            </w:tc>
            <w:tc>
              <w:tcPr>
                <w:tcW w:w="1276" w:type="dxa"/>
                <w:vMerge/>
                <w:tcBorders>
                  <w:bottom w:val="single" w:sz="4" w:space="0" w:color="auto"/>
                </w:tcBorders>
                <w:noWrap/>
              </w:tcPr>
              <w:p>
                <w:pPr>
                  <w:overflowPunct w:val="0"/>
                  <w:jc w:val="both"/>
                  <w:textAlignment w:val="baseline"/>
                  <w:rPr>
                    <w:szCs w:val="24"/>
                  </w:rPr>
                </w:pPr>
              </w:p>
            </w:tc>
          </w:tr>
          <w:tr>
            <w:trPr>
              <w:gridAfter w:val="1"/>
              <w:wAfter w:w="23" w:type="dxa"/>
              <w:trHeight w:val="1691"/>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r>
                  <w:rPr>
                    <w:szCs w:val="24"/>
                    <w:lang w:eastAsia="en-ZW"/>
                  </w:rPr>
                  <w:t>1.2.</w:t>
                </w: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en-ZW"/>
                  </w:rPr>
                </w:pPr>
                <w:r>
                  <w:rPr>
                    <w:szCs w:val="24"/>
                    <w:lang w:eastAsia="en-ZW"/>
                  </w:rPr>
                  <w:t>reprodukcijos procesų kontroliavimas ir auginimo technologijų tobulinimas</w:t>
                </w:r>
              </w:p>
            </w:tc>
            <w:tc>
              <w:tcPr>
                <w:tcW w:w="3821" w:type="dxa"/>
                <w:noWrap/>
              </w:tcPr>
              <w:p>
                <w:pPr>
                  <w:overflowPunct w:val="0"/>
                  <w:jc w:val="both"/>
                  <w:textAlignment w:val="baseline"/>
                  <w:rPr>
                    <w:szCs w:val="24"/>
                    <w:lang w:eastAsia="lt-LT"/>
                  </w:rPr>
                </w:pPr>
                <w:r>
                  <w:rPr>
                    <w:szCs w:val="24"/>
                    <w:lang w:eastAsia="lt-LT"/>
                  </w:rPr>
                  <w:t>1.2.1. tobulinti eršketų veisimo praktiką, optimizuoti veisimo ir inkubavimo metodus;</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6</w:t>
                </w:r>
              </w:p>
            </w:tc>
            <w:tc>
              <w:tcPr>
                <w:tcW w:w="709" w:type="dxa"/>
              </w:tcPr>
              <w:p>
                <w:pPr>
                  <w:overflowPunct w:val="0"/>
                  <w:jc w:val="center"/>
                  <w:textAlignment w:val="baseline"/>
                  <w:rPr>
                    <w:szCs w:val="24"/>
                  </w:rPr>
                </w:pPr>
                <w:r>
                  <w:rPr>
                    <w:szCs w:val="24"/>
                  </w:rPr>
                  <w:t>3</w:t>
                </w:r>
              </w:p>
            </w:tc>
            <w:tc>
              <w:tcPr>
                <w:tcW w:w="709" w:type="dxa"/>
              </w:tcPr>
              <w:p>
                <w:pPr>
                  <w:overflowPunct w:val="0"/>
                  <w:jc w:val="center"/>
                  <w:textAlignment w:val="baseline"/>
                  <w:rPr>
                    <w:szCs w:val="24"/>
                  </w:rPr>
                </w:pPr>
                <w:r>
                  <w:rPr>
                    <w:szCs w:val="24"/>
                  </w:rPr>
                  <w:t>3</w:t>
                </w:r>
              </w:p>
            </w:tc>
            <w:tc>
              <w:tcPr>
                <w:tcW w:w="708" w:type="dxa"/>
              </w:tcPr>
              <w:p>
                <w:pPr>
                  <w:overflowPunct w:val="0"/>
                  <w:jc w:val="center"/>
                  <w:textAlignment w:val="baseline"/>
                  <w:rPr>
                    <w:szCs w:val="24"/>
                  </w:rPr>
                </w:pPr>
                <w:r>
                  <w:rPr>
                    <w:szCs w:val="24"/>
                  </w:rPr>
                  <w:t>3</w:t>
                </w:r>
              </w:p>
            </w:tc>
            <w:tc>
              <w:tcPr>
                <w:tcW w:w="1843" w:type="dxa"/>
                <w:gridSpan w:val="2"/>
                <w:tcBorders>
                  <w:top w:val="single" w:sz="4" w:space="0" w:color="auto"/>
                  <w:bottom w:val="single" w:sz="4" w:space="0" w:color="auto"/>
                </w:tcBorders>
              </w:tcPr>
              <w:p>
                <w:pPr>
                  <w:overflowPunct w:val="0"/>
                  <w:jc w:val="both"/>
                  <w:textAlignment w:val="baseline"/>
                  <w:rPr>
                    <w:szCs w:val="24"/>
                  </w:rPr>
                </w:pPr>
                <w:r>
                  <w:rPr>
                    <w:szCs w:val="24"/>
                  </w:rPr>
                  <w:t>EJRŽAF lėšos</w:t>
                </w:r>
              </w:p>
            </w:tc>
            <w:tc>
              <w:tcPr>
                <w:tcW w:w="1701" w:type="dxa"/>
                <w:tcBorders>
                  <w:top w:val="single" w:sz="4" w:space="0" w:color="auto"/>
                  <w:bottom w:val="single" w:sz="4" w:space="0" w:color="auto"/>
                </w:tcBorders>
              </w:tcPr>
              <w:p>
                <w:pPr>
                  <w:overflowPunct w:val="0"/>
                  <w:jc w:val="center"/>
                  <w:textAlignment w:val="baseline"/>
                  <w:rPr>
                    <w:szCs w:val="24"/>
                  </w:rPr>
                </w:pPr>
              </w:p>
            </w:tc>
            <w:tc>
              <w:tcPr>
                <w:tcW w:w="1276" w:type="dxa"/>
                <w:tcBorders>
                  <w:top w:val="single" w:sz="4" w:space="0" w:color="auto"/>
                  <w:bottom w:val="single" w:sz="4" w:space="0" w:color="auto"/>
                </w:tcBorders>
                <w:noWrap/>
              </w:tcPr>
              <w:p>
                <w:pPr>
                  <w:overflowPunct w:val="0"/>
                  <w:jc w:val="both"/>
                  <w:textAlignment w:val="baseline"/>
                  <w:rPr>
                    <w:szCs w:val="24"/>
                  </w:rPr>
                </w:pPr>
                <w:r>
                  <w:rPr>
                    <w:szCs w:val="24"/>
                  </w:rPr>
                  <w:t>2022–2026</w:t>
                </w:r>
              </w:p>
              <w:p>
                <w:pPr>
                  <w:overflowPunct w:val="0"/>
                  <w:jc w:val="both"/>
                  <w:textAlignment w:val="baseline"/>
                  <w:rPr>
                    <w:szCs w:val="24"/>
                  </w:rPr>
                </w:pPr>
              </w:p>
            </w:tc>
          </w:tr>
          <w:tr>
            <w:trPr>
              <w:gridAfter w:val="1"/>
              <w:wAfter w:w="23" w:type="dxa"/>
              <w:trHeight w:val="1847"/>
            </w:trPr>
            <w:tc>
              <w:tcPr>
                <w:tcW w:w="662" w:type="dxa"/>
                <w:vMerge w:val="restart"/>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r>
                  <w:rPr>
                    <w:szCs w:val="24"/>
                    <w:lang w:eastAsia="en-ZW"/>
                  </w:rPr>
                  <w:t>1.3.</w:t>
                </w:r>
              </w:p>
            </w:tc>
            <w:tc>
              <w:tcPr>
                <w:tcW w:w="2118" w:type="dxa"/>
                <w:vMerge w:val="restar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en-ZW"/>
                  </w:rPr>
                </w:pPr>
                <w:r>
                  <w:rPr>
                    <w:szCs w:val="24"/>
                    <w:lang w:eastAsia="en-ZW"/>
                  </w:rPr>
                  <w:t>atkuriamasis ir papildomasis eršketų veisimas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3821" w:type="dxa"/>
                <w:noWrap/>
              </w:tcPr>
              <w:p>
                <w:pPr>
                  <w:overflowPunct w:val="0"/>
                  <w:jc w:val="both"/>
                  <w:textAlignment w:val="baseline"/>
                  <w:rPr>
                    <w:szCs w:val="24"/>
                  </w:rPr>
                </w:pPr>
                <w:r>
                  <w:rPr>
                    <w:szCs w:val="24"/>
                    <w:lang w:eastAsia="en-ZW"/>
                  </w:rPr>
                  <w:t>1.3.1. nustatyti eršketams tinkamas buveines, pasirenkant jas pagal istorinius, ekologinius, hidromorfologinius kriterijus. Nustatyti istorines eršketų migracijos ribas ir kliūtis Lietuvoje;</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6</w:t>
                </w:r>
              </w:p>
            </w:tc>
            <w:tc>
              <w:tcPr>
                <w:tcW w:w="709" w:type="dxa"/>
              </w:tcPr>
              <w:p>
                <w:pPr>
                  <w:overflowPunct w:val="0"/>
                  <w:jc w:val="center"/>
                  <w:textAlignment w:val="baseline"/>
                  <w:rPr>
                    <w:szCs w:val="24"/>
                  </w:rPr>
                </w:pPr>
                <w:r>
                  <w:rPr>
                    <w:szCs w:val="24"/>
                  </w:rPr>
                  <w:t>3</w:t>
                </w:r>
              </w:p>
            </w:tc>
            <w:tc>
              <w:tcPr>
                <w:tcW w:w="709" w:type="dxa"/>
              </w:tcPr>
              <w:p>
                <w:pPr>
                  <w:overflowPunct w:val="0"/>
                  <w:jc w:val="center"/>
                  <w:textAlignment w:val="baseline"/>
                  <w:rPr>
                    <w:szCs w:val="24"/>
                  </w:rPr>
                </w:pPr>
                <w:r>
                  <w:rPr>
                    <w:szCs w:val="24"/>
                  </w:rPr>
                  <w:t>3</w:t>
                </w:r>
              </w:p>
            </w:tc>
            <w:tc>
              <w:tcPr>
                <w:tcW w:w="708" w:type="dxa"/>
              </w:tcPr>
              <w:p>
                <w:pPr>
                  <w:overflowPunct w:val="0"/>
                  <w:jc w:val="center"/>
                  <w:textAlignment w:val="baseline"/>
                  <w:rPr>
                    <w:szCs w:val="24"/>
                  </w:rPr>
                </w:pPr>
                <w:r>
                  <w:rPr>
                    <w:szCs w:val="24"/>
                  </w:rPr>
                  <w:t>3</w:t>
                </w:r>
              </w:p>
            </w:tc>
            <w:tc>
              <w:tcPr>
                <w:tcW w:w="1843" w:type="dxa"/>
                <w:gridSpan w:val="2"/>
                <w:vMerge w:val="restart"/>
                <w:tcBorders>
                  <w:top w:val="single" w:sz="4" w:space="0" w:color="auto"/>
                </w:tcBorders>
              </w:tcPr>
              <w:p>
                <w:pPr>
                  <w:overflowPunct w:val="0"/>
                  <w:jc w:val="both"/>
                  <w:textAlignment w:val="baseline"/>
                  <w:rPr>
                    <w:szCs w:val="24"/>
                  </w:rPr>
                </w:pPr>
                <w:r>
                  <w:rPr>
                    <w:szCs w:val="24"/>
                  </w:rPr>
                  <w:t>EJRŽAF lėšos</w:t>
                </w:r>
              </w:p>
            </w:tc>
            <w:tc>
              <w:tcPr>
                <w:tcW w:w="1701" w:type="dxa"/>
                <w:vMerge w:val="restart"/>
                <w:tcBorders>
                  <w:top w:val="single" w:sz="4" w:space="0" w:color="auto"/>
                </w:tcBorders>
              </w:tcPr>
              <w:p>
                <w:pPr>
                  <w:overflowPunct w:val="0"/>
                  <w:jc w:val="both"/>
                  <w:textAlignment w:val="baseline"/>
                  <w:rPr>
                    <w:szCs w:val="24"/>
                  </w:rPr>
                </w:pPr>
                <w:r>
                  <w:rPr>
                    <w:szCs w:val="24"/>
                  </w:rPr>
                  <w:t>Mokslo institucijos</w:t>
                </w:r>
              </w:p>
            </w:tc>
            <w:tc>
              <w:tcPr>
                <w:tcW w:w="1276" w:type="dxa"/>
                <w:tcBorders>
                  <w:top w:val="single" w:sz="4" w:space="0" w:color="auto"/>
                </w:tcBorders>
                <w:noWrap/>
              </w:tcPr>
              <w:p>
                <w:pPr>
                  <w:overflowPunct w:val="0"/>
                  <w:jc w:val="both"/>
                  <w:textAlignment w:val="baseline"/>
                  <w:rPr>
                    <w:szCs w:val="24"/>
                  </w:rPr>
                </w:pPr>
                <w:r>
                  <w:rPr>
                    <w:szCs w:val="24"/>
                  </w:rPr>
                  <w:t>2022–2026</w:t>
                </w:r>
              </w:p>
              <w:p>
                <w:pPr>
                  <w:overflowPunct w:val="0"/>
                  <w:jc w:val="both"/>
                  <w:textAlignment w:val="baseline"/>
                  <w:rPr>
                    <w:szCs w:val="24"/>
                  </w:rPr>
                </w:pPr>
              </w:p>
            </w:tc>
          </w:tr>
          <w:tr>
            <w:trPr>
              <w:gridAfter w:val="1"/>
              <w:wAfter w:w="23" w:type="dxa"/>
              <w:trHeight w:val="1264"/>
            </w:trPr>
            <w:tc>
              <w:tcPr>
                <w:tcW w:w="662" w:type="dxa"/>
                <w:vMerge/>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3821" w:type="dxa"/>
                <w:noWrap/>
              </w:tcPr>
              <w:p>
                <w:pPr>
                  <w:overflowPunct w:val="0"/>
                  <w:jc w:val="both"/>
                  <w:textAlignment w:val="baseline"/>
                  <w:rPr>
                    <w:szCs w:val="24"/>
                  </w:rPr>
                </w:pPr>
                <w:r>
                  <w:rPr>
                    <w:szCs w:val="24"/>
                    <w:lang w:eastAsia="en-ZW"/>
                  </w:rPr>
                  <w:t>1.3.2. nustatyti visas tinkamas ir potencialias eršketams buveines Lietuvos upėse ir įvertinti buveinių potencialią ir esamą biologinę talpą;</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5</w:t>
                </w:r>
              </w:p>
            </w:tc>
            <w:tc>
              <w:tcPr>
                <w:tcW w:w="709" w:type="dxa"/>
              </w:tcPr>
              <w:p>
                <w:pPr>
                  <w:overflowPunct w:val="0"/>
                  <w:jc w:val="center"/>
                  <w:textAlignment w:val="baseline"/>
                  <w:rPr>
                    <w:szCs w:val="24"/>
                  </w:rPr>
                </w:pPr>
                <w:r>
                  <w:rPr>
                    <w:szCs w:val="24"/>
                  </w:rPr>
                  <w:t>5</w:t>
                </w:r>
              </w:p>
            </w:tc>
            <w:tc>
              <w:tcPr>
                <w:tcW w:w="709" w:type="dxa"/>
              </w:tcPr>
              <w:p>
                <w:pPr>
                  <w:overflowPunct w:val="0"/>
                  <w:jc w:val="center"/>
                  <w:textAlignment w:val="baseline"/>
                  <w:rPr>
                    <w:szCs w:val="24"/>
                  </w:rPr>
                </w:pPr>
                <w:r>
                  <w:rPr>
                    <w:szCs w:val="24"/>
                  </w:rPr>
                  <w:t>0</w:t>
                </w:r>
              </w:p>
            </w:tc>
            <w:tc>
              <w:tcPr>
                <w:tcW w:w="708" w:type="dxa"/>
              </w:tcPr>
              <w:p>
                <w:pPr>
                  <w:overflowPunct w:val="0"/>
                  <w:jc w:val="center"/>
                  <w:textAlignment w:val="baseline"/>
                  <w:rPr>
                    <w:szCs w:val="24"/>
                  </w:rPr>
                </w:pPr>
                <w:r>
                  <w:rPr>
                    <w:szCs w:val="24"/>
                  </w:rPr>
                  <w:t>0</w:t>
                </w:r>
              </w:p>
            </w:tc>
            <w:tc>
              <w:tcPr>
                <w:tcW w:w="1843" w:type="dxa"/>
                <w:gridSpan w:val="2"/>
                <w:vMerge/>
              </w:tcPr>
              <w:p>
                <w:pPr>
                  <w:overflowPunct w:val="0"/>
                  <w:jc w:val="both"/>
                  <w:textAlignment w:val="baseline"/>
                  <w:rPr>
                    <w:szCs w:val="24"/>
                  </w:rPr>
                </w:pPr>
              </w:p>
            </w:tc>
            <w:tc>
              <w:tcPr>
                <w:tcW w:w="1701" w:type="dxa"/>
                <w:vMerge/>
              </w:tcPr>
              <w:p>
                <w:pPr>
                  <w:overflowPunct w:val="0"/>
                  <w:jc w:val="both"/>
                  <w:textAlignment w:val="baseline"/>
                  <w:rPr>
                    <w:szCs w:val="24"/>
                  </w:rPr>
                </w:pPr>
              </w:p>
            </w:tc>
            <w:tc>
              <w:tcPr>
                <w:tcW w:w="1276" w:type="dxa"/>
                <w:noWrap/>
              </w:tcPr>
              <w:p>
                <w:pPr>
                  <w:overflowPunct w:val="0"/>
                  <w:jc w:val="both"/>
                  <w:textAlignment w:val="baseline"/>
                  <w:rPr>
                    <w:szCs w:val="24"/>
                  </w:rPr>
                </w:pPr>
              </w:p>
            </w:tc>
          </w:tr>
          <w:tr>
            <w:trPr>
              <w:gridAfter w:val="1"/>
              <w:wAfter w:w="23" w:type="dxa"/>
              <w:trHeight w:val="1129"/>
            </w:trPr>
            <w:tc>
              <w:tcPr>
                <w:tcW w:w="662" w:type="dxa"/>
                <w:vMerge/>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3821" w:type="dxa"/>
                <w:noWrap/>
              </w:tcPr>
              <w:p>
                <w:pPr>
                  <w:overflowPunct w:val="0"/>
                  <w:textAlignment w:val="baseline"/>
                  <w:rPr>
                    <w:szCs w:val="24"/>
                  </w:rPr>
                </w:pPr>
                <w:r>
                  <w:rPr>
                    <w:szCs w:val="24"/>
                  </w:rPr>
                  <w:t xml:space="preserve">1.3.3. vykdyti ilgalaikę  eršketų jauniklių stebėseną pagal veiksmingas ir perspektyvias, tarptautines atkūrimo programos vykdymo metodikas.</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lang w:val="en-US"/>
                  </w:rPr>
                  <w:t>45</w:t>
                </w:r>
              </w:p>
            </w:tc>
            <w:tc>
              <w:tcPr>
                <w:tcW w:w="709" w:type="dxa"/>
              </w:tcPr>
              <w:p>
                <w:pPr>
                  <w:overflowPunct w:val="0"/>
                  <w:jc w:val="center"/>
                  <w:textAlignment w:val="baseline"/>
                  <w:rPr>
                    <w:szCs w:val="24"/>
                  </w:rPr>
                </w:pPr>
                <w:r>
                  <w:rPr>
                    <w:szCs w:val="24"/>
                  </w:rPr>
                  <w:t>15</w:t>
                </w:r>
              </w:p>
            </w:tc>
            <w:tc>
              <w:tcPr>
                <w:tcW w:w="709" w:type="dxa"/>
              </w:tcPr>
              <w:p>
                <w:pPr>
                  <w:overflowPunct w:val="0"/>
                  <w:jc w:val="center"/>
                  <w:textAlignment w:val="baseline"/>
                  <w:rPr>
                    <w:szCs w:val="24"/>
                  </w:rPr>
                </w:pPr>
                <w:r>
                  <w:rPr>
                    <w:szCs w:val="24"/>
                  </w:rPr>
                  <w:t>15</w:t>
                </w:r>
              </w:p>
            </w:tc>
            <w:tc>
              <w:tcPr>
                <w:tcW w:w="708" w:type="dxa"/>
              </w:tcPr>
              <w:p>
                <w:pPr>
                  <w:overflowPunct w:val="0"/>
                  <w:jc w:val="center"/>
                  <w:textAlignment w:val="baseline"/>
                  <w:rPr>
                    <w:szCs w:val="24"/>
                  </w:rPr>
                </w:pPr>
                <w:r>
                  <w:rPr>
                    <w:szCs w:val="24"/>
                  </w:rPr>
                  <w:t>30</w:t>
                </w:r>
              </w:p>
            </w:tc>
            <w:tc>
              <w:tcPr>
                <w:tcW w:w="1843" w:type="dxa"/>
                <w:gridSpan w:val="2"/>
                <w:vMerge/>
              </w:tcPr>
              <w:p>
                <w:pPr>
                  <w:overflowPunct w:val="0"/>
                  <w:jc w:val="both"/>
                  <w:textAlignment w:val="baseline"/>
                  <w:rPr>
                    <w:szCs w:val="24"/>
                  </w:rPr>
                </w:pPr>
              </w:p>
            </w:tc>
            <w:tc>
              <w:tcPr>
                <w:tcW w:w="1701" w:type="dxa"/>
                <w:vMerge/>
              </w:tcPr>
              <w:p>
                <w:pPr>
                  <w:overflowPunct w:val="0"/>
                  <w:jc w:val="both"/>
                  <w:textAlignment w:val="baseline"/>
                  <w:rPr>
                    <w:szCs w:val="24"/>
                  </w:rPr>
                </w:pPr>
              </w:p>
            </w:tc>
            <w:tc>
              <w:tcPr>
                <w:tcW w:w="1276" w:type="dxa"/>
                <w:noWrap/>
              </w:tcPr>
              <w:p>
                <w:pPr>
                  <w:overflowPunct w:val="0"/>
                  <w:jc w:val="both"/>
                  <w:textAlignment w:val="baseline"/>
                  <w:rPr>
                    <w:szCs w:val="24"/>
                  </w:rPr>
                </w:pPr>
              </w:p>
            </w:tc>
          </w:tr>
          <w:tr>
            <w:tc>
              <w:tcPr>
                <w:tcW w:w="15044" w:type="dxa"/>
                <w:gridSpan w:val="13"/>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b/>
                    <w:bCs/>
                    <w:szCs w:val="24"/>
                    <w:lang w:eastAsia="en-ZW"/>
                  </w:rPr>
                </w:pPr>
                <w:r>
                  <w:rPr>
                    <w:b/>
                    <w:bCs/>
                    <w:szCs w:val="24"/>
                    <w:lang w:eastAsia="en-ZW"/>
                  </w:rPr>
                  <w:t>2 tikslas – mažinti aštriašnipių eršketų mirtingumą dėl žvejybos ir kito antropogeninio poveikio</w:t>
                </w:r>
              </w:p>
            </w:tc>
          </w:tr>
          <w:tr>
            <w:trPr>
              <w:gridAfter w:val="1"/>
              <w:wAfter w:w="23" w:type="dxa"/>
              <w:trHeight w:val="1465"/>
            </w:trPr>
            <w:tc>
              <w:tcPr>
                <w:tcW w:w="662" w:type="dxa"/>
                <w:vMerge w:val="restart"/>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en-ZW"/>
                  </w:rPr>
                </w:pPr>
                <w:r>
                  <w:rPr>
                    <w:szCs w:val="24"/>
                    <w:lang w:eastAsia="en-ZW"/>
                  </w:rPr>
                  <w:t>2.1.</w:t>
                </w:r>
              </w:p>
            </w:tc>
            <w:tc>
              <w:tcPr>
                <w:tcW w:w="2118" w:type="dxa"/>
                <w:vMerge w:val="restar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en-ZW"/>
                  </w:rPr>
                </w:pPr>
                <w:r>
                  <w:rPr>
                    <w:szCs w:val="24"/>
                    <w:lang w:eastAsia="en-ZW"/>
                  </w:rPr>
                  <w:t xml:space="preserve">įvairaus amžiaus  eršketų mirtingumo mažinimas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3821" w:type="dxa"/>
                <w:noWrap/>
              </w:tcPr>
              <w:p>
                <w:pPr>
                  <w:overflowPunct w:val="0"/>
                  <w:jc w:val="both"/>
                  <w:textAlignment w:val="baseline"/>
                  <w:rPr>
                    <w:szCs w:val="24"/>
                  </w:rPr>
                </w:pPr>
                <w:r>
                  <w:rPr>
                    <w:szCs w:val="24"/>
                    <w:lang w:eastAsia="en-ZW"/>
                  </w:rPr>
                  <w:t xml:space="preserve">2.1.1. didinti visuomenės, žvejų ir suinteresuotųjų šalių supratimą apie saugomos rūšies statusą ir kylančias potencialias grėsmes atkuriant eršketų populiacijas; </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4</w:t>
                </w:r>
              </w:p>
            </w:tc>
            <w:tc>
              <w:tcPr>
                <w:tcW w:w="709" w:type="dxa"/>
              </w:tcPr>
              <w:p>
                <w:pPr>
                  <w:overflowPunct w:val="0"/>
                  <w:jc w:val="center"/>
                  <w:textAlignment w:val="baseline"/>
                  <w:rPr>
                    <w:szCs w:val="24"/>
                  </w:rPr>
                </w:pPr>
                <w:r>
                  <w:rPr>
                    <w:szCs w:val="24"/>
                  </w:rPr>
                  <w:t>2</w:t>
                </w:r>
              </w:p>
            </w:tc>
            <w:tc>
              <w:tcPr>
                <w:tcW w:w="709" w:type="dxa"/>
              </w:tcPr>
              <w:p>
                <w:pPr>
                  <w:overflowPunct w:val="0"/>
                  <w:jc w:val="center"/>
                  <w:textAlignment w:val="baseline"/>
                  <w:rPr>
                    <w:szCs w:val="24"/>
                  </w:rPr>
                </w:pPr>
                <w:r>
                  <w:rPr>
                    <w:szCs w:val="24"/>
                  </w:rPr>
                  <w:t>2</w:t>
                </w:r>
              </w:p>
            </w:tc>
            <w:tc>
              <w:tcPr>
                <w:tcW w:w="708" w:type="dxa"/>
              </w:tcPr>
              <w:p>
                <w:pPr>
                  <w:overflowPunct w:val="0"/>
                  <w:jc w:val="center"/>
                  <w:textAlignment w:val="baseline"/>
                  <w:rPr>
                    <w:szCs w:val="24"/>
                  </w:rPr>
                </w:pPr>
                <w:r>
                  <w:rPr>
                    <w:szCs w:val="24"/>
                  </w:rPr>
                  <w:t>2</w:t>
                </w:r>
              </w:p>
            </w:tc>
            <w:tc>
              <w:tcPr>
                <w:tcW w:w="1843" w:type="dxa"/>
                <w:gridSpan w:val="2"/>
                <w:tcBorders>
                  <w:bottom w:val="single" w:sz="4" w:space="0" w:color="auto"/>
                </w:tcBorders>
              </w:tcPr>
              <w:p>
                <w:pPr>
                  <w:overflowPunct w:val="0"/>
                  <w:jc w:val="center"/>
                  <w:textAlignment w:val="baseline"/>
                  <w:rPr>
                    <w:szCs w:val="24"/>
                  </w:rPr>
                </w:pPr>
                <w:r>
                  <w:rPr>
                    <w:szCs w:val="24"/>
                  </w:rPr>
                  <w:t>EJŽRAF lėšos</w:t>
                </w:r>
              </w:p>
            </w:tc>
            <w:tc>
              <w:tcPr>
                <w:tcW w:w="1701" w:type="dxa"/>
                <w:vMerge w:val="restart"/>
              </w:tcPr>
              <w:p>
                <w:pPr>
                  <w:overflowPunct w:val="0"/>
                  <w:jc w:val="center"/>
                  <w:textAlignment w:val="baseline"/>
                  <w:rPr>
                    <w:szCs w:val="24"/>
                  </w:rPr>
                </w:pPr>
                <w:r>
                  <w:rPr>
                    <w:szCs w:val="24"/>
                  </w:rPr>
                  <w:t>Žuvininkystės tarnyba, mokslo institucijos</w:t>
                </w:r>
              </w:p>
            </w:tc>
            <w:tc>
              <w:tcPr>
                <w:tcW w:w="1276" w:type="dxa"/>
                <w:noWrap/>
              </w:tcPr>
              <w:p>
                <w:pPr>
                  <w:overflowPunct w:val="0"/>
                  <w:jc w:val="both"/>
                  <w:textAlignment w:val="baseline"/>
                  <w:rPr>
                    <w:szCs w:val="24"/>
                  </w:rPr>
                </w:pPr>
                <w:r>
                  <w:rPr>
                    <w:szCs w:val="24"/>
                  </w:rPr>
                  <w:t>2022–2026</w:t>
                </w:r>
              </w:p>
            </w:tc>
          </w:tr>
          <w:tr>
            <w:trPr>
              <w:gridAfter w:val="1"/>
              <w:wAfter w:w="23" w:type="dxa"/>
              <w:trHeight w:val="703"/>
            </w:trPr>
            <w:tc>
              <w:tcPr>
                <w:tcW w:w="662" w:type="dxa"/>
                <w:vMerge/>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en-ZW"/>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szCs w:val="24"/>
                    <w:lang w:eastAsia="en-ZW"/>
                  </w:rPr>
                </w:pPr>
              </w:p>
            </w:tc>
            <w:tc>
              <w:tcPr>
                <w:tcW w:w="3821" w:type="dxa"/>
                <w:noWrap/>
              </w:tcPr>
              <w:p>
                <w:pPr>
                  <w:overflowPunct w:val="0"/>
                  <w:jc w:val="both"/>
                  <w:textAlignment w:val="baseline"/>
                  <w:rPr>
                    <w:szCs w:val="24"/>
                  </w:rPr>
                </w:pPr>
                <w:r>
                  <w:rPr>
                    <w:szCs w:val="24"/>
                    <w:lang w:eastAsia="en-ZW"/>
                  </w:rPr>
                  <w:t xml:space="preserve">2.1.2. stebėti ir kontroliuoti priegaudą ir mirtingumą dėl žvejybos, skatinti selektyvią žvejybą vidaus vandens telkiniuose ir Baltijos jūroje; </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2</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8" w:type="dxa"/>
              </w:tcPr>
              <w:p>
                <w:pPr>
                  <w:overflowPunct w:val="0"/>
                  <w:jc w:val="center"/>
                  <w:textAlignment w:val="baseline"/>
                  <w:rPr>
                    <w:szCs w:val="24"/>
                  </w:rPr>
                </w:pPr>
                <w:r>
                  <w:rPr>
                    <w:szCs w:val="24"/>
                  </w:rPr>
                  <w:t>1</w:t>
                </w:r>
              </w:p>
            </w:tc>
            <w:tc>
              <w:tcPr>
                <w:tcW w:w="1843" w:type="dxa"/>
                <w:gridSpan w:val="2"/>
                <w:vMerge w:val="restart"/>
                <w:tcBorders>
                  <w:top w:val="single" w:sz="4" w:space="0" w:color="auto"/>
                </w:tcBorders>
              </w:tcPr>
              <w:p>
                <w:pPr>
                  <w:overflowPunct w:val="0"/>
                  <w:jc w:val="center"/>
                  <w:textAlignment w:val="baseline"/>
                  <w:rPr>
                    <w:szCs w:val="24"/>
                  </w:rPr>
                </w:pPr>
                <w:r>
                  <w:rPr>
                    <w:szCs w:val="24"/>
                  </w:rPr>
                  <w:t>EJŽRAF lėšos</w:t>
                </w:r>
              </w:p>
            </w:tc>
            <w:tc>
              <w:tcPr>
                <w:tcW w:w="1701" w:type="dxa"/>
                <w:vMerge/>
              </w:tcPr>
              <w:p>
                <w:pPr>
                  <w:overflowPunct w:val="0"/>
                  <w:jc w:val="both"/>
                  <w:textAlignment w:val="baseline"/>
                  <w:rPr>
                    <w:szCs w:val="24"/>
                  </w:rPr>
                </w:pPr>
              </w:p>
            </w:tc>
            <w:tc>
              <w:tcPr>
                <w:tcW w:w="1276" w:type="dxa"/>
                <w:noWrap/>
              </w:tcPr>
              <w:p>
                <w:pPr>
                  <w:overflowPunct w:val="0"/>
                  <w:jc w:val="both"/>
                  <w:textAlignment w:val="baseline"/>
                  <w:rPr>
                    <w:szCs w:val="24"/>
                  </w:rPr>
                </w:pPr>
              </w:p>
            </w:tc>
          </w:tr>
          <w:tr>
            <w:trPr>
              <w:gridAfter w:val="1"/>
              <w:wAfter w:w="23" w:type="dxa"/>
              <w:trHeight w:val="695"/>
            </w:trPr>
            <w:tc>
              <w:tcPr>
                <w:tcW w:w="662" w:type="dxa"/>
                <w:vMerge w:val="restart"/>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lang w:eastAsia="en-ZW"/>
                  </w:rPr>
                </w:pPr>
                <w:r>
                  <w:rPr>
                    <w:szCs w:val="24"/>
                    <w:lang w:eastAsia="en-ZW"/>
                  </w:rPr>
                  <w:t>2.2.</w:t>
                </w:r>
              </w:p>
            </w:tc>
            <w:tc>
              <w:tcPr>
                <w:tcW w:w="2118" w:type="dxa"/>
                <w:vMerge w:val="restar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rPr>
                  <w:t>eršketų stebėsena ir papildomi moksliniai tyrimai</w:t>
                </w:r>
              </w:p>
            </w:tc>
            <w:tc>
              <w:tcPr>
                <w:tcW w:w="3821" w:type="dxa"/>
                <w:noWrap/>
              </w:tcPr>
              <w:p>
                <w:pPr>
                  <w:overflowPunct w:val="0"/>
                  <w:jc w:val="both"/>
                  <w:textAlignment w:val="baseline"/>
                  <w:rPr>
                    <w:szCs w:val="24"/>
                  </w:rPr>
                </w:pPr>
                <w:r>
                  <w:rPr>
                    <w:szCs w:val="24"/>
                    <w:lang w:eastAsia="en-ZW"/>
                  </w:rPr>
                  <w:t>2.2.1. pritaikyti vienodą ženklinimo sistemą ir kitus tyrimų metodus visame Baltijos regione;</w:t>
                </w:r>
              </w:p>
            </w:tc>
            <w:tc>
              <w:tcPr>
                <w:tcW w:w="765" w:type="dxa"/>
              </w:tcPr>
              <w:p>
                <w:pPr>
                  <w:overflowPunct w:val="0"/>
                  <w:jc w:val="center"/>
                  <w:textAlignment w:val="baseline"/>
                  <w:rPr>
                    <w:szCs w:val="24"/>
                    <w:lang w:val="en-US"/>
                  </w:rPr>
                </w:pPr>
                <w:r>
                  <w:rPr>
                    <w:szCs w:val="24"/>
                    <w:lang w:val="en-US"/>
                  </w:rPr>
                  <w:t>0</w:t>
                </w:r>
              </w:p>
            </w:tc>
            <w:tc>
              <w:tcPr>
                <w:tcW w:w="709" w:type="dxa"/>
              </w:tcPr>
              <w:p>
                <w:pPr>
                  <w:overflowPunct w:val="0"/>
                  <w:jc w:val="center"/>
                  <w:textAlignment w:val="baseline"/>
                  <w:rPr>
                    <w:szCs w:val="24"/>
                  </w:rPr>
                </w:pPr>
                <w:r>
                  <w:rPr>
                    <w:szCs w:val="24"/>
                  </w:rPr>
                  <w:t>4</w:t>
                </w:r>
              </w:p>
            </w:tc>
            <w:tc>
              <w:tcPr>
                <w:tcW w:w="709" w:type="dxa"/>
              </w:tcPr>
              <w:p>
                <w:pPr>
                  <w:overflowPunct w:val="0"/>
                  <w:jc w:val="center"/>
                  <w:textAlignment w:val="baseline"/>
                  <w:rPr>
                    <w:szCs w:val="24"/>
                  </w:rPr>
                </w:pPr>
                <w:r>
                  <w:rPr>
                    <w:szCs w:val="24"/>
                  </w:rPr>
                  <w:t>2</w:t>
                </w:r>
              </w:p>
            </w:tc>
            <w:tc>
              <w:tcPr>
                <w:tcW w:w="709" w:type="dxa"/>
              </w:tcPr>
              <w:p>
                <w:pPr>
                  <w:overflowPunct w:val="0"/>
                  <w:jc w:val="center"/>
                  <w:textAlignment w:val="baseline"/>
                  <w:rPr>
                    <w:szCs w:val="24"/>
                  </w:rPr>
                </w:pPr>
                <w:r>
                  <w:rPr>
                    <w:szCs w:val="24"/>
                  </w:rPr>
                  <w:t>2</w:t>
                </w:r>
              </w:p>
            </w:tc>
            <w:tc>
              <w:tcPr>
                <w:tcW w:w="708" w:type="dxa"/>
              </w:tcPr>
              <w:p>
                <w:pPr>
                  <w:overflowPunct w:val="0"/>
                  <w:jc w:val="center"/>
                  <w:textAlignment w:val="baseline"/>
                  <w:rPr>
                    <w:szCs w:val="24"/>
                  </w:rPr>
                </w:pPr>
                <w:r>
                  <w:rPr>
                    <w:szCs w:val="24"/>
                  </w:rPr>
                  <w:t>2</w:t>
                </w:r>
              </w:p>
            </w:tc>
            <w:tc>
              <w:tcPr>
                <w:tcW w:w="1843" w:type="dxa"/>
                <w:gridSpan w:val="2"/>
                <w:vMerge/>
              </w:tcPr>
              <w:p>
                <w:pPr>
                  <w:overflowPunct w:val="0"/>
                  <w:jc w:val="both"/>
                  <w:textAlignment w:val="baseline"/>
                  <w:rPr>
                    <w:szCs w:val="24"/>
                  </w:rPr>
                </w:pPr>
              </w:p>
            </w:tc>
            <w:tc>
              <w:tcPr>
                <w:tcW w:w="1701" w:type="dxa"/>
                <w:vMerge w:val="restart"/>
              </w:tcPr>
              <w:p>
                <w:pPr>
                  <w:overflowPunct w:val="0"/>
                  <w:jc w:val="both"/>
                  <w:textAlignment w:val="baseline"/>
                  <w:rPr>
                    <w:szCs w:val="24"/>
                  </w:rPr>
                </w:pPr>
                <w:r>
                  <w:rPr>
                    <w:szCs w:val="24"/>
                  </w:rPr>
                  <w:t>Mokslo institucijos</w:t>
                </w:r>
              </w:p>
              <w:p>
                <w:pPr>
                  <w:overflowPunct w:val="0"/>
                  <w:jc w:val="both"/>
                  <w:textAlignment w:val="baseline"/>
                  <w:rPr>
                    <w:szCs w:val="24"/>
                  </w:rPr>
                </w:pPr>
              </w:p>
            </w:tc>
            <w:tc>
              <w:tcPr>
                <w:tcW w:w="1276" w:type="dxa"/>
                <w:noWrap/>
              </w:tcPr>
              <w:p>
                <w:pPr>
                  <w:overflowPunct w:val="0"/>
                  <w:jc w:val="both"/>
                  <w:textAlignment w:val="baseline"/>
                  <w:rPr>
                    <w:szCs w:val="24"/>
                  </w:rPr>
                </w:pPr>
                <w:r>
                  <w:rPr>
                    <w:szCs w:val="24"/>
                  </w:rPr>
                  <w:t>2022–2026</w:t>
                </w:r>
              </w:p>
              <w:p>
                <w:pPr>
                  <w:overflowPunct w:val="0"/>
                  <w:jc w:val="both"/>
                  <w:textAlignment w:val="baseline"/>
                  <w:rPr>
                    <w:szCs w:val="24"/>
                  </w:rPr>
                </w:pPr>
              </w:p>
            </w:tc>
          </w:tr>
          <w:tr>
            <w:trPr>
              <w:gridAfter w:val="1"/>
              <w:wAfter w:w="23" w:type="dxa"/>
              <w:trHeight w:val="695"/>
            </w:trPr>
            <w:tc>
              <w:tcPr>
                <w:tcW w:w="662" w:type="dxa"/>
                <w:vMerge/>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lang w:eastAsia="en-ZW"/>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rPr>
                </w:pPr>
              </w:p>
            </w:tc>
            <w:tc>
              <w:tcPr>
                <w:tcW w:w="3821" w:type="dxa"/>
                <w:noWrap/>
              </w:tcPr>
              <w:p>
                <w:pPr>
                  <w:overflowPunct w:val="0"/>
                  <w:jc w:val="both"/>
                  <w:textAlignment w:val="baseline"/>
                  <w:rPr>
                    <w:szCs w:val="24"/>
                    <w:lang w:eastAsia="en-ZW"/>
                  </w:rPr>
                </w:pPr>
                <w:r>
                  <w:rPr>
                    <w:szCs w:val="24"/>
                    <w:lang w:eastAsia="en-ZW"/>
                  </w:rPr>
                  <w:t>2.2.2. atlikti istorinių archeologinių eršketų liekanų, rastų Lietuvoje, genetinius tyrimus ir nustatyti eršketų rūšis.</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15</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8" w:type="dxa"/>
              </w:tcPr>
              <w:p>
                <w:pPr>
                  <w:overflowPunct w:val="0"/>
                  <w:jc w:val="center"/>
                  <w:textAlignment w:val="baseline"/>
                  <w:rPr>
                    <w:szCs w:val="24"/>
                  </w:rPr>
                </w:pPr>
                <w:r>
                  <w:rPr>
                    <w:szCs w:val="24"/>
                  </w:rPr>
                  <w:t>15</w:t>
                </w:r>
              </w:p>
            </w:tc>
            <w:tc>
              <w:tcPr>
                <w:tcW w:w="1843" w:type="dxa"/>
                <w:gridSpan w:val="2"/>
                <w:vMerge/>
              </w:tcPr>
              <w:p>
                <w:pPr>
                  <w:overflowPunct w:val="0"/>
                  <w:jc w:val="both"/>
                  <w:textAlignment w:val="baseline"/>
                  <w:rPr>
                    <w:szCs w:val="24"/>
                  </w:rPr>
                </w:pPr>
              </w:p>
            </w:tc>
            <w:tc>
              <w:tcPr>
                <w:tcW w:w="1701" w:type="dxa"/>
                <w:vMerge/>
              </w:tcPr>
              <w:p>
                <w:pPr>
                  <w:overflowPunct w:val="0"/>
                  <w:jc w:val="both"/>
                  <w:textAlignment w:val="baseline"/>
                  <w:rPr>
                    <w:szCs w:val="24"/>
                  </w:rPr>
                </w:pPr>
              </w:p>
            </w:tc>
            <w:tc>
              <w:tcPr>
                <w:tcW w:w="1276" w:type="dxa"/>
                <w:noWrap/>
              </w:tcPr>
              <w:p>
                <w:pPr>
                  <w:overflowPunct w:val="0"/>
                  <w:jc w:val="both"/>
                  <w:textAlignment w:val="baseline"/>
                  <w:rPr>
                    <w:szCs w:val="24"/>
                  </w:rPr>
                </w:pPr>
                <w:r>
                  <w:rPr>
                    <w:szCs w:val="24"/>
                  </w:rPr>
                  <w:t>2022–2026</w:t>
                </w:r>
              </w:p>
            </w:tc>
          </w:tr>
          <w:tr>
            <w:tc>
              <w:tcPr>
                <w:tcW w:w="15044" w:type="dxa"/>
                <w:gridSpan w:val="13"/>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b/>
                    <w:bCs/>
                    <w:szCs w:val="24"/>
                    <w:lang w:eastAsia="en-ZW"/>
                  </w:rPr>
                </w:pPr>
                <w:r>
                  <w:rPr>
                    <w:b/>
                    <w:bCs/>
                    <w:szCs w:val="24"/>
                    <w:lang w:eastAsia="en-ZW"/>
                  </w:rPr>
                  <w:t xml:space="preserve">3 tikslas – saugoti esamas ir, jei yra galimybė, atkurti buvusias eršketų buveines </w:t>
                </w:r>
              </w:p>
            </w:tc>
          </w:tr>
          <w:tr>
            <w:trPr>
              <w:gridAfter w:val="1"/>
              <w:wAfter w:w="23" w:type="dxa"/>
              <w:trHeight w:val="1411"/>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3.1.</w:t>
                </w: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textAlignment w:val="baseline"/>
                  <w:rPr>
                    <w:szCs w:val="24"/>
                    <w:lang w:eastAsia="en-ZW"/>
                  </w:rPr>
                </w:pPr>
                <w:r>
                  <w:rPr>
                    <w:szCs w:val="24"/>
                    <w:lang w:eastAsia="en-ZW"/>
                  </w:rPr>
                  <w:t>veiksminga žuvų introdukcijos kontrolė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3821"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textAlignment w:val="baseline"/>
                  <w:rPr>
                    <w:szCs w:val="24"/>
                    <w:lang w:eastAsia="en-ZW"/>
                  </w:rPr>
                </w:pPr>
                <w:r>
                  <w:rPr>
                    <w:szCs w:val="24"/>
                    <w:lang w:eastAsia="en-ZW"/>
                  </w:rPr>
                  <w:t>3.1.1. siekti, kad svetimžemės žuvys (įskaitant įvairių rūšių eršketus) neteisėtai ar atsitiktinai nepatektų į gamtą;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textAlignment w:val="baseline"/>
                  <w:rPr>
                    <w:szCs w:val="24"/>
                    <w:lang w:eastAsia="en-ZW"/>
                  </w:rPr>
                </w:pPr>
                <w:r>
                  <w:rPr>
                    <w:szCs w:val="24"/>
                    <w:lang w:eastAsia="en-ZW"/>
                  </w:rPr>
                  <w:t xml:space="preserve">3.1.2. informuoti visuomenę apie šių rūšių grėsmę aštriašnipių eršketų populiacijai dėl hibridizacijos rizikos. </w:t>
                </w:r>
              </w:p>
            </w:tc>
            <w:tc>
              <w:tcPr>
                <w:tcW w:w="765"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8" w:type="dxa"/>
              </w:tcPr>
              <w:p>
                <w:pPr>
                  <w:overflowPunct w:val="0"/>
                  <w:jc w:val="center"/>
                  <w:textAlignment w:val="baseline"/>
                  <w:rPr>
                    <w:szCs w:val="24"/>
                  </w:rPr>
                </w:pPr>
                <w:r>
                  <w:rPr>
                    <w:szCs w:val="24"/>
                  </w:rPr>
                  <w:t>1</w:t>
                </w:r>
              </w:p>
            </w:tc>
            <w:tc>
              <w:tcPr>
                <w:tcW w:w="1843" w:type="dxa"/>
                <w:gridSpan w:val="2"/>
              </w:tcPr>
              <w:p>
                <w:pPr>
                  <w:overflowPunct w:val="0"/>
                  <w:jc w:val="center"/>
                  <w:textAlignment w:val="baseline"/>
                  <w:rPr>
                    <w:szCs w:val="24"/>
                  </w:rPr>
                </w:pPr>
                <w:r>
                  <w:rPr>
                    <w:szCs w:val="24"/>
                  </w:rPr>
                  <w:t>Žuvininkystės tarnybos biudžetas</w:t>
                </w:r>
              </w:p>
            </w:tc>
            <w:tc>
              <w:tcPr>
                <w:tcW w:w="1701" w:type="dxa"/>
              </w:tcPr>
              <w:p>
                <w:pPr>
                  <w:overflowPunct w:val="0"/>
                  <w:jc w:val="both"/>
                  <w:textAlignment w:val="baseline"/>
                  <w:rPr>
                    <w:szCs w:val="24"/>
                  </w:rPr>
                </w:pPr>
                <w:r>
                  <w:rPr>
                    <w:szCs w:val="24"/>
                  </w:rPr>
                  <w:t>Žuvininkystės tarnyba, Lietuvos Respublikos aplinkos ministerija (toliau – AM) ir jos valdymo srities institucijos</w:t>
                </w:r>
              </w:p>
            </w:tc>
            <w:tc>
              <w:tcPr>
                <w:tcW w:w="1276" w:type="dxa"/>
                <w:noWrap/>
              </w:tcPr>
              <w:p>
                <w:pPr>
                  <w:overflowPunct w:val="0"/>
                  <w:jc w:val="both"/>
                  <w:textAlignment w:val="baseline"/>
                  <w:rPr>
                    <w:szCs w:val="24"/>
                  </w:rPr>
                </w:pPr>
                <w:r>
                  <w:rPr>
                    <w:szCs w:val="24"/>
                  </w:rPr>
                  <w:t>2022–2026</w:t>
                </w:r>
              </w:p>
              <w:p>
                <w:pPr>
                  <w:overflowPunct w:val="0"/>
                  <w:jc w:val="both"/>
                  <w:textAlignment w:val="baseline"/>
                  <w:rPr>
                    <w:szCs w:val="24"/>
                  </w:rPr>
                </w:pPr>
              </w:p>
            </w:tc>
          </w:tr>
          <w:tr>
            <w:trPr>
              <w:trHeight w:val="460"/>
            </w:trPr>
            <w:tc>
              <w:tcPr>
                <w:tcW w:w="15044" w:type="dxa"/>
                <w:gridSpan w:val="13"/>
                <w:noWrap/>
              </w:tcPr>
              <w:p>
                <w:pPr>
                  <w:overflowPunct w:val="0"/>
                  <w:jc w:val="both"/>
                  <w:textAlignment w:val="baseline"/>
                  <w:rPr>
                    <w:szCs w:val="24"/>
                  </w:rPr>
                </w:pPr>
                <w:r>
                  <w:rPr>
                    <w:b/>
                    <w:bCs/>
                    <w:szCs w:val="24"/>
                  </w:rPr>
                  <w:t xml:space="preserve">4 tikslas –  užtikrinti ar palengvinti aštriašnipių eršketų migraciją Nemuno ir Neries baseinų upėse</w:t>
                </w:r>
              </w:p>
            </w:tc>
          </w:tr>
          <w:tr>
            <w:trPr>
              <w:gridAfter w:val="1"/>
              <w:wAfter w:w="23" w:type="dxa"/>
              <w:trHeight w:val="1411"/>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4.1.</w:t>
                </w: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textAlignment w:val="baseline"/>
                  <w:rPr>
                    <w:szCs w:val="24"/>
                    <w:lang w:eastAsia="en-ZW"/>
                  </w:rPr>
                </w:pPr>
                <w:r>
                  <w:rPr>
                    <w:szCs w:val="24"/>
                    <w:lang w:eastAsia="en-ZW"/>
                  </w:rPr>
                  <w:t>nustatyti galimybes atkurti migracijos kelius visose pagrindinėse upėse.</w:t>
                </w:r>
              </w:p>
            </w:tc>
            <w:tc>
              <w:tcPr>
                <w:tcW w:w="3821"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4.1.1. nustatyti tikslias eršketų migracijos ribas Lietuvoje.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textAlignment w:val="baseline"/>
                  <w:rPr>
                    <w:szCs w:val="24"/>
                    <w:lang w:eastAsia="en-ZW"/>
                  </w:rPr>
                </w:pPr>
                <w:r>
                  <w:rPr>
                    <w:szCs w:val="24"/>
                    <w:lang w:eastAsia="en-ZW"/>
                  </w:rPr>
                  <w:t>4.1.2. nustatyti visas migracijos kliūtis ir įvertinti jų pritaikymo eršketų migracijai galimybes</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6</w:t>
                </w:r>
              </w:p>
            </w:tc>
            <w:tc>
              <w:tcPr>
                <w:tcW w:w="709" w:type="dxa"/>
              </w:tcPr>
              <w:p>
                <w:pPr>
                  <w:overflowPunct w:val="0"/>
                  <w:jc w:val="center"/>
                  <w:textAlignment w:val="baseline"/>
                  <w:rPr>
                    <w:szCs w:val="24"/>
                  </w:rPr>
                </w:pPr>
                <w:r>
                  <w:rPr>
                    <w:szCs w:val="24"/>
                  </w:rPr>
                  <w:t>6</w:t>
                </w:r>
              </w:p>
            </w:tc>
            <w:tc>
              <w:tcPr>
                <w:tcW w:w="709" w:type="dxa"/>
              </w:tcPr>
              <w:p>
                <w:pPr>
                  <w:overflowPunct w:val="0"/>
                  <w:jc w:val="center"/>
                  <w:textAlignment w:val="baseline"/>
                  <w:rPr>
                    <w:szCs w:val="24"/>
                  </w:rPr>
                </w:pPr>
                <w:r>
                  <w:rPr>
                    <w:szCs w:val="24"/>
                  </w:rPr>
                  <w:t>5</w:t>
                </w:r>
              </w:p>
            </w:tc>
            <w:tc>
              <w:tcPr>
                <w:tcW w:w="708" w:type="dxa"/>
              </w:tcPr>
              <w:p>
                <w:pPr>
                  <w:overflowPunct w:val="0"/>
                  <w:jc w:val="center"/>
                  <w:textAlignment w:val="baseline"/>
                  <w:rPr>
                    <w:szCs w:val="24"/>
                  </w:rPr>
                </w:pPr>
                <w:r>
                  <w:rPr>
                    <w:szCs w:val="24"/>
                  </w:rPr>
                  <w:t>5</w:t>
                </w:r>
              </w:p>
            </w:tc>
            <w:tc>
              <w:tcPr>
                <w:tcW w:w="1843" w:type="dxa"/>
                <w:gridSpan w:val="2"/>
              </w:tcPr>
              <w:p>
                <w:pPr>
                  <w:overflowPunct w:val="0"/>
                  <w:jc w:val="center"/>
                  <w:textAlignment w:val="baseline"/>
                  <w:rPr>
                    <w:szCs w:val="24"/>
                  </w:rPr>
                </w:pPr>
                <w:r>
                  <w:rPr>
                    <w:szCs w:val="24"/>
                  </w:rPr>
                  <w:t>EJŽRAF lėšos</w:t>
                </w:r>
              </w:p>
            </w:tc>
            <w:tc>
              <w:tcPr>
                <w:tcW w:w="1701" w:type="dxa"/>
              </w:tcPr>
              <w:p>
                <w:pPr>
                  <w:overflowPunct w:val="0"/>
                  <w:jc w:val="both"/>
                  <w:textAlignment w:val="baseline"/>
                  <w:rPr>
                    <w:szCs w:val="24"/>
                  </w:rPr>
                </w:pPr>
                <w:r>
                  <w:rPr>
                    <w:szCs w:val="24"/>
                  </w:rPr>
                  <w:t xml:space="preserve">Mokslo institucijos,  Žuvininkystės tarnyba</w:t>
                </w:r>
              </w:p>
            </w:tc>
            <w:tc>
              <w:tcPr>
                <w:tcW w:w="1276" w:type="dxa"/>
                <w:noWrap/>
              </w:tcPr>
              <w:p>
                <w:pPr>
                  <w:overflowPunct w:val="0"/>
                  <w:jc w:val="both"/>
                  <w:textAlignment w:val="baseline"/>
                  <w:rPr>
                    <w:color w:val="FF0000"/>
                    <w:szCs w:val="24"/>
                  </w:rPr>
                </w:pPr>
                <w:r>
                  <w:rPr>
                    <w:szCs w:val="24"/>
                  </w:rPr>
                  <w:t>2022-2026</w:t>
                </w:r>
              </w:p>
            </w:tc>
          </w:tr>
          <w:tr>
            <w:trPr>
              <w:trHeight w:val="506"/>
            </w:trPr>
            <w:tc>
              <w:tcPr>
                <w:tcW w:w="15044" w:type="dxa"/>
                <w:gridSpan w:val="13"/>
                <w:noWrap/>
              </w:tcPr>
              <w:p>
                <w:pPr>
                  <w:overflowPunct w:val="0"/>
                  <w:jc w:val="both"/>
                  <w:textAlignment w:val="baseline"/>
                  <w:rPr>
                    <w:szCs w:val="24"/>
                  </w:rPr>
                </w:pPr>
                <w:r>
                  <w:rPr>
                    <w:b/>
                    <w:bCs/>
                    <w:szCs w:val="24"/>
                  </w:rPr>
                  <w:t>5 tikslas – didinti visuomenės, administracinį ir politinį supratimą apie aštriašnipių eršketų išsaugojimo reikšmingumą ir būtinumą</w:t>
                </w:r>
              </w:p>
            </w:tc>
          </w:tr>
          <w:tr>
            <w:trPr>
              <w:gridAfter w:val="1"/>
              <w:wAfter w:w="23" w:type="dxa"/>
              <w:trHeight w:val="416"/>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5.1.</w:t>
                </w: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suteikti žinių apie aštriašnipių eršketų išteklių atkūrimą Baltijos jūros valstybėse, didinti visuomenės supratimą apie šių darbų būtinybę</w:t>
                </w:r>
              </w:p>
            </w:tc>
            <w:tc>
              <w:tcPr>
                <w:tcW w:w="3821"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5.1.1. sukurti informacijos sklaidos strategiją, sukaupti reikalingą medžiagą jai įgyvendinti;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5.1.2 į diskusijas įtraukti visas suinteresuotas šalis.</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2</w:t>
                </w:r>
              </w:p>
            </w:tc>
            <w:tc>
              <w:tcPr>
                <w:tcW w:w="709" w:type="dxa"/>
              </w:tcPr>
              <w:p>
                <w:pPr>
                  <w:overflowPunct w:val="0"/>
                  <w:jc w:val="center"/>
                  <w:textAlignment w:val="baseline"/>
                  <w:rPr>
                    <w:szCs w:val="24"/>
                  </w:rPr>
                </w:pPr>
                <w:r>
                  <w:rPr>
                    <w:szCs w:val="24"/>
                  </w:rPr>
                  <w:t>1</w:t>
                </w:r>
              </w:p>
            </w:tc>
            <w:tc>
              <w:tcPr>
                <w:tcW w:w="709" w:type="dxa"/>
              </w:tcPr>
              <w:p>
                <w:pPr>
                  <w:overflowPunct w:val="0"/>
                  <w:jc w:val="center"/>
                  <w:textAlignment w:val="baseline"/>
                  <w:rPr>
                    <w:szCs w:val="24"/>
                  </w:rPr>
                </w:pPr>
                <w:r>
                  <w:rPr>
                    <w:szCs w:val="24"/>
                  </w:rPr>
                  <w:t>1</w:t>
                </w:r>
              </w:p>
            </w:tc>
            <w:tc>
              <w:tcPr>
                <w:tcW w:w="708" w:type="dxa"/>
              </w:tcPr>
              <w:p>
                <w:pPr>
                  <w:overflowPunct w:val="0"/>
                  <w:jc w:val="center"/>
                  <w:textAlignment w:val="baseline"/>
                  <w:rPr>
                    <w:szCs w:val="24"/>
                  </w:rPr>
                </w:pPr>
                <w:r>
                  <w:rPr>
                    <w:szCs w:val="24"/>
                  </w:rPr>
                  <w:t>1</w:t>
                </w:r>
              </w:p>
            </w:tc>
            <w:tc>
              <w:tcPr>
                <w:tcW w:w="1843" w:type="dxa"/>
                <w:gridSpan w:val="2"/>
              </w:tcPr>
              <w:p>
                <w:pPr>
                  <w:overflowPunct w:val="0"/>
                  <w:jc w:val="center"/>
                  <w:textAlignment w:val="baseline"/>
                  <w:rPr>
                    <w:szCs w:val="24"/>
                  </w:rPr>
                </w:pPr>
                <w:r>
                  <w:rPr>
                    <w:szCs w:val="24"/>
                  </w:rPr>
                  <w:t>EJŽRAF lėšos</w:t>
                </w:r>
              </w:p>
            </w:tc>
            <w:tc>
              <w:tcPr>
                <w:tcW w:w="1701" w:type="dxa"/>
              </w:tcPr>
              <w:p>
                <w:pPr>
                  <w:overflowPunct w:val="0"/>
                  <w:jc w:val="both"/>
                  <w:textAlignment w:val="baseline"/>
                  <w:rPr>
                    <w:szCs w:val="24"/>
                  </w:rPr>
                </w:pPr>
                <w:r>
                  <w:rPr>
                    <w:szCs w:val="24"/>
                  </w:rPr>
                  <w:t xml:space="preserve">Mokslo institucijos,  Žuvininkystės tarnyba</w:t>
                </w:r>
              </w:p>
            </w:tc>
            <w:tc>
              <w:tcPr>
                <w:tcW w:w="1276" w:type="dxa"/>
                <w:noWrap/>
              </w:tcPr>
              <w:p>
                <w:pPr>
                  <w:overflowPunct w:val="0"/>
                  <w:jc w:val="both"/>
                  <w:textAlignment w:val="baseline"/>
                  <w:rPr>
                    <w:color w:val="FF0000"/>
                    <w:szCs w:val="24"/>
                  </w:rPr>
                </w:pPr>
              </w:p>
            </w:tc>
          </w:tr>
          <w:tr>
            <w:tc>
              <w:tcPr>
                <w:tcW w:w="15044" w:type="dxa"/>
                <w:gridSpan w:val="13"/>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rPr>
                    <w:b/>
                    <w:bCs/>
                    <w:szCs w:val="24"/>
                    <w:lang w:eastAsia="en-ZW"/>
                  </w:rPr>
                </w:pPr>
                <w:r>
                  <w:rPr>
                    <w:b/>
                    <w:bCs/>
                    <w:szCs w:val="24"/>
                    <w:lang w:eastAsia="en-ZW"/>
                  </w:rPr>
                  <w:t>6 tikslas – nustatyti tinkamas finansines ir teisines prielaidas eršketų ištekliams atkurti</w:t>
                </w:r>
              </w:p>
            </w:tc>
          </w:tr>
          <w:tr>
            <w:trPr>
              <w:gridAfter w:val="1"/>
              <w:wAfter w:w="23" w:type="dxa"/>
              <w:trHeight w:val="252"/>
            </w:trPr>
            <w:tc>
              <w:tcPr>
                <w:tcW w:w="662" w:type="dxa"/>
                <w:vMerge w:val="restart"/>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center"/>
                  <w:textAlignment w:val="baseline"/>
                  <w:rPr>
                    <w:szCs w:val="24"/>
                    <w:lang w:eastAsia="en-ZW"/>
                  </w:rPr>
                </w:pPr>
                <w:r>
                  <w:rPr>
                    <w:szCs w:val="24"/>
                    <w:lang w:eastAsia="en-ZW"/>
                  </w:rPr>
                  <w:t>6.1.</w:t>
                </w:r>
              </w:p>
            </w:tc>
            <w:tc>
              <w:tcPr>
                <w:tcW w:w="2118" w:type="dxa"/>
                <w:vMerge w:val="restar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center"/>
                  <w:textAlignment w:val="baseline"/>
                  <w:rPr>
                    <w:szCs w:val="24"/>
                    <w:lang w:eastAsia="en-ZW"/>
                  </w:rPr>
                </w:pPr>
                <w:r>
                  <w:rPr>
                    <w:szCs w:val="24"/>
                    <w:lang w:eastAsia="en-ZW"/>
                  </w:rPr>
                  <w:t>užtikrinti tinkamą ilgalaikį veiksmų finansavimą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center"/>
                  <w:textAlignment w:val="baseline"/>
                  <w:rPr>
                    <w:szCs w:val="24"/>
                    <w:lang w:eastAsia="en-ZW"/>
                  </w:rPr>
                </w:pPr>
              </w:p>
            </w:tc>
            <w:tc>
              <w:tcPr>
                <w:tcW w:w="3821" w:type="dxa"/>
                <w:noWrap/>
              </w:tcPr>
              <w:p>
                <w:pPr>
                  <w:overflowPunct w:val="0"/>
                  <w:jc w:val="both"/>
                  <w:textAlignment w:val="baseline"/>
                  <w:rPr>
                    <w:szCs w:val="24"/>
                  </w:rPr>
                </w:pPr>
                <w:r>
                  <w:rPr>
                    <w:szCs w:val="24"/>
                    <w:lang w:eastAsia="en-ZW"/>
                  </w:rPr>
                  <w:t>6.1.1. paskirti koordinavimo įstaigą, atsakingą už Programos vykdymą ir atskirų etapų tęstinumą;</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8" w:type="dxa"/>
              </w:tcPr>
              <w:p>
                <w:pPr>
                  <w:overflowPunct w:val="0"/>
                  <w:jc w:val="center"/>
                  <w:textAlignment w:val="baseline"/>
                  <w:rPr>
                    <w:szCs w:val="24"/>
                  </w:rPr>
                </w:pPr>
                <w:r>
                  <w:rPr>
                    <w:szCs w:val="24"/>
                  </w:rPr>
                  <w:t>0</w:t>
                </w:r>
              </w:p>
            </w:tc>
            <w:tc>
              <w:tcPr>
                <w:tcW w:w="1843" w:type="dxa"/>
                <w:gridSpan w:val="2"/>
                <w:vMerge w:val="restart"/>
              </w:tcPr>
              <w:p>
                <w:pPr>
                  <w:overflowPunct w:val="0"/>
                  <w:jc w:val="both"/>
                  <w:textAlignment w:val="baseline"/>
                  <w:rPr>
                    <w:szCs w:val="24"/>
                  </w:rPr>
                </w:pPr>
              </w:p>
            </w:tc>
            <w:tc>
              <w:tcPr>
                <w:tcW w:w="1701" w:type="dxa"/>
                <w:vMerge w:val="restart"/>
              </w:tcPr>
              <w:p>
                <w:pPr>
                  <w:overflowPunct w:val="0"/>
                  <w:jc w:val="both"/>
                  <w:textAlignment w:val="baseline"/>
                  <w:rPr>
                    <w:szCs w:val="24"/>
                  </w:rPr>
                </w:pPr>
                <w:r>
                  <w:rPr>
                    <w:szCs w:val="24"/>
                  </w:rPr>
                  <w:t>Lietuvos Respublikos žemės ūkio ministerija (toliau – ŽŪM)</w:t>
                </w:r>
              </w:p>
            </w:tc>
            <w:tc>
              <w:tcPr>
                <w:tcW w:w="1276" w:type="dxa"/>
                <w:vMerge w:val="restart"/>
                <w:noWrap/>
              </w:tcPr>
              <w:p>
                <w:pPr>
                  <w:overflowPunct w:val="0"/>
                  <w:jc w:val="both"/>
                  <w:textAlignment w:val="baseline"/>
                  <w:rPr>
                    <w:szCs w:val="24"/>
                  </w:rPr>
                </w:pPr>
                <w:r>
                  <w:rPr>
                    <w:szCs w:val="24"/>
                  </w:rPr>
                  <w:t>2022–2026</w:t>
                </w:r>
              </w:p>
              <w:p>
                <w:pPr>
                  <w:overflowPunct w:val="0"/>
                  <w:jc w:val="both"/>
                  <w:textAlignment w:val="baseline"/>
                  <w:rPr>
                    <w:szCs w:val="24"/>
                  </w:rPr>
                </w:pPr>
              </w:p>
            </w:tc>
          </w:tr>
          <w:tr>
            <w:trPr>
              <w:gridAfter w:val="1"/>
              <w:wAfter w:w="23" w:type="dxa"/>
              <w:trHeight w:val="829"/>
            </w:trPr>
            <w:tc>
              <w:tcPr>
                <w:tcW w:w="662" w:type="dxa"/>
                <w:vMerge/>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3821" w:type="dxa"/>
                <w:noWrap/>
              </w:tcPr>
              <w:p>
                <w:pPr>
                  <w:overflowPunct w:val="0"/>
                  <w:jc w:val="both"/>
                  <w:textAlignment w:val="baseline"/>
                  <w:rPr>
                    <w:szCs w:val="24"/>
                  </w:rPr>
                </w:pPr>
                <w:r>
                  <w:rPr>
                    <w:szCs w:val="24"/>
                    <w:lang w:eastAsia="en-ZW"/>
                  </w:rPr>
                  <w:t>6.1.2. numatyti Programos finansavimo šaltinius (nacionalinius, Europos Sąjungos);</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8" w:type="dxa"/>
              </w:tcPr>
              <w:p>
                <w:pPr>
                  <w:overflowPunct w:val="0"/>
                  <w:jc w:val="center"/>
                  <w:textAlignment w:val="baseline"/>
                  <w:rPr>
                    <w:szCs w:val="24"/>
                  </w:rPr>
                </w:pPr>
                <w:r>
                  <w:rPr>
                    <w:szCs w:val="24"/>
                  </w:rPr>
                  <w:t>0</w:t>
                </w:r>
              </w:p>
            </w:tc>
            <w:tc>
              <w:tcPr>
                <w:tcW w:w="1843" w:type="dxa"/>
                <w:gridSpan w:val="2"/>
                <w:vMerge/>
              </w:tcPr>
              <w:p>
                <w:pPr>
                  <w:overflowPunct w:val="0"/>
                  <w:jc w:val="both"/>
                  <w:textAlignment w:val="baseline"/>
                  <w:rPr>
                    <w:szCs w:val="24"/>
                  </w:rPr>
                </w:pPr>
              </w:p>
            </w:tc>
            <w:tc>
              <w:tcPr>
                <w:tcW w:w="1701" w:type="dxa"/>
                <w:vMerge/>
              </w:tcPr>
              <w:p>
                <w:pPr>
                  <w:overflowPunct w:val="0"/>
                  <w:jc w:val="both"/>
                  <w:textAlignment w:val="baseline"/>
                  <w:rPr>
                    <w:szCs w:val="24"/>
                  </w:rPr>
                </w:pPr>
              </w:p>
            </w:tc>
            <w:tc>
              <w:tcPr>
                <w:tcW w:w="1276" w:type="dxa"/>
                <w:vMerge/>
                <w:noWrap/>
              </w:tcPr>
              <w:p>
                <w:pPr>
                  <w:overflowPunct w:val="0"/>
                  <w:jc w:val="both"/>
                  <w:textAlignment w:val="baseline"/>
                  <w:rPr>
                    <w:szCs w:val="24"/>
                  </w:rPr>
                </w:pPr>
              </w:p>
            </w:tc>
          </w:tr>
          <w:tr>
            <w:trPr>
              <w:gridAfter w:val="1"/>
              <w:wAfter w:w="23" w:type="dxa"/>
              <w:trHeight w:val="1420"/>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6.2.</w:t>
                </w: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pagerinti eršketų išsaugojimo ir atkūrimo teisinę bazę, kad būtų tinkamai įgyvendinama Programa</w:t>
                </w:r>
              </w:p>
            </w:tc>
            <w:tc>
              <w:tcPr>
                <w:tcW w:w="3821" w:type="dxa"/>
                <w:noWrap/>
              </w:tcPr>
              <w:p>
                <w:pPr>
                  <w:overflowPunct w:val="0"/>
                  <w:jc w:val="both"/>
                  <w:textAlignment w:val="baseline"/>
                  <w:rPr>
                    <w:szCs w:val="24"/>
                  </w:rPr>
                </w:pPr>
                <w:r>
                  <w:rPr>
                    <w:szCs w:val="24"/>
                    <w:lang w:eastAsia="en-ZW"/>
                  </w:rPr>
                  <w:t xml:space="preserve">6.2.1. suderinti Programos priemones su atitinkamais ES reglamentais.  </w:t>
                </w:r>
              </w:p>
            </w:tc>
            <w:tc>
              <w:tcPr>
                <w:tcW w:w="765"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9" w:type="dxa"/>
              </w:tcPr>
              <w:p>
                <w:pPr>
                  <w:overflowPunct w:val="0"/>
                  <w:jc w:val="center"/>
                  <w:textAlignment w:val="baseline"/>
                  <w:rPr>
                    <w:szCs w:val="24"/>
                  </w:rPr>
                </w:pPr>
                <w:r>
                  <w:rPr>
                    <w:szCs w:val="24"/>
                  </w:rPr>
                  <w:t>0</w:t>
                </w:r>
              </w:p>
            </w:tc>
            <w:tc>
              <w:tcPr>
                <w:tcW w:w="708" w:type="dxa"/>
              </w:tcPr>
              <w:p>
                <w:pPr>
                  <w:overflowPunct w:val="0"/>
                  <w:jc w:val="center"/>
                  <w:textAlignment w:val="baseline"/>
                  <w:rPr>
                    <w:szCs w:val="24"/>
                  </w:rPr>
                </w:pPr>
                <w:r>
                  <w:rPr>
                    <w:szCs w:val="24"/>
                  </w:rPr>
                  <w:t>0</w:t>
                </w:r>
              </w:p>
            </w:tc>
            <w:tc>
              <w:tcPr>
                <w:tcW w:w="1843" w:type="dxa"/>
                <w:gridSpan w:val="2"/>
                <w:vMerge/>
              </w:tcPr>
              <w:p>
                <w:pPr>
                  <w:overflowPunct w:val="0"/>
                  <w:jc w:val="both"/>
                  <w:textAlignment w:val="baseline"/>
                  <w:rPr>
                    <w:szCs w:val="24"/>
                  </w:rPr>
                </w:pPr>
              </w:p>
            </w:tc>
            <w:tc>
              <w:tcPr>
                <w:tcW w:w="1701" w:type="dxa"/>
              </w:tcPr>
              <w:p>
                <w:pPr>
                  <w:overflowPunct w:val="0"/>
                  <w:jc w:val="both"/>
                  <w:textAlignment w:val="baseline"/>
                  <w:rPr>
                    <w:szCs w:val="24"/>
                  </w:rPr>
                </w:pPr>
                <w:r>
                  <w:rPr>
                    <w:szCs w:val="24"/>
                  </w:rPr>
                  <w:t>AM, ŽŪM</w:t>
                </w:r>
              </w:p>
            </w:tc>
            <w:tc>
              <w:tcPr>
                <w:tcW w:w="1276" w:type="dxa"/>
                <w:noWrap/>
              </w:tcPr>
              <w:p>
                <w:pPr>
                  <w:overflowPunct w:val="0"/>
                  <w:jc w:val="both"/>
                  <w:textAlignment w:val="baseline"/>
                  <w:rPr>
                    <w:szCs w:val="24"/>
                  </w:rPr>
                </w:pPr>
                <w:r>
                  <w:rPr>
                    <w:szCs w:val="24"/>
                  </w:rPr>
                  <w:t>2022–2026</w:t>
                </w:r>
              </w:p>
              <w:p>
                <w:pPr>
                  <w:overflowPunct w:val="0"/>
                  <w:jc w:val="both"/>
                  <w:textAlignment w:val="baseline"/>
                  <w:rPr>
                    <w:szCs w:val="24"/>
                  </w:rPr>
                </w:pPr>
              </w:p>
            </w:tc>
          </w:tr>
          <w:tr>
            <w:trPr>
              <w:trHeight w:val="458"/>
            </w:trPr>
            <w:tc>
              <w:tcPr>
                <w:tcW w:w="15044" w:type="dxa"/>
                <w:gridSpan w:val="13"/>
                <w:noWrap/>
              </w:tcPr>
              <w:p>
                <w:pPr>
                  <w:overflowPunct w:val="0"/>
                  <w:jc w:val="both"/>
                  <w:textAlignment w:val="baseline"/>
                  <w:rPr>
                    <w:szCs w:val="24"/>
                  </w:rPr>
                </w:pPr>
                <w:r>
                  <w:rPr>
                    <w:b/>
                    <w:bCs/>
                    <w:szCs w:val="24"/>
                  </w:rPr>
                  <w:t>7 tikslas – stebėti ir vertinti, kaip įgyvendinamas veiksmų planas.</w:t>
                </w:r>
              </w:p>
            </w:tc>
          </w:tr>
          <w:tr>
            <w:trPr>
              <w:gridAfter w:val="1"/>
              <w:wAfter w:w="23" w:type="dxa"/>
              <w:trHeight w:val="1413"/>
            </w:trPr>
            <w:tc>
              <w:tcPr>
                <w:tcW w:w="662" w:type="dxa"/>
                <w:vMerge w:val="restart"/>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7.1.</w:t>
                </w:r>
              </w:p>
            </w:tc>
            <w:tc>
              <w:tcPr>
                <w:tcW w:w="2118" w:type="dxa"/>
                <w:vMerge w:val="restar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r>
                  <w:rPr>
                    <w:szCs w:val="24"/>
                    <w:lang w:eastAsia="en-ZW"/>
                  </w:rPr>
                  <w:t xml:space="preserve">paskirti už Programos įgyvendinimą atsakingus koordinatorius </w:t>
                </w:r>
              </w:p>
            </w:tc>
            <w:tc>
              <w:tcPr>
                <w:tcW w:w="3821" w:type="dxa"/>
                <w:noWrap/>
              </w:tcPr>
              <w:p>
                <w:pPr>
                  <w:overflowPunct w:val="0"/>
                  <w:jc w:val="both"/>
                  <w:textAlignment w:val="baseline"/>
                  <w:rPr>
                    <w:szCs w:val="24"/>
                  </w:rPr>
                </w:pPr>
                <w:r>
                  <w:rPr>
                    <w:szCs w:val="24"/>
                    <w:lang w:eastAsia="en-ZW"/>
                  </w:rPr>
                  <w:t xml:space="preserve">7.1.1. apibrėžti atsakomybę ir pareigas paskirtiems asmenims, kurie koordinuos, vertins ir įgyvendins Programą ir bendradarbiavimą; </w:t>
                </w:r>
              </w:p>
            </w:tc>
            <w:tc>
              <w:tcPr>
                <w:tcW w:w="765" w:type="dxa"/>
              </w:tcPr>
              <w:p>
                <w:pPr>
                  <w:overflowPunct w:val="0"/>
                  <w:jc w:val="both"/>
                  <w:textAlignment w:val="baseline"/>
                  <w:rPr>
                    <w:szCs w:val="24"/>
                  </w:rPr>
                </w:pPr>
                <w:r>
                  <w:rPr>
                    <w:szCs w:val="24"/>
                  </w:rPr>
                  <w:t>0</w:t>
                </w:r>
              </w:p>
            </w:tc>
            <w:tc>
              <w:tcPr>
                <w:tcW w:w="709" w:type="dxa"/>
              </w:tcPr>
              <w:p>
                <w:pPr>
                  <w:overflowPunct w:val="0"/>
                  <w:jc w:val="both"/>
                  <w:textAlignment w:val="baseline"/>
                  <w:rPr>
                    <w:szCs w:val="24"/>
                  </w:rPr>
                </w:pPr>
                <w:r>
                  <w:rPr>
                    <w:szCs w:val="24"/>
                  </w:rPr>
                  <w:t>0</w:t>
                </w:r>
              </w:p>
            </w:tc>
            <w:tc>
              <w:tcPr>
                <w:tcW w:w="709" w:type="dxa"/>
              </w:tcPr>
              <w:p>
                <w:pPr>
                  <w:overflowPunct w:val="0"/>
                  <w:jc w:val="both"/>
                  <w:textAlignment w:val="baseline"/>
                  <w:rPr>
                    <w:szCs w:val="24"/>
                  </w:rPr>
                </w:pPr>
                <w:r>
                  <w:rPr>
                    <w:szCs w:val="24"/>
                  </w:rPr>
                  <w:t>0</w:t>
                </w:r>
              </w:p>
            </w:tc>
            <w:tc>
              <w:tcPr>
                <w:tcW w:w="709" w:type="dxa"/>
              </w:tcPr>
              <w:p>
                <w:pPr>
                  <w:overflowPunct w:val="0"/>
                  <w:jc w:val="both"/>
                  <w:textAlignment w:val="baseline"/>
                  <w:rPr>
                    <w:szCs w:val="24"/>
                  </w:rPr>
                </w:pPr>
                <w:r>
                  <w:rPr>
                    <w:szCs w:val="24"/>
                  </w:rPr>
                  <w:t>0</w:t>
                </w:r>
              </w:p>
            </w:tc>
            <w:tc>
              <w:tcPr>
                <w:tcW w:w="708" w:type="dxa"/>
              </w:tcPr>
              <w:p>
                <w:pPr>
                  <w:overflowPunct w:val="0"/>
                  <w:jc w:val="both"/>
                  <w:textAlignment w:val="baseline"/>
                  <w:rPr>
                    <w:szCs w:val="24"/>
                  </w:rPr>
                </w:pPr>
                <w:r>
                  <w:rPr>
                    <w:szCs w:val="24"/>
                  </w:rPr>
                  <w:t>0</w:t>
                </w:r>
              </w:p>
            </w:tc>
            <w:tc>
              <w:tcPr>
                <w:tcW w:w="1843" w:type="dxa"/>
                <w:gridSpan w:val="2"/>
                <w:vMerge w:val="restart"/>
              </w:tcPr>
              <w:p>
                <w:pPr>
                  <w:overflowPunct w:val="0"/>
                  <w:jc w:val="both"/>
                  <w:textAlignment w:val="baseline"/>
                  <w:rPr>
                    <w:szCs w:val="24"/>
                  </w:rPr>
                </w:pPr>
              </w:p>
            </w:tc>
            <w:tc>
              <w:tcPr>
                <w:tcW w:w="1701" w:type="dxa"/>
              </w:tcPr>
              <w:p>
                <w:pPr>
                  <w:overflowPunct w:val="0"/>
                  <w:jc w:val="both"/>
                  <w:textAlignment w:val="baseline"/>
                  <w:rPr>
                    <w:szCs w:val="24"/>
                  </w:rPr>
                </w:pPr>
                <w:r>
                  <w:rPr>
                    <w:szCs w:val="24"/>
                  </w:rPr>
                  <w:t>Žuvininkystės tarnyba</w:t>
                </w:r>
              </w:p>
            </w:tc>
            <w:tc>
              <w:tcPr>
                <w:tcW w:w="1276" w:type="dxa"/>
                <w:vMerge w:val="restart"/>
                <w:noWrap/>
              </w:tcPr>
              <w:p>
                <w:pPr>
                  <w:overflowPunct w:val="0"/>
                  <w:jc w:val="both"/>
                  <w:textAlignment w:val="baseline"/>
                  <w:rPr>
                    <w:szCs w:val="24"/>
                  </w:rPr>
                </w:pPr>
                <w:r>
                  <w:rPr>
                    <w:szCs w:val="24"/>
                  </w:rPr>
                  <w:t>2022–2026</w:t>
                </w:r>
              </w:p>
              <w:p>
                <w:pPr>
                  <w:overflowPunct w:val="0"/>
                  <w:jc w:val="both"/>
                  <w:textAlignment w:val="baseline"/>
                  <w:rPr>
                    <w:szCs w:val="24"/>
                  </w:rPr>
                </w:pPr>
                <w:r>
                  <w:rPr>
                    <w:szCs w:val="24"/>
                  </w:rPr>
                  <w:t>(tęstinis veiksmas)</w:t>
                </w:r>
              </w:p>
            </w:tc>
          </w:tr>
          <w:tr>
            <w:trPr>
              <w:gridAfter w:val="1"/>
              <w:wAfter w:w="23" w:type="dxa"/>
              <w:trHeight w:val="996"/>
            </w:trPr>
            <w:tc>
              <w:tcPr>
                <w:tcW w:w="662" w:type="dxa"/>
                <w:vMerge/>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2118" w:type="dxa"/>
                <w:vMerge/>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3821" w:type="dxa"/>
                <w:noWrap/>
              </w:tcPr>
              <w:p>
                <w:pPr>
                  <w:overflowPunct w:val="0"/>
                  <w:jc w:val="both"/>
                  <w:textAlignment w:val="baseline"/>
                  <w:rPr>
                    <w:szCs w:val="24"/>
                    <w:lang w:eastAsia="en-ZW"/>
                  </w:rPr>
                </w:pPr>
                <w:r>
                  <w:rPr>
                    <w:szCs w:val="24"/>
                    <w:lang w:val="pt-BR" w:eastAsia="en-ZW"/>
                  </w:rPr>
                  <w:t xml:space="preserve">7.1.2. </w:t>
                </w:r>
                <w:r>
                  <w:rPr>
                    <w:szCs w:val="24"/>
                    <w:lang w:eastAsia="en-ZW"/>
                  </w:rPr>
                  <w:t>įgyvendinti ir kontroliuoti Programą.</w:t>
                </w:r>
              </w:p>
              <w:p>
                <w:pPr>
                  <w:overflowPunct w:val="0"/>
                  <w:ind w:firstLine="62"/>
                  <w:jc w:val="both"/>
                  <w:textAlignment w:val="baseline"/>
                  <w:rPr>
                    <w:szCs w:val="24"/>
                  </w:rPr>
                </w:pPr>
                <w:r>
                  <w:rPr>
                    <w:szCs w:val="24"/>
                    <w:lang w:eastAsia="en-ZW"/>
                  </w:rPr>
                  <w:t>Kasmetinis aštriašnipių eršketų atkūrimo darbų</w:t>
                </w:r>
                <w:r>
                  <w:rPr>
                    <w:szCs w:val="24"/>
                    <w:lang w:val="pt-BR" w:eastAsia="en-ZW"/>
                  </w:rPr>
                  <w:t xml:space="preserve"> vertinimas ir mokslinis Programos įgyvendinimo pažangos įvertinimas atliekamas po 3-ejų metų. </w:t>
                </w:r>
              </w:p>
            </w:tc>
            <w:tc>
              <w:tcPr>
                <w:tcW w:w="765" w:type="dxa"/>
              </w:tcPr>
              <w:p>
                <w:pPr>
                  <w:overflowPunct w:val="0"/>
                  <w:jc w:val="both"/>
                  <w:textAlignment w:val="baseline"/>
                  <w:rPr>
                    <w:szCs w:val="24"/>
                  </w:rPr>
                </w:pPr>
                <w:r>
                  <w:rPr>
                    <w:szCs w:val="24"/>
                  </w:rPr>
                  <w:t>0</w:t>
                </w:r>
              </w:p>
            </w:tc>
            <w:tc>
              <w:tcPr>
                <w:tcW w:w="709" w:type="dxa"/>
              </w:tcPr>
              <w:p>
                <w:pPr>
                  <w:overflowPunct w:val="0"/>
                  <w:jc w:val="both"/>
                  <w:textAlignment w:val="baseline"/>
                  <w:rPr>
                    <w:szCs w:val="24"/>
                  </w:rPr>
                </w:pPr>
                <w:r>
                  <w:rPr>
                    <w:szCs w:val="24"/>
                  </w:rPr>
                  <w:t>0</w:t>
                </w:r>
              </w:p>
            </w:tc>
            <w:tc>
              <w:tcPr>
                <w:tcW w:w="709" w:type="dxa"/>
              </w:tcPr>
              <w:p>
                <w:pPr>
                  <w:overflowPunct w:val="0"/>
                  <w:jc w:val="both"/>
                  <w:textAlignment w:val="baseline"/>
                  <w:rPr>
                    <w:szCs w:val="24"/>
                  </w:rPr>
                </w:pPr>
                <w:r>
                  <w:rPr>
                    <w:szCs w:val="24"/>
                  </w:rPr>
                  <w:t>0</w:t>
                </w:r>
              </w:p>
            </w:tc>
            <w:tc>
              <w:tcPr>
                <w:tcW w:w="709" w:type="dxa"/>
              </w:tcPr>
              <w:p>
                <w:pPr>
                  <w:overflowPunct w:val="0"/>
                  <w:jc w:val="both"/>
                  <w:textAlignment w:val="baseline"/>
                  <w:rPr>
                    <w:szCs w:val="24"/>
                  </w:rPr>
                </w:pPr>
                <w:r>
                  <w:rPr>
                    <w:szCs w:val="24"/>
                  </w:rPr>
                  <w:t>0</w:t>
                </w:r>
              </w:p>
            </w:tc>
            <w:tc>
              <w:tcPr>
                <w:tcW w:w="708" w:type="dxa"/>
              </w:tcPr>
              <w:p>
                <w:pPr>
                  <w:overflowPunct w:val="0"/>
                  <w:jc w:val="both"/>
                  <w:textAlignment w:val="baseline"/>
                  <w:rPr>
                    <w:szCs w:val="24"/>
                  </w:rPr>
                </w:pPr>
                <w:r>
                  <w:rPr>
                    <w:szCs w:val="24"/>
                  </w:rPr>
                  <w:t>0</w:t>
                </w:r>
              </w:p>
            </w:tc>
            <w:tc>
              <w:tcPr>
                <w:tcW w:w="1843" w:type="dxa"/>
                <w:gridSpan w:val="2"/>
                <w:vMerge/>
              </w:tcPr>
              <w:p>
                <w:pPr>
                  <w:overflowPunct w:val="0"/>
                  <w:jc w:val="both"/>
                  <w:textAlignment w:val="baseline"/>
                  <w:rPr>
                    <w:szCs w:val="24"/>
                  </w:rPr>
                </w:pPr>
              </w:p>
            </w:tc>
            <w:tc>
              <w:tcPr>
                <w:tcW w:w="1701" w:type="dxa"/>
              </w:tcPr>
              <w:p>
                <w:pPr>
                  <w:overflowPunct w:val="0"/>
                  <w:jc w:val="both"/>
                  <w:textAlignment w:val="baseline"/>
                  <w:rPr>
                    <w:szCs w:val="24"/>
                  </w:rPr>
                </w:pPr>
                <w:r>
                  <w:rPr>
                    <w:szCs w:val="24"/>
                  </w:rPr>
                  <w:t>ŽŪM, AM, mokslo institucijos</w:t>
                </w:r>
              </w:p>
            </w:tc>
            <w:tc>
              <w:tcPr>
                <w:tcW w:w="1276" w:type="dxa"/>
                <w:vMerge/>
                <w:noWrap/>
              </w:tcPr>
              <w:p>
                <w:pPr>
                  <w:overflowPunct w:val="0"/>
                  <w:ind w:left="-392"/>
                  <w:jc w:val="center"/>
                  <w:textAlignment w:val="baseline"/>
                  <w:rPr>
                    <w:szCs w:val="24"/>
                  </w:rPr>
                </w:pPr>
              </w:p>
            </w:tc>
          </w:tr>
          <w:tr>
            <w:trPr>
              <w:gridAfter w:val="1"/>
              <w:wAfter w:w="23" w:type="dxa"/>
              <w:trHeight w:val="399"/>
            </w:trPr>
            <w:tc>
              <w:tcPr>
                <w:tcW w:w="662" w:type="dxa"/>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jc w:val="both"/>
                  <w:textAlignment w:val="baseline"/>
                  <w:rPr>
                    <w:szCs w:val="24"/>
                    <w:lang w:eastAsia="en-ZW"/>
                  </w:rPr>
                </w:pPr>
              </w:p>
            </w:tc>
            <w:tc>
              <w:tcPr>
                <w:tcW w:w="211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62"/>
                  <w:jc w:val="both"/>
                  <w:textAlignment w:val="baseline"/>
                  <w:rPr>
                    <w:szCs w:val="24"/>
                    <w:lang w:eastAsia="en-ZW"/>
                  </w:rPr>
                </w:pPr>
                <w:r>
                  <w:rPr>
                    <w:szCs w:val="24"/>
                    <w:lang w:eastAsia="en-ZW"/>
                  </w:rPr>
                  <w:t>Iš viso:</w:t>
                </w:r>
              </w:p>
            </w:tc>
            <w:tc>
              <w:tcPr>
                <w:tcW w:w="3821" w:type="dxa"/>
                <w:noWrap/>
              </w:tcPr>
              <w:p>
                <w:pPr>
                  <w:overflowPunct w:val="0"/>
                  <w:jc w:val="both"/>
                  <w:textAlignment w:val="baseline"/>
                  <w:rPr>
                    <w:szCs w:val="24"/>
                    <w:lang w:val="pt-BR" w:eastAsia="en-ZW"/>
                  </w:rPr>
                </w:pPr>
              </w:p>
            </w:tc>
            <w:tc>
              <w:tcPr>
                <w:tcW w:w="765" w:type="dxa"/>
              </w:tcPr>
              <w:p>
                <w:pPr>
                  <w:overflowPunct w:val="0"/>
                  <w:jc w:val="both"/>
                  <w:textAlignment w:val="baseline"/>
                  <w:rPr>
                    <w:szCs w:val="24"/>
                  </w:rPr>
                </w:pPr>
                <w:r>
                  <w:rPr>
                    <w:szCs w:val="24"/>
                  </w:rPr>
                  <w:t>33</w:t>
                </w:r>
              </w:p>
            </w:tc>
            <w:tc>
              <w:tcPr>
                <w:tcW w:w="709" w:type="dxa"/>
              </w:tcPr>
              <w:p>
                <w:pPr>
                  <w:overflowPunct w:val="0"/>
                  <w:jc w:val="both"/>
                  <w:textAlignment w:val="baseline"/>
                  <w:rPr>
                    <w:szCs w:val="24"/>
                  </w:rPr>
                </w:pPr>
                <w:r>
                  <w:rPr>
                    <w:szCs w:val="24"/>
                  </w:rPr>
                  <w:t>514</w:t>
                </w:r>
              </w:p>
            </w:tc>
            <w:tc>
              <w:tcPr>
                <w:tcW w:w="709" w:type="dxa"/>
              </w:tcPr>
              <w:p>
                <w:pPr>
                  <w:overflowPunct w:val="0"/>
                  <w:jc w:val="both"/>
                  <w:textAlignment w:val="baseline"/>
                  <w:rPr>
                    <w:szCs w:val="24"/>
                  </w:rPr>
                </w:pPr>
                <w:r>
                  <w:rPr>
                    <w:szCs w:val="24"/>
                  </w:rPr>
                  <w:t>104</w:t>
                </w:r>
              </w:p>
            </w:tc>
            <w:tc>
              <w:tcPr>
                <w:tcW w:w="709" w:type="dxa"/>
              </w:tcPr>
              <w:p>
                <w:pPr>
                  <w:overflowPunct w:val="0"/>
                  <w:jc w:val="both"/>
                  <w:textAlignment w:val="baseline"/>
                  <w:rPr>
                    <w:szCs w:val="24"/>
                  </w:rPr>
                </w:pPr>
                <w:r>
                  <w:rPr>
                    <w:szCs w:val="24"/>
                  </w:rPr>
                  <w:t>53</w:t>
                </w:r>
              </w:p>
            </w:tc>
            <w:tc>
              <w:tcPr>
                <w:tcW w:w="708" w:type="dxa"/>
              </w:tcPr>
              <w:p>
                <w:pPr>
                  <w:overflowPunct w:val="0"/>
                  <w:jc w:val="both"/>
                  <w:textAlignment w:val="baseline"/>
                  <w:rPr>
                    <w:szCs w:val="24"/>
                  </w:rPr>
                </w:pPr>
                <w:r>
                  <w:rPr>
                    <w:szCs w:val="24"/>
                  </w:rPr>
                  <w:t>68</w:t>
                </w:r>
              </w:p>
            </w:tc>
            <w:tc>
              <w:tcPr>
                <w:tcW w:w="1843" w:type="dxa"/>
                <w:gridSpan w:val="2"/>
              </w:tcPr>
              <w:p>
                <w:pPr>
                  <w:overflowPunct w:val="0"/>
                  <w:jc w:val="both"/>
                  <w:textAlignment w:val="baseline"/>
                  <w:rPr>
                    <w:szCs w:val="24"/>
                  </w:rPr>
                </w:pPr>
                <w:r>
                  <w:rPr>
                    <w:szCs w:val="24"/>
                  </w:rPr>
                  <w:t>772</w:t>
                </w:r>
              </w:p>
            </w:tc>
            <w:tc>
              <w:tcPr>
                <w:tcW w:w="1701" w:type="dxa"/>
              </w:tcPr>
              <w:p>
                <w:pPr>
                  <w:overflowPunct w:val="0"/>
                  <w:jc w:val="both"/>
                  <w:textAlignment w:val="baseline"/>
                  <w:rPr>
                    <w:szCs w:val="24"/>
                  </w:rPr>
                </w:pPr>
              </w:p>
            </w:tc>
            <w:tc>
              <w:tcPr>
                <w:tcW w:w="1276" w:type="dxa"/>
                <w:noWrap/>
              </w:tcPr>
              <w:p>
                <w:pPr>
                  <w:overflowPunct w:val="0"/>
                  <w:ind w:left="-392"/>
                  <w:jc w:val="center"/>
                  <w:textAlignment w:val="baseline"/>
                  <w:rPr>
                    <w:szCs w:val="24"/>
                  </w:rPr>
                </w:pPr>
              </w:p>
            </w:tc>
          </w:tr>
        </w:tbl>
        <w:p>
          <w:pPr>
            <w:overflowPunct w:val="0"/>
            <w:ind w:right="-874"/>
            <w:jc w:val="center"/>
            <w:textAlignment w:val="baseline"/>
            <w:rPr>
              <w:szCs w:val="24"/>
            </w:rPr>
          </w:pPr>
        </w:p>
        <w:p>
          <w:pPr>
            <w:overflowPunct w:val="0"/>
            <w:ind w:right="-874"/>
            <w:jc w:val="center"/>
            <w:textAlignment w:val="baseline"/>
            <w:rPr>
              <w:color w:val="000000"/>
            </w:rPr>
          </w:pPr>
          <w:r>
            <w:rPr>
              <w:szCs w:val="24"/>
            </w:rPr>
            <w:t>_________________________________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fae8d0642d11e4ab32a37dfc9a0878">
            <w:r w:rsidRPr="00532B9F">
              <w:rPr>
                <w:rFonts w:ascii="Times New Roman" w:eastAsia="MS Mincho" w:hAnsi="Times New Roman"/>
                <w:sz w:val="20"/>
                <w:iCs/>
                <w:color w:val="0000FF" w:themeColor="hyperlink"/>
                <w:u w:val="single"/>
              </w:rPr>
              <w:t>3D-824/D1-874</w:t>
            </w:r>
          </w:fldSimple>
          <w:r>
            <w:rPr>
              <w:rFonts w:ascii="Times New Roman" w:eastAsia="MS Mincho" w:hAnsi="Times New Roman"/>
              <w:sz w:val="20"/>
              <w:iCs/>
            </w:rPr>
            <w:t>,
2014-11-04,
paskelbta TAR 2014-11-05, i. k. 2014-15781                </w:t>
          </w:r>
        </w:p>
        <w:p>
          <w:pPr>
            <w:jc w:val="both"/>
            <w:rPr>
              <w:rFonts w:ascii="Times New Roman" w:hAnsi="Times New Roman"/>
            </w:rPr>
          </w:pPr>
          <w:r>
            <w:rPr>
              <w:rFonts w:ascii="Times New Roman" w:hAnsi="Times New Roman"/>
              <w:sz w:val="20"/>
            </w:rPr>
            <w:t>Dėl žemės ūkio ministro ir aplinkos ministro 2012 gegužės 8 d. įsakymo Nr. 3D-330/D1-401 „Dėl Aštriašnipių eršketų populiacijos atkūrimo Lietuvoje 2012–2020 metais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736af0056811e6a238c18f7a3f1736">
            <w:r w:rsidRPr="00532B9F">
              <w:rPr>
                <w:rFonts w:ascii="Times New Roman" w:eastAsia="MS Mincho" w:hAnsi="Times New Roman"/>
                <w:sz w:val="20"/>
                <w:iCs/>
                <w:color w:val="0000FF" w:themeColor="hyperlink"/>
                <w:u w:val="single"/>
              </w:rPr>
              <w:t>3D-220/D1-260</w:t>
            </w:r>
          </w:fldSimple>
          <w:r>
            <w:rPr>
              <w:rFonts w:ascii="Times New Roman" w:eastAsia="MS Mincho" w:hAnsi="Times New Roman"/>
              <w:sz w:val="20"/>
              <w:iCs/>
            </w:rPr>
            <w:t>,
2016-04-18,
paskelbta TAR 2016-04-18, i. k. 2016-09860                </w:t>
          </w:r>
        </w:p>
        <w:p>
          <w:pPr>
            <w:jc w:val="both"/>
            <w:rPr>
              <w:rFonts w:ascii="Times New Roman" w:hAnsi="Times New Roman"/>
            </w:rPr>
          </w:pPr>
          <w:r>
            <w:rPr>
              <w:rFonts w:ascii="Times New Roman" w:hAnsi="Times New Roman"/>
              <w:sz w:val="20"/>
            </w:rPr>
            <w:t>Dėl žemės ūkio ministro ir aplinkos ministro 2012 gegužės 8 d. įsakymo Nr. 3D-330/D1-401 „Dėl Aštriašnipių eršketų populiacijos atkūrimo Lietuvoje 2012–2020 metais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91d20f88211e880d0fe0db08fac89">
            <w:r w:rsidRPr="00532B9F">
              <w:rPr>
                <w:rFonts w:ascii="Times New Roman" w:eastAsia="MS Mincho" w:hAnsi="Times New Roman"/>
                <w:sz w:val="20"/>
                <w:iCs/>
                <w:color w:val="0000FF" w:themeColor="hyperlink"/>
                <w:u w:val="single"/>
              </w:rPr>
              <w:t>3D-871/D1-1042</w:t>
            </w:r>
          </w:fldSimple>
          <w:r>
            <w:rPr>
              <w:rFonts w:ascii="Times New Roman" w:eastAsia="MS Mincho" w:hAnsi="Times New Roman"/>
              <w:sz w:val="20"/>
              <w:iCs/>
            </w:rPr>
            <w:t>,
2018-12-05,
paskelbta TAR 2018-12-05, i. k. 2018-19806                </w:t>
          </w:r>
        </w:p>
        <w:p>
          <w:pPr>
            <w:jc w:val="both"/>
            <w:rPr>
              <w:rFonts w:ascii="Times New Roman" w:hAnsi="Times New Roman"/>
            </w:rPr>
          </w:pPr>
          <w:r>
            <w:rPr>
              <w:rFonts w:ascii="Times New Roman" w:hAnsi="Times New Roman"/>
              <w:sz w:val="20"/>
            </w:rPr>
            <w:t>Dėl žemės ūkio ministro ir aplinkos ministro 2012 m. gegužės 8 d. įsakymo Nr. 3D-330/D1-401 „Dėl Aštriašnipių eršketų populiacijos atkūrimo Lietuvoje 2012–2020 metais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dfd2c05f7711eabee4a336e7e6fdab">
            <w:r w:rsidRPr="00532B9F">
              <w:rPr>
                <w:rFonts w:ascii="Times New Roman" w:eastAsia="MS Mincho" w:hAnsi="Times New Roman"/>
                <w:sz w:val="20"/>
                <w:iCs/>
                <w:color w:val="0000FF" w:themeColor="hyperlink"/>
                <w:u w:val="single"/>
              </w:rPr>
              <w:t>3D-160/D1-133</w:t>
            </w:r>
          </w:fldSimple>
          <w:r>
            <w:rPr>
              <w:rFonts w:ascii="Times New Roman" w:eastAsia="MS Mincho" w:hAnsi="Times New Roman"/>
              <w:sz w:val="20"/>
              <w:iCs/>
            </w:rPr>
            <w:t>,
2020-03-06,
paskelbta TAR 2020-03-06, i. k. 2020-05085                </w:t>
          </w:r>
        </w:p>
        <w:p>
          <w:pPr>
            <w:jc w:val="both"/>
            <w:rPr>
              <w:rFonts w:ascii="Times New Roman" w:hAnsi="Times New Roman"/>
            </w:rPr>
          </w:pPr>
          <w:r>
            <w:rPr>
              <w:rFonts w:ascii="Times New Roman" w:hAnsi="Times New Roman"/>
              <w:sz w:val="20"/>
            </w:rPr>
            <w:t>Dėl žemės ūkio ministro ir aplinkos ministro 2012 m. gegužės 8 d. įsakymo Nr. 3D-330/D1-401 „Dėl Aštriašnipių eršketų populiacijos atkūrimo Lietuvoje 2012–2020 metais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a90bc0e62711ecb369fde863feb27d">
            <w:r w:rsidRPr="00532B9F">
              <w:rPr>
                <w:rFonts w:ascii="Times New Roman" w:eastAsia="MS Mincho" w:hAnsi="Times New Roman"/>
                <w:sz w:val="20"/>
                <w:iCs/>
                <w:color w:val="0000FF" w:themeColor="hyperlink"/>
                <w:u w:val="single"/>
              </w:rPr>
              <w:t>3D-385/D1-166</w:t>
            </w:r>
          </w:fldSimple>
          <w:r>
            <w:rPr>
              <w:rFonts w:ascii="Times New Roman" w:eastAsia="MS Mincho" w:hAnsi="Times New Roman"/>
              <w:sz w:val="20"/>
              <w:iCs/>
            </w:rPr>
            <w:t>,
2022-06-07,
paskelbta TAR 2022-06-08, i. k. 2022-12357                </w:t>
          </w:r>
        </w:p>
        <w:p>
          <w:pPr>
            <w:jc w:val="both"/>
            <w:rPr>
              <w:rFonts w:ascii="Times New Roman" w:hAnsi="Times New Roman"/>
            </w:rPr>
          </w:pPr>
          <w:r>
            <w:rPr>
              <w:rFonts w:ascii="Times New Roman" w:hAnsi="Times New Roman"/>
              <w:sz w:val="20"/>
            </w:rPr>
            <w:t>Dėl žemės ūkio ministro ir aplinkos ministro 2012 m. gegužės 8 d. įsakymo Nr. 3D-330/D1-401 „Dėl Aštriašnipių eršketų populiacijos atkūrimo Lietuvoje 2012–2020 metais programos patvirtinimo“ pakeitimo  </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3</w:t>
    </w:r>
    <w:r>
      <w:rPr>
        <w:lang w:val="en-GB"/>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4</w:t>
    </w:r>
    <w:r>
      <w:rPr>
        <w:lang w:val="en-GB"/>
      </w:rPr>
      <w:fldChar w:fldCharType="end"/>
    </w: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62"/>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91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4628F87"/>
  <w15:docId w15:val="{9B542517-64C9-4A20-9C3A-02EF46013B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header" Target="header8.xml"/>
  <Relationship Id="rId20" Type="http://schemas.openxmlformats.org/officeDocument/2006/relationships/footer" Target="footer15.xml"/>
  <Relationship Id="rId21" Type="http://schemas.openxmlformats.org/officeDocument/2006/relationships/header" Target="header15.xml"/>
  <Relationship Id="rId22" Type="http://schemas.openxmlformats.org/officeDocument/2006/relationships/header" Target="header16.xml"/>
  <Relationship Id="rId23"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ŠTRIAŠNIPIŲ ERŠKETŲ POPULIACIJOS ATKŪRIMO LIETUVOJE 2022–2026 METAIS PROGRAMOS PATVIRTINIMO" DocPartId="2a9ece50183f4d7f85e7e356a57990ba" PartId="62fce3894e0a4fbc81430a26da2ec7e8">
    <Part Type="preambule" DocPartId="c207ed5f993048afb2a2129ea8b1d988" PartId="c77074b021e8425090819d55ce3c881f"/>
    <Part Type="punktas" Nr="1" Abbr="1 p." DocPartId="e2fe5c3f37f94c19a9cb048a11c293ac" PartId="d73b7108d273487ebf2afa74fa601dc0"/>
    <Part Type="punktas" Nr="2" Abbr="2 p." DocPartId="99f4b000ef4347edaaa400ab969e0619" PartId="ebc4ca4893ef4cb8af20fad88bca3c61"/>
    <Part Type="punktas" Nr="3" Abbr="3 p." DocPartId="274777ff66d9435991d9e0aec9e9d334" PartId="34c671ae0de54e90bb5f29d70ca6ad79"/>
    <Part Type="punktas" Nr="4" Abbr="4 p." DocPartId="ec6b251fd2bb4777a7cc2170c0d06d1f" PartId="cee988e6de8a451aa702e5fb8c861975"/>
    <Part Type="signatura" DocPartId="924d6487cc31425cb3575a2333fa5640" PartId="f9aab95f19b746328a8a6c08ec62768f"/>
  </Part>
  <Part Type="patvirtinta" Title="AŠTRIAŠNIPIŲ ERŠKETŲ POPULIACIJOS ATKŪRIMO LIETUVOJE 2022–2026 METAIS PROGRAMA" DocPartId="c433c0fb916440f596ad3d5693f0b525" PartId="632cf0379f4640b7aba057a1420c836c">
    <Part Type="skyrius" Nr="1" Title="BENDROSIOS NUOSTATOS" DocPartId="1d64e561961e49f8be553351802c6709" PartId="64d440806a734b7480c7148a51e56299">
      <Part Type="punktas" Nr="1" Abbr="1 p." DocPartId="f9968afa3c2a4981a170f657f3b16f3e" PartId="3b54c8b595a844e5b31f933093ab4603"/>
      <Part Type="punktas" Nr="2" Abbr="2 p." DocPartId="13e8278afd5849ad8e5c2c74b755c060" PartId="cfd3adbb0fe448568e5fc30ddae84882"/>
    </Part>
    <Part Type="skyrius" Nr="2" Title="ESAMA BŪKLĖ" DocPartId="831174d27fa94bb6b93429ef6928acc4" PartId="8a88bd11f24c4f87a5bb0a176298a467">
      <Part Type="punktas" Nr="3" Abbr="3 p." DocPartId="a336420738ef4d96b0b6a417e910b6c8" PartId="16a9660b48cf4a9390634437a36f7c67"/>
      <Part Type="punktas" Nr="4" Abbr="4 p." DocPartId="67f0b705b2c449dfa91afd9e6d92aab3" PartId="8619f11405ae43e58ea686584df1de10"/>
      <Part Type="punktas" Nr="5" Abbr="5 p." DocPartId="6028ec4b181d4c7785e46fba7f9a57af" PartId="dfee2e64075b460ea784a7fea8e810cd"/>
      <Part Type="punktas" Nr="6" Abbr="6 p." DocPartId="7f41c372d0054742bf5344de906d1133" PartId="7000b6ba76a8477ea0bf6db025038225">
        <Part Type="papunktis" Nr="6.1" Abbr="6.1 pp." DocPartId="86d91d1a0f904846b49722c574f12922" PartId="ff4cd25ed1364048a5868cc0e4de8de6"/>
        <Part Type="papunktis" Nr="6.2" Abbr="6.2 pp." DocPartId="c40034a4c1d04ee3b7b53b7f3c23d98b" PartId="e375fdc7da364628b66d74385813237b"/>
        <Part Type="papunktis" Nr="6.3" Abbr="6.3 pp." DocPartId="d8eaedeb64344f80b8293c9ebd476bdb" PartId="61fd7e5743144733936dead0841d2429"/>
        <Part Type="papunktis" Nr="6.4" Abbr="6.4 pp." DocPartId="9a31f39bef164a03a782fa20fc3a5198" PartId="d58589c7fe4941f6af988984a4b09b09"/>
        <Part Type="papunktis" Nr="6.5" Abbr="6.5 pp." DocPartId="d7884734202e4a3aa789a59674a3bba3" PartId="8797c8cce4f0417b8abe371c2d9324fa"/>
      </Part>
    </Part>
    <Part Type="skyrius" Nr="3" Title="PROGRAMOS TIKSLAI IR UŽDAVINIAI" DocPartId="d32914a4e4ef40348921d5ee2d88f6e4" PartId="5a6a562b0800421aa9387c3ce3dd350b">
      <Part Type="punktas" Nr="7" Abbr="7 p." DocPartId="2a3cb21619394a6a901843269ce0d738" PartId="60ee4cfd084246079e634041a67729d4">
        <Part Type="papunktis" Nr="7.1" Abbr="7.1 pp." DocPartId="853f42fb96a049f88d6dd90f9f9932cf" PartId="2ad838d269484ab99a46162ac974fcbf">
          <Part Type="papunktis" Nr="7.1.1" Abbr="7.1.1 pp." DocPartId="5f2571ad4cb74a32a332713bca1af055" PartId="37e6972c208749e2a44ced986375d09b"/>
        </Part>
        <Part Type="papunktis" Nr="7.2" Abbr="7.2 pp." DocPartId="b95b928058264846a14aa88600e2a653" PartId="18164aeeb66a48dfbba119bbbb32a450">
          <Part Type="papunktis" Nr="7.2.1" Abbr="7.2.1 pp." DocPartId="84aced6da311493dafdcc11350fbe198" PartId="74f41f9680f64ffabcfd978ed2484478"/>
          <Part Type="papunktis" Nr="7.2.2" Abbr="7.2.2 pp." DocPartId="b14c95c56a7243a7bd2d1914628a174c" PartId="98d7deef14f84ce393da3cf27fec245f"/>
          <Part Type="papunktis" Nr="7.2.3" Abbr="7.2.3 pp." DocPartId="6b41fa3787df46cf9b1f8309cf54d348" PartId="1f2b6f5ad2184ac582113b72740d10d0"/>
        </Part>
        <Part Type="papunktis" Nr="7.3" Abbr="7.3 pp." DocPartId="ee09aa62d0894a78bb1a38f1de176264" PartId="7f8505e088a24c55933690a14abfaea1">
          <Part Type="papunktis" Nr="7.3.1" Abbr="7.3.1 pp." DocPartId="0a478ada811d48ec845f4d872536379f" PartId="9212dee54d6746e19b02711d60515ca6"/>
          <Part Type="papunktis" Nr="7.3.2" Abbr="7.3.2 pp." DocPartId="513650c317b54ef792522e21cb19d729" PartId="27aaeacafb434b40be3408755ed7e90e"/>
          <Part Type="papunktis" Nr="7.3.3" Abbr="7.3.3 pp." DocPartId="325caf6190a94f919203d2abdc20c889" PartId="f699aee23bec484b8994e17f55f2cd26"/>
        </Part>
      </Part>
      <Part Type="punktas" Nr="8" Abbr="8 p." DocPartId="683ed52c3b194807b14955384c4ab010" PartId="c6797d6087db474aa922c0ab47bdd117">
        <Part Type="papunktis" Nr="8.1" Abbr="8.1 pp." DocPartId="79123e9acaca4a3a9eb0516cf330e8ea" PartId="1f11ba3ef4864f98a7fb47da5b02d3d7"/>
        <Part Type="papunktis" Nr="8.2" Abbr="8.2 pp." DocPartId="ce03871a76d84afcb2b9ec962df39f78" PartId="928bf4555a114cd9bef600a4b9a5b720"/>
      </Part>
    </Part>
    <Part Type="skyrius" Nr="4" Title="PROGRAMOS VERTINIMO KRITERIJAI IR SIEKIAMAS REZULTATAS" DocPartId="ea6529857eec4a99b309d2b77424c6b1" PartId="0f7ca2756ad245efbbfdc7236ce573c6">
      <Part Type="punktas" Nr="9" Abbr="9 p." DocPartId="f50b2ed0cd954ec9a89a6bc7d02a7a23" PartId="b73103318f26404b892924e4a5910212"/>
      <Part Type="punktas" Nr="10" Abbr="10 p." DocPartId="09ce979ce3ed4eca93a6d74e3d448361" PartId="ff4ca08f9cfd4e879deb28d5b36c5b04"/>
    </Part>
    <Part Type="skyrius" Nr="5" Title="PROGRAMOS ĮGYVENDINIMO PRIEMONĖS" DocPartId="a80679314a334c848d7a023105eaf865" PartId="f63473388bd0435d95d1f65f92d557ac">
      <Part Type="punktas" Nr="11" Abbr="11 p." DocPartId="b624cc8d70384b08a51d90ab1355c52f" PartId="ff6b9fef915c4afcbcf50247cd945e61">
        <Part Type="papunktis" Nr="11.1" Abbr="11.1 pp." DocPartId="45fb6d61cfa54005aa861d35301af7ad" PartId="47e2f05d79c54db086632cf1fb0a1d7d"/>
        <Part Type="papunktis" Nr="11.2" Abbr="11.2 pp." DocPartId="d3ca7c55fc6e4b5983f2ee7e92527ae0" PartId="6c6b8b05a5aa4da093452a300ea0fe1a"/>
        <Part Type="papunktis" Nr="11.3" Abbr="11.3 pp." DocPartId="aa3626356e2241dca184b5059d981b57" PartId="ad9e0fd34a3940ef9bcfb69fa329125c"/>
        <Part Type="papunktis" Nr="11.4" Abbr="11.4 pp." DocPartId="14eea1aa1d3d40959d00d71fb6c34445" PartId="de49e0e4d9754ee8af2d7e4217023f9c"/>
        <Part Type="papunktis" Nr="11.5" Abbr="11.5 pp." DocPartId="d2fd0e402f3a4572b856831d2dbca621" PartId="4b84d6818f214417acf324ef500b09f5"/>
        <Part Type="papunktis" Nr="11.6" Abbr="11.6 pp." DocPartId="df362fc2443f4c9799ddbff5aa6628aa" PartId="ce8a93f80587424ea22216e9f6218cb6"/>
        <Part Type="papunktis" Nr="11.7" Abbr="11.7 pp." DocPartId="63971ece828748e680d7c0ccdeead5ad" PartId="85a98d8948de4680b5a2d50a76f20069"/>
        <Part Type="papunktis" Nr="11.8" Abbr="11.8 pp." DocPartId="3d031f1ff21748ae9c75688cbebfe770" PartId="ddb3a0790a9e4e68bd0b9cb499d4eec0"/>
        <Part Type="papunktis" Nr="11.9" Abbr="11.9 pp." DocPartId="b09c8761101b40f48b08225597432048" PartId="bed006f06e564cb9b5cffaeb28dd5a73"/>
        <Part Type="papunktis" Nr="11.10" Abbr="11.10 pp." DocPartId="a16cce62829b4ef0a35a3bf011d216fb" PartId="c0c3d9a5d6b345a282fe694fda9b8f5c"/>
        <Part Type="papunktis" Nr="11.11" Abbr="11.11 pp." DocPartId="e75fdd4fe2ab4e5fa56538c17904260c" PartId="f0d18071dc5d4bc28b11b164415bb57f"/>
        <Part Type="papunktis" Nr="11.12" Abbr="11.12 pp." DocPartId="f78310de2e174668b51f8ce4b3b0fcd2" PartId="daf0eb231bac4fc5acdb27e321e02918"/>
        <Part Type="papunktis" Nr="11.13" Abbr="11.13 pp." DocPartId="de6decf202184eca915929ea08563a48" PartId="d22f7a27f6264668a308c4fab9b7f058"/>
        <Part Type="papunktis" Nr="11.14" Abbr="11.14 pp." DocPartId="7385a4cc90394bc58f4ae63b2edfe53e" PartId="145a862c05db498394938b5f6f5214ad"/>
      </Part>
      <Part Type="punktas" Nr="12" Abbr="12 p." DocPartId="0ecabce3d2464936b3b3232c7597c4fa" PartId="ce7a3adb5e304691b53f0f8cac9e4a9d"/>
    </Part>
    <Part Type="skyrius" Nr="6" Title="PROGRAMOS KOORDINAVIMAS IR ĮGYVENDINIMAS" DocPartId="b39963a77cd7488d9360e04c33f32ef6" PartId="a98ef85d3c084ad3b0cd06b8c6b1bd2a">
      <Part Type="punktas" Nr="13" Abbr="13 p." DocPartId="5ebc7e06c02f437eba14cd7a747cca63" PartId="4f331b5e62084ec7b8faa7b4e9b4d7f7"/>
      <Part Type="punktas" Nr="14" Abbr="14 p." DocPartId="bda5c513e2db432d8fdda1417e973da6" PartId="7953a24ed1da4e92b02a9664741fc835"/>
      <Part Type="punktas" Nr="15" Abbr="15 p." DocPartId="10e3afe18b984144974568f0e350107b" PartId="3f891d65b4d448039d66338a10d8c128"/>
      <Part Type="punktas" Nr="16" Abbr="16 p." DocPartId="596ba3af036845d19688e6ad3ddc9f27" PartId="aa5ac70f10bb49e09aa7fc06b8920a68"/>
    </Part>
    <Part Type="skyrius" Nr="7" Title="PROGRAMOS FINANSAVIMAS" DocPartId="ab5ffb487b204dc388136de17af47410" PartId="3061e380513b4289bf4c935babef2d4d">
      <Part Type="punktas" Nr="17" Abbr="17 p." DocPartId="555ba3bef8204d3282a3d23a1539d7a8" PartId="ab2b737e6ac14cf284d4232540442af6"/>
      <Part Type="punktas" Nr="18" Abbr="18 p." DocPartId="5ed7c015b37644769f2a0fcb8ec40e3a" PartId="44e75646f53f4a11b513aa38ed26ed9f"/>
    </Part>
    <Part Type="pabaiga" DocPartId="ccb85d4cb18c4b5f9435b749a4b2cbf8" PartId="8df17d8134d54c18b028cc7b4d92cc7a"/>
  </Part>
  <Part Type="priedas" Abbr="pr." Title="AŠTRIAŠNIPIŲ ERŠKETŲ ATKŪRIMO LIETUVOJE 2022–2026 METAIS PRIEMONIŲ PLANAS" DocPartId="61af6206af2145c99f95bff84dfb91d8" PartId="5663725706064c9580a7b5864d3a2954"/>
</Parts>
</file>

<file path=customXml/itemProps1.xml><?xml version="1.0" encoding="utf-8"?>
<ds:datastoreItem xmlns:ds="http://schemas.openxmlformats.org/officeDocument/2006/customXml" ds:itemID="{E9A71DD9-2704-40FC-803B-B2D3B43E78D0}">
  <ds:schemaRefs>
    <ds:schemaRef ds:uri="http://lrs.lt/TAIS/DocParts"/>
  </ds:schemaRefs>
</ds:datastoreItem>
</file>

<file path=docProps/app.xml><?xml version="1.0" encoding="utf-8"?>
<Properties xmlns="http://schemas.openxmlformats.org/officeDocument/2006/extended-properties">
  <Template>Normal.dotm</Template>
  <TotalTime>18</TotalTime>
  <Pages>17</Pages>
  <Words>21384</Words>
  <Characters>12190</Characters>
  <Application>Microsoft Office Word</Application>
  <DocSecurity>0</DocSecurity>
  <Lines>101</Lines>
  <Paragraphs>67</Paragraphs>
  <ScaleCrop>false</ScaleCrop>
  <Company/>
  <LinksUpToDate>false</LinksUpToDate>
  <CharactersWithSpaces>33507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2015-10-04T05:06:00Z</dcterms:created>
  <dc:creator>Rima</dc:creator>
  <lastModifiedBy>JUOSPONIENĖ Karolina</lastModifiedBy>
  <dcterms:modified xsi:type="dcterms:W3CDTF">2022-06-09T17:27:00Z</dcterms:modified>
  <revision>11</revision>
  <dc:title>LIETUVOS RESPUBLIKOS ŽEMĖS ŪKIO MINISTRO</dc:title>
</coreProperties>
</file>