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86d63a5877f435cb0b4b8837e78d6e1"/>
        <w:lock w:val="sdtLocked"/>
        <w:richText/>
      </w:sdtPr>
      <w:sdtContent>
        <w:p>
          <w:pPr>
            <w:jc w:val="both"/>
            <w:rPr>
              <w:rFonts w:ascii="Times New Roman" w:hAnsi="Times New Roman"/>
            </w:rPr>
          </w:pPr>
          <w:r>
            <w:rPr>
              <w:rFonts w:ascii="Times New Roman" w:hAnsi="Times New Roman"/>
              <w:b/>
              <w:i/>
            </w:rPr>
            <w:t>Suvestinė redakcija nuo 2016-04-19 iki 2018-12-05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A09EBA1DA34A">
            <w:r w:rsidRPr="00532B9F">
              <w:rPr>
                <w:rFonts w:ascii="Times New Roman" w:eastAsia="MS Mincho" w:hAnsi="Times New Roman"/>
                <w:sz w:val="20"/>
                <w:i/>
                <w:iCs/>
                <w:color w:val="0000FF" w:themeColor="hyperlink"/>
                <w:u w:val="single"/>
              </w:rPr>
              <w:t>55-2741</w:t>
            </w:r>
          </w:fldSimple>
          <w:r>
            <w:rPr>
              <w:rFonts w:ascii="Times New Roman" w:eastAsia="MS Mincho" w:hAnsi="Times New Roman"/>
              <w:sz w:val="20"/>
              <w:i/>
              <w:iCs/>
            </w:rPr>
            <w:t>, i. k. 1122330ISAK0/D1-401</w:t>
          </w:r>
        </w:p>
        <w:p>
          <w:pPr>
            <w:jc w:val="both"/>
            <w:rPr>
              <w:rFonts w:ascii="Times New Roman" w:hAnsi="Times New Roman"/>
              <w:sz w:val="20"/>
            </w:rPr>
          </w:pPr>
        </w:p>
        <w:p>
          <w:pPr>
            <w:keepLines/>
            <w:widowControl w:val="0"/>
            <w:suppressAutoHyphens/>
            <w:jc w:val="center"/>
            <w:rPr>
              <w:color w:val="000000"/>
            </w:rPr>
          </w:pPr>
          <w:r>
            <w:rPr>
              <w:color w:val="000000"/>
              <w:lang w:val="en-US"/>
            </w:rPr>
            <w:pict w14:anchorId="57816193">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9" o:title=""/>
              </v:shape>
              <w:control r:id="rId10" w:name="Control 2" w:shapeid="_x0000_s1026"/>
            </w:pict>
          </w:r>
          <w:r>
            <w:rPr>
              <w:color w:val="000000"/>
            </w:rPr>
            <w:t xml:space="preserve">LIETUVOS RESPUBLIKOS ŽEMĖS ŪKIO MINISTRO IR </w:t>
          </w:r>
        </w:p>
        <w:p>
          <w:pPr>
            <w:keepLines/>
            <w:widowControl w:val="0"/>
            <w:suppressAutoHyphens/>
            <w:jc w:val="center"/>
            <w:rPr>
              <w:color w:val="000000"/>
            </w:rPr>
          </w:pPr>
          <w:r>
            <w:rPr>
              <w:color w:val="000000"/>
            </w:rPr>
            <w:t>LIETUVOS RESPUBLIKOS APLINKOS MINISTRO</w:t>
          </w:r>
        </w:p>
        <w:p>
          <w:pPr>
            <w:keepLines/>
            <w:widowControl w:val="0"/>
            <w:suppressAutoHyphens/>
            <w:jc w:val="center"/>
            <w:rPr>
              <w:color w:val="000000"/>
            </w:rPr>
          </w:pPr>
          <w:r>
            <w:rPr>
              <w:color w:val="000000"/>
            </w:rPr>
            <w:t>Į S A K Y M A S</w:t>
          </w:r>
        </w:p>
        <w:p>
          <w:pPr>
            <w:keepLines/>
            <w:widowControl w:val="0"/>
            <w:suppressAutoHyphens/>
            <w:jc w:val="center"/>
            <w:rPr>
              <w:color w:val="000000"/>
            </w:rPr>
          </w:pPr>
        </w:p>
        <w:p>
          <w:pPr>
            <w:keepLines/>
            <w:widowControl w:val="0"/>
            <w:suppressAutoHyphens/>
            <w:jc w:val="center"/>
            <w:rPr>
              <w:b/>
              <w:bCs/>
              <w:caps/>
              <w:color w:val="000000"/>
            </w:rPr>
          </w:pPr>
          <w:r>
            <w:rPr>
              <w:b/>
              <w:bCs/>
              <w:caps/>
              <w:color w:val="000000"/>
            </w:rPr>
            <w:t xml:space="preserve">DĖL AŠTRIAŠNIPIŲ ERŠKETŲ POPULIACIJOS ATKŪRIMO LIETUVOJE </w:t>
            <w:br/>
            <w:t>2012–2020 METAIS PROGRAMOS PATVIRTINIMO</w:t>
          </w:r>
        </w:p>
        <w:p>
          <w:pPr>
            <w:widowControl w:val="0"/>
            <w:suppressAutoHyphens/>
            <w:ind w:firstLine="567"/>
            <w:jc w:val="both"/>
            <w:rPr>
              <w:color w:val="000000"/>
            </w:rPr>
          </w:pPr>
        </w:p>
        <w:p>
          <w:pPr>
            <w:keepLines/>
            <w:widowControl w:val="0"/>
            <w:suppressAutoHyphens/>
            <w:jc w:val="center"/>
            <w:rPr>
              <w:color w:val="000000"/>
            </w:rPr>
          </w:pPr>
          <w:r>
            <w:rPr>
              <w:color w:val="000000"/>
            </w:rPr>
            <w:t>2012 m. gegužės 8 d. Nr. 3D-330/D1-401</w:t>
          </w:r>
        </w:p>
        <w:p>
          <w:pPr>
            <w:keepLines/>
            <w:widowControl w:val="0"/>
            <w:suppressAutoHyphens/>
            <w:jc w:val="center"/>
            <w:rPr>
              <w:color w:val="000000"/>
            </w:rPr>
          </w:pPr>
          <w:r>
            <w:rPr>
              <w:color w:val="000000"/>
            </w:rPr>
            <w:t>Vilnius</w:t>
          </w:r>
        </w:p>
        <w:p>
          <w:pPr>
            <w:widowControl w:val="0"/>
            <w:suppressAutoHyphens/>
            <w:ind w:firstLine="567"/>
            <w:jc w:val="both"/>
            <w:rPr>
              <w:color w:val="000000"/>
            </w:rPr>
          </w:pPr>
        </w:p>
        <w:sdt>
          <w:sdtPr>
            <w:alias w:val="preambule"/>
            <w:tag w:val="part_93eb0378188a4945a87747406eb3d6f3"/>
            <w:lock w:val="sdtLocked"/>
            <w:richText/>
          </w:sdtPr>
          <w:sdtContent>
            <w:p>
              <w:pPr>
                <w:suppressAutoHyphens/>
                <w:ind w:firstLine="567"/>
                <w:jc w:val="both"/>
                <w:textAlignment w:val="center"/>
                <w:rPr>
                  <w:color w:val="000000"/>
                </w:rPr>
              </w:pPr>
              <w:r>
                <w:rPr>
                  <w:color w:val="000000"/>
                  <w:spacing w:val="-6"/>
                  <w:szCs w:val="24"/>
                </w:rPr>
                <w:t>Vadovaudamiesi Lietuvos Respublikos žuvininkystės įstatymo</w:t>
              </w:r>
              <w:r>
                <w:rPr>
                  <w:color w:val="000000"/>
                  <w:szCs w:val="24"/>
                </w:rPr>
                <w:t xml:space="preserve"> 3 straipsnio 1 dalies 3 punktu, 22 straipsnio 2 dalimi ir 23 straipsnio 1 dalimi, atsižvelgdami į tai, kad aštriašnipiai eršketai įrašyti į Lietuvos Respublikos saugomų gyvūnų, augalų ir grybų rūšių sąrašą, patvirtintą Lietuvos Respublikos aplinkos ministro 2003 m. spalio 13 d. įsakymu Nr. 504 „Dėl į Lietuvos raudonąją knygą įrašytų saugomų gyvūnų, augalų ir grybų rūšių sąrašo patvirtinimo“ ir įvertindami šios žuvų rūšies išteklių atkūrimo bei išsaugojimo Lietuvoje svarbą: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fae8d0642d11e4ab32a37dfc9a0878">
                <w:r w:rsidRPr="00532B9F">
                  <w:rPr>
                    <w:rFonts w:ascii="Times New Roman" w:eastAsia="MS Mincho" w:hAnsi="Times New Roman"/>
                    <w:sz w:val="20"/>
                    <w:i/>
                    <w:iCs/>
                    <w:color w:val="0000FF" w:themeColor="hyperlink"/>
                    <w:u w:val="single"/>
                  </w:rPr>
                  <w:t>3D-824/D1-874</w:t>
                </w:r>
              </w:fldSimple>
              <w:r>
                <w:rPr>
                  <w:rFonts w:ascii="Times New Roman" w:eastAsia="MS Mincho" w:hAnsi="Times New Roman"/>
                  <w:sz w:val="20"/>
                  <w:i/>
                  <w:iCs/>
                </w:rPr>
                <w:t>,
2014-11-04,
paskelbta TAR 2014-11-05, i. k. 2014-15781            </w:t>
              </w:r>
            </w:p>
            <w:p/>
          </w:sdtContent>
        </w:sdt>
        <w:sdt>
          <w:sdtPr>
            <w:alias w:val="1 p."/>
            <w:tag w:val="part_c8b8bb9a56b74091908fdba25105ecd9"/>
            <w:lock w:val="sdtLocked"/>
            <w:richText/>
          </w:sdtPr>
          <w:sdtContent>
            <w:p>
              <w:pPr>
                <w:widowControl w:val="0"/>
                <w:suppressAutoHyphens/>
                <w:ind w:firstLine="567"/>
                <w:jc w:val="both"/>
                <w:rPr>
                  <w:color w:val="000000"/>
                </w:rPr>
              </w:pPr>
              <w:sdt>
                <w:sdtPr>
                  <w:alias w:val="Numeris"/>
                  <w:tag w:val="nr_c8b8bb9a56b74091908fdba25105ecd9"/>
                  <w:lock w:val="sdtLocked"/>
                  <w:richText/>
                </w:sdtPr>
                <w:sdtContent>
                  <w:r>
                    <w:rPr>
                      <w:color w:val="000000"/>
                    </w:rPr>
                    <w:t>1</w:t>
                  </w:r>
                </w:sdtContent>
              </w:sdt>
              <w:r>
                <w:rPr>
                  <w:color w:val="000000"/>
                </w:rPr>
                <w:t>. T v i r t i n a m e pridedamus:</w:t>
              </w:r>
            </w:p>
            <w:sdt>
              <w:sdtPr>
                <w:alias w:val="1.1 p."/>
                <w:tag w:val="part_bd2953688f8042418223291d5c1d4264"/>
                <w:lock w:val="sdtLocked"/>
                <w:richText/>
              </w:sdtPr>
              <w:sdtContent>
                <w:p>
                  <w:pPr>
                    <w:widowControl w:val="0"/>
                    <w:suppressAutoHyphens/>
                    <w:ind w:firstLine="567"/>
                    <w:jc w:val="both"/>
                    <w:rPr>
                      <w:color w:val="000000"/>
                    </w:rPr>
                  </w:pPr>
                  <w:sdt>
                    <w:sdtPr>
                      <w:alias w:val="Numeris"/>
                      <w:tag w:val="nr_bd2953688f8042418223291d5c1d4264"/>
                      <w:lock w:val="sdtLocked"/>
                      <w:richText/>
                    </w:sdtPr>
                    <w:sdtContent>
                      <w:r>
                        <w:rPr>
                          <w:color w:val="000000"/>
                        </w:rPr>
                        <w:t>1.1</w:t>
                      </w:r>
                    </w:sdtContent>
                  </w:sdt>
                  <w:r>
                    <w:rPr>
                      <w:color w:val="000000"/>
                    </w:rPr>
                    <w:t>. Aštriašnipių eršketų populiacijos atkūrimo Lietuvoje 2012–2020 metais programą;</w:t>
                  </w:r>
                </w:p>
              </w:sdtContent>
            </w:sdt>
            <w:sdt>
              <w:sdtPr>
                <w:alias w:val="1.2 p."/>
                <w:tag w:val="part_7ad56ea8e08e43a692d83ea03b5529af"/>
                <w:lock w:val="sdtLocked"/>
                <w:richText/>
              </w:sdtPr>
              <w:sdtContent>
                <w:p>
                  <w:pPr>
                    <w:widowControl w:val="0"/>
                    <w:suppressAutoHyphens/>
                    <w:ind w:firstLine="567"/>
                    <w:jc w:val="both"/>
                    <w:rPr>
                      <w:color w:val="000000"/>
                      <w:spacing w:val="-2"/>
                    </w:rPr>
                  </w:pPr>
                  <w:sdt>
                    <w:sdtPr>
                      <w:alias w:val="Numeris"/>
                      <w:tag w:val="nr_7ad56ea8e08e43a692d83ea03b5529af"/>
                      <w:lock w:val="sdtLocked"/>
                      <w:richText/>
                    </w:sdtPr>
                    <w:sdtContent>
                      <w:r>
                        <w:rPr>
                          <w:color w:val="000000"/>
                          <w:spacing w:val="-2"/>
                        </w:rPr>
                        <w:t>1.2</w:t>
                      </w:r>
                    </w:sdtContent>
                  </w:sdt>
                  <w:r>
                    <w:rPr>
                      <w:color w:val="000000"/>
                      <w:spacing w:val="-2"/>
                    </w:rPr>
                    <w:t>. Aštriašnipių eršketų populiacijos atkūrimo Lietuvoje 2012–2020 metais programos įgyvendinimo priežiūros grupę.</w:t>
                  </w:r>
                </w:p>
              </w:sdtContent>
            </w:sdt>
          </w:sdtContent>
        </w:sdt>
        <w:sdt>
          <w:sdtPr>
            <w:alias w:val="2 p."/>
            <w:tag w:val="part_5bfdd8fca568470291b5f44e9070bb87"/>
            <w:lock w:val="sdtLocked"/>
            <w:richText/>
          </w:sdtPr>
          <w:sdtContent>
            <w:p>
              <w:pPr>
                <w:widowControl w:val="0"/>
                <w:suppressAutoHyphens/>
                <w:ind w:firstLine="567"/>
                <w:jc w:val="both"/>
                <w:rPr>
                  <w:color w:val="000000"/>
                </w:rPr>
              </w:pPr>
              <w:sdt>
                <w:sdtPr>
                  <w:alias w:val="Numeris"/>
                  <w:tag w:val="nr_5bfdd8fca568470291b5f44e9070bb87"/>
                  <w:lock w:val="sdtLocked"/>
                  <w:richText/>
                </w:sdtPr>
                <w:sdtContent>
                  <w:r>
                    <w:rPr>
                      <w:color w:val="000000"/>
                    </w:rPr>
                    <w:t>2</w:t>
                  </w:r>
                </w:sdtContent>
              </w:sdt>
              <w:r>
                <w:rPr>
                  <w:color w:val="000000"/>
                </w:rPr>
                <w:t>. P a v e d a m e Aštriašnipių eršketų populiacijos atkūrimo Lietuvoje 2012–2020 metais programos įgyvendinimo priežiūros grupei:</w:t>
              </w:r>
            </w:p>
            <w:sdt>
              <w:sdtPr>
                <w:alias w:val="2.1 p."/>
                <w:tag w:val="part_b8bc5e77ba7a4e1e97d525046161099f"/>
                <w:lock w:val="sdtLocked"/>
                <w:richText/>
              </w:sdtPr>
              <w:sdtContent>
                <w:p>
                  <w:pPr>
                    <w:widowControl w:val="0"/>
                    <w:suppressAutoHyphens/>
                    <w:ind w:firstLine="567"/>
                    <w:jc w:val="both"/>
                    <w:rPr>
                      <w:color w:val="000000"/>
                    </w:rPr>
                  </w:pPr>
                  <w:sdt>
                    <w:sdtPr>
                      <w:alias w:val="Numeris"/>
                      <w:tag w:val="nr_b8bc5e77ba7a4e1e97d525046161099f"/>
                      <w:lock w:val="sdtLocked"/>
                      <w:richText/>
                    </w:sdtPr>
                    <w:sdtContent>
                      <w:r>
                        <w:rPr>
                          <w:color w:val="000000"/>
                        </w:rPr>
                        <w:t>2.1</w:t>
                      </w:r>
                    </w:sdtContent>
                  </w:sdt>
                  <w:r>
                    <w:rPr>
                      <w:color w:val="000000"/>
                    </w:rPr>
                    <w:t>. koordinuoti Aštriašnipių eršketų populiacijos atkūrimo Lietuvoje 2012–2020 metais programoje numatytų priemonių įgyvendinimą;</w:t>
                  </w:r>
                </w:p>
              </w:sdtContent>
            </w:sdt>
            <w:sdt>
              <w:sdtPr>
                <w:alias w:val="2.2 p."/>
                <w:tag w:val="part_eee204b80e154a24858d1838f256afe0"/>
                <w:lock w:val="sdtLocked"/>
                <w:richText/>
              </w:sdtPr>
              <w:sdtContent>
                <w:p>
                  <w:pPr>
                    <w:widowControl w:val="0"/>
                    <w:suppressAutoHyphens/>
                    <w:ind w:firstLine="567"/>
                    <w:jc w:val="both"/>
                    <w:rPr>
                      <w:caps/>
                      <w:color w:val="000000"/>
                    </w:rPr>
                  </w:pPr>
                  <w:sdt>
                    <w:sdtPr>
                      <w:alias w:val="Numeris"/>
                      <w:tag w:val="nr_eee204b80e154a24858d1838f256afe0"/>
                      <w:lock w:val="sdtLocked"/>
                      <w:richText/>
                    </w:sdtPr>
                    <w:sdtContent>
                      <w:r>
                        <w:rPr>
                          <w:color w:val="000000"/>
                        </w:rPr>
                        <w:t>2.2</w:t>
                      </w:r>
                    </w:sdtContent>
                  </w:sdt>
                  <w:r>
                    <w:rPr>
                      <w:color w:val="000000"/>
                    </w:rPr>
                    <w:t>. kiekvienais metais iki kovo 1 d. Lietuvos Respublikos aplinkos ministerijai ir Lietuvos Respublikos žemės ūkio ministerijai teikti ataskaitą apie Aštriašnipių eršketų populiacijos atkūrimo Lietuvoje 2012–2020 metais programos įgyvendinimą, prireikus teikti pasiūlymus dėl jos pakeitimo ar patikslinimo.</w:t>
                  </w:r>
                </w:p>
              </w:sdtContent>
            </w:sdt>
          </w:sdtContent>
        </w:sdt>
        <w:sdt>
          <w:sdtPr>
            <w:alias w:val="signatura"/>
            <w:tag w:val="part_ec45e4f129ab4d13a54b13f3b8b47d4f"/>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Žemės ūkio ministras</w:t>
                <w:tab/>
                <w:t>Kazys Starkevičius</w:t>
              </w: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Aplinkos ministras</w:t>
                <w:tab/>
                <w:t>Gediminas Kazlauskas</w:t>
              </w:r>
            </w:p>
          </w:sdtContent>
        </w:sdt>
      </w:sdtContent>
    </w:sdt>
    <w:sdt>
      <w:sdtPr>
        <w:alias w:val="patvirtinta"/>
        <w:tag w:val="part_3669b2d6ca94461aaccedb31276194c4"/>
        <w:lock w:val="sdtLocked"/>
        <w:richText/>
      </w:sdtPr>
      <w:sdtContent>
        <w:p>
          <w:pPr>
            <w:keepLines/>
            <w:widowControl w:val="0"/>
            <w:suppressAutoHyphens/>
            <w:ind w:left="4535"/>
            <w:rPr>
              <w:color w:val="000000"/>
            </w:rPr>
          </w:pPr>
          <w:r>
            <w:rPr>
              <w:color w:val="000000"/>
            </w:rPr>
            <w:br w:type="page"/>
            <w:t>PATVIRTINTA</w:t>
          </w:r>
        </w:p>
        <w:p>
          <w:pPr>
            <w:keepLines/>
            <w:widowControl w:val="0"/>
            <w:suppressAutoHyphens/>
            <w:ind w:left="4535"/>
            <w:rPr>
              <w:color w:val="000000"/>
            </w:rPr>
          </w:pPr>
          <w:r>
            <w:rPr>
              <w:color w:val="000000"/>
            </w:rPr>
            <w:t xml:space="preserve">Lietuvos Respublikos žemės ūkio ministro ir </w:t>
          </w:r>
        </w:p>
        <w:p>
          <w:pPr>
            <w:keepLines/>
            <w:widowControl w:val="0"/>
            <w:suppressAutoHyphens/>
            <w:ind w:left="4535"/>
            <w:rPr>
              <w:color w:val="000000"/>
            </w:rPr>
          </w:pPr>
          <w:r>
            <w:rPr>
              <w:color w:val="000000"/>
            </w:rPr>
            <w:t xml:space="preserve">Lietuvos Respublikos aplinkos ministro </w:t>
          </w:r>
        </w:p>
        <w:p>
          <w:pPr>
            <w:keepLines/>
            <w:widowControl w:val="0"/>
            <w:suppressAutoHyphens/>
            <w:ind w:left="4535"/>
            <w:rPr>
              <w:color w:val="000000"/>
            </w:rPr>
          </w:pPr>
          <w:r>
            <w:rPr>
              <w:color w:val="000000"/>
            </w:rPr>
            <w:t xml:space="preserve">2012 m. gegužės 8 d. </w:t>
          </w:r>
        </w:p>
        <w:p>
          <w:pPr>
            <w:keepLines/>
            <w:widowControl w:val="0"/>
            <w:suppressAutoHyphens/>
            <w:ind w:left="4535"/>
            <w:rPr>
              <w:color w:val="000000"/>
            </w:rPr>
          </w:pPr>
          <w:r>
            <w:rPr>
              <w:color w:val="000000"/>
            </w:rPr>
            <w:t>įsakymu Nr. 3D-330 / D1-401</w:t>
          </w:r>
        </w:p>
        <w:p>
          <w:pPr>
            <w:widowControl w:val="0"/>
            <w:suppressAutoHyphens/>
            <w:ind w:firstLine="567"/>
            <w:jc w:val="both"/>
            <w:rPr>
              <w:color w:val="000000"/>
            </w:rPr>
          </w:pPr>
        </w:p>
        <w:sdt>
          <w:sdtPr>
            <w:alias w:val="Pavadinimas"/>
            <w:tag w:val="title_3669b2d6ca94461aaccedb31276194c4"/>
            <w:lock w:val="sdtLocked"/>
            <w:richText/>
          </w:sdtPr>
          <w:sdtContent>
            <w:p>
              <w:pPr>
                <w:keepLines/>
                <w:widowControl w:val="0"/>
                <w:suppressAutoHyphens/>
                <w:jc w:val="center"/>
                <w:rPr>
                  <w:b/>
                  <w:bCs/>
                  <w:caps/>
                  <w:color w:val="000000"/>
                </w:rPr>
              </w:pPr>
              <w:r>
                <w:rPr>
                  <w:b/>
                  <w:bCs/>
                  <w:caps/>
                  <w:color w:val="000000"/>
                </w:rPr>
                <w:t>AŠTRIAŠNIPIŲ ERŠKETŲ POPULIACIJOS ATKŪRIMO LIETUVOJE</w:t>
              </w:r>
            </w:p>
            <w:p>
              <w:pPr>
                <w:keepLines/>
                <w:widowControl w:val="0"/>
                <w:suppressAutoHyphens/>
                <w:jc w:val="center"/>
                <w:rPr>
                  <w:b/>
                  <w:bCs/>
                  <w:caps/>
                  <w:color w:val="000000"/>
                </w:rPr>
              </w:pPr>
              <w:r>
                <w:rPr>
                  <w:b/>
                  <w:bCs/>
                  <w:caps/>
                  <w:color w:val="000000"/>
                </w:rPr>
                <w:t>2012–2020 METAIS PROGRAMA</w:t>
              </w:r>
            </w:p>
          </w:sdtContent>
        </w:sdt>
        <w:p>
          <w:pPr>
            <w:keepLines/>
            <w:widowControl w:val="0"/>
            <w:suppressAutoHyphens/>
            <w:jc w:val="center"/>
            <w:rPr>
              <w:b/>
              <w:bCs/>
              <w:caps/>
              <w:color w:val="000000"/>
            </w:rPr>
          </w:pPr>
        </w:p>
        <w:sdt>
          <w:sdtPr>
            <w:alias w:val="skyrius"/>
            <w:tag w:val="part_3942726bf6a5440c8f4d6cfe0de9b94f"/>
            <w:lock w:val="sdtLocked"/>
            <w:richText/>
          </w:sdtPr>
          <w:sdtContent>
            <w:p>
              <w:pPr>
                <w:keepLines/>
                <w:widowControl w:val="0"/>
                <w:suppressAutoHyphens/>
                <w:jc w:val="center"/>
                <w:rPr>
                  <w:b/>
                  <w:bCs/>
                  <w:caps/>
                  <w:color w:val="000000"/>
                </w:rPr>
              </w:pPr>
              <w:sdt>
                <w:sdtPr>
                  <w:alias w:val="Numeris"/>
                  <w:tag w:val="nr_3942726bf6a5440c8f4d6cfe0de9b94f"/>
                  <w:lock w:val="sdtLocked"/>
                  <w:richText/>
                </w:sdtPr>
                <w:sdtContent>
                  <w:r>
                    <w:rPr>
                      <w:b/>
                      <w:bCs/>
                      <w:caps/>
                      <w:color w:val="000000"/>
                    </w:rPr>
                    <w:t>I</w:t>
                  </w:r>
                </w:sdtContent>
              </w:sdt>
              <w:r>
                <w:rPr>
                  <w:b/>
                  <w:bCs/>
                  <w:caps/>
                  <w:color w:val="000000"/>
                </w:rPr>
                <w:t xml:space="preserve">. </w:t>
              </w:r>
              <w:sdt>
                <w:sdtPr>
                  <w:alias w:val="Pavadinimas"/>
                  <w:tag w:val="title_3942726bf6a5440c8f4d6cfe0de9b94f"/>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e1ceea45c44d4c37a11db109e2b2490f"/>
                <w:lock w:val="sdtLocked"/>
                <w:richText/>
              </w:sdtPr>
              <w:sdtContent>
                <w:p>
                  <w:pPr>
                    <w:suppressAutoHyphens/>
                    <w:ind w:firstLine="567"/>
                    <w:jc w:val="both"/>
                    <w:textAlignment w:val="center"/>
                    <w:rPr>
                      <w:color w:val="000000"/>
                    </w:rPr>
                  </w:pPr>
                  <w:sdt>
                    <w:sdtPr>
                      <w:alias w:val="Numeris"/>
                      <w:tag w:val="nr_e1ceea45c44d4c37a11db109e2b2490f"/>
                      <w:lock w:val="sdtLocked"/>
                      <w:richText/>
                    </w:sdtPr>
                    <w:sdtContent>
                      <w:r>
                        <w:rPr>
                          <w:color w:val="000000"/>
                          <w:szCs w:val="24"/>
                        </w:rPr>
                        <w:t>1</w:t>
                      </w:r>
                    </w:sdtContent>
                  </w:sdt>
                  <w:r>
                    <w:rPr>
                      <w:color w:val="000000"/>
                      <w:szCs w:val="24"/>
                    </w:rPr>
                    <w:t xml:space="preserve">. Aštriašnipių eršketų populiacijos atkūrimo Lietuvoje 2012–2020 metais programos (toliau – programa) tikslas – sukurti teisines, materialias ir finansines priemones, siekiant pagausinti Lietuvos biologinę įvairovę, atkurti ir išsaugoti į Lietuvos Respublikos saugomų gyvūnų, augalų ir grybų rūšių sąrašą, patvirtintą Lietuvos Respublikos aplinkos ministro 2003 m. spalio 13 d. įsakymu Nr. 504 „Dėl į Lietuvos raudonąją knygą įrašytų saugomų gyvūnų, augalų ir grybų rūšių sąrašo patvirtinimo“, įrašytos žuvų rūšies – aštriašnipių eršketų </w:t>
                  </w:r>
                  <w:r>
                    <w:rPr>
                      <w:i/>
                      <w:iCs/>
                      <w:color w:val="000000"/>
                      <w:szCs w:val="24"/>
                    </w:rPr>
                    <w:t>(Acipenser oxyrhynchus Mitchill)</w:t>
                  </w:r>
                  <w:r>
                    <w:rPr>
                      <w:color w:val="000000"/>
                      <w:szCs w:val="24"/>
                    </w:rPr>
                    <w:t xml:space="preserve"> (toliau – aštriašnipis eršketas) – populiaciją.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fae8d0642d11e4ab32a37dfc9a0878">
                    <w:r w:rsidRPr="00532B9F">
                      <w:rPr>
                        <w:rFonts w:ascii="Times New Roman" w:eastAsia="MS Mincho" w:hAnsi="Times New Roman"/>
                        <w:sz w:val="20"/>
                        <w:i/>
                        <w:iCs/>
                        <w:color w:val="0000FF" w:themeColor="hyperlink"/>
                        <w:u w:val="single"/>
                      </w:rPr>
                      <w:t>3D-824/D1-874</w:t>
                    </w:r>
                  </w:fldSimple>
                  <w:r>
                    <w:rPr>
                      <w:rFonts w:ascii="Times New Roman" w:eastAsia="MS Mincho" w:hAnsi="Times New Roman"/>
                      <w:sz w:val="20"/>
                      <w:i/>
                      <w:iCs/>
                    </w:rPr>
                    <w:t>,
2014-11-04,
paskelbta TAR 2014-11-05, i. k. 2014-15781            </w:t>
                  </w:r>
                </w:p>
                <w:p/>
              </w:sdtContent>
            </w:sdt>
            <w:sdt>
              <w:sdtPr>
                <w:alias w:val="2 p."/>
                <w:tag w:val="part_471dd419c258417fbff720112ff388c6"/>
                <w:lock w:val="sdtLocked"/>
                <w:richText/>
              </w:sdtPr>
              <w:sdtContent>
                <w:p>
                  <w:pPr>
                    <w:suppressAutoHyphens/>
                    <w:ind w:firstLine="567"/>
                    <w:jc w:val="both"/>
                    <w:textAlignment w:val="center"/>
                    <w:rPr>
                      <w:color w:val="000000"/>
                    </w:rPr>
                  </w:pPr>
                  <w:sdt>
                    <w:sdtPr>
                      <w:alias w:val="Numeris"/>
                      <w:tag w:val="nr_471dd419c258417fbff720112ff388c6"/>
                      <w:lock w:val="sdtLocked"/>
                      <w:richText/>
                    </w:sdtPr>
                    <w:sdtContent>
                      <w:r>
                        <w:rPr>
                          <w:color w:val="000000"/>
                          <w:szCs w:val="24"/>
                        </w:rPr>
                        <w:t>2</w:t>
                      </w:r>
                    </w:sdtContent>
                  </w:sdt>
                  <w:r>
                    <w:rPr>
                      <w:color w:val="000000"/>
                      <w:szCs w:val="24"/>
                    </w:rPr>
                    <w:t>. Šioje programoje vartojamos sąvokos apibrėžtos Lietuvos Respublikos žuvininkystės įstatyme, Lietuvos Respublikos mėgėjiškos žūklės įstatyme, Lietuvos Respublikos laukinės gyvūnijos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fae8d0642d11e4ab32a37dfc9a0878">
                    <w:r w:rsidRPr="00532B9F">
                      <w:rPr>
                        <w:rFonts w:ascii="Times New Roman" w:eastAsia="MS Mincho" w:hAnsi="Times New Roman"/>
                        <w:sz w:val="20"/>
                        <w:i/>
                        <w:iCs/>
                        <w:color w:val="0000FF" w:themeColor="hyperlink"/>
                        <w:u w:val="single"/>
                      </w:rPr>
                      <w:t>3D-824/D1-874</w:t>
                    </w:r>
                  </w:fldSimple>
                  <w:r>
                    <w:rPr>
                      <w:rFonts w:ascii="Times New Roman" w:eastAsia="MS Mincho" w:hAnsi="Times New Roman"/>
                      <w:sz w:val="20"/>
                      <w:i/>
                      <w:iCs/>
                    </w:rPr>
                    <w:t>,
2014-11-04,
paskelbta TAR 2014-11-05, i. k. 2014-15781            </w:t>
                  </w:r>
                </w:p>
                <w:p/>
              </w:sdtContent>
            </w:sdt>
          </w:sdtContent>
        </w:sdt>
        <w:sdt>
          <w:sdtPr>
            <w:alias w:val="skyrius"/>
            <w:tag w:val="part_c0ed2839af54475fb3a1af210413887e"/>
            <w:lock w:val="sdtLocked"/>
            <w:richText/>
          </w:sdtPr>
          <w:sdtContent>
            <w:p>
              <w:pPr>
                <w:keepLines/>
                <w:widowControl w:val="0"/>
                <w:suppressAutoHyphens/>
                <w:jc w:val="center"/>
                <w:rPr>
                  <w:b/>
                  <w:bCs/>
                  <w:caps/>
                  <w:color w:val="000000"/>
                </w:rPr>
              </w:pPr>
              <w:sdt>
                <w:sdtPr>
                  <w:alias w:val="Numeris"/>
                  <w:tag w:val="nr_c0ed2839af54475fb3a1af210413887e"/>
                  <w:lock w:val="sdtLocked"/>
                  <w:richText/>
                </w:sdtPr>
                <w:sdtContent>
                  <w:r>
                    <w:rPr>
                      <w:b/>
                      <w:bCs/>
                      <w:caps/>
                      <w:color w:val="000000"/>
                    </w:rPr>
                    <w:t>II</w:t>
                  </w:r>
                </w:sdtContent>
              </w:sdt>
              <w:r>
                <w:rPr>
                  <w:b/>
                  <w:bCs/>
                  <w:caps/>
                  <w:color w:val="000000"/>
                </w:rPr>
                <w:t xml:space="preserve">. </w:t>
              </w:r>
              <w:sdt>
                <w:sdtPr>
                  <w:alias w:val="Pavadinimas"/>
                  <w:tag w:val="title_c0ed2839af54475fb3a1af210413887e"/>
                  <w:lock w:val="sdtLocked"/>
                  <w:richText/>
                </w:sdtPr>
                <w:sdtContent>
                  <w:r>
                    <w:rPr>
                      <w:b/>
                      <w:bCs/>
                      <w:caps/>
                      <w:color w:val="000000"/>
                    </w:rPr>
                    <w:t>ESAMA BŪKLĖ</w:t>
                  </w:r>
                </w:sdtContent>
              </w:sdt>
            </w:p>
            <w:p>
              <w:pPr>
                <w:widowControl w:val="0"/>
                <w:suppressAutoHyphens/>
                <w:ind w:firstLine="567"/>
                <w:jc w:val="both"/>
                <w:rPr>
                  <w:color w:val="000000"/>
                </w:rPr>
              </w:pPr>
            </w:p>
            <w:sdt>
              <w:sdtPr>
                <w:alias w:val="3 p."/>
                <w:tag w:val="part_e0c14ffbc422424398a5246397208741"/>
                <w:lock w:val="sdtLocked"/>
                <w:richText/>
              </w:sdtPr>
              <w:sdtContent>
                <w:p>
                  <w:pPr>
                    <w:widowControl w:val="0"/>
                    <w:suppressAutoHyphens/>
                    <w:ind w:firstLine="567"/>
                    <w:jc w:val="both"/>
                    <w:rPr>
                      <w:color w:val="000000"/>
                    </w:rPr>
                  </w:pPr>
                  <w:sdt>
                    <w:sdtPr>
                      <w:alias w:val="Numeris"/>
                      <w:tag w:val="nr_e0c14ffbc422424398a5246397208741"/>
                      <w:lock w:val="sdtLocked"/>
                      <w:richText/>
                    </w:sdtPr>
                    <w:sdtContent>
                      <w:r>
                        <w:rPr>
                          <w:color w:val="000000"/>
                        </w:rPr>
                        <w:t>3</w:t>
                      </w:r>
                    </w:sdtContent>
                  </w:sdt>
                  <w:r>
                    <w:rPr>
                      <w:color w:val="000000"/>
                    </w:rPr>
                    <w:t xml:space="preserve">. Iki XIX a. pabaigos eršketai buvo sutinkami Lietuvos žuvininkystės vandens telkiniuose: Nemune, Neryje, Merkyje, Šventojoje, Baltijos jūroje. Didėjantis užterštumas, upių tvenkimas ir melioravimas nuskurdino buveines, o drastiška šių žuvų žvejyba XX a. viduryje sąlygojo šios rūšies išnykimą Lietuvos žuvininkystės vandens telkiniuose. Manyta, kad Lietuvos žuvininkystės vandens telkiniuose gyveno atlantinis eršketas </w:t>
                  </w:r>
                  <w:r>
                    <w:rPr>
                      <w:i/>
                      <w:iCs/>
                      <w:color w:val="000000"/>
                    </w:rPr>
                    <w:t>(Acipenser sturio L.)</w:t>
                  </w:r>
                  <w:r>
                    <w:rPr>
                      <w:color w:val="000000"/>
                    </w:rPr>
                    <w:t>, tačiau pastarąjį dešimtmetį atlikus genetinius tyrimus nustatyta, kad Baltijos jūroje prieš 800–1200 metų gyveno aštriašnipiai eršketai. Šis faktas atvėrė naujas eršketų išteklių atkūrimo galimybes. Aštriašnipiai eršketai yra gana plačiai paplitę Šiaurės Amerikoje, jų populiacija pakankamai gausi, kad būtų galima gauti medžiagos reintrodukcijos darbams. Vokietijoje ir Lenkijoje pradėti vykdyti aštriašnipių eršketų reintrodukcijos darbai. Iš Kanados vandenyse sugautų reproduktorių ikrų išinkubuota, paauginta ir į Oderio, Vyslos baseinų upes per paskutinius 6 metus išleista virš 100 tūkst. vnt. paaugintų aštriašnipių eršketų jauniklių.</w:t>
                  </w:r>
                </w:p>
              </w:sdtContent>
            </w:sdt>
            <w:sdt>
              <w:sdtPr>
                <w:alias w:val="4 p."/>
                <w:tag w:val="part_f05167b8d8de467ca2a603ce095e540b"/>
                <w:lock w:val="sdtLocked"/>
                <w:richText/>
              </w:sdtPr>
              <w:sdtContent>
                <w:p>
                  <w:pPr>
                    <w:suppressAutoHyphens/>
                    <w:ind w:firstLine="567"/>
                    <w:jc w:val="both"/>
                    <w:textAlignment w:val="center"/>
                    <w:rPr>
                      <w:color w:val="000000"/>
                    </w:rPr>
                  </w:pPr>
                  <w:sdt>
                    <w:sdtPr>
                      <w:alias w:val="Numeris"/>
                      <w:tag w:val="nr_f05167b8d8de467ca2a603ce095e540b"/>
                      <w:lock w:val="sdtLocked"/>
                      <w:richText/>
                    </w:sdtPr>
                    <w:sdtContent>
                      <w:r>
                        <w:rPr>
                          <w:color w:val="000000"/>
                          <w:szCs w:val="24"/>
                        </w:rPr>
                        <w:t>4</w:t>
                      </w:r>
                    </w:sdtContent>
                  </w:sdt>
                  <w:r>
                    <w:rPr>
                      <w:color w:val="000000"/>
                      <w:szCs w:val="24"/>
                    </w:rPr>
                    <w:t>. 2007 m. lapkričio 15 d. Helsinkio komisija (HELCOM) patvirtino Baltijos jūros veiksmų planą. 1992 m. balandžio 9 d. Helsinkio konvenciją dėl Baltijos jūros baseino jūrinės aplinkos apsaugos pasirašiusios šalys įsipareigojo siekti geros Baltijos jūros biologinės įvairovės būklės ir imtis priemonių išnykusioms rūšims atkurti.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fae8d0642d11e4ab32a37dfc9a0878">
                    <w:r w:rsidRPr="00532B9F">
                      <w:rPr>
                        <w:rFonts w:ascii="Times New Roman" w:eastAsia="MS Mincho" w:hAnsi="Times New Roman"/>
                        <w:sz w:val="20"/>
                        <w:i/>
                        <w:iCs/>
                        <w:color w:val="0000FF" w:themeColor="hyperlink"/>
                        <w:u w:val="single"/>
                      </w:rPr>
                      <w:t>3D-824/D1-874</w:t>
                    </w:r>
                  </w:fldSimple>
                  <w:r>
                    <w:rPr>
                      <w:rFonts w:ascii="Times New Roman" w:eastAsia="MS Mincho" w:hAnsi="Times New Roman"/>
                      <w:sz w:val="20"/>
                      <w:i/>
                      <w:iCs/>
                    </w:rPr>
                    <w:t>,
2014-11-04,
paskelbta TAR 2014-11-05, i. k. 2014-15781            </w:t>
                  </w:r>
                </w:p>
                <w:p/>
              </w:sdtContent>
            </w:sdt>
            <w:sdt>
              <w:sdtPr>
                <w:alias w:val="5 p."/>
                <w:tag w:val="part_e86c198acd8f4047be85cd4c5569894f"/>
                <w:lock w:val="sdtLocked"/>
                <w:richText/>
              </w:sdtPr>
              <w:sdtContent>
                <w:p>
                  <w:pPr>
                    <w:widowControl w:val="0"/>
                    <w:suppressAutoHyphens/>
                    <w:ind w:firstLine="567"/>
                    <w:jc w:val="both"/>
                    <w:rPr>
                      <w:color w:val="000000"/>
                    </w:rPr>
                  </w:pPr>
                  <w:sdt>
                    <w:sdtPr>
                      <w:alias w:val="Numeris"/>
                      <w:tag w:val="nr_e86c198acd8f4047be85cd4c5569894f"/>
                      <w:lock w:val="sdtLocked"/>
                      <w:richText/>
                    </w:sdtPr>
                    <w:sdtContent>
                      <w:r>
                        <w:rPr>
                          <w:color w:val="000000"/>
                        </w:rPr>
                        <w:t>5</w:t>
                      </w:r>
                    </w:sdtContent>
                  </w:sdt>
                  <w:r>
                    <w:rPr>
                      <w:color w:val="000000"/>
                    </w:rPr>
                    <w:t>. Aštriašnipiai eršketai įrašyti į Lietuvos Respublikos saugomų gyvūnų, augalų ir grybų rūšių sąrašą.</w:t>
                  </w:r>
                </w:p>
              </w:sdtContent>
            </w:sdt>
            <w:sdt>
              <w:sdtPr>
                <w:alias w:val="6 p."/>
                <w:tag w:val="part_1160e51177b940aebdea80840e1fdad3"/>
                <w:lock w:val="sdtLocked"/>
                <w:richText/>
              </w:sdtPr>
              <w:sdtContent>
                <w:p>
                  <w:pPr>
                    <w:suppressAutoHyphens/>
                    <w:ind w:firstLine="567"/>
                    <w:jc w:val="both"/>
                    <w:textAlignment w:val="center"/>
                    <w:rPr>
                      <w:color w:val="000000"/>
                    </w:rPr>
                  </w:pPr>
                  <w:sdt>
                    <w:sdtPr>
                      <w:alias w:val="Numeris"/>
                      <w:tag w:val="nr_1160e51177b940aebdea80840e1fdad3"/>
                      <w:lock w:val="sdtLocked"/>
                      <w:richText/>
                    </w:sdtPr>
                    <w:sdtContent>
                      <w:r>
                        <w:rPr>
                          <w:color w:val="000000"/>
                          <w:szCs w:val="24"/>
                        </w:rPr>
                        <w:t>6</w:t>
                      </w:r>
                    </w:sdtContent>
                  </w:sdt>
                  <w:r>
                    <w:rPr>
                      <w:color w:val="000000"/>
                      <w:szCs w:val="24"/>
                    </w:rPr>
                    <w:t>. Įgyvendinant 2000 m. spalio 23 d. Europos Parlamento ir Tarybos direktyvos 2000/60/EB, nustatančios Bendrijos veiksmų vandens politikos srityje pagrindus (OL 2004 m. specialusis leidimas, 15 skyrius, 5 tomas, p. 275), su paskutiniais pakeitimais, padarytais 2013 m. gruodžio 17 d. Tarybos direktyva 2013/64/ES (OL 2013 L 353, p. 8), ir 2006 m. rugsėjo 6 d. Europos Parlamento ir Tarybos direktyvos 2006/44/EB dėl gėlojo vandens, kuriam reikalinga apsauga arba kurį reikia gerinti, kad jame galėtų gyventi žuvys, kokybės (OL 2006 L 264, p. 20) su paskutiniais pakeitimais, padarytais 2008 m. spalio 22 d. Europos Parlamento ir Tarybos reglamentu (EB) Nr.1137/2008 (OL 2008 L 311, p. 1), nuostatas, vandens kokybė Lietuvos upėse gerėja, verslinė žvejyba upėse (išskyrus specializuotą stintų ir ungurių žvejybą) nevykdoma ir tai sudaro palankias sąlygas atkurti Lietuvoje didžiausių praeivių žuvų – aštriašnipių eršketų – populiaciją.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fae8d0642d11e4ab32a37dfc9a0878">
                    <w:r w:rsidRPr="00532B9F">
                      <w:rPr>
                        <w:rFonts w:ascii="Times New Roman" w:eastAsia="MS Mincho" w:hAnsi="Times New Roman"/>
                        <w:sz w:val="20"/>
                        <w:i/>
                        <w:iCs/>
                        <w:color w:val="0000FF" w:themeColor="hyperlink"/>
                        <w:u w:val="single"/>
                      </w:rPr>
                      <w:t>3D-824/D1-874</w:t>
                    </w:r>
                  </w:fldSimple>
                  <w:r>
                    <w:rPr>
                      <w:rFonts w:ascii="Times New Roman" w:eastAsia="MS Mincho" w:hAnsi="Times New Roman"/>
                      <w:sz w:val="20"/>
                      <w:i/>
                      <w:iCs/>
                    </w:rPr>
                    <w:t>,
2014-11-04,
paskelbta TAR 2014-11-05, i. k. 2014-15781            </w:t>
                  </w:r>
                </w:p>
                <w:p/>
              </w:sdtContent>
            </w:sdt>
          </w:sdtContent>
        </w:sdt>
        <w:sdt>
          <w:sdtPr>
            <w:alias w:val="skyrius"/>
            <w:tag w:val="part_88fb13411775452b96c2e7ea6b0c1f0e"/>
            <w:lock w:val="sdtLocked"/>
            <w:richText/>
          </w:sdtPr>
          <w:sdtContent>
            <w:p>
              <w:pPr>
                <w:keepLines/>
                <w:widowControl w:val="0"/>
                <w:suppressAutoHyphens/>
                <w:jc w:val="center"/>
                <w:rPr>
                  <w:b/>
                  <w:bCs/>
                  <w:caps/>
                  <w:color w:val="000000"/>
                </w:rPr>
              </w:pPr>
              <w:sdt>
                <w:sdtPr>
                  <w:alias w:val="Numeris"/>
                  <w:tag w:val="nr_88fb13411775452b96c2e7ea6b0c1f0e"/>
                  <w:lock w:val="sdtLocked"/>
                  <w:richText/>
                </w:sdtPr>
                <w:sdtContent>
                  <w:r>
                    <w:rPr>
                      <w:b/>
                      <w:bCs/>
                      <w:caps/>
                      <w:color w:val="000000"/>
                    </w:rPr>
                    <w:t>III</w:t>
                  </w:r>
                </w:sdtContent>
              </w:sdt>
              <w:r>
                <w:rPr>
                  <w:b/>
                  <w:bCs/>
                  <w:caps/>
                  <w:color w:val="000000"/>
                </w:rPr>
                <w:t xml:space="preserve">. </w:t>
              </w:r>
              <w:sdt>
                <w:sdtPr>
                  <w:alias w:val="Pavadinimas"/>
                  <w:tag w:val="title_88fb13411775452b96c2e7ea6b0c1f0e"/>
                  <w:lock w:val="sdtLocked"/>
                  <w:richText/>
                </w:sdtPr>
                <w:sdtContent>
                  <w:r>
                    <w:rPr>
                      <w:b/>
                      <w:bCs/>
                      <w:caps/>
                      <w:color w:val="000000"/>
                    </w:rPr>
                    <w:t>PROGRAMOS TIKSLAI, UŽDAVINIAI</w:t>
                  </w:r>
                </w:sdtContent>
              </w:sdt>
            </w:p>
            <w:p>
              <w:pPr>
                <w:widowControl w:val="0"/>
                <w:suppressAutoHyphens/>
                <w:ind w:firstLine="567"/>
                <w:jc w:val="both"/>
                <w:rPr>
                  <w:color w:val="000000"/>
                </w:rPr>
              </w:pPr>
            </w:p>
            <w:sdt>
              <w:sdtPr>
                <w:alias w:val="7 p."/>
                <w:tag w:val="part_74da671548584cff953f054e93e872d4"/>
                <w:lock w:val="sdtLocked"/>
                <w:richText/>
              </w:sdtPr>
              <w:sdtContent>
                <w:p>
                  <w:pPr>
                    <w:widowControl w:val="0"/>
                    <w:suppressAutoHyphens/>
                    <w:ind w:firstLine="567"/>
                    <w:jc w:val="both"/>
                    <w:rPr>
                      <w:color w:val="000000"/>
                    </w:rPr>
                  </w:pPr>
                  <w:sdt>
                    <w:sdtPr>
                      <w:alias w:val="Numeris"/>
                      <w:tag w:val="nr_74da671548584cff953f054e93e872d4"/>
                      <w:lock w:val="sdtLocked"/>
                      <w:richText/>
                    </w:sdtPr>
                    <w:sdtContent>
                      <w:r>
                        <w:rPr>
                          <w:color w:val="000000"/>
                        </w:rPr>
                        <w:t>7</w:t>
                      </w:r>
                    </w:sdtContent>
                  </w:sdt>
                  <w:r>
                    <w:rPr>
                      <w:color w:val="000000"/>
                    </w:rPr>
                    <w:t>. Programos tikslas – atkurti ir išsaugoti aštriašnipių eršketų išteklius Lietuvos žuvininkystės vandens telkiniuose.</w:t>
                  </w:r>
                </w:p>
              </w:sdtContent>
            </w:sdt>
            <w:sdt>
              <w:sdtPr>
                <w:alias w:val="8 p."/>
                <w:tag w:val="part_ea260207af984524b8f58712672688a9"/>
                <w:lock w:val="sdtLocked"/>
                <w:richText/>
              </w:sdtPr>
              <w:sdtContent>
                <w:p>
                  <w:pPr>
                    <w:widowControl w:val="0"/>
                    <w:suppressAutoHyphens/>
                    <w:ind w:firstLine="567"/>
                    <w:jc w:val="both"/>
                    <w:rPr>
                      <w:color w:val="000000"/>
                    </w:rPr>
                  </w:pPr>
                  <w:sdt>
                    <w:sdtPr>
                      <w:alias w:val="Numeris"/>
                      <w:tag w:val="nr_ea260207af984524b8f58712672688a9"/>
                      <w:lock w:val="sdtLocked"/>
                      <w:richText/>
                    </w:sdtPr>
                    <w:sdtContent>
                      <w:r>
                        <w:rPr>
                          <w:color w:val="000000"/>
                        </w:rPr>
                        <w:t>8</w:t>
                      </w:r>
                    </w:sdtContent>
                  </w:sdt>
                  <w:r>
                    <w:rPr>
                      <w:color w:val="000000"/>
                    </w:rPr>
                    <w:t>. Programos uždaviniai:</w:t>
                  </w:r>
                </w:p>
                <w:sdt>
                  <w:sdtPr>
                    <w:alias w:val="8.1 p."/>
                    <w:tag w:val="part_19316ba0c1a9485fa35d2e58f34069a1"/>
                    <w:lock w:val="sdtLocked"/>
                    <w:richText/>
                  </w:sdtPr>
                  <w:sdtContent>
                    <w:p>
                      <w:pPr>
                        <w:widowControl w:val="0"/>
                        <w:suppressAutoHyphens/>
                        <w:ind w:firstLine="567"/>
                        <w:jc w:val="both"/>
                        <w:rPr>
                          <w:color w:val="000000"/>
                        </w:rPr>
                      </w:pPr>
                      <w:sdt>
                        <w:sdtPr>
                          <w:alias w:val="Numeris"/>
                          <w:tag w:val="nr_19316ba0c1a9485fa35d2e58f34069a1"/>
                          <w:lock w:val="sdtLocked"/>
                          <w:richText/>
                        </w:sdtPr>
                        <w:sdtContent>
                          <w:r>
                            <w:rPr>
                              <w:color w:val="000000"/>
                            </w:rPr>
                            <w:t>8.1</w:t>
                          </w:r>
                        </w:sdtContent>
                      </w:sdt>
                      <w:r>
                        <w:rPr>
                          <w:color w:val="000000"/>
                        </w:rPr>
                        <w:t>. sudaryti palankias sąlygas aštriašnipių eršketų populiacijai atkurti Lietuvos žuvininkystės vandens telkiniuose;</w:t>
                      </w:r>
                    </w:p>
                  </w:sdtContent>
                </w:sdt>
                <w:sdt>
                  <w:sdtPr>
                    <w:alias w:val="8.2 p."/>
                    <w:tag w:val="part_3b87028b82bb44099353424ba60f0667"/>
                    <w:lock w:val="sdtLocked"/>
                    <w:richText/>
                  </w:sdtPr>
                  <w:sdtContent>
                    <w:p>
                      <w:pPr>
                        <w:widowControl w:val="0"/>
                        <w:suppressAutoHyphens/>
                        <w:ind w:firstLine="567"/>
                        <w:jc w:val="both"/>
                        <w:rPr>
                          <w:color w:val="000000"/>
                        </w:rPr>
                      </w:pPr>
                      <w:sdt>
                        <w:sdtPr>
                          <w:alias w:val="Numeris"/>
                          <w:tag w:val="nr_3b87028b82bb44099353424ba60f0667"/>
                          <w:lock w:val="sdtLocked"/>
                          <w:richText/>
                        </w:sdtPr>
                        <w:sdtContent>
                          <w:r>
                            <w:rPr>
                              <w:color w:val="000000"/>
                            </w:rPr>
                            <w:t>8.2</w:t>
                          </w:r>
                        </w:sdtContent>
                      </w:sdt>
                      <w:r>
                        <w:rPr>
                          <w:color w:val="000000"/>
                        </w:rPr>
                        <w:t>. užtikrinti, kad kasmet į Lietuvos upes būtų įveisiamas mokslininkų rekomenduojamas aštriašnipių eršketų jauniklių kiekis.</w:t>
                      </w:r>
                    </w:p>
                    <w:p>
                      <w:pPr>
                        <w:widowControl w:val="0"/>
                        <w:suppressAutoHyphens/>
                        <w:ind w:firstLine="567"/>
                        <w:jc w:val="both"/>
                        <w:rPr>
                          <w:color w:val="000000"/>
                        </w:rPr>
                      </w:pPr>
                    </w:p>
                  </w:sdtContent>
                </w:sdt>
              </w:sdtContent>
            </w:sdt>
          </w:sdtContent>
        </w:sdt>
        <w:sdt>
          <w:sdtPr>
            <w:alias w:val="skyrius"/>
            <w:tag w:val="part_cd93e60a54834541a65a9e50dd309fd0"/>
            <w:lock w:val="sdtLocked"/>
            <w:richText/>
          </w:sdtPr>
          <w:sdtContent>
            <w:p>
              <w:pPr>
                <w:keepLines/>
                <w:widowControl w:val="0"/>
                <w:suppressAutoHyphens/>
                <w:jc w:val="center"/>
                <w:rPr>
                  <w:b/>
                  <w:bCs/>
                  <w:caps/>
                  <w:color w:val="000000"/>
                </w:rPr>
              </w:pPr>
              <w:sdt>
                <w:sdtPr>
                  <w:alias w:val="Numeris"/>
                  <w:tag w:val="nr_cd93e60a54834541a65a9e50dd309fd0"/>
                  <w:lock w:val="sdtLocked"/>
                  <w:richText/>
                </w:sdtPr>
                <w:sdtContent>
                  <w:r>
                    <w:rPr>
                      <w:b/>
                      <w:bCs/>
                      <w:caps/>
                      <w:color w:val="000000"/>
                    </w:rPr>
                    <w:t>IV</w:t>
                  </w:r>
                </w:sdtContent>
              </w:sdt>
              <w:r>
                <w:rPr>
                  <w:b/>
                  <w:bCs/>
                  <w:caps/>
                  <w:color w:val="000000"/>
                </w:rPr>
                <w:t xml:space="preserve">. </w:t>
              </w:r>
              <w:sdt>
                <w:sdtPr>
                  <w:alias w:val="Pavadinimas"/>
                  <w:tag w:val="title_cd93e60a54834541a65a9e50dd309fd0"/>
                  <w:lock w:val="sdtLocked"/>
                  <w:richText/>
                </w:sdtPr>
                <w:sdtContent>
                  <w:r>
                    <w:rPr>
                      <w:b/>
                      <w:bCs/>
                      <w:caps/>
                      <w:color w:val="000000"/>
                    </w:rPr>
                    <w:t>PROGRAMOS VERTINIMO KRITERIJAI IR SIEKIAMAS REZULTATAS</w:t>
                  </w:r>
                </w:sdtContent>
              </w:sdt>
            </w:p>
            <w:p>
              <w:pPr>
                <w:widowControl w:val="0"/>
                <w:suppressAutoHyphens/>
                <w:ind w:firstLine="567"/>
                <w:jc w:val="both"/>
                <w:rPr>
                  <w:color w:val="000000"/>
                </w:rPr>
              </w:pPr>
            </w:p>
            <w:sdt>
              <w:sdtPr>
                <w:alias w:val="9 p."/>
                <w:tag w:val="part_0bf48b98d540455d81e24a5db3235b72"/>
                <w:lock w:val="sdtLocked"/>
                <w:richText/>
              </w:sdtPr>
              <w:sdtContent>
                <w:p>
                  <w:pPr>
                    <w:widowControl w:val="0"/>
                    <w:suppressAutoHyphens/>
                    <w:ind w:firstLine="567"/>
                    <w:jc w:val="both"/>
                    <w:rPr>
                      <w:color w:val="000000"/>
                    </w:rPr>
                  </w:pPr>
                  <w:sdt>
                    <w:sdtPr>
                      <w:alias w:val="Numeris"/>
                      <w:tag w:val="nr_0bf48b98d540455d81e24a5db3235b72"/>
                      <w:lock w:val="sdtLocked"/>
                      <w:richText/>
                    </w:sdtPr>
                    <w:sdtContent>
                      <w:r>
                        <w:rPr>
                          <w:color w:val="000000"/>
                        </w:rPr>
                        <w:t>9</w:t>
                      </w:r>
                    </w:sdtContent>
                  </w:sdt>
                  <w:r>
                    <w:rPr>
                      <w:color w:val="000000"/>
                    </w:rPr>
                    <w:t>. Programos vertinimo kriterijai:</w:t>
                  </w:r>
                </w:p>
                <w:sdt>
                  <w:sdtPr>
                    <w:alias w:val="9.1 p."/>
                    <w:tag w:val="part_92c23f6ab5584108b0f7c445aebe920d"/>
                    <w:lock w:val="sdtLocked"/>
                    <w:richText/>
                  </w:sdtPr>
                  <w:sdtContent>
                    <w:p>
                      <w:pPr>
                        <w:widowControl w:val="0"/>
                        <w:suppressAutoHyphens/>
                        <w:ind w:firstLine="567"/>
                        <w:jc w:val="both"/>
                        <w:rPr>
                          <w:color w:val="000000"/>
                        </w:rPr>
                      </w:pPr>
                      <w:sdt>
                        <w:sdtPr>
                          <w:alias w:val="Numeris"/>
                          <w:tag w:val="nr_92c23f6ab5584108b0f7c445aebe920d"/>
                          <w:lock w:val="sdtLocked"/>
                          <w:richText/>
                        </w:sdtPr>
                        <w:sdtContent>
                          <w:r>
                            <w:rPr>
                              <w:color w:val="000000"/>
                            </w:rPr>
                            <w:t>9.1</w:t>
                          </w:r>
                        </w:sdtContent>
                      </w:sdt>
                      <w:r>
                        <w:rPr>
                          <w:color w:val="000000"/>
                        </w:rPr>
                        <w:t>. aštriašnipių eršketų inkubavimui ir paauginimui pritaikytų cechų kiekis (vnt.);</w:t>
                      </w:r>
                    </w:p>
                  </w:sdtContent>
                </w:sdt>
                <w:sdt>
                  <w:sdtPr>
                    <w:alias w:val="9.2 p."/>
                    <w:tag w:val="part_0ab01954845e4f6eb5915d4c057ecd30"/>
                    <w:lock w:val="sdtLocked"/>
                    <w:richText/>
                  </w:sdtPr>
                  <w:sdtContent>
                    <w:p>
                      <w:pPr>
                        <w:widowControl w:val="0"/>
                        <w:suppressAutoHyphens/>
                        <w:ind w:firstLine="567"/>
                        <w:jc w:val="both"/>
                        <w:rPr>
                          <w:color w:val="000000"/>
                          <w:spacing w:val="-2"/>
                        </w:rPr>
                      </w:pPr>
                      <w:sdt>
                        <w:sdtPr>
                          <w:alias w:val="Numeris"/>
                          <w:tag w:val="nr_0ab01954845e4f6eb5915d4c057ecd30"/>
                          <w:lock w:val="sdtLocked"/>
                          <w:richText/>
                        </w:sdtPr>
                        <w:sdtContent>
                          <w:r>
                            <w:rPr>
                              <w:color w:val="000000"/>
                              <w:spacing w:val="-2"/>
                            </w:rPr>
                            <w:t>9.2</w:t>
                          </w:r>
                        </w:sdtContent>
                      </w:sdt>
                      <w:r>
                        <w:rPr>
                          <w:color w:val="000000"/>
                          <w:spacing w:val="-2"/>
                        </w:rPr>
                        <w:t>. kasmet į Lietuvos upes būtų išleidžiamas mokslininkų rekomenduojamas aštriašnipių eršketų jauniklių kiekis (vnt.).</w:t>
                      </w:r>
                    </w:p>
                  </w:sdtContent>
                </w:sdt>
              </w:sdtContent>
            </w:sdt>
            <w:sdt>
              <w:sdtPr>
                <w:alias w:val="10 p."/>
                <w:tag w:val="part_0fdc15d9c9414710932d02dda87b8c37"/>
                <w:lock w:val="sdtLocked"/>
                <w:richText/>
              </w:sdtPr>
              <w:sdtContent>
                <w:p>
                  <w:pPr>
                    <w:widowControl w:val="0"/>
                    <w:suppressAutoHyphens/>
                    <w:ind w:firstLine="567"/>
                    <w:jc w:val="both"/>
                    <w:rPr>
                      <w:color w:val="000000"/>
                    </w:rPr>
                  </w:pPr>
                  <w:sdt>
                    <w:sdtPr>
                      <w:alias w:val="Numeris"/>
                      <w:tag w:val="nr_0fdc15d9c9414710932d02dda87b8c37"/>
                      <w:lock w:val="sdtLocked"/>
                      <w:richText/>
                    </w:sdtPr>
                    <w:sdtContent>
                      <w:r>
                        <w:rPr>
                          <w:color w:val="000000"/>
                        </w:rPr>
                        <w:t>10</w:t>
                      </w:r>
                    </w:sdtContent>
                  </w:sdt>
                  <w:r>
                    <w:rPr>
                      <w:color w:val="000000"/>
                    </w:rPr>
                    <w:t>. Programos siekiamas rezultatas – iki 2030 m. Lietuvos žuvininkystės vandens telkiniuose būtų atkurta gyvybinga, natūraliai neršianti aštriašnipių eršketų populiacija.</w:t>
                  </w:r>
                </w:p>
                <w:p>
                  <w:pPr>
                    <w:widowControl w:val="0"/>
                    <w:suppressAutoHyphens/>
                    <w:ind w:firstLine="567"/>
                    <w:jc w:val="both"/>
                    <w:rPr>
                      <w:color w:val="000000"/>
                    </w:rPr>
                  </w:pPr>
                </w:p>
              </w:sdtContent>
            </w:sdt>
          </w:sdtContent>
        </w:sdt>
        <w:sdt>
          <w:sdtPr>
            <w:alias w:val="skyrius"/>
            <w:tag w:val="part_64d5e222041c44afa3acc81243fc8685"/>
            <w:lock w:val="sdtLocked"/>
            <w:richText/>
          </w:sdtPr>
          <w:sdtContent>
            <w:p>
              <w:pPr>
                <w:keepLines/>
                <w:widowControl w:val="0"/>
                <w:suppressAutoHyphens/>
                <w:jc w:val="center"/>
                <w:rPr>
                  <w:b/>
                  <w:bCs/>
                  <w:caps/>
                  <w:color w:val="000000"/>
                </w:rPr>
              </w:pPr>
              <w:sdt>
                <w:sdtPr>
                  <w:alias w:val="Numeris"/>
                  <w:tag w:val="nr_64d5e222041c44afa3acc81243fc8685"/>
                  <w:lock w:val="sdtLocked"/>
                  <w:richText/>
                </w:sdtPr>
                <w:sdtContent>
                  <w:r>
                    <w:rPr>
                      <w:b/>
                      <w:bCs/>
                      <w:caps/>
                      <w:color w:val="000000"/>
                    </w:rPr>
                    <w:t>V</w:t>
                  </w:r>
                </w:sdtContent>
              </w:sdt>
              <w:r>
                <w:rPr>
                  <w:b/>
                  <w:bCs/>
                  <w:caps/>
                  <w:color w:val="000000"/>
                </w:rPr>
                <w:t xml:space="preserve">. </w:t>
              </w:r>
              <w:sdt>
                <w:sdtPr>
                  <w:alias w:val="Pavadinimas"/>
                  <w:tag w:val="title_64d5e222041c44afa3acc81243fc8685"/>
                  <w:lock w:val="sdtLocked"/>
                  <w:richText/>
                </w:sdtPr>
                <w:sdtContent>
                  <w:r>
                    <w:rPr>
                      <w:b/>
                      <w:bCs/>
                      <w:caps/>
                      <w:color w:val="000000"/>
                    </w:rPr>
                    <w:t>PROGRAMOS ĮGYVENDINIMO PRIEMONĖS</w:t>
                  </w:r>
                </w:sdtContent>
              </w:sdt>
            </w:p>
            <w:p>
              <w:pPr>
                <w:widowControl w:val="0"/>
                <w:suppressAutoHyphens/>
                <w:ind w:firstLine="567"/>
                <w:jc w:val="both"/>
                <w:rPr>
                  <w:color w:val="000000"/>
                </w:rPr>
              </w:pPr>
            </w:p>
            <w:sdt>
              <w:sdtPr>
                <w:alias w:val="11 p."/>
                <w:tag w:val="part_f5086bb867824e1db0f6bc5b704a9f5b"/>
                <w:lock w:val="sdtLocked"/>
                <w:richText/>
              </w:sdtPr>
              <w:sdtContent>
                <w:p>
                  <w:pPr>
                    <w:widowControl w:val="0"/>
                    <w:suppressAutoHyphens/>
                    <w:ind w:firstLine="567"/>
                    <w:jc w:val="both"/>
                    <w:rPr>
                      <w:color w:val="000000"/>
                    </w:rPr>
                  </w:pPr>
                  <w:sdt>
                    <w:sdtPr>
                      <w:alias w:val="Numeris"/>
                      <w:tag w:val="nr_f5086bb867824e1db0f6bc5b704a9f5b"/>
                      <w:lock w:val="sdtLocked"/>
                      <w:richText/>
                    </w:sdtPr>
                    <w:sdtContent>
                      <w:r>
                        <w:rPr>
                          <w:color w:val="000000"/>
                        </w:rPr>
                        <w:t>11</w:t>
                      </w:r>
                    </w:sdtContent>
                  </w:sdt>
                  <w:r>
                    <w:rPr>
                      <w:color w:val="000000"/>
                    </w:rPr>
                    <w:t>. Įgyvendinant programą numatoma vykdyti šias priemones:</w:t>
                  </w:r>
                </w:p>
                <w:sdt>
                  <w:sdtPr>
                    <w:alias w:val="11.1 p."/>
                    <w:tag w:val="part_db1c71c32d09414d86d781b85c3295b4"/>
                    <w:lock w:val="sdtLocked"/>
                    <w:richText/>
                  </w:sdtPr>
                  <w:sdtContent>
                    <w:p>
                      <w:pPr>
                        <w:widowControl w:val="0"/>
                        <w:suppressAutoHyphens/>
                        <w:ind w:firstLine="567"/>
                        <w:jc w:val="both"/>
                        <w:rPr>
                          <w:color w:val="000000"/>
                        </w:rPr>
                      </w:pPr>
                      <w:sdt>
                        <w:sdtPr>
                          <w:alias w:val="Numeris"/>
                          <w:tag w:val="nr_db1c71c32d09414d86d781b85c3295b4"/>
                          <w:lock w:val="sdtLocked"/>
                          <w:richText/>
                        </w:sdtPr>
                        <w:sdtContent>
                          <w:r>
                            <w:rPr>
                              <w:color w:val="000000"/>
                            </w:rPr>
                            <w:t>11.1</w:t>
                          </w:r>
                        </w:sdtContent>
                      </w:sdt>
                      <w:r>
                        <w:rPr>
                          <w:color w:val="000000"/>
                        </w:rPr>
                        <w:t>. įrengti aštriašnipių eršketų veisimo ir paauginimo cechus Žuvininkystės tarnybos prie Lietuvos Respublikos žemės ūkio ministerijos (toliau – Žuvininkystės tarnyba) Žuvivaisos skyriaus poskyriuose, kuriuose būtų taikomos naujausios eršketinių žuvų veisimo ir paauginimo technologijos, įsigyti tam reikalingą įrangą ir priemones;</w:t>
                      </w:r>
                    </w:p>
                  </w:sdtContent>
                </w:sdt>
                <w:sdt>
                  <w:sdtPr>
                    <w:alias w:val="11.2 p."/>
                    <w:tag w:val="part_d415c52d5f3346199c749c0b2d53d38c"/>
                    <w:lock w:val="sdtLocked"/>
                    <w:richText/>
                  </w:sdtPr>
                  <w:sdtContent>
                    <w:p>
                      <w:pPr>
                        <w:widowControl w:val="0"/>
                        <w:suppressAutoHyphens/>
                        <w:ind w:firstLine="567"/>
                        <w:jc w:val="both"/>
                        <w:rPr>
                          <w:color w:val="000000"/>
                        </w:rPr>
                      </w:pPr>
                      <w:sdt>
                        <w:sdtPr>
                          <w:alias w:val="Numeris"/>
                          <w:tag w:val="nr_d415c52d5f3346199c749c0b2d53d38c"/>
                          <w:lock w:val="sdtLocked"/>
                          <w:richText/>
                        </w:sdtPr>
                        <w:sdtContent>
                          <w:r>
                            <w:rPr>
                              <w:color w:val="000000"/>
                            </w:rPr>
                            <w:t>11.2</w:t>
                          </w:r>
                        </w:sdtContent>
                      </w:sdt>
                      <w:r>
                        <w:rPr>
                          <w:color w:val="000000"/>
                        </w:rPr>
                        <w:t>. įdiegti eršketinių žuvų veisimo ir paauginimo technologijas;</w:t>
                      </w:r>
                    </w:p>
                  </w:sdtContent>
                </w:sdt>
                <w:sdt>
                  <w:sdtPr>
                    <w:alias w:val="11.3 p."/>
                    <w:tag w:val="part_1948bf5408b94ea0b6423ed24c30cb93"/>
                    <w:lock w:val="sdtLocked"/>
                    <w:richText/>
                  </w:sdtPr>
                  <w:sdtContent>
                    <w:p>
                      <w:pPr>
                        <w:widowControl w:val="0"/>
                        <w:suppressAutoHyphens/>
                        <w:ind w:firstLine="567"/>
                        <w:jc w:val="both"/>
                        <w:rPr>
                          <w:color w:val="000000"/>
                        </w:rPr>
                      </w:pPr>
                      <w:sdt>
                        <w:sdtPr>
                          <w:alias w:val="Numeris"/>
                          <w:tag w:val="nr_1948bf5408b94ea0b6423ed24c30cb93"/>
                          <w:lock w:val="sdtLocked"/>
                          <w:richText/>
                        </w:sdtPr>
                        <w:sdtContent>
                          <w:r>
                            <w:rPr>
                              <w:color w:val="000000"/>
                            </w:rPr>
                            <w:t>11.3</w:t>
                          </w:r>
                        </w:sdtContent>
                      </w:sdt>
                      <w:r>
                        <w:rPr>
                          <w:color w:val="000000"/>
                        </w:rPr>
                        <w:t>. įsigyti aštriašnipių eršketų ikrų ir juos inkubuoti;</w:t>
                      </w:r>
                    </w:p>
                  </w:sdtContent>
                </w:sdt>
                <w:sdt>
                  <w:sdtPr>
                    <w:alias w:val="11.4 p."/>
                    <w:tag w:val="part_3cf54f90c6164c23b96839b683ad7826"/>
                    <w:lock w:val="sdtLocked"/>
                    <w:richText/>
                  </w:sdtPr>
                  <w:sdtContent>
                    <w:p>
                      <w:pPr>
                        <w:widowControl w:val="0"/>
                        <w:suppressAutoHyphens/>
                        <w:ind w:firstLine="567"/>
                        <w:jc w:val="both"/>
                        <w:rPr>
                          <w:color w:val="000000"/>
                        </w:rPr>
                      </w:pPr>
                      <w:sdt>
                        <w:sdtPr>
                          <w:alias w:val="Numeris"/>
                          <w:tag w:val="nr_3cf54f90c6164c23b96839b683ad7826"/>
                          <w:lock w:val="sdtLocked"/>
                          <w:richText/>
                        </w:sdtPr>
                        <w:sdtContent>
                          <w:r>
                            <w:rPr>
                              <w:color w:val="000000"/>
                            </w:rPr>
                            <w:t>11.4</w:t>
                          </w:r>
                        </w:sdtContent>
                      </w:sdt>
                      <w:r>
                        <w:rPr>
                          <w:color w:val="000000"/>
                        </w:rPr>
                        <w:t>. įsigyti aštriašnipių eršketų jauniklių ir juos paauginti;</w:t>
                      </w:r>
                    </w:p>
                  </w:sdtContent>
                </w:sdt>
                <w:sdt>
                  <w:sdtPr>
                    <w:alias w:val="11.5 p."/>
                    <w:tag w:val="part_d298d13e44154b26bee4f91ca22375a3"/>
                    <w:lock w:val="sdtLocked"/>
                    <w:richText/>
                  </w:sdtPr>
                  <w:sdtContent>
                    <w:p>
                      <w:pPr>
                        <w:widowControl w:val="0"/>
                        <w:suppressAutoHyphens/>
                        <w:ind w:firstLine="567"/>
                        <w:jc w:val="both"/>
                        <w:rPr>
                          <w:color w:val="000000"/>
                        </w:rPr>
                      </w:pPr>
                      <w:sdt>
                        <w:sdtPr>
                          <w:alias w:val="Numeris"/>
                          <w:tag w:val="nr_d298d13e44154b26bee4f91ca22375a3"/>
                          <w:lock w:val="sdtLocked"/>
                          <w:richText/>
                        </w:sdtPr>
                        <w:sdtContent>
                          <w:r>
                            <w:rPr>
                              <w:color w:val="000000"/>
                            </w:rPr>
                            <w:t>11.5</w:t>
                          </w:r>
                        </w:sdtContent>
                      </w:sdt>
                      <w:r>
                        <w:rPr>
                          <w:color w:val="000000"/>
                        </w:rPr>
                        <w:t>. vykdyti aštriašnipių eršketų išteklių fiziologinės būklės stebėseną, ichtiopatologinius bei genetinius tyrimus;</w:t>
                      </w:r>
                    </w:p>
                  </w:sdtContent>
                </w:sdt>
                <w:sdt>
                  <w:sdtPr>
                    <w:alias w:val="11.6 p."/>
                    <w:tag w:val="part_aa6b8be9b23f433db28edf7a86355a01"/>
                    <w:lock w:val="sdtLocked"/>
                    <w:richText/>
                  </w:sdtPr>
                  <w:sdtContent>
                    <w:p>
                      <w:pPr>
                        <w:widowControl w:val="0"/>
                        <w:suppressAutoHyphens/>
                        <w:ind w:firstLine="567"/>
                        <w:jc w:val="both"/>
                        <w:rPr>
                          <w:color w:val="000000"/>
                        </w:rPr>
                      </w:pPr>
                      <w:sdt>
                        <w:sdtPr>
                          <w:alias w:val="Numeris"/>
                          <w:tag w:val="nr_aa6b8be9b23f433db28edf7a86355a01"/>
                          <w:lock w:val="sdtLocked"/>
                          <w:richText/>
                        </w:sdtPr>
                        <w:sdtContent>
                          <w:r>
                            <w:rPr>
                              <w:color w:val="000000"/>
                            </w:rPr>
                            <w:t>11.6</w:t>
                          </w:r>
                        </w:sdtContent>
                      </w:sdt>
                      <w:r>
                        <w:rPr>
                          <w:color w:val="000000"/>
                        </w:rPr>
                        <w:t>. išleisti į Lietuvos upes aštriašnipių eršketų jauniklių;</w:t>
                      </w:r>
                    </w:p>
                  </w:sdtContent>
                </w:sdt>
                <w:sdt>
                  <w:sdtPr>
                    <w:alias w:val="11.7 p."/>
                    <w:tag w:val="part_ff5eddb99bd94938a45b242ffa647e79"/>
                    <w:lock w:val="sdtLocked"/>
                    <w:richText/>
                  </w:sdtPr>
                  <w:sdtContent>
                    <w:p>
                      <w:pPr>
                        <w:widowControl w:val="0"/>
                        <w:suppressAutoHyphens/>
                        <w:ind w:firstLine="567"/>
                        <w:jc w:val="both"/>
                        <w:rPr>
                          <w:color w:val="000000"/>
                        </w:rPr>
                      </w:pPr>
                      <w:sdt>
                        <w:sdtPr>
                          <w:alias w:val="Numeris"/>
                          <w:tag w:val="nr_ff5eddb99bd94938a45b242ffa647e79"/>
                          <w:lock w:val="sdtLocked"/>
                          <w:richText/>
                        </w:sdtPr>
                        <w:sdtContent>
                          <w:r>
                            <w:rPr>
                              <w:color w:val="000000"/>
                            </w:rPr>
                            <w:t>11.7</w:t>
                          </w:r>
                        </w:sdtContent>
                      </w:sdt>
                      <w:r>
                        <w:rPr>
                          <w:color w:val="000000"/>
                        </w:rPr>
                        <w:t>. aštriašnipius eršketų jauniklius ženklinti telemetriniais ženklais;</w:t>
                      </w:r>
                    </w:p>
                  </w:sdtContent>
                </w:sdt>
                <w:sdt>
                  <w:sdtPr>
                    <w:alias w:val="11.8 p."/>
                    <w:tag w:val="part_8944917da0c24de79289e6fb9301c3a0"/>
                    <w:lock w:val="sdtLocked"/>
                    <w:richText/>
                  </w:sdtPr>
                  <w:sdtContent>
                    <w:p>
                      <w:pPr>
                        <w:widowControl w:val="0"/>
                        <w:suppressAutoHyphens/>
                        <w:ind w:firstLine="567"/>
                        <w:jc w:val="both"/>
                        <w:rPr>
                          <w:color w:val="000000"/>
                        </w:rPr>
                      </w:pPr>
                      <w:sdt>
                        <w:sdtPr>
                          <w:alias w:val="Numeris"/>
                          <w:tag w:val="nr_8944917da0c24de79289e6fb9301c3a0"/>
                          <w:lock w:val="sdtLocked"/>
                          <w:richText/>
                        </w:sdtPr>
                        <w:sdtContent>
                          <w:r>
                            <w:rPr>
                              <w:color w:val="000000"/>
                            </w:rPr>
                            <w:t>11.8</w:t>
                          </w:r>
                        </w:sdtContent>
                      </w:sdt>
                      <w:r>
                        <w:rPr>
                          <w:color w:val="000000"/>
                        </w:rPr>
                        <w:t>. įsigyti telemetrinių ženklų sekimo įrangą ir stebėti ženklintų aštriašnipių eršketų jauniklius;</w:t>
                      </w:r>
                    </w:p>
                  </w:sdtContent>
                </w:sdt>
                <w:sdt>
                  <w:sdtPr>
                    <w:alias w:val="11.9 p."/>
                    <w:tag w:val="part_0273cd873a2948fc8dbef164e0016c0d"/>
                    <w:lock w:val="sdtLocked"/>
                    <w:richText/>
                  </w:sdtPr>
                  <w:sdtContent>
                    <w:p>
                      <w:pPr>
                        <w:widowControl w:val="0"/>
                        <w:suppressAutoHyphens/>
                        <w:ind w:firstLine="567"/>
                        <w:jc w:val="both"/>
                        <w:rPr>
                          <w:color w:val="000000"/>
                        </w:rPr>
                      </w:pPr>
                      <w:sdt>
                        <w:sdtPr>
                          <w:alias w:val="Numeris"/>
                          <w:tag w:val="nr_0273cd873a2948fc8dbef164e0016c0d"/>
                          <w:lock w:val="sdtLocked"/>
                          <w:richText/>
                        </w:sdtPr>
                        <w:sdtContent>
                          <w:r>
                            <w:rPr>
                              <w:color w:val="000000"/>
                            </w:rPr>
                            <w:t>11.9</w:t>
                          </w:r>
                        </w:sdtContent>
                      </w:sdt>
                      <w:r>
                        <w:rPr>
                          <w:color w:val="000000"/>
                        </w:rPr>
                        <w:t>. tirti aštriašnipių eršketų migraciją ir elgseną;</w:t>
                      </w:r>
                    </w:p>
                  </w:sdtContent>
                </w:sdt>
                <w:sdt>
                  <w:sdtPr>
                    <w:alias w:val="11.10 p."/>
                    <w:tag w:val="part_6b65ed0e43e34ea2b8444a068eccf227"/>
                    <w:lock w:val="sdtLocked"/>
                    <w:richText/>
                  </w:sdtPr>
                  <w:sdtContent>
                    <w:p>
                      <w:pPr>
                        <w:widowControl w:val="0"/>
                        <w:suppressAutoHyphens/>
                        <w:ind w:firstLine="567"/>
                        <w:jc w:val="both"/>
                        <w:rPr>
                          <w:color w:val="000000"/>
                        </w:rPr>
                      </w:pPr>
                      <w:sdt>
                        <w:sdtPr>
                          <w:alias w:val="Numeris"/>
                          <w:tag w:val="nr_6b65ed0e43e34ea2b8444a068eccf227"/>
                          <w:lock w:val="sdtLocked"/>
                          <w:richText/>
                        </w:sdtPr>
                        <w:sdtContent>
                          <w:r>
                            <w:rPr>
                              <w:color w:val="000000"/>
                            </w:rPr>
                            <w:t>11.10</w:t>
                          </w:r>
                        </w:sdtContent>
                      </w:sdt>
                      <w:r>
                        <w:rPr>
                          <w:color w:val="000000"/>
                        </w:rPr>
                        <w:t>. tirti aštriašnipių eršketų augimą ir mitybą natūraliomis sąlygomis;</w:t>
                      </w:r>
                    </w:p>
                  </w:sdtContent>
                </w:sdt>
                <w:sdt>
                  <w:sdtPr>
                    <w:alias w:val="11.11 p."/>
                    <w:tag w:val="part_575c41c232774fddb58e4ac8ee87742c"/>
                    <w:lock w:val="sdtLocked"/>
                    <w:richText/>
                  </w:sdtPr>
                  <w:sdtContent>
                    <w:p>
                      <w:pPr>
                        <w:widowControl w:val="0"/>
                        <w:suppressAutoHyphens/>
                        <w:ind w:firstLine="567"/>
                        <w:jc w:val="both"/>
                        <w:rPr>
                          <w:color w:val="000000"/>
                        </w:rPr>
                      </w:pPr>
                      <w:sdt>
                        <w:sdtPr>
                          <w:alias w:val="Numeris"/>
                          <w:tag w:val="nr_575c41c232774fddb58e4ac8ee87742c"/>
                          <w:lock w:val="sdtLocked"/>
                          <w:richText/>
                        </w:sdtPr>
                        <w:sdtContent>
                          <w:r>
                            <w:rPr>
                              <w:color w:val="000000"/>
                            </w:rPr>
                            <w:t>11.11</w:t>
                          </w:r>
                        </w:sdtContent>
                      </w:sdt>
                      <w:r>
                        <w:rPr>
                          <w:color w:val="000000"/>
                        </w:rPr>
                        <w:t>. sudaryti aštriašnipių eršketų reproduktorių bandą Žuvininkystės tarnybos Žuvivaisos skyriaus poskyriuose ir ją naudoti veisimui;</w:t>
                      </w:r>
                    </w:p>
                  </w:sdtContent>
                </w:sdt>
                <w:sdt>
                  <w:sdtPr>
                    <w:alias w:val="11.12 p."/>
                    <w:tag w:val="part_2d009ae1bd8642a2ae0073c21734ae22"/>
                    <w:lock w:val="sdtLocked"/>
                    <w:richText/>
                  </w:sdtPr>
                  <w:sdtContent>
                    <w:p>
                      <w:pPr>
                        <w:widowControl w:val="0"/>
                        <w:suppressAutoHyphens/>
                        <w:ind w:firstLine="567"/>
                        <w:jc w:val="both"/>
                        <w:rPr>
                          <w:color w:val="000000"/>
                        </w:rPr>
                      </w:pPr>
                      <w:sdt>
                        <w:sdtPr>
                          <w:alias w:val="Numeris"/>
                          <w:tag w:val="nr_2d009ae1bd8642a2ae0073c21734ae22"/>
                          <w:lock w:val="sdtLocked"/>
                          <w:richText/>
                        </w:sdtPr>
                        <w:sdtContent>
                          <w:r>
                            <w:rPr>
                              <w:color w:val="000000"/>
                            </w:rPr>
                            <w:t>11.12</w:t>
                          </w:r>
                        </w:sdtContent>
                      </w:sdt>
                      <w:r>
                        <w:rPr>
                          <w:color w:val="000000"/>
                        </w:rPr>
                        <w:t>. reglamentuoti verslinę ir mėgėjų žvejybą nustatant priemones, mažinančias aštriašnipių eršketų sugavimą;</w:t>
                      </w:r>
                    </w:p>
                  </w:sdtContent>
                </w:sdt>
                <w:sdt>
                  <w:sdtPr>
                    <w:alias w:val="11.13 p."/>
                    <w:tag w:val="part_0a0f9f98abc74d38b33cdf3529c85360"/>
                    <w:lock w:val="sdtLocked"/>
                    <w:richText/>
                  </w:sdtPr>
                  <w:sdtContent>
                    <w:p>
                      <w:pPr>
                        <w:widowControl w:val="0"/>
                        <w:suppressAutoHyphens/>
                        <w:ind w:firstLine="567"/>
                        <w:jc w:val="both"/>
                        <w:rPr>
                          <w:color w:val="000000"/>
                        </w:rPr>
                      </w:pPr>
                      <w:sdt>
                        <w:sdtPr>
                          <w:alias w:val="Numeris"/>
                          <w:tag w:val="nr_0a0f9f98abc74d38b33cdf3529c85360"/>
                          <w:lock w:val="sdtLocked"/>
                          <w:richText/>
                        </w:sdtPr>
                        <w:sdtContent>
                          <w:r>
                            <w:rPr>
                              <w:color w:val="000000"/>
                            </w:rPr>
                            <w:t>11.13</w:t>
                          </w:r>
                        </w:sdtContent>
                      </w:sdt>
                      <w:r>
                        <w:rPr>
                          <w:color w:val="000000"/>
                        </w:rPr>
                        <w:t>. uždrausti statyti užtvankas ar kitus hidrotechninius įrenginius, apsunkinančius šių žuvų migraciją upėse, svarbiose aštriašnipių eršketų migracijai;</w:t>
                      </w:r>
                    </w:p>
                  </w:sdtContent>
                </w:sdt>
                <w:sdt>
                  <w:sdtPr>
                    <w:alias w:val="11.14 p."/>
                    <w:tag w:val="part_7fd91b2b515543979c0d054c1a6b6b4c"/>
                    <w:lock w:val="sdtLocked"/>
                    <w:richText/>
                  </w:sdtPr>
                  <w:sdtContent>
                    <w:p>
                      <w:pPr>
                        <w:widowControl w:val="0"/>
                        <w:suppressAutoHyphens/>
                        <w:ind w:firstLine="567"/>
                        <w:jc w:val="both"/>
                        <w:rPr>
                          <w:color w:val="000000"/>
                        </w:rPr>
                      </w:pPr>
                      <w:sdt>
                        <w:sdtPr>
                          <w:alias w:val="Numeris"/>
                          <w:tag w:val="nr_7fd91b2b515543979c0d054c1a6b6b4c"/>
                          <w:lock w:val="sdtLocked"/>
                          <w:richText/>
                        </w:sdtPr>
                        <w:sdtContent>
                          <w:r>
                            <w:rPr>
                              <w:color w:val="000000"/>
                            </w:rPr>
                            <w:t>11.14</w:t>
                          </w:r>
                        </w:sdtContent>
                      </w:sdt>
                      <w:r>
                        <w:rPr>
                          <w:color w:val="000000"/>
                        </w:rPr>
                        <w:t>. informuoti visuomenę apie aštriašnipių eršketų išteklių atkūrimą.</w:t>
                      </w:r>
                    </w:p>
                  </w:sdtContent>
                </w:sdt>
              </w:sdtContent>
            </w:sdt>
            <w:sdt>
              <w:sdtPr>
                <w:alias w:val="12 p."/>
                <w:tag w:val="part_7e8330600c604aaeaa3dd9c0d3f21dcf"/>
                <w:lock w:val="sdtLocked"/>
                <w:richText/>
              </w:sdtPr>
              <w:sdtContent>
                <w:p>
                  <w:pPr>
                    <w:widowControl w:val="0"/>
                    <w:suppressAutoHyphens/>
                    <w:ind w:firstLine="567"/>
                    <w:jc w:val="both"/>
                    <w:rPr>
                      <w:color w:val="000000"/>
                    </w:rPr>
                  </w:pPr>
                  <w:sdt>
                    <w:sdtPr>
                      <w:alias w:val="Numeris"/>
                      <w:tag w:val="nr_7e8330600c604aaeaa3dd9c0d3f21dcf"/>
                      <w:lock w:val="sdtLocked"/>
                      <w:richText/>
                    </w:sdtPr>
                    <w:sdtContent>
                      <w:r>
                        <w:rPr>
                          <w:color w:val="000000"/>
                        </w:rPr>
                        <w:t>12</w:t>
                      </w:r>
                    </w:sdtContent>
                  </w:sdt>
                  <w:r>
                    <w:rPr>
                      <w:color w:val="000000"/>
                    </w:rPr>
                    <w:t>. Programos įgyvendinimo priemonių veiksmų planas pateikiamas priede.</w:t>
                  </w:r>
                </w:p>
                <w:p>
                  <w:pPr>
                    <w:widowControl w:val="0"/>
                    <w:suppressAutoHyphens/>
                    <w:ind w:firstLine="567"/>
                    <w:jc w:val="both"/>
                    <w:rPr>
                      <w:color w:val="000000"/>
                    </w:rPr>
                  </w:pPr>
                </w:p>
              </w:sdtContent>
            </w:sdt>
          </w:sdtContent>
        </w:sdt>
        <w:sdt>
          <w:sdtPr>
            <w:alias w:val="skyrius"/>
            <w:tag w:val="part_3af28bbc2bda4a3a81c02d90f9895e3f"/>
            <w:lock w:val="sdtLocked"/>
            <w:richText/>
          </w:sdtPr>
          <w:sdtContent>
            <w:p>
              <w:pPr>
                <w:keepLines/>
                <w:widowControl w:val="0"/>
                <w:suppressAutoHyphens/>
                <w:jc w:val="center"/>
                <w:rPr>
                  <w:b/>
                  <w:bCs/>
                  <w:caps/>
                  <w:color w:val="000000"/>
                </w:rPr>
              </w:pPr>
              <w:sdt>
                <w:sdtPr>
                  <w:alias w:val="Numeris"/>
                  <w:tag w:val="nr_3af28bbc2bda4a3a81c02d90f9895e3f"/>
                  <w:lock w:val="sdtLocked"/>
                  <w:richText/>
                </w:sdtPr>
                <w:sdtContent>
                  <w:r>
                    <w:rPr>
                      <w:b/>
                      <w:bCs/>
                      <w:caps/>
                      <w:color w:val="000000"/>
                    </w:rPr>
                    <w:t>VI</w:t>
                  </w:r>
                </w:sdtContent>
              </w:sdt>
              <w:r>
                <w:rPr>
                  <w:b/>
                  <w:bCs/>
                  <w:caps/>
                  <w:color w:val="000000"/>
                </w:rPr>
                <w:t xml:space="preserve">. </w:t>
              </w:r>
              <w:sdt>
                <w:sdtPr>
                  <w:alias w:val="Pavadinimas"/>
                  <w:tag w:val="title_3af28bbc2bda4a3a81c02d90f9895e3f"/>
                  <w:lock w:val="sdtLocked"/>
                  <w:richText/>
                </w:sdtPr>
                <w:sdtContent>
                  <w:r>
                    <w:rPr>
                      <w:b/>
                      <w:bCs/>
                      <w:caps/>
                      <w:color w:val="000000"/>
                    </w:rPr>
                    <w:t>PROGRAMOS KOORDINAVIMAS IR ĮGYVENDINIMAS</w:t>
                  </w:r>
                </w:sdtContent>
              </w:sdt>
            </w:p>
            <w:p>
              <w:pPr>
                <w:widowControl w:val="0"/>
                <w:suppressAutoHyphens/>
                <w:ind w:firstLine="567"/>
                <w:jc w:val="both"/>
                <w:rPr>
                  <w:color w:val="000000"/>
                </w:rPr>
              </w:pPr>
            </w:p>
            <w:sdt>
              <w:sdtPr>
                <w:alias w:val="13 p."/>
                <w:tag w:val="part_c436051e1e5348759bfec6dde098bcb1"/>
                <w:lock w:val="sdtLocked"/>
                <w:richText/>
              </w:sdtPr>
              <w:sdtContent>
                <w:p>
                  <w:pPr>
                    <w:widowControl w:val="0"/>
                    <w:suppressAutoHyphens/>
                    <w:ind w:firstLine="567"/>
                    <w:jc w:val="both"/>
                    <w:rPr>
                      <w:color w:val="000000"/>
                    </w:rPr>
                  </w:pPr>
                  <w:sdt>
                    <w:sdtPr>
                      <w:alias w:val="Numeris"/>
                      <w:tag w:val="nr_c436051e1e5348759bfec6dde098bcb1"/>
                      <w:lock w:val="sdtLocked"/>
                      <w:richText/>
                    </w:sdtPr>
                    <w:sdtContent>
                      <w:r>
                        <w:rPr>
                          <w:color w:val="000000"/>
                        </w:rPr>
                        <w:t>13</w:t>
                      </w:r>
                    </w:sdtContent>
                  </w:sdt>
                  <w:r>
                    <w:rPr>
                      <w:color w:val="000000"/>
                    </w:rPr>
                    <w:t>. Programos įgyvendinimą koordinuoja Aštriašnipių eršketų populiacijos atkūrimo Lietuvoje 2012–2020 metais programos įgyvendinimo priežiūros grupė (toliau – priežiūros grupė).</w:t>
                  </w:r>
                </w:p>
              </w:sdtContent>
            </w:sdt>
            <w:sdt>
              <w:sdtPr>
                <w:alias w:val="14 p."/>
                <w:tag w:val="part_e68a34ec7a6b4548ae27f0b5dd759e9b"/>
                <w:lock w:val="sdtLocked"/>
                <w:richText/>
              </w:sdtPr>
              <w:sdtContent>
                <w:p>
                  <w:pPr>
                    <w:widowControl w:val="0"/>
                    <w:suppressAutoHyphens/>
                    <w:ind w:firstLine="567"/>
                    <w:jc w:val="both"/>
                    <w:rPr>
                      <w:color w:val="000000"/>
                    </w:rPr>
                  </w:pPr>
                  <w:sdt>
                    <w:sdtPr>
                      <w:alias w:val="Numeris"/>
                      <w:tag w:val="nr_e68a34ec7a6b4548ae27f0b5dd759e9b"/>
                      <w:lock w:val="sdtLocked"/>
                      <w:richText/>
                    </w:sdtPr>
                    <w:sdtContent>
                      <w:r>
                        <w:rPr>
                          <w:color w:val="000000"/>
                        </w:rPr>
                        <w:t>14</w:t>
                      </w:r>
                    </w:sdtContent>
                  </w:sdt>
                  <w:r>
                    <w:rPr>
                      <w:color w:val="000000"/>
                    </w:rPr>
                    <w:t>. Programą pagal kompetenciją įgyvendina Žuvininkystės tarnyba ir Aplinkos apsaugos agentūra. Įgyvendinant programą gali dalyvauti mokslo ir studijų institucijos.</w:t>
                  </w:r>
                </w:p>
              </w:sdtContent>
            </w:sdt>
            <w:sdt>
              <w:sdtPr>
                <w:alias w:val="15 p."/>
                <w:tag w:val="part_1bec0bac7e28488ba8faae489f4aad4d"/>
                <w:lock w:val="sdtLocked"/>
                <w:richText/>
              </w:sdtPr>
              <w:sdtContent>
                <w:p>
                  <w:pPr>
                    <w:widowControl w:val="0"/>
                    <w:suppressAutoHyphens/>
                    <w:ind w:firstLine="567"/>
                    <w:jc w:val="both"/>
                    <w:rPr>
                      <w:color w:val="000000"/>
                      <w:spacing w:val="-2"/>
                    </w:rPr>
                  </w:pPr>
                  <w:sdt>
                    <w:sdtPr>
                      <w:alias w:val="Numeris"/>
                      <w:tag w:val="nr_1bec0bac7e28488ba8faae489f4aad4d"/>
                      <w:lock w:val="sdtLocked"/>
                      <w:richText/>
                    </w:sdtPr>
                    <w:sdtContent>
                      <w:r>
                        <w:rPr>
                          <w:color w:val="000000"/>
                          <w:spacing w:val="-2"/>
                        </w:rPr>
                        <w:t>15</w:t>
                      </w:r>
                    </w:sdtContent>
                  </w:sdt>
                  <w:r>
                    <w:rPr>
                      <w:color w:val="000000"/>
                      <w:spacing w:val="-2"/>
                    </w:rPr>
                    <w:t>. Žuvininkystės tarnyba, vadovaudamasi programa, vykdo aštriašnipių eršketų dirbtinio veisimo ir išleidimo į Lietuvos žuvininkystės vandens telkinius darbus pagal Žuvų ir vėžių įveisimo į valstybinius vandens telkinius, į kuriuos neišduoti leidimai naudoti žvejybos plotą, kasmetinius planus, organizuoja mokslinius tyrimus, susijusius su šių žuvų dirbtiniu veisimu.</w:t>
                  </w:r>
                </w:p>
              </w:sdtContent>
            </w:sdt>
            <w:sdt>
              <w:sdtPr>
                <w:alias w:val="16 p."/>
                <w:tag w:val="part_353c2f134daf4041ab707a695579da1a"/>
                <w:lock w:val="sdtLocked"/>
                <w:richText/>
              </w:sdtPr>
              <w:sdtContent>
                <w:p>
                  <w:pPr>
                    <w:widowControl w:val="0"/>
                    <w:suppressAutoHyphens/>
                    <w:ind w:firstLine="567"/>
                    <w:jc w:val="both"/>
                    <w:rPr>
                      <w:color w:val="000000"/>
                    </w:rPr>
                  </w:pPr>
                  <w:sdt>
                    <w:sdtPr>
                      <w:alias w:val="Numeris"/>
                      <w:tag w:val="nr_353c2f134daf4041ab707a695579da1a"/>
                      <w:lock w:val="sdtLocked"/>
                      <w:richText/>
                    </w:sdtPr>
                    <w:sdtContent>
                      <w:r>
                        <w:rPr>
                          <w:color w:val="000000"/>
                        </w:rPr>
                        <w:t>16</w:t>
                      </w:r>
                    </w:sdtContent>
                  </w:sdt>
                  <w:r>
                    <w:rPr>
                      <w:color w:val="000000"/>
                    </w:rPr>
                    <w:t>. Aplinkos apsaugos agentūra organizuoja aštriašnipių eršketų išteklių atkūrimo Lietuvos žuvininkystės vandens telkiniuose stebėseną, organizuoja ir koordinuoja šių žuvų išteklių, buveinių ir migracijos kelių apsaugą.</w:t>
                  </w:r>
                </w:p>
              </w:sdtContent>
            </w:sdt>
            <w:sdt>
              <w:sdtPr>
                <w:alias w:val="17 p."/>
                <w:tag w:val="part_5e657dc9b2b24f76aebc5d6ee5342d2f"/>
                <w:lock w:val="sdtLocked"/>
                <w:richText/>
              </w:sdtPr>
              <w:sdtContent>
                <w:p>
                  <w:pPr>
                    <w:widowControl w:val="0"/>
                    <w:suppressAutoHyphens/>
                    <w:ind w:firstLine="567"/>
                    <w:jc w:val="both"/>
                    <w:rPr>
                      <w:color w:val="000000"/>
                    </w:rPr>
                  </w:pPr>
                  <w:sdt>
                    <w:sdtPr>
                      <w:alias w:val="Numeris"/>
                      <w:tag w:val="nr_5e657dc9b2b24f76aebc5d6ee5342d2f"/>
                      <w:lock w:val="sdtLocked"/>
                      <w:richText/>
                    </w:sdtPr>
                    <w:sdtContent>
                      <w:r>
                        <w:rPr>
                          <w:color w:val="000000"/>
                        </w:rPr>
                        <w:t>17</w:t>
                      </w:r>
                    </w:sdtContent>
                  </w:sdt>
                  <w:r>
                    <w:rPr>
                      <w:color w:val="000000"/>
                    </w:rPr>
                    <w:t>. Žuvininkystės tarnyba ir Aplinkos apsaugos agentūra kiekvienais metais iki vasario 1 d. priežiūros grupei teikia informaciją apie atliktus darbus.</w:t>
                  </w:r>
                </w:p>
                <w:p>
                  <w:pPr>
                    <w:widowControl w:val="0"/>
                    <w:suppressAutoHyphens/>
                    <w:ind w:firstLine="567"/>
                    <w:jc w:val="both"/>
                    <w:rPr>
                      <w:color w:val="000000"/>
                    </w:rPr>
                  </w:pPr>
                </w:p>
              </w:sdtContent>
            </w:sdt>
          </w:sdtContent>
        </w:sdt>
        <w:sdt>
          <w:sdtPr>
            <w:alias w:val="skyrius"/>
            <w:tag w:val="part_7d3eb08632dc4e9695285c9bf0cbdf00"/>
            <w:lock w:val="sdtLocked"/>
            <w:richText/>
          </w:sdtPr>
          <w:sdtContent>
            <w:p>
              <w:pPr>
                <w:keepLines/>
                <w:widowControl w:val="0"/>
                <w:suppressAutoHyphens/>
                <w:jc w:val="center"/>
                <w:rPr>
                  <w:b/>
                  <w:bCs/>
                  <w:caps/>
                  <w:color w:val="000000"/>
                </w:rPr>
              </w:pPr>
              <w:sdt>
                <w:sdtPr>
                  <w:alias w:val="Numeris"/>
                  <w:tag w:val="nr_7d3eb08632dc4e9695285c9bf0cbdf00"/>
                  <w:lock w:val="sdtLocked"/>
                  <w:richText/>
                </w:sdtPr>
                <w:sdtContent>
                  <w:r>
                    <w:rPr>
                      <w:b/>
                      <w:bCs/>
                      <w:caps/>
                      <w:color w:val="000000"/>
                    </w:rPr>
                    <w:t>VII</w:t>
                  </w:r>
                </w:sdtContent>
              </w:sdt>
              <w:r>
                <w:rPr>
                  <w:b/>
                  <w:bCs/>
                  <w:caps/>
                  <w:color w:val="000000"/>
                </w:rPr>
                <w:t xml:space="preserve">. </w:t>
              </w:r>
              <w:sdt>
                <w:sdtPr>
                  <w:alias w:val="Pavadinimas"/>
                  <w:tag w:val="title_7d3eb08632dc4e9695285c9bf0cbdf00"/>
                  <w:lock w:val="sdtLocked"/>
                  <w:richText/>
                </w:sdtPr>
                <w:sdtContent>
                  <w:r>
                    <w:rPr>
                      <w:b/>
                      <w:bCs/>
                      <w:caps/>
                      <w:color w:val="000000"/>
                    </w:rPr>
                    <w:t>PROGRAMOS FINANSAVIMAS</w:t>
                  </w:r>
                </w:sdtContent>
              </w:sdt>
            </w:p>
            <w:p>
              <w:pPr>
                <w:widowControl w:val="0"/>
                <w:suppressAutoHyphens/>
                <w:ind w:firstLine="567"/>
                <w:jc w:val="both"/>
                <w:rPr>
                  <w:color w:val="000000"/>
                </w:rPr>
              </w:pPr>
            </w:p>
            <w:sdt>
              <w:sdtPr>
                <w:alias w:val="18 p."/>
                <w:tag w:val="part_4022b9986e6b480aaf846d5234b9e609"/>
                <w:lock w:val="sdtLocked"/>
                <w:richText/>
              </w:sdtPr>
              <w:sdtContent>
                <w:p>
                  <w:pPr>
                    <w:widowControl w:val="0"/>
                    <w:suppressAutoHyphens/>
                    <w:ind w:firstLine="567"/>
                    <w:jc w:val="both"/>
                    <w:rPr>
                      <w:color w:val="000000"/>
                    </w:rPr>
                  </w:pPr>
                  <w:sdt>
                    <w:sdtPr>
                      <w:alias w:val="Numeris"/>
                      <w:tag w:val="nr_4022b9986e6b480aaf846d5234b9e609"/>
                      <w:lock w:val="sdtLocked"/>
                      <w:richText/>
                    </w:sdtPr>
                    <w:sdtContent>
                      <w:r>
                        <w:rPr>
                          <w:color w:val="000000"/>
                        </w:rPr>
                        <w:t>18</w:t>
                      </w:r>
                    </w:sdtContent>
                  </w:sdt>
                  <w:r>
                    <w:rPr>
                      <w:color w:val="000000"/>
                    </w:rPr>
                    <w:t>. Programos įgyvendinimas finansuojamas Lietuvos Respublikos valstybės biudžeto lėšomis.</w:t>
                  </w:r>
                </w:p>
              </w:sdtContent>
            </w:sdt>
            <w:sdt>
              <w:sdtPr>
                <w:alias w:val="19 p."/>
                <w:tag w:val="part_774cbfd5b8cf4378950b19e06a6152df"/>
                <w:lock w:val="sdtLocked"/>
                <w:richText/>
              </w:sdtPr>
              <w:sdtContent>
                <w:p>
                  <w:pPr>
                    <w:widowControl w:val="0"/>
                    <w:suppressAutoHyphens/>
                    <w:ind w:firstLine="567"/>
                    <w:jc w:val="both"/>
                    <w:rPr>
                      <w:color w:val="000000"/>
                    </w:rPr>
                  </w:pPr>
                  <w:sdt>
                    <w:sdtPr>
                      <w:alias w:val="Numeris"/>
                      <w:tag w:val="nr_774cbfd5b8cf4378950b19e06a6152df"/>
                      <w:lock w:val="sdtLocked"/>
                      <w:richText/>
                    </w:sdtPr>
                    <w:sdtContent>
                      <w:r>
                        <w:rPr>
                          <w:color w:val="000000"/>
                        </w:rPr>
                        <w:t>19</w:t>
                      </w:r>
                    </w:sdtContent>
                  </w:sdt>
                  <w:r>
                    <w:rPr>
                      <w:color w:val="000000"/>
                    </w:rPr>
                    <w:t>. Programai įgyvendinti gali būti naudojamos Europos Sąjungos finansinės paramos lėšos, kitų užsienio valstybių ir tarptautinių fondų lėšos, privačių asmenų lėšos ir kiti finansavimo šaltiniai.</w:t>
                  </w:r>
                </w:p>
              </w:sdtContent>
            </w:sdt>
          </w:sdtContent>
        </w:sdt>
        <w:sdt>
          <w:sdtPr>
            <w:alias w:val="pabaiga"/>
            <w:tag w:val="part_ce41bde56dc3495b8110592605db7414"/>
            <w:lock w:val="sdtLocked"/>
            <w:richText/>
          </w:sdtPr>
          <w:sdtContent>
            <w:p>
              <w:pPr>
                <w:widowControl w:val="0"/>
                <w:suppressAutoHyphens/>
                <w:jc w:val="center"/>
                <w:rPr>
                  <w:rFonts w:eastAsia="Calibri"/>
                </w:rPr>
              </w:pPr>
              <w:r>
                <w:rPr>
                  <w:color w:val="000000"/>
                </w:rPr>
                <w:t>_________________</w:t>
              </w:r>
            </w:p>
          </w:sdtContent>
        </w:sdt>
      </w:sdtContent>
    </w:sdt>
    <w:sdt>
      <w:sdtPr>
        <w:alias w:val="pr."/>
        <w:tag w:val="part_539bdcaa8b1e4fcea023924e260b41c3"/>
        <w:lock w:val="sdtLocked"/>
        <w:richText/>
      </w:sdtPr>
      <w:sdtContent>
        <w:p>
          <w:pPr>
            <w:ind w:left="9639"/>
            <w:sectPr>
              <w:headerReference w:type="even" r:id="rId11"/>
              <w:headerReference w:type="default" r:id="rId12"/>
              <w:footerReference w:type="even" r:id="rId13"/>
              <w:footerReference w:type="default" r:id="rId14"/>
              <w:headerReference w:type="first" r:id="rId15"/>
              <w:footerReference w:type="first" r:id="rId16"/>
              <w:pgSz w:w="11906" w:h="16838"/>
              <w:pgMar w:top="1701" w:right="567" w:bottom="1134" w:left="1701" w:header="567" w:footer="567" w:gutter="0"/>
              <w:cols w:space="1296"/>
              <w:titlePg/>
              <w:docGrid w:linePitch="360"/>
            </w:sectPr>
          </w:pPr>
        </w:p>
        <w:p>
          <w:pPr>
            <w:ind w:left="9639"/>
            <w:rPr>
              <w:rFonts w:eastAsia="Calibri"/>
              <w:sz w:val="20"/>
              <w:szCs w:val="24"/>
            </w:rPr>
          </w:pPr>
          <w:r>
            <w:rPr>
              <w:rFonts w:eastAsia="Calibri"/>
              <w:sz w:val="20"/>
              <w:szCs w:val="24"/>
            </w:rPr>
            <w:t>Aštriašnipių eršketų populiacijos</w:t>
          </w:r>
        </w:p>
        <w:p>
          <w:pPr>
            <w:ind w:left="9639"/>
            <w:rPr>
              <w:rFonts w:eastAsia="Calibri"/>
              <w:sz w:val="20"/>
              <w:szCs w:val="24"/>
            </w:rPr>
          </w:pPr>
          <w:r>
            <w:rPr>
              <w:rFonts w:eastAsia="Calibri"/>
              <w:sz w:val="20"/>
              <w:szCs w:val="24"/>
            </w:rPr>
            <w:t>atkūrimo Lietuvoje 2012–2020 metais programos</w:t>
          </w:r>
        </w:p>
        <w:p>
          <w:pPr>
            <w:ind w:left="9639"/>
            <w:rPr>
              <w:rFonts w:eastAsia="Calibri"/>
              <w:sz w:val="20"/>
              <w:szCs w:val="24"/>
            </w:rPr>
          </w:pPr>
          <w:r>
            <w:rPr>
              <w:rFonts w:eastAsia="Calibri"/>
              <w:sz w:val="20"/>
              <w:szCs w:val="24"/>
            </w:rPr>
            <w:t>priedas</w:t>
          </w:r>
        </w:p>
        <w:p>
          <w:pPr>
            <w:ind w:left="5954" w:firstLine="4111"/>
            <w:rPr>
              <w:sz w:val="20"/>
              <w:szCs w:val="24"/>
            </w:rPr>
          </w:pPr>
        </w:p>
        <w:p>
          <w:pPr>
            <w:jc w:val="center"/>
            <w:rPr>
              <w:b/>
              <w:sz w:val="20"/>
              <w:szCs w:val="24"/>
            </w:rPr>
          </w:pPr>
        </w:p>
        <w:sdt>
          <w:sdtPr>
            <w:alias w:val="Pavadinimas"/>
            <w:tag w:val="title_539bdcaa8b1e4fcea023924e260b41c3"/>
            <w:lock w:val="sdtLocked"/>
            <w:richText/>
          </w:sdtPr>
          <w:sdtContent>
            <w:p>
              <w:pPr>
                <w:jc w:val="center"/>
                <w:rPr>
                  <w:b/>
                  <w:sz w:val="20"/>
                  <w:szCs w:val="24"/>
                </w:rPr>
              </w:pPr>
              <w:r>
                <w:rPr>
                  <w:b/>
                  <w:sz w:val="20"/>
                  <w:szCs w:val="24"/>
                </w:rPr>
                <w:t>AŠTRIAŠNIPIŲ ERŠKETŲ POPULIACIJOS ATKŪRIMO LIETUVOJE 2012–2020 METAIS PROGRAMOS</w:t>
              </w:r>
            </w:p>
            <w:p>
              <w:pPr>
                <w:jc w:val="center"/>
                <w:rPr>
                  <w:b/>
                  <w:sz w:val="20"/>
                  <w:szCs w:val="24"/>
                </w:rPr>
              </w:pPr>
              <w:r>
                <w:rPr>
                  <w:b/>
                  <w:sz w:val="20"/>
                  <w:szCs w:val="24"/>
                </w:rPr>
                <w:t>VEIKSMŲ PLANAS</w:t>
              </w:r>
            </w:p>
          </w:sdtContent>
        </w:sdt>
        <w:p>
          <w:pPr>
            <w:jc w:val="both"/>
            <w:rPr>
              <w:iCs/>
              <w:sz w:val="20"/>
              <w:szCs w:val="24"/>
            </w:rPr>
          </w:pPr>
        </w:p>
        <w:p>
          <w:pPr>
            <w:jc w:val="both"/>
            <w:rPr>
              <w:iCs/>
              <w:sz w:val="20"/>
              <w:szCs w:val="24"/>
            </w:rPr>
          </w:pPr>
        </w:p>
        <w:tbl>
          <w:tblPr>
            <w:tblW w:w="15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1"/>
            <w:gridCol w:w="3079"/>
            <w:gridCol w:w="972"/>
            <w:gridCol w:w="972"/>
            <w:gridCol w:w="972"/>
            <w:gridCol w:w="972"/>
            <w:gridCol w:w="972"/>
            <w:gridCol w:w="972"/>
            <w:gridCol w:w="870"/>
            <w:gridCol w:w="870"/>
            <w:gridCol w:w="871"/>
            <w:gridCol w:w="1666"/>
            <w:gridCol w:w="1363"/>
          </w:tblGrid>
          <w:tr>
            <w:trPr>
              <w:cantSplit/>
              <w:trHeight w:val="20"/>
              <w:tblHeader/>
            </w:trPr>
            <w:tc>
              <w:tcPr>
                <w:tcW w:w="601" w:type="dxa"/>
                <w:vMerge w:val="restart"/>
                <w:vAlign w:val="center"/>
              </w:tcPr>
              <w:p>
                <w:pPr>
                  <w:jc w:val="center"/>
                  <w:rPr>
                    <w:b/>
                    <w:iCs/>
                    <w:sz w:val="20"/>
                    <w:szCs w:val="24"/>
                  </w:rPr>
                </w:pPr>
                <w:r>
                  <w:rPr>
                    <w:b/>
                    <w:iCs/>
                    <w:sz w:val="20"/>
                    <w:szCs w:val="24"/>
                  </w:rPr>
                  <w:t>Eil. Nr.</w:t>
                </w:r>
              </w:p>
            </w:tc>
            <w:tc>
              <w:tcPr>
                <w:tcW w:w="3079" w:type="dxa"/>
                <w:vMerge w:val="restart"/>
                <w:vAlign w:val="center"/>
              </w:tcPr>
              <w:p>
                <w:pPr>
                  <w:jc w:val="center"/>
                  <w:rPr>
                    <w:b/>
                    <w:iCs/>
                    <w:sz w:val="20"/>
                    <w:szCs w:val="24"/>
                  </w:rPr>
                </w:pPr>
                <w:r>
                  <w:rPr>
                    <w:b/>
                    <w:iCs/>
                    <w:sz w:val="20"/>
                    <w:szCs w:val="24"/>
                  </w:rPr>
                  <w:t>Veiksmai</w:t>
                </w:r>
              </w:p>
            </w:tc>
            <w:tc>
              <w:tcPr>
                <w:tcW w:w="8443" w:type="dxa"/>
                <w:gridSpan w:val="9"/>
              </w:tcPr>
              <w:p>
                <w:pPr>
                  <w:jc w:val="center"/>
                  <w:rPr>
                    <w:b/>
                    <w:iCs/>
                    <w:sz w:val="20"/>
                    <w:szCs w:val="24"/>
                  </w:rPr>
                </w:pPr>
                <w:r>
                  <w:rPr>
                    <w:b/>
                    <w:iCs/>
                    <w:sz w:val="20"/>
                    <w:szCs w:val="24"/>
                  </w:rPr>
                  <w:t>Metai/ Lėšų poreikis, tūkst. Eur.</w:t>
                </w:r>
              </w:p>
            </w:tc>
            <w:tc>
              <w:tcPr>
                <w:tcW w:w="1666" w:type="dxa"/>
                <w:vMerge w:val="restart"/>
                <w:vAlign w:val="center"/>
              </w:tcPr>
              <w:p>
                <w:pPr>
                  <w:jc w:val="center"/>
                  <w:rPr>
                    <w:b/>
                    <w:iCs/>
                    <w:sz w:val="20"/>
                    <w:szCs w:val="24"/>
                  </w:rPr>
                </w:pPr>
                <w:r>
                  <w:rPr>
                    <w:b/>
                    <w:iCs/>
                    <w:sz w:val="20"/>
                    <w:szCs w:val="24"/>
                  </w:rPr>
                  <w:t>Galimi finansavimo šaltiniai</w:t>
                </w:r>
              </w:p>
            </w:tc>
            <w:tc>
              <w:tcPr>
                <w:tcW w:w="1363" w:type="dxa"/>
                <w:vMerge w:val="restart"/>
                <w:vAlign w:val="center"/>
              </w:tcPr>
              <w:p>
                <w:pPr>
                  <w:jc w:val="center"/>
                  <w:rPr>
                    <w:b/>
                    <w:iCs/>
                    <w:sz w:val="20"/>
                    <w:szCs w:val="24"/>
                  </w:rPr>
                </w:pPr>
                <w:r>
                  <w:rPr>
                    <w:b/>
                    <w:iCs/>
                    <w:sz w:val="20"/>
                    <w:szCs w:val="24"/>
                  </w:rPr>
                  <w:t>Atsakingos institucijos</w:t>
                </w:r>
              </w:p>
            </w:tc>
          </w:tr>
          <w:tr>
            <w:trPr>
              <w:cantSplit/>
              <w:trHeight w:val="20"/>
              <w:tblHeader/>
            </w:trPr>
            <w:tc>
              <w:tcPr>
                <w:tcW w:w="601" w:type="dxa"/>
                <w:vMerge/>
              </w:tcPr>
              <w:p>
                <w:pPr>
                  <w:jc w:val="both"/>
                  <w:rPr>
                    <w:iCs/>
                    <w:sz w:val="20"/>
                    <w:szCs w:val="24"/>
                  </w:rPr>
                </w:pPr>
              </w:p>
            </w:tc>
            <w:tc>
              <w:tcPr>
                <w:tcW w:w="3079" w:type="dxa"/>
                <w:vMerge/>
              </w:tcPr>
              <w:p>
                <w:pPr>
                  <w:jc w:val="both"/>
                  <w:rPr>
                    <w:iCs/>
                    <w:sz w:val="20"/>
                    <w:szCs w:val="24"/>
                  </w:rPr>
                </w:pPr>
              </w:p>
            </w:tc>
            <w:tc>
              <w:tcPr>
                <w:tcW w:w="972" w:type="dxa"/>
                <w:vAlign w:val="center"/>
              </w:tcPr>
              <w:p>
                <w:pPr>
                  <w:jc w:val="center"/>
                  <w:rPr>
                    <w:b/>
                    <w:iCs/>
                    <w:sz w:val="20"/>
                    <w:szCs w:val="24"/>
                  </w:rPr>
                </w:pPr>
                <w:r>
                  <w:rPr>
                    <w:b/>
                    <w:iCs/>
                    <w:sz w:val="20"/>
                    <w:szCs w:val="24"/>
                  </w:rPr>
                  <w:t>2012</w:t>
                </w:r>
              </w:p>
            </w:tc>
            <w:tc>
              <w:tcPr>
                <w:tcW w:w="972" w:type="dxa"/>
                <w:vAlign w:val="center"/>
              </w:tcPr>
              <w:p>
                <w:pPr>
                  <w:jc w:val="center"/>
                  <w:rPr>
                    <w:b/>
                    <w:iCs/>
                    <w:sz w:val="20"/>
                    <w:szCs w:val="24"/>
                  </w:rPr>
                </w:pPr>
                <w:r>
                  <w:rPr>
                    <w:b/>
                    <w:iCs/>
                    <w:sz w:val="20"/>
                    <w:szCs w:val="24"/>
                  </w:rPr>
                  <w:t>2013</w:t>
                </w:r>
              </w:p>
            </w:tc>
            <w:tc>
              <w:tcPr>
                <w:tcW w:w="972" w:type="dxa"/>
                <w:vAlign w:val="center"/>
              </w:tcPr>
              <w:p>
                <w:pPr>
                  <w:jc w:val="center"/>
                  <w:rPr>
                    <w:b/>
                    <w:iCs/>
                    <w:sz w:val="20"/>
                    <w:szCs w:val="24"/>
                  </w:rPr>
                </w:pPr>
                <w:r>
                  <w:rPr>
                    <w:b/>
                    <w:iCs/>
                    <w:sz w:val="20"/>
                    <w:szCs w:val="24"/>
                  </w:rPr>
                  <w:t>2014</w:t>
                </w:r>
              </w:p>
            </w:tc>
            <w:tc>
              <w:tcPr>
                <w:tcW w:w="972" w:type="dxa"/>
                <w:vAlign w:val="center"/>
              </w:tcPr>
              <w:p>
                <w:pPr>
                  <w:jc w:val="center"/>
                  <w:rPr>
                    <w:b/>
                    <w:iCs/>
                    <w:sz w:val="20"/>
                    <w:szCs w:val="24"/>
                  </w:rPr>
                </w:pPr>
                <w:r>
                  <w:rPr>
                    <w:b/>
                    <w:iCs/>
                    <w:sz w:val="20"/>
                    <w:szCs w:val="24"/>
                  </w:rPr>
                  <w:t>2015</w:t>
                </w:r>
              </w:p>
            </w:tc>
            <w:tc>
              <w:tcPr>
                <w:tcW w:w="972" w:type="dxa"/>
                <w:vAlign w:val="center"/>
              </w:tcPr>
              <w:p>
                <w:pPr>
                  <w:jc w:val="center"/>
                  <w:rPr>
                    <w:b/>
                    <w:iCs/>
                    <w:sz w:val="20"/>
                    <w:szCs w:val="24"/>
                  </w:rPr>
                </w:pPr>
                <w:r>
                  <w:rPr>
                    <w:b/>
                    <w:iCs/>
                    <w:sz w:val="20"/>
                    <w:szCs w:val="24"/>
                  </w:rPr>
                  <w:t>2016</w:t>
                </w:r>
              </w:p>
            </w:tc>
            <w:tc>
              <w:tcPr>
                <w:tcW w:w="972" w:type="dxa"/>
                <w:vAlign w:val="center"/>
              </w:tcPr>
              <w:p>
                <w:pPr>
                  <w:jc w:val="center"/>
                  <w:rPr>
                    <w:b/>
                    <w:iCs/>
                    <w:sz w:val="20"/>
                    <w:szCs w:val="24"/>
                  </w:rPr>
                </w:pPr>
                <w:r>
                  <w:rPr>
                    <w:b/>
                    <w:iCs/>
                    <w:sz w:val="20"/>
                    <w:szCs w:val="24"/>
                  </w:rPr>
                  <w:t>2017</w:t>
                </w:r>
              </w:p>
            </w:tc>
            <w:tc>
              <w:tcPr>
                <w:tcW w:w="870" w:type="dxa"/>
                <w:vAlign w:val="center"/>
              </w:tcPr>
              <w:p>
                <w:pPr>
                  <w:jc w:val="center"/>
                  <w:rPr>
                    <w:b/>
                    <w:iCs/>
                    <w:sz w:val="20"/>
                    <w:szCs w:val="24"/>
                  </w:rPr>
                </w:pPr>
                <w:r>
                  <w:rPr>
                    <w:b/>
                    <w:iCs/>
                    <w:sz w:val="20"/>
                    <w:szCs w:val="24"/>
                  </w:rPr>
                  <w:t>2018</w:t>
                </w:r>
              </w:p>
            </w:tc>
            <w:tc>
              <w:tcPr>
                <w:tcW w:w="870" w:type="dxa"/>
                <w:vAlign w:val="center"/>
              </w:tcPr>
              <w:p>
                <w:pPr>
                  <w:jc w:val="center"/>
                  <w:rPr>
                    <w:b/>
                    <w:iCs/>
                    <w:sz w:val="20"/>
                    <w:szCs w:val="24"/>
                  </w:rPr>
                </w:pPr>
                <w:r>
                  <w:rPr>
                    <w:b/>
                    <w:iCs/>
                    <w:sz w:val="20"/>
                    <w:szCs w:val="24"/>
                  </w:rPr>
                  <w:t>2019</w:t>
                </w:r>
              </w:p>
            </w:tc>
            <w:tc>
              <w:tcPr>
                <w:tcW w:w="871" w:type="dxa"/>
                <w:vAlign w:val="center"/>
              </w:tcPr>
              <w:p>
                <w:pPr>
                  <w:jc w:val="center"/>
                  <w:rPr>
                    <w:b/>
                    <w:iCs/>
                    <w:sz w:val="20"/>
                    <w:szCs w:val="24"/>
                  </w:rPr>
                </w:pPr>
                <w:r>
                  <w:rPr>
                    <w:b/>
                    <w:iCs/>
                    <w:sz w:val="20"/>
                    <w:szCs w:val="24"/>
                  </w:rPr>
                  <w:t>2020</w:t>
                </w:r>
              </w:p>
            </w:tc>
            <w:tc>
              <w:tcPr>
                <w:tcW w:w="1666" w:type="dxa"/>
                <w:vMerge/>
              </w:tcPr>
              <w:p>
                <w:pPr>
                  <w:jc w:val="both"/>
                  <w:rPr>
                    <w:iCs/>
                    <w:sz w:val="20"/>
                    <w:szCs w:val="24"/>
                  </w:rPr>
                </w:pPr>
              </w:p>
            </w:tc>
            <w:tc>
              <w:tcPr>
                <w:tcW w:w="1363" w:type="dxa"/>
                <w:vMerge/>
              </w:tcPr>
              <w:p>
                <w:pPr>
                  <w:jc w:val="both"/>
                  <w:rPr>
                    <w:iCs/>
                    <w:sz w:val="20"/>
                    <w:szCs w:val="24"/>
                  </w:rPr>
                </w:pPr>
              </w:p>
            </w:tc>
          </w:tr>
          <w:tr>
            <w:trPr>
              <w:cantSplit/>
              <w:trHeight w:val="20"/>
            </w:trPr>
            <w:tc>
              <w:tcPr>
                <w:tcW w:w="601" w:type="dxa"/>
              </w:tcPr>
              <w:p>
                <w:pPr>
                  <w:jc w:val="both"/>
                  <w:rPr>
                    <w:iCs/>
                    <w:sz w:val="20"/>
                    <w:szCs w:val="24"/>
                  </w:rPr>
                </w:pPr>
                <w:r>
                  <w:rPr>
                    <w:iCs/>
                    <w:sz w:val="20"/>
                    <w:szCs w:val="24"/>
                  </w:rPr>
                  <w:t>1.</w:t>
                </w:r>
              </w:p>
            </w:tc>
            <w:tc>
              <w:tcPr>
                <w:tcW w:w="3079" w:type="dxa"/>
              </w:tcPr>
              <w:p>
                <w:pPr>
                  <w:rPr>
                    <w:iCs/>
                    <w:sz w:val="20"/>
                    <w:szCs w:val="24"/>
                  </w:rPr>
                </w:pPr>
                <w:r>
                  <w:rPr>
                    <w:iCs/>
                    <w:sz w:val="20"/>
                    <w:szCs w:val="24"/>
                  </w:rPr>
                  <w:t>Paruošiamieji darbai (vizitai į Lenkijos eršketų auginimo įmonę, ryšių užmezgimas su kitų šalių mokslo institucijomis ir žuvivaisos įmonėmis)</w:t>
                </w:r>
              </w:p>
            </w:tc>
            <w:tc>
              <w:tcPr>
                <w:tcW w:w="972" w:type="dxa"/>
              </w:tcPr>
              <w:p>
                <w:pPr>
                  <w:rPr>
                    <w:iCs/>
                    <w:sz w:val="20"/>
                    <w:szCs w:val="24"/>
                  </w:rPr>
                </w:pPr>
                <w:r>
                  <w:rPr>
                    <w:iCs/>
                    <w:sz w:val="20"/>
                    <w:szCs w:val="24"/>
                  </w:rPr>
                  <w:t>2,90</w:t>
                </w:r>
              </w:p>
            </w:tc>
            <w:tc>
              <w:tcPr>
                <w:tcW w:w="972" w:type="dxa"/>
              </w:tcPr>
              <w:p>
                <w:pPr>
                  <w:jc w:val="both"/>
                  <w:rPr>
                    <w:iCs/>
                    <w:sz w:val="20"/>
                    <w:szCs w:val="24"/>
                  </w:rPr>
                </w:pPr>
                <w:r>
                  <w:rPr>
                    <w:iCs/>
                    <w:sz w:val="20"/>
                    <w:szCs w:val="24"/>
                  </w:rPr>
                  <w:t xml:space="preserve">2,90 </w:t>
                </w:r>
              </w:p>
            </w:tc>
            <w:tc>
              <w:tcPr>
                <w:tcW w:w="972" w:type="dxa"/>
              </w:tcPr>
              <w:p>
                <w:pPr>
                  <w:jc w:val="both"/>
                  <w:rPr>
                    <w:iCs/>
                    <w:sz w:val="20"/>
                    <w:szCs w:val="24"/>
                  </w:rPr>
                </w:pPr>
                <w:r>
                  <w:rPr>
                    <w:iCs/>
                    <w:sz w:val="20"/>
                    <w:szCs w:val="24"/>
                  </w:rPr>
                  <w:t>-</w:t>
                </w:r>
              </w:p>
            </w:tc>
            <w:tc>
              <w:tcPr>
                <w:tcW w:w="972" w:type="dxa"/>
              </w:tcPr>
              <w:p>
                <w:pPr>
                  <w:jc w:val="both"/>
                  <w:rPr>
                    <w:iCs/>
                    <w:sz w:val="20"/>
                    <w:szCs w:val="24"/>
                  </w:rPr>
                </w:pPr>
                <w:r>
                  <w:rPr>
                    <w:iCs/>
                    <w:sz w:val="20"/>
                    <w:szCs w:val="24"/>
                  </w:rPr>
                  <w:t>-</w:t>
                </w:r>
              </w:p>
            </w:tc>
            <w:tc>
              <w:tcPr>
                <w:tcW w:w="972" w:type="dxa"/>
              </w:tcPr>
              <w:p>
                <w:pPr>
                  <w:jc w:val="both"/>
                  <w:rPr>
                    <w:iCs/>
                    <w:sz w:val="20"/>
                    <w:szCs w:val="24"/>
                  </w:rPr>
                </w:pPr>
                <w:r>
                  <w:rPr>
                    <w:iCs/>
                    <w:sz w:val="20"/>
                    <w:szCs w:val="24"/>
                  </w:rPr>
                  <w:t>-</w:t>
                </w:r>
              </w:p>
            </w:tc>
            <w:tc>
              <w:tcPr>
                <w:tcW w:w="972" w:type="dxa"/>
              </w:tcPr>
              <w:p>
                <w:pPr>
                  <w:jc w:val="both"/>
                  <w:rPr>
                    <w:iCs/>
                    <w:sz w:val="20"/>
                    <w:szCs w:val="24"/>
                  </w:rPr>
                </w:pPr>
                <w:r>
                  <w:rPr>
                    <w:iCs/>
                    <w:sz w:val="20"/>
                    <w:szCs w:val="24"/>
                  </w:rPr>
                  <w:t>-</w:t>
                </w:r>
              </w:p>
            </w:tc>
            <w:tc>
              <w:tcPr>
                <w:tcW w:w="870" w:type="dxa"/>
              </w:tcPr>
              <w:p>
                <w:pPr>
                  <w:jc w:val="both"/>
                  <w:rPr>
                    <w:iCs/>
                    <w:sz w:val="20"/>
                    <w:szCs w:val="24"/>
                  </w:rPr>
                </w:pPr>
                <w:r>
                  <w:rPr>
                    <w:iCs/>
                    <w:sz w:val="20"/>
                    <w:szCs w:val="24"/>
                  </w:rPr>
                  <w:t>-</w:t>
                </w:r>
              </w:p>
            </w:tc>
            <w:tc>
              <w:tcPr>
                <w:tcW w:w="870" w:type="dxa"/>
              </w:tcPr>
              <w:p>
                <w:pPr>
                  <w:jc w:val="both"/>
                  <w:rPr>
                    <w:iCs/>
                    <w:sz w:val="20"/>
                    <w:szCs w:val="24"/>
                  </w:rPr>
                </w:pPr>
                <w:r>
                  <w:rPr>
                    <w:iCs/>
                    <w:sz w:val="20"/>
                    <w:szCs w:val="24"/>
                  </w:rPr>
                  <w:t>-</w:t>
                </w:r>
              </w:p>
            </w:tc>
            <w:tc>
              <w:tcPr>
                <w:tcW w:w="871" w:type="dxa"/>
              </w:tcPr>
              <w:p>
                <w:pPr>
                  <w:jc w:val="both"/>
                  <w:rPr>
                    <w:iCs/>
                    <w:sz w:val="20"/>
                    <w:szCs w:val="24"/>
                  </w:rPr>
                </w:pPr>
                <w:r>
                  <w:rPr>
                    <w:iCs/>
                    <w:sz w:val="20"/>
                    <w:szCs w:val="24"/>
                  </w:rPr>
                  <w:t>-</w:t>
                </w:r>
              </w:p>
            </w:tc>
            <w:tc>
              <w:tcPr>
                <w:tcW w:w="1666" w:type="dxa"/>
              </w:tcPr>
              <w:p>
                <w:pPr>
                  <w:rPr>
                    <w:rFonts w:eastAsia="Calibri"/>
                    <w:sz w:val="20"/>
                    <w:szCs w:val="24"/>
                  </w:rPr>
                </w:pPr>
                <w:r>
                  <w:rPr>
                    <w:rFonts w:eastAsia="Calibri"/>
                    <w:sz w:val="20"/>
                    <w:szCs w:val="24"/>
                  </w:rPr>
                  <w:t>ŽT biudžeto lėšos</w:t>
                </w:r>
              </w:p>
            </w:tc>
            <w:tc>
              <w:tcPr>
                <w:tcW w:w="1363" w:type="dxa"/>
              </w:tcPr>
              <w:p>
                <w:pPr>
                  <w:rPr>
                    <w:rFonts w:eastAsia="Calibri"/>
                    <w:sz w:val="20"/>
                    <w:szCs w:val="24"/>
                  </w:rPr>
                </w:pPr>
                <w:r>
                  <w:rPr>
                    <w:rFonts w:eastAsia="Calibri"/>
                    <w:sz w:val="20"/>
                    <w:szCs w:val="24"/>
                  </w:rPr>
                  <w:t>ŽT</w:t>
                </w:r>
              </w:p>
              <w:p>
                <w:pPr>
                  <w:rPr>
                    <w:rFonts w:eastAsia="Calibri"/>
                    <w:sz w:val="20"/>
                    <w:szCs w:val="24"/>
                  </w:rPr>
                </w:pPr>
              </w:p>
            </w:tc>
          </w:tr>
          <w:tr>
            <w:trPr>
              <w:cantSplit/>
              <w:trHeight w:val="20"/>
            </w:trPr>
            <w:tc>
              <w:tcPr>
                <w:tcW w:w="601" w:type="dxa"/>
              </w:tcPr>
              <w:p>
                <w:pPr>
                  <w:jc w:val="both"/>
                  <w:rPr>
                    <w:iCs/>
                    <w:sz w:val="20"/>
                    <w:szCs w:val="24"/>
                  </w:rPr>
                </w:pPr>
                <w:r>
                  <w:rPr>
                    <w:iCs/>
                    <w:sz w:val="20"/>
                    <w:szCs w:val="24"/>
                  </w:rPr>
                  <w:t>2.</w:t>
                </w:r>
              </w:p>
            </w:tc>
            <w:tc>
              <w:tcPr>
                <w:tcW w:w="3079" w:type="dxa"/>
              </w:tcPr>
              <w:p>
                <w:pPr>
                  <w:rPr>
                    <w:iCs/>
                    <w:sz w:val="20"/>
                    <w:szCs w:val="24"/>
                  </w:rPr>
                </w:pPr>
                <w:r>
                  <w:rPr>
                    <w:sz w:val="20"/>
                    <w:szCs w:val="24"/>
                  </w:rPr>
                  <w:t>Įrengti aštriašnipių eršketų veisimo ir paauginimo cechus</w:t>
                </w:r>
              </w:p>
            </w:tc>
            <w:tc>
              <w:tcPr>
                <w:tcW w:w="972" w:type="dxa"/>
              </w:tcPr>
              <w:p>
                <w:pPr>
                  <w:rPr>
                    <w:iCs/>
                    <w:sz w:val="20"/>
                    <w:szCs w:val="24"/>
                  </w:rPr>
                </w:pPr>
                <w:r>
                  <w:rPr>
                    <w:iCs/>
                    <w:sz w:val="20"/>
                    <w:szCs w:val="24"/>
                  </w:rPr>
                  <w:t>-</w:t>
                </w:r>
              </w:p>
            </w:tc>
            <w:tc>
              <w:tcPr>
                <w:tcW w:w="972" w:type="dxa"/>
              </w:tcPr>
              <w:p>
                <w:pPr>
                  <w:jc w:val="both"/>
                  <w:rPr>
                    <w:iCs/>
                    <w:sz w:val="20"/>
                    <w:szCs w:val="24"/>
                  </w:rPr>
                </w:pPr>
                <w:r>
                  <w:rPr>
                    <w:iCs/>
                    <w:sz w:val="20"/>
                    <w:szCs w:val="24"/>
                  </w:rPr>
                  <w:t>202,73</w:t>
                </w:r>
              </w:p>
            </w:tc>
            <w:tc>
              <w:tcPr>
                <w:tcW w:w="972" w:type="dxa"/>
              </w:tcPr>
              <w:p>
                <w:pPr>
                  <w:jc w:val="both"/>
                  <w:rPr>
                    <w:iCs/>
                    <w:sz w:val="20"/>
                    <w:szCs w:val="24"/>
                  </w:rPr>
                </w:pPr>
                <w:r>
                  <w:rPr>
                    <w:iCs/>
                    <w:sz w:val="20"/>
                    <w:szCs w:val="24"/>
                  </w:rPr>
                  <w:t>-</w:t>
                </w:r>
              </w:p>
            </w:tc>
            <w:tc>
              <w:tcPr>
                <w:tcW w:w="972" w:type="dxa"/>
              </w:tcPr>
              <w:p>
                <w:pPr>
                  <w:jc w:val="both"/>
                  <w:rPr>
                    <w:iCs/>
                    <w:sz w:val="20"/>
                    <w:szCs w:val="24"/>
                  </w:rPr>
                </w:pPr>
                <w:r>
                  <w:rPr>
                    <w:iCs/>
                    <w:sz w:val="20"/>
                    <w:szCs w:val="24"/>
                  </w:rPr>
                  <w:t>-</w:t>
                </w:r>
              </w:p>
            </w:tc>
            <w:tc>
              <w:tcPr>
                <w:tcW w:w="972" w:type="dxa"/>
              </w:tcPr>
              <w:p>
                <w:pPr>
                  <w:jc w:val="both"/>
                  <w:rPr>
                    <w:iCs/>
                    <w:sz w:val="20"/>
                    <w:szCs w:val="24"/>
                  </w:rPr>
                </w:pPr>
                <w:r>
                  <w:rPr>
                    <w:iCs/>
                    <w:sz w:val="20"/>
                    <w:szCs w:val="24"/>
                  </w:rPr>
                  <w:t>-</w:t>
                </w:r>
              </w:p>
            </w:tc>
            <w:tc>
              <w:tcPr>
                <w:tcW w:w="972" w:type="dxa"/>
              </w:tcPr>
              <w:p>
                <w:pPr>
                  <w:jc w:val="both"/>
                  <w:rPr>
                    <w:iCs/>
                    <w:sz w:val="20"/>
                    <w:szCs w:val="24"/>
                  </w:rPr>
                </w:pPr>
                <w:r>
                  <w:rPr>
                    <w:iCs/>
                    <w:sz w:val="20"/>
                    <w:szCs w:val="24"/>
                  </w:rPr>
                  <w:t>-</w:t>
                </w:r>
              </w:p>
            </w:tc>
            <w:tc>
              <w:tcPr>
                <w:tcW w:w="870" w:type="dxa"/>
              </w:tcPr>
              <w:p>
                <w:pPr>
                  <w:jc w:val="both"/>
                  <w:rPr>
                    <w:iCs/>
                    <w:sz w:val="20"/>
                    <w:szCs w:val="24"/>
                  </w:rPr>
                </w:pPr>
                <w:r>
                  <w:rPr>
                    <w:iCs/>
                    <w:sz w:val="20"/>
                    <w:szCs w:val="24"/>
                  </w:rPr>
                  <w:t>-</w:t>
                </w:r>
              </w:p>
            </w:tc>
            <w:tc>
              <w:tcPr>
                <w:tcW w:w="870" w:type="dxa"/>
              </w:tcPr>
              <w:p>
                <w:pPr>
                  <w:jc w:val="both"/>
                  <w:rPr>
                    <w:iCs/>
                    <w:sz w:val="20"/>
                    <w:szCs w:val="24"/>
                  </w:rPr>
                </w:pPr>
                <w:r>
                  <w:rPr>
                    <w:iCs/>
                    <w:sz w:val="20"/>
                    <w:szCs w:val="24"/>
                  </w:rPr>
                  <w:t>-</w:t>
                </w:r>
              </w:p>
            </w:tc>
            <w:tc>
              <w:tcPr>
                <w:tcW w:w="871" w:type="dxa"/>
              </w:tcPr>
              <w:p>
                <w:pPr>
                  <w:jc w:val="both"/>
                  <w:rPr>
                    <w:iCs/>
                    <w:sz w:val="20"/>
                    <w:szCs w:val="24"/>
                  </w:rPr>
                </w:pPr>
                <w:r>
                  <w:rPr>
                    <w:iCs/>
                    <w:sz w:val="20"/>
                    <w:szCs w:val="24"/>
                  </w:rPr>
                  <w:t>-</w:t>
                </w:r>
              </w:p>
            </w:tc>
            <w:tc>
              <w:tcPr>
                <w:tcW w:w="1666" w:type="dxa"/>
              </w:tcPr>
              <w:p>
                <w:pPr>
                  <w:rPr>
                    <w:rFonts w:eastAsia="Calibri"/>
                    <w:sz w:val="20"/>
                    <w:szCs w:val="24"/>
                  </w:rPr>
                </w:pPr>
                <w:r>
                  <w:rPr>
                    <w:rFonts w:eastAsia="Calibri"/>
                    <w:sz w:val="20"/>
                    <w:szCs w:val="24"/>
                  </w:rPr>
                  <w:t>EŽF lėšos</w:t>
                </w:r>
              </w:p>
            </w:tc>
            <w:tc>
              <w:tcPr>
                <w:tcW w:w="1363" w:type="dxa"/>
              </w:tcPr>
              <w:p>
                <w:pPr>
                  <w:rPr>
                    <w:rFonts w:eastAsia="Calibri"/>
                    <w:sz w:val="20"/>
                    <w:szCs w:val="24"/>
                  </w:rPr>
                </w:pPr>
                <w:r>
                  <w:rPr>
                    <w:rFonts w:eastAsia="Calibri"/>
                    <w:sz w:val="20"/>
                    <w:szCs w:val="24"/>
                  </w:rPr>
                  <w:t>ŽT</w:t>
                </w:r>
              </w:p>
            </w:tc>
          </w:tr>
          <w:tr>
            <w:trPr>
              <w:cantSplit/>
              <w:trHeight w:val="20"/>
            </w:trPr>
            <w:tc>
              <w:tcPr>
                <w:tcW w:w="601" w:type="dxa"/>
              </w:tcPr>
              <w:p>
                <w:pPr>
                  <w:jc w:val="both"/>
                  <w:rPr>
                    <w:iCs/>
                    <w:sz w:val="20"/>
                    <w:szCs w:val="24"/>
                  </w:rPr>
                </w:pPr>
                <w:r>
                  <w:rPr>
                    <w:iCs/>
                    <w:sz w:val="20"/>
                    <w:szCs w:val="24"/>
                  </w:rPr>
                  <w:t xml:space="preserve">3. </w:t>
                </w:r>
              </w:p>
            </w:tc>
            <w:tc>
              <w:tcPr>
                <w:tcW w:w="3079" w:type="dxa"/>
              </w:tcPr>
              <w:p>
                <w:pPr>
                  <w:rPr>
                    <w:iCs/>
                    <w:sz w:val="20"/>
                    <w:szCs w:val="24"/>
                  </w:rPr>
                </w:pPr>
                <w:r>
                  <w:rPr>
                    <w:iCs/>
                    <w:sz w:val="20"/>
                    <w:szCs w:val="24"/>
                  </w:rPr>
                  <w:t>Įsigijimas ir įdiegimas technologinės įrangos ŽT Žuvivaisos skyriaus poskyriams, kuriuose bus inkubuojami aštriašnipių eršketų ikrai ir paauginami jaunikliai</w:t>
                </w:r>
              </w:p>
            </w:tc>
            <w:tc>
              <w:tcPr>
                <w:tcW w:w="972" w:type="dxa"/>
              </w:tcPr>
              <w:p>
                <w:pPr>
                  <w:rPr>
                    <w:iCs/>
                    <w:sz w:val="20"/>
                    <w:szCs w:val="24"/>
                  </w:rPr>
                </w:pPr>
                <w:r>
                  <w:rPr>
                    <w:iCs/>
                    <w:sz w:val="20"/>
                    <w:szCs w:val="24"/>
                  </w:rPr>
                  <w:t>57,90</w:t>
                </w:r>
              </w:p>
            </w:tc>
            <w:tc>
              <w:tcPr>
                <w:tcW w:w="972" w:type="dxa"/>
              </w:tcPr>
              <w:p>
                <w:pPr>
                  <w:jc w:val="both"/>
                  <w:rPr>
                    <w:iCs/>
                    <w:sz w:val="20"/>
                    <w:szCs w:val="24"/>
                  </w:rPr>
                </w:pPr>
                <w:r>
                  <w:rPr>
                    <w:iCs/>
                    <w:sz w:val="20"/>
                    <w:szCs w:val="24"/>
                  </w:rPr>
                  <w:t>-</w:t>
                </w:r>
              </w:p>
            </w:tc>
            <w:tc>
              <w:tcPr>
                <w:tcW w:w="972" w:type="dxa"/>
              </w:tcPr>
              <w:p>
                <w:pPr>
                  <w:jc w:val="both"/>
                  <w:rPr>
                    <w:iCs/>
                    <w:sz w:val="20"/>
                    <w:szCs w:val="24"/>
                  </w:rPr>
                </w:pPr>
                <w:r>
                  <w:rPr>
                    <w:iCs/>
                    <w:sz w:val="20"/>
                    <w:szCs w:val="24"/>
                  </w:rPr>
                  <w:t>-</w:t>
                </w:r>
              </w:p>
            </w:tc>
            <w:tc>
              <w:tcPr>
                <w:tcW w:w="972" w:type="dxa"/>
              </w:tcPr>
              <w:p>
                <w:pPr>
                  <w:jc w:val="both"/>
                  <w:rPr>
                    <w:iCs/>
                    <w:sz w:val="20"/>
                    <w:szCs w:val="24"/>
                  </w:rPr>
                </w:pPr>
                <w:r>
                  <w:rPr>
                    <w:iCs/>
                    <w:sz w:val="20"/>
                    <w:szCs w:val="24"/>
                  </w:rPr>
                  <w:t>-</w:t>
                </w:r>
              </w:p>
            </w:tc>
            <w:tc>
              <w:tcPr>
                <w:tcW w:w="972" w:type="dxa"/>
              </w:tcPr>
              <w:p>
                <w:pPr>
                  <w:jc w:val="both"/>
                  <w:rPr>
                    <w:iCs/>
                    <w:sz w:val="20"/>
                    <w:szCs w:val="24"/>
                  </w:rPr>
                </w:pPr>
                <w:r>
                  <w:rPr>
                    <w:iCs/>
                    <w:sz w:val="20"/>
                    <w:szCs w:val="24"/>
                  </w:rPr>
                  <w:t>-</w:t>
                </w:r>
              </w:p>
            </w:tc>
            <w:tc>
              <w:tcPr>
                <w:tcW w:w="972" w:type="dxa"/>
              </w:tcPr>
              <w:p>
                <w:pPr>
                  <w:jc w:val="both"/>
                  <w:rPr>
                    <w:iCs/>
                    <w:sz w:val="20"/>
                    <w:szCs w:val="24"/>
                  </w:rPr>
                </w:pPr>
                <w:r>
                  <w:rPr>
                    <w:iCs/>
                    <w:sz w:val="20"/>
                    <w:szCs w:val="24"/>
                  </w:rPr>
                  <w:t>-</w:t>
                </w:r>
              </w:p>
            </w:tc>
            <w:tc>
              <w:tcPr>
                <w:tcW w:w="870" w:type="dxa"/>
              </w:tcPr>
              <w:p>
                <w:pPr>
                  <w:jc w:val="both"/>
                  <w:rPr>
                    <w:iCs/>
                    <w:sz w:val="20"/>
                    <w:szCs w:val="24"/>
                  </w:rPr>
                </w:pPr>
                <w:r>
                  <w:rPr>
                    <w:iCs/>
                    <w:sz w:val="20"/>
                    <w:szCs w:val="24"/>
                  </w:rPr>
                  <w:t>-</w:t>
                </w:r>
              </w:p>
            </w:tc>
            <w:tc>
              <w:tcPr>
                <w:tcW w:w="870" w:type="dxa"/>
              </w:tcPr>
              <w:p>
                <w:pPr>
                  <w:jc w:val="both"/>
                  <w:rPr>
                    <w:iCs/>
                    <w:sz w:val="20"/>
                    <w:szCs w:val="24"/>
                  </w:rPr>
                </w:pPr>
                <w:r>
                  <w:rPr>
                    <w:iCs/>
                    <w:sz w:val="20"/>
                    <w:szCs w:val="24"/>
                  </w:rPr>
                  <w:t>-</w:t>
                </w:r>
              </w:p>
            </w:tc>
            <w:tc>
              <w:tcPr>
                <w:tcW w:w="871" w:type="dxa"/>
              </w:tcPr>
              <w:p>
                <w:pPr>
                  <w:jc w:val="both"/>
                  <w:rPr>
                    <w:iCs/>
                    <w:sz w:val="20"/>
                    <w:szCs w:val="24"/>
                  </w:rPr>
                </w:pPr>
                <w:r>
                  <w:rPr>
                    <w:iCs/>
                    <w:sz w:val="20"/>
                    <w:szCs w:val="24"/>
                  </w:rPr>
                  <w:t>-</w:t>
                </w:r>
              </w:p>
            </w:tc>
            <w:tc>
              <w:tcPr>
                <w:tcW w:w="1666" w:type="dxa"/>
              </w:tcPr>
              <w:p>
                <w:pPr>
                  <w:rPr>
                    <w:rFonts w:eastAsia="Calibri"/>
                    <w:sz w:val="20"/>
                    <w:szCs w:val="24"/>
                  </w:rPr>
                </w:pPr>
                <w:r>
                  <w:rPr>
                    <w:rFonts w:eastAsia="Calibri"/>
                    <w:sz w:val="20"/>
                    <w:szCs w:val="24"/>
                  </w:rPr>
                  <w:t>ŽT biudžeto lėšos</w:t>
                </w:r>
              </w:p>
              <w:p>
                <w:pPr>
                  <w:rPr>
                    <w:rFonts w:eastAsia="Calibri"/>
                    <w:sz w:val="20"/>
                    <w:szCs w:val="24"/>
                  </w:rPr>
                </w:pPr>
                <w:r>
                  <w:rPr>
                    <w:rFonts w:eastAsia="Calibri"/>
                    <w:sz w:val="20"/>
                    <w:szCs w:val="24"/>
                  </w:rPr>
                  <w:t xml:space="preserve">ES finansinės paramos lėšos </w:t>
                </w:r>
              </w:p>
            </w:tc>
            <w:tc>
              <w:tcPr>
                <w:tcW w:w="1363" w:type="dxa"/>
              </w:tcPr>
              <w:p>
                <w:pPr>
                  <w:rPr>
                    <w:rFonts w:eastAsia="Calibri"/>
                    <w:sz w:val="20"/>
                    <w:szCs w:val="24"/>
                  </w:rPr>
                </w:pPr>
                <w:r>
                  <w:rPr>
                    <w:rFonts w:eastAsia="Calibri"/>
                    <w:sz w:val="20"/>
                    <w:szCs w:val="24"/>
                  </w:rPr>
                  <w:t>ŽT</w:t>
                </w:r>
              </w:p>
              <w:p>
                <w:pPr>
                  <w:rPr>
                    <w:rFonts w:eastAsia="Calibri"/>
                    <w:sz w:val="20"/>
                    <w:szCs w:val="24"/>
                  </w:rPr>
                </w:pPr>
              </w:p>
            </w:tc>
          </w:tr>
          <w:tr>
            <w:trPr>
              <w:cantSplit/>
              <w:trHeight w:val="20"/>
            </w:trPr>
            <w:tc>
              <w:tcPr>
                <w:tcW w:w="601" w:type="dxa"/>
              </w:tcPr>
              <w:p>
                <w:pPr>
                  <w:jc w:val="both"/>
                  <w:rPr>
                    <w:iCs/>
                    <w:sz w:val="20"/>
                    <w:szCs w:val="24"/>
                  </w:rPr>
                </w:pPr>
                <w:r>
                  <w:rPr>
                    <w:iCs/>
                    <w:sz w:val="20"/>
                    <w:szCs w:val="24"/>
                  </w:rPr>
                  <w:t xml:space="preserve">4. </w:t>
                </w:r>
              </w:p>
            </w:tc>
            <w:tc>
              <w:tcPr>
                <w:tcW w:w="3079" w:type="dxa"/>
              </w:tcPr>
              <w:p>
                <w:pPr>
                  <w:rPr>
                    <w:iCs/>
                    <w:sz w:val="20"/>
                    <w:szCs w:val="24"/>
                  </w:rPr>
                </w:pPr>
                <w:r>
                  <w:rPr>
                    <w:iCs/>
                    <w:sz w:val="20"/>
                    <w:szCs w:val="24"/>
                  </w:rPr>
                  <w:t>Ikrų įsigijimas (tūkst. vnt./tūkst. Eur)</w:t>
                </w:r>
              </w:p>
            </w:tc>
            <w:tc>
              <w:tcPr>
                <w:tcW w:w="972" w:type="dxa"/>
              </w:tcPr>
              <w:p>
                <w:pPr>
                  <w:rPr>
                    <w:iCs/>
                    <w:sz w:val="20"/>
                    <w:szCs w:val="24"/>
                  </w:rPr>
                </w:pPr>
                <w:r>
                  <w:rPr>
                    <w:iCs/>
                    <w:sz w:val="20"/>
                    <w:szCs w:val="24"/>
                  </w:rPr>
                  <w:t>7/1,01</w:t>
                </w:r>
              </w:p>
            </w:tc>
            <w:tc>
              <w:tcPr>
                <w:tcW w:w="972" w:type="dxa"/>
              </w:tcPr>
              <w:p>
                <w:pPr>
                  <w:jc w:val="both"/>
                  <w:rPr>
                    <w:iCs/>
                    <w:sz w:val="20"/>
                    <w:szCs w:val="24"/>
                  </w:rPr>
                </w:pPr>
                <w:r>
                  <w:rPr>
                    <w:iCs/>
                    <w:sz w:val="20"/>
                    <w:szCs w:val="24"/>
                  </w:rPr>
                  <w:t>7/1,01</w:t>
                </w:r>
              </w:p>
            </w:tc>
            <w:tc>
              <w:tcPr>
                <w:tcW w:w="972" w:type="dxa"/>
              </w:tcPr>
              <w:p>
                <w:pPr>
                  <w:jc w:val="both"/>
                  <w:rPr>
                    <w:iCs/>
                    <w:sz w:val="20"/>
                    <w:szCs w:val="24"/>
                  </w:rPr>
                </w:pPr>
                <w:r>
                  <w:rPr>
                    <w:iCs/>
                    <w:sz w:val="20"/>
                    <w:szCs w:val="24"/>
                  </w:rPr>
                  <w:t>14/1,88</w:t>
                </w:r>
              </w:p>
            </w:tc>
            <w:tc>
              <w:tcPr>
                <w:tcW w:w="972" w:type="dxa"/>
              </w:tcPr>
              <w:p>
                <w:pPr>
                  <w:jc w:val="both"/>
                  <w:rPr>
                    <w:iCs/>
                    <w:sz w:val="20"/>
                    <w:szCs w:val="24"/>
                  </w:rPr>
                </w:pPr>
                <w:r>
                  <w:rPr>
                    <w:iCs/>
                    <w:sz w:val="20"/>
                    <w:szCs w:val="24"/>
                  </w:rPr>
                  <w:t>14/1,88</w:t>
                </w:r>
              </w:p>
            </w:tc>
            <w:tc>
              <w:tcPr>
                <w:tcW w:w="972" w:type="dxa"/>
              </w:tcPr>
              <w:p>
                <w:pPr>
                  <w:jc w:val="both"/>
                  <w:rPr>
                    <w:iCs/>
                    <w:sz w:val="20"/>
                    <w:szCs w:val="24"/>
                  </w:rPr>
                </w:pPr>
                <w:r>
                  <w:rPr>
                    <w:iCs/>
                    <w:sz w:val="20"/>
                    <w:szCs w:val="24"/>
                  </w:rPr>
                  <w:t>14/1,88</w:t>
                </w:r>
              </w:p>
            </w:tc>
            <w:tc>
              <w:tcPr>
                <w:tcW w:w="972" w:type="dxa"/>
              </w:tcPr>
              <w:p>
                <w:pPr>
                  <w:jc w:val="both"/>
                  <w:rPr>
                    <w:iCs/>
                    <w:sz w:val="20"/>
                    <w:szCs w:val="24"/>
                  </w:rPr>
                </w:pPr>
                <w:r>
                  <w:rPr>
                    <w:iCs/>
                    <w:sz w:val="20"/>
                    <w:szCs w:val="24"/>
                  </w:rPr>
                  <w:t>14/1,88</w:t>
                </w:r>
              </w:p>
            </w:tc>
            <w:tc>
              <w:tcPr>
                <w:tcW w:w="870" w:type="dxa"/>
              </w:tcPr>
              <w:p>
                <w:pPr>
                  <w:jc w:val="both"/>
                  <w:rPr>
                    <w:iCs/>
                    <w:sz w:val="20"/>
                    <w:szCs w:val="24"/>
                  </w:rPr>
                </w:pPr>
                <w:r>
                  <w:rPr>
                    <w:iCs/>
                    <w:sz w:val="20"/>
                    <w:szCs w:val="24"/>
                  </w:rPr>
                  <w:t>-</w:t>
                </w:r>
              </w:p>
            </w:tc>
            <w:tc>
              <w:tcPr>
                <w:tcW w:w="870" w:type="dxa"/>
              </w:tcPr>
              <w:p>
                <w:pPr>
                  <w:jc w:val="both"/>
                  <w:rPr>
                    <w:iCs/>
                    <w:sz w:val="20"/>
                    <w:szCs w:val="24"/>
                  </w:rPr>
                </w:pPr>
                <w:r>
                  <w:rPr>
                    <w:iCs/>
                    <w:sz w:val="20"/>
                    <w:szCs w:val="24"/>
                  </w:rPr>
                  <w:t>-</w:t>
                </w:r>
              </w:p>
            </w:tc>
            <w:tc>
              <w:tcPr>
                <w:tcW w:w="871" w:type="dxa"/>
              </w:tcPr>
              <w:p>
                <w:pPr>
                  <w:jc w:val="both"/>
                  <w:rPr>
                    <w:iCs/>
                    <w:sz w:val="20"/>
                    <w:szCs w:val="24"/>
                  </w:rPr>
                </w:pPr>
                <w:r>
                  <w:rPr>
                    <w:iCs/>
                    <w:sz w:val="20"/>
                    <w:szCs w:val="24"/>
                  </w:rPr>
                  <w:t>-</w:t>
                </w:r>
              </w:p>
            </w:tc>
            <w:tc>
              <w:tcPr>
                <w:tcW w:w="1666" w:type="dxa"/>
              </w:tcPr>
              <w:p>
                <w:pPr>
                  <w:rPr>
                    <w:rFonts w:eastAsia="Calibri"/>
                    <w:sz w:val="20"/>
                    <w:szCs w:val="24"/>
                  </w:rPr>
                </w:pPr>
                <w:r>
                  <w:rPr>
                    <w:rFonts w:eastAsia="Calibri"/>
                    <w:sz w:val="20"/>
                    <w:szCs w:val="24"/>
                  </w:rPr>
                  <w:t xml:space="preserve">ŽT biudžeto lėšos </w:t>
                </w:r>
              </w:p>
              <w:p>
                <w:pPr>
                  <w:rPr>
                    <w:rFonts w:eastAsia="Calibri"/>
                    <w:sz w:val="20"/>
                    <w:szCs w:val="24"/>
                  </w:rPr>
                </w:pPr>
                <w:r>
                  <w:rPr>
                    <w:rFonts w:eastAsia="Calibri"/>
                    <w:sz w:val="20"/>
                    <w:szCs w:val="24"/>
                  </w:rPr>
                  <w:t xml:space="preserve">ES finansinės paramos lėšos </w:t>
                </w:r>
              </w:p>
            </w:tc>
            <w:tc>
              <w:tcPr>
                <w:tcW w:w="1363" w:type="dxa"/>
              </w:tcPr>
              <w:p>
                <w:pPr>
                  <w:rPr>
                    <w:rFonts w:eastAsia="Calibri"/>
                    <w:sz w:val="20"/>
                    <w:szCs w:val="24"/>
                  </w:rPr>
                </w:pPr>
                <w:r>
                  <w:rPr>
                    <w:rFonts w:eastAsia="Calibri"/>
                    <w:sz w:val="20"/>
                    <w:szCs w:val="24"/>
                  </w:rPr>
                  <w:t>ŽT</w:t>
                </w:r>
              </w:p>
            </w:tc>
          </w:tr>
          <w:tr>
            <w:trPr>
              <w:cantSplit/>
              <w:trHeight w:val="20"/>
            </w:trPr>
            <w:tc>
              <w:tcPr>
                <w:tcW w:w="601" w:type="dxa"/>
              </w:tcPr>
              <w:p>
                <w:pPr>
                  <w:jc w:val="both"/>
                  <w:rPr>
                    <w:iCs/>
                    <w:sz w:val="20"/>
                    <w:szCs w:val="24"/>
                  </w:rPr>
                </w:pPr>
                <w:r>
                  <w:rPr>
                    <w:iCs/>
                    <w:sz w:val="20"/>
                    <w:szCs w:val="24"/>
                  </w:rPr>
                  <w:t>5.</w:t>
                </w:r>
              </w:p>
            </w:tc>
            <w:tc>
              <w:tcPr>
                <w:tcW w:w="3079" w:type="dxa"/>
              </w:tcPr>
              <w:p>
                <w:pPr>
                  <w:rPr>
                    <w:iCs/>
                    <w:sz w:val="20"/>
                    <w:szCs w:val="24"/>
                  </w:rPr>
                </w:pPr>
                <w:r>
                  <w:rPr>
                    <w:iCs/>
                    <w:sz w:val="20"/>
                    <w:szCs w:val="24"/>
                  </w:rPr>
                  <w:t>Ikrų inkubavimas</w:t>
                </w:r>
              </w:p>
            </w:tc>
            <w:tc>
              <w:tcPr>
                <w:tcW w:w="972" w:type="dxa"/>
              </w:tcPr>
              <w:p>
                <w:pPr>
                  <w:rPr>
                    <w:iCs/>
                    <w:sz w:val="20"/>
                    <w:szCs w:val="24"/>
                  </w:rPr>
                </w:pPr>
                <w:r>
                  <w:rPr>
                    <w:iCs/>
                    <w:sz w:val="20"/>
                    <w:szCs w:val="24"/>
                  </w:rPr>
                  <w:t>1,45</w:t>
                </w:r>
              </w:p>
            </w:tc>
            <w:tc>
              <w:tcPr>
                <w:tcW w:w="972" w:type="dxa"/>
              </w:tcPr>
              <w:p>
                <w:pPr>
                  <w:jc w:val="both"/>
                  <w:rPr>
                    <w:iCs/>
                    <w:sz w:val="20"/>
                    <w:szCs w:val="24"/>
                  </w:rPr>
                </w:pPr>
                <w:r>
                  <w:rPr>
                    <w:iCs/>
                    <w:sz w:val="20"/>
                    <w:szCs w:val="24"/>
                  </w:rPr>
                  <w:t>1,45</w:t>
                </w:r>
              </w:p>
            </w:tc>
            <w:tc>
              <w:tcPr>
                <w:tcW w:w="972" w:type="dxa"/>
              </w:tcPr>
              <w:p>
                <w:pPr>
                  <w:jc w:val="both"/>
                  <w:rPr>
                    <w:iCs/>
                    <w:sz w:val="20"/>
                    <w:szCs w:val="24"/>
                  </w:rPr>
                </w:pPr>
                <w:r>
                  <w:rPr>
                    <w:iCs/>
                    <w:sz w:val="20"/>
                    <w:szCs w:val="24"/>
                  </w:rPr>
                  <w:t>1,45</w:t>
                </w:r>
              </w:p>
            </w:tc>
            <w:tc>
              <w:tcPr>
                <w:tcW w:w="972" w:type="dxa"/>
              </w:tcPr>
              <w:p>
                <w:pPr>
                  <w:jc w:val="both"/>
                  <w:rPr>
                    <w:iCs/>
                    <w:sz w:val="20"/>
                    <w:szCs w:val="24"/>
                  </w:rPr>
                </w:pPr>
                <w:r>
                  <w:rPr>
                    <w:iCs/>
                    <w:sz w:val="20"/>
                    <w:szCs w:val="24"/>
                  </w:rPr>
                  <w:t>1,45</w:t>
                </w:r>
              </w:p>
            </w:tc>
            <w:tc>
              <w:tcPr>
                <w:tcW w:w="972" w:type="dxa"/>
              </w:tcPr>
              <w:p>
                <w:pPr>
                  <w:jc w:val="both"/>
                  <w:rPr>
                    <w:iCs/>
                    <w:sz w:val="20"/>
                    <w:szCs w:val="24"/>
                  </w:rPr>
                </w:pPr>
                <w:r>
                  <w:rPr>
                    <w:iCs/>
                    <w:sz w:val="20"/>
                    <w:szCs w:val="24"/>
                  </w:rPr>
                  <w:t>1,45</w:t>
                </w:r>
              </w:p>
            </w:tc>
            <w:tc>
              <w:tcPr>
                <w:tcW w:w="972" w:type="dxa"/>
              </w:tcPr>
              <w:p>
                <w:pPr>
                  <w:jc w:val="both"/>
                  <w:rPr>
                    <w:iCs/>
                    <w:sz w:val="20"/>
                    <w:szCs w:val="24"/>
                  </w:rPr>
                </w:pPr>
                <w:r>
                  <w:rPr>
                    <w:iCs/>
                    <w:sz w:val="20"/>
                    <w:szCs w:val="24"/>
                  </w:rPr>
                  <w:t>1,45</w:t>
                </w:r>
              </w:p>
            </w:tc>
            <w:tc>
              <w:tcPr>
                <w:tcW w:w="870" w:type="dxa"/>
              </w:tcPr>
              <w:p>
                <w:pPr>
                  <w:jc w:val="both"/>
                  <w:rPr>
                    <w:iCs/>
                    <w:sz w:val="20"/>
                    <w:szCs w:val="24"/>
                  </w:rPr>
                </w:pPr>
                <w:r>
                  <w:rPr>
                    <w:iCs/>
                    <w:sz w:val="20"/>
                    <w:szCs w:val="24"/>
                  </w:rPr>
                  <w:t>1,74</w:t>
                </w:r>
              </w:p>
            </w:tc>
            <w:tc>
              <w:tcPr>
                <w:tcW w:w="870" w:type="dxa"/>
              </w:tcPr>
              <w:p>
                <w:pPr>
                  <w:jc w:val="both"/>
                  <w:rPr>
                    <w:iCs/>
                    <w:sz w:val="20"/>
                    <w:szCs w:val="24"/>
                  </w:rPr>
                </w:pPr>
                <w:r>
                  <w:rPr>
                    <w:iCs/>
                    <w:sz w:val="20"/>
                    <w:szCs w:val="24"/>
                  </w:rPr>
                  <w:t>1,74</w:t>
                </w:r>
              </w:p>
            </w:tc>
            <w:tc>
              <w:tcPr>
                <w:tcW w:w="871" w:type="dxa"/>
              </w:tcPr>
              <w:p>
                <w:pPr>
                  <w:jc w:val="both"/>
                  <w:rPr>
                    <w:iCs/>
                    <w:sz w:val="20"/>
                    <w:szCs w:val="24"/>
                  </w:rPr>
                </w:pPr>
                <w:r>
                  <w:rPr>
                    <w:iCs/>
                    <w:sz w:val="20"/>
                    <w:szCs w:val="24"/>
                  </w:rPr>
                  <w:t>1,74</w:t>
                </w:r>
              </w:p>
            </w:tc>
            <w:tc>
              <w:tcPr>
                <w:tcW w:w="1666" w:type="dxa"/>
              </w:tcPr>
              <w:p>
                <w:pPr>
                  <w:rPr>
                    <w:rFonts w:eastAsia="Calibri"/>
                    <w:sz w:val="20"/>
                    <w:szCs w:val="24"/>
                  </w:rPr>
                </w:pPr>
                <w:r>
                  <w:rPr>
                    <w:rFonts w:eastAsia="Calibri"/>
                    <w:sz w:val="20"/>
                    <w:szCs w:val="24"/>
                  </w:rPr>
                  <w:t>ŽT biudžeto lėšos</w:t>
                </w:r>
              </w:p>
              <w:p>
                <w:pPr>
                  <w:rPr>
                    <w:rFonts w:eastAsia="Calibri"/>
                    <w:sz w:val="20"/>
                    <w:szCs w:val="24"/>
                  </w:rPr>
                </w:pPr>
                <w:r>
                  <w:rPr>
                    <w:rFonts w:eastAsia="Calibri"/>
                    <w:sz w:val="20"/>
                    <w:szCs w:val="24"/>
                  </w:rPr>
                  <w:t>ES finansinės paramos lėšos</w:t>
                </w:r>
              </w:p>
            </w:tc>
            <w:tc>
              <w:tcPr>
                <w:tcW w:w="1363" w:type="dxa"/>
              </w:tcPr>
              <w:p>
                <w:pPr>
                  <w:rPr>
                    <w:rFonts w:eastAsia="Calibri"/>
                    <w:sz w:val="20"/>
                    <w:szCs w:val="24"/>
                  </w:rPr>
                </w:pPr>
                <w:r>
                  <w:rPr>
                    <w:rFonts w:eastAsia="Calibri"/>
                    <w:sz w:val="20"/>
                    <w:szCs w:val="24"/>
                  </w:rPr>
                  <w:t>ŽT</w:t>
                </w:r>
              </w:p>
              <w:p>
                <w:pPr>
                  <w:rPr>
                    <w:rFonts w:eastAsia="Calibri"/>
                    <w:sz w:val="20"/>
                    <w:szCs w:val="24"/>
                  </w:rPr>
                </w:pPr>
              </w:p>
            </w:tc>
          </w:tr>
          <w:tr>
            <w:trPr>
              <w:cantSplit/>
              <w:trHeight w:val="20"/>
            </w:trPr>
            <w:tc>
              <w:tcPr>
                <w:tcW w:w="601" w:type="dxa"/>
              </w:tcPr>
              <w:p>
                <w:pPr>
                  <w:jc w:val="both"/>
                  <w:rPr>
                    <w:iCs/>
                    <w:sz w:val="20"/>
                    <w:szCs w:val="24"/>
                  </w:rPr>
                </w:pPr>
                <w:r>
                  <w:rPr>
                    <w:iCs/>
                    <w:sz w:val="20"/>
                    <w:szCs w:val="24"/>
                  </w:rPr>
                  <w:t>6.</w:t>
                </w:r>
              </w:p>
            </w:tc>
            <w:tc>
              <w:tcPr>
                <w:tcW w:w="3079" w:type="dxa"/>
              </w:tcPr>
              <w:p>
                <w:pPr>
                  <w:rPr>
                    <w:iCs/>
                    <w:spacing w:val="-6"/>
                    <w:sz w:val="20"/>
                    <w:szCs w:val="24"/>
                  </w:rPr>
                </w:pPr>
                <w:r>
                  <w:rPr>
                    <w:iCs/>
                    <w:spacing w:val="-6"/>
                    <w:sz w:val="20"/>
                    <w:szCs w:val="24"/>
                  </w:rPr>
                  <w:t>Jauniklių įsigijimas (tūkst. vnt./tūkst. Eur)</w:t>
                </w:r>
              </w:p>
            </w:tc>
            <w:tc>
              <w:tcPr>
                <w:tcW w:w="972" w:type="dxa"/>
              </w:tcPr>
              <w:p>
                <w:pPr>
                  <w:rPr>
                    <w:iCs/>
                    <w:sz w:val="20"/>
                    <w:szCs w:val="24"/>
                  </w:rPr>
                </w:pPr>
                <w:r>
                  <w:rPr>
                    <w:iCs/>
                    <w:sz w:val="20"/>
                    <w:szCs w:val="24"/>
                  </w:rPr>
                  <w:t>3/1,16</w:t>
                </w:r>
              </w:p>
            </w:tc>
            <w:tc>
              <w:tcPr>
                <w:tcW w:w="972" w:type="dxa"/>
              </w:tcPr>
              <w:p>
                <w:pPr>
                  <w:jc w:val="both"/>
                  <w:rPr>
                    <w:iCs/>
                    <w:sz w:val="20"/>
                    <w:szCs w:val="24"/>
                  </w:rPr>
                </w:pPr>
                <w:r>
                  <w:rPr>
                    <w:iCs/>
                    <w:sz w:val="20"/>
                    <w:szCs w:val="24"/>
                  </w:rPr>
                  <w:t>3/1,16</w:t>
                </w:r>
              </w:p>
            </w:tc>
            <w:tc>
              <w:tcPr>
                <w:tcW w:w="972" w:type="dxa"/>
              </w:tcPr>
              <w:p>
                <w:pPr>
                  <w:jc w:val="both"/>
                  <w:rPr>
                    <w:iCs/>
                    <w:sz w:val="20"/>
                    <w:szCs w:val="24"/>
                  </w:rPr>
                </w:pPr>
                <w:r>
                  <w:rPr>
                    <w:iCs/>
                    <w:sz w:val="20"/>
                    <w:szCs w:val="24"/>
                  </w:rPr>
                  <w:t>3/1,16</w:t>
                </w:r>
              </w:p>
            </w:tc>
            <w:tc>
              <w:tcPr>
                <w:tcW w:w="972" w:type="dxa"/>
              </w:tcPr>
              <w:p>
                <w:pPr>
                  <w:jc w:val="both"/>
                  <w:rPr>
                    <w:iCs/>
                    <w:sz w:val="20"/>
                    <w:szCs w:val="24"/>
                  </w:rPr>
                </w:pPr>
                <w:r>
                  <w:rPr>
                    <w:iCs/>
                    <w:sz w:val="20"/>
                    <w:szCs w:val="24"/>
                  </w:rPr>
                  <w:t>2/0,87</w:t>
                </w:r>
              </w:p>
            </w:tc>
            <w:tc>
              <w:tcPr>
                <w:tcW w:w="972" w:type="dxa"/>
              </w:tcPr>
              <w:p>
                <w:pPr>
                  <w:jc w:val="both"/>
                  <w:rPr>
                    <w:iCs/>
                    <w:sz w:val="20"/>
                    <w:szCs w:val="24"/>
                  </w:rPr>
                </w:pPr>
                <w:r>
                  <w:rPr>
                    <w:iCs/>
                    <w:sz w:val="20"/>
                    <w:szCs w:val="24"/>
                  </w:rPr>
                  <w:t>2/0,87</w:t>
                </w:r>
              </w:p>
            </w:tc>
            <w:tc>
              <w:tcPr>
                <w:tcW w:w="972" w:type="dxa"/>
              </w:tcPr>
              <w:p>
                <w:pPr>
                  <w:jc w:val="both"/>
                  <w:rPr>
                    <w:iCs/>
                    <w:sz w:val="20"/>
                    <w:szCs w:val="24"/>
                  </w:rPr>
                </w:pPr>
                <w:r>
                  <w:rPr>
                    <w:iCs/>
                    <w:sz w:val="20"/>
                    <w:szCs w:val="24"/>
                  </w:rPr>
                  <w:t>2/0,87</w:t>
                </w:r>
              </w:p>
            </w:tc>
            <w:tc>
              <w:tcPr>
                <w:tcW w:w="870" w:type="dxa"/>
              </w:tcPr>
              <w:p>
                <w:pPr>
                  <w:jc w:val="both"/>
                  <w:rPr>
                    <w:iCs/>
                    <w:sz w:val="20"/>
                    <w:szCs w:val="24"/>
                  </w:rPr>
                </w:pPr>
                <w:r>
                  <w:rPr>
                    <w:iCs/>
                    <w:sz w:val="20"/>
                    <w:szCs w:val="24"/>
                  </w:rPr>
                  <w:t>-</w:t>
                </w:r>
              </w:p>
            </w:tc>
            <w:tc>
              <w:tcPr>
                <w:tcW w:w="870" w:type="dxa"/>
              </w:tcPr>
              <w:p>
                <w:pPr>
                  <w:jc w:val="both"/>
                  <w:rPr>
                    <w:iCs/>
                    <w:sz w:val="20"/>
                    <w:szCs w:val="24"/>
                  </w:rPr>
                </w:pPr>
                <w:r>
                  <w:rPr>
                    <w:iCs/>
                    <w:sz w:val="20"/>
                    <w:szCs w:val="24"/>
                  </w:rPr>
                  <w:t>-</w:t>
                </w:r>
              </w:p>
            </w:tc>
            <w:tc>
              <w:tcPr>
                <w:tcW w:w="871" w:type="dxa"/>
              </w:tcPr>
              <w:p>
                <w:pPr>
                  <w:jc w:val="both"/>
                  <w:rPr>
                    <w:iCs/>
                    <w:sz w:val="20"/>
                    <w:szCs w:val="24"/>
                  </w:rPr>
                </w:pPr>
                <w:r>
                  <w:rPr>
                    <w:iCs/>
                    <w:sz w:val="20"/>
                    <w:szCs w:val="24"/>
                  </w:rPr>
                  <w:t>-</w:t>
                </w:r>
              </w:p>
            </w:tc>
            <w:tc>
              <w:tcPr>
                <w:tcW w:w="1666" w:type="dxa"/>
              </w:tcPr>
              <w:p>
                <w:pPr>
                  <w:rPr>
                    <w:rFonts w:eastAsia="Calibri"/>
                    <w:sz w:val="20"/>
                    <w:szCs w:val="24"/>
                  </w:rPr>
                </w:pPr>
                <w:r>
                  <w:rPr>
                    <w:rFonts w:eastAsia="Calibri"/>
                    <w:sz w:val="20"/>
                    <w:szCs w:val="24"/>
                  </w:rPr>
                  <w:t>ŽT biudžeto lėšos</w:t>
                </w:r>
              </w:p>
            </w:tc>
            <w:tc>
              <w:tcPr>
                <w:tcW w:w="1363" w:type="dxa"/>
              </w:tcPr>
              <w:p>
                <w:pPr>
                  <w:rPr>
                    <w:rFonts w:eastAsia="Calibri"/>
                    <w:sz w:val="20"/>
                    <w:szCs w:val="24"/>
                  </w:rPr>
                </w:pPr>
                <w:r>
                  <w:rPr>
                    <w:rFonts w:eastAsia="Calibri"/>
                    <w:sz w:val="20"/>
                    <w:szCs w:val="24"/>
                  </w:rPr>
                  <w:t>ŽT</w:t>
                </w:r>
              </w:p>
              <w:p>
                <w:pPr>
                  <w:rPr>
                    <w:rFonts w:eastAsia="Calibri"/>
                    <w:sz w:val="20"/>
                    <w:szCs w:val="24"/>
                  </w:rPr>
                </w:pPr>
              </w:p>
            </w:tc>
          </w:tr>
          <w:tr>
            <w:trPr>
              <w:cantSplit/>
              <w:trHeight w:val="20"/>
            </w:trPr>
            <w:tc>
              <w:tcPr>
                <w:tcW w:w="601" w:type="dxa"/>
              </w:tcPr>
              <w:p>
                <w:pPr>
                  <w:jc w:val="both"/>
                  <w:rPr>
                    <w:iCs/>
                    <w:sz w:val="20"/>
                    <w:szCs w:val="24"/>
                  </w:rPr>
                </w:pPr>
                <w:r>
                  <w:rPr>
                    <w:iCs/>
                    <w:sz w:val="20"/>
                    <w:szCs w:val="24"/>
                  </w:rPr>
                  <w:t>7.</w:t>
                </w:r>
              </w:p>
            </w:tc>
            <w:tc>
              <w:tcPr>
                <w:tcW w:w="3079" w:type="dxa"/>
              </w:tcPr>
              <w:p>
                <w:pPr>
                  <w:rPr>
                    <w:iCs/>
                    <w:sz w:val="20"/>
                    <w:szCs w:val="24"/>
                  </w:rPr>
                </w:pPr>
                <w:r>
                  <w:rPr>
                    <w:iCs/>
                    <w:sz w:val="20"/>
                    <w:szCs w:val="24"/>
                  </w:rPr>
                  <w:t xml:space="preserve">Jauniklių auginimas ir priežiūra </w:t>
                </w:r>
              </w:p>
            </w:tc>
            <w:tc>
              <w:tcPr>
                <w:tcW w:w="972" w:type="dxa"/>
              </w:tcPr>
              <w:p>
                <w:pPr>
                  <w:rPr>
                    <w:iCs/>
                    <w:sz w:val="20"/>
                    <w:szCs w:val="24"/>
                  </w:rPr>
                </w:pPr>
                <w:r>
                  <w:rPr>
                    <w:iCs/>
                    <w:sz w:val="20"/>
                    <w:szCs w:val="24"/>
                  </w:rPr>
                  <w:t>3,19</w:t>
                </w:r>
              </w:p>
            </w:tc>
            <w:tc>
              <w:tcPr>
                <w:tcW w:w="972" w:type="dxa"/>
              </w:tcPr>
              <w:p>
                <w:pPr>
                  <w:jc w:val="both"/>
                  <w:rPr>
                    <w:iCs/>
                    <w:sz w:val="20"/>
                    <w:szCs w:val="24"/>
                  </w:rPr>
                </w:pPr>
                <w:r>
                  <w:rPr>
                    <w:iCs/>
                    <w:sz w:val="20"/>
                    <w:szCs w:val="24"/>
                  </w:rPr>
                  <w:t>3,19</w:t>
                </w:r>
              </w:p>
            </w:tc>
            <w:tc>
              <w:tcPr>
                <w:tcW w:w="972" w:type="dxa"/>
              </w:tcPr>
              <w:p>
                <w:pPr>
                  <w:jc w:val="both"/>
                  <w:rPr>
                    <w:iCs/>
                    <w:sz w:val="20"/>
                    <w:szCs w:val="24"/>
                  </w:rPr>
                </w:pPr>
                <w:r>
                  <w:rPr>
                    <w:iCs/>
                    <w:sz w:val="20"/>
                    <w:szCs w:val="24"/>
                  </w:rPr>
                  <w:t>3,19</w:t>
                </w:r>
              </w:p>
            </w:tc>
            <w:tc>
              <w:tcPr>
                <w:tcW w:w="972" w:type="dxa"/>
              </w:tcPr>
              <w:p>
                <w:pPr>
                  <w:jc w:val="both"/>
                  <w:rPr>
                    <w:iCs/>
                    <w:sz w:val="20"/>
                    <w:szCs w:val="24"/>
                  </w:rPr>
                </w:pPr>
                <w:r>
                  <w:rPr>
                    <w:iCs/>
                    <w:sz w:val="20"/>
                    <w:szCs w:val="24"/>
                  </w:rPr>
                  <w:t>3,19</w:t>
                </w:r>
              </w:p>
            </w:tc>
            <w:tc>
              <w:tcPr>
                <w:tcW w:w="972" w:type="dxa"/>
              </w:tcPr>
              <w:p>
                <w:pPr>
                  <w:jc w:val="both"/>
                  <w:rPr>
                    <w:iCs/>
                    <w:sz w:val="20"/>
                    <w:szCs w:val="24"/>
                  </w:rPr>
                </w:pPr>
                <w:r>
                  <w:rPr>
                    <w:iCs/>
                    <w:sz w:val="20"/>
                    <w:szCs w:val="24"/>
                  </w:rPr>
                  <w:t>3,19</w:t>
                </w:r>
              </w:p>
            </w:tc>
            <w:tc>
              <w:tcPr>
                <w:tcW w:w="972" w:type="dxa"/>
              </w:tcPr>
              <w:p>
                <w:pPr>
                  <w:jc w:val="both"/>
                  <w:rPr>
                    <w:iCs/>
                    <w:sz w:val="20"/>
                    <w:szCs w:val="24"/>
                  </w:rPr>
                </w:pPr>
                <w:r>
                  <w:rPr>
                    <w:iCs/>
                    <w:sz w:val="20"/>
                    <w:szCs w:val="24"/>
                  </w:rPr>
                  <w:t>3,19</w:t>
                </w:r>
              </w:p>
            </w:tc>
            <w:tc>
              <w:tcPr>
                <w:tcW w:w="870" w:type="dxa"/>
              </w:tcPr>
              <w:p>
                <w:pPr>
                  <w:jc w:val="both"/>
                  <w:rPr>
                    <w:iCs/>
                    <w:sz w:val="20"/>
                    <w:szCs w:val="24"/>
                  </w:rPr>
                </w:pPr>
                <w:r>
                  <w:rPr>
                    <w:iCs/>
                    <w:sz w:val="20"/>
                    <w:szCs w:val="24"/>
                  </w:rPr>
                  <w:t>3,48</w:t>
                </w:r>
              </w:p>
            </w:tc>
            <w:tc>
              <w:tcPr>
                <w:tcW w:w="870" w:type="dxa"/>
              </w:tcPr>
              <w:p>
                <w:pPr>
                  <w:jc w:val="both"/>
                  <w:rPr>
                    <w:iCs/>
                    <w:sz w:val="20"/>
                    <w:szCs w:val="24"/>
                  </w:rPr>
                </w:pPr>
                <w:r>
                  <w:rPr>
                    <w:iCs/>
                    <w:sz w:val="20"/>
                    <w:szCs w:val="24"/>
                  </w:rPr>
                  <w:t>3,48</w:t>
                </w:r>
              </w:p>
            </w:tc>
            <w:tc>
              <w:tcPr>
                <w:tcW w:w="871" w:type="dxa"/>
              </w:tcPr>
              <w:p>
                <w:pPr>
                  <w:jc w:val="both"/>
                  <w:rPr>
                    <w:iCs/>
                    <w:sz w:val="20"/>
                    <w:szCs w:val="24"/>
                  </w:rPr>
                </w:pPr>
                <w:r>
                  <w:rPr>
                    <w:iCs/>
                    <w:sz w:val="20"/>
                    <w:szCs w:val="24"/>
                  </w:rPr>
                  <w:t>3,48</w:t>
                </w:r>
              </w:p>
            </w:tc>
            <w:tc>
              <w:tcPr>
                <w:tcW w:w="1666" w:type="dxa"/>
              </w:tcPr>
              <w:p>
                <w:pPr>
                  <w:rPr>
                    <w:rFonts w:eastAsia="Calibri"/>
                    <w:sz w:val="20"/>
                    <w:szCs w:val="24"/>
                  </w:rPr>
                </w:pPr>
                <w:r>
                  <w:rPr>
                    <w:rFonts w:eastAsia="Calibri"/>
                    <w:sz w:val="20"/>
                    <w:szCs w:val="24"/>
                  </w:rPr>
                  <w:t>ŽT biudžeto lėšos</w:t>
                </w:r>
              </w:p>
              <w:p>
                <w:pPr>
                  <w:rPr>
                    <w:rFonts w:eastAsia="Calibri"/>
                    <w:sz w:val="20"/>
                    <w:szCs w:val="24"/>
                  </w:rPr>
                </w:pPr>
                <w:r>
                  <w:rPr>
                    <w:rFonts w:eastAsia="Calibri"/>
                    <w:sz w:val="20"/>
                    <w:szCs w:val="24"/>
                  </w:rPr>
                  <w:t>ES finansinės paramos lėšos</w:t>
                </w:r>
              </w:p>
            </w:tc>
            <w:tc>
              <w:tcPr>
                <w:tcW w:w="1363" w:type="dxa"/>
              </w:tcPr>
              <w:p>
                <w:pPr>
                  <w:rPr>
                    <w:rFonts w:eastAsia="Calibri"/>
                    <w:sz w:val="20"/>
                    <w:szCs w:val="24"/>
                  </w:rPr>
                </w:pPr>
                <w:r>
                  <w:rPr>
                    <w:rFonts w:eastAsia="Calibri"/>
                    <w:sz w:val="20"/>
                    <w:szCs w:val="24"/>
                  </w:rPr>
                  <w:t>ŽT</w:t>
                </w:r>
              </w:p>
              <w:p>
                <w:pPr>
                  <w:rPr>
                    <w:rFonts w:eastAsia="Calibri"/>
                    <w:sz w:val="20"/>
                    <w:szCs w:val="24"/>
                  </w:rPr>
                </w:pPr>
              </w:p>
            </w:tc>
          </w:tr>
          <w:tr>
            <w:trPr>
              <w:cantSplit/>
              <w:trHeight w:val="20"/>
            </w:trPr>
            <w:tc>
              <w:tcPr>
                <w:tcW w:w="601" w:type="dxa"/>
              </w:tcPr>
              <w:p>
                <w:pPr>
                  <w:jc w:val="both"/>
                  <w:rPr>
                    <w:iCs/>
                    <w:sz w:val="20"/>
                    <w:szCs w:val="24"/>
                  </w:rPr>
                </w:pPr>
                <w:r>
                  <w:rPr>
                    <w:iCs/>
                    <w:sz w:val="20"/>
                    <w:szCs w:val="24"/>
                  </w:rPr>
                  <w:t>8.</w:t>
                </w:r>
              </w:p>
            </w:tc>
            <w:tc>
              <w:tcPr>
                <w:tcW w:w="3079" w:type="dxa"/>
              </w:tcPr>
              <w:p>
                <w:pPr>
                  <w:rPr>
                    <w:iCs/>
                    <w:sz w:val="20"/>
                    <w:szCs w:val="24"/>
                  </w:rPr>
                </w:pPr>
                <w:r>
                  <w:rPr>
                    <w:iCs/>
                    <w:sz w:val="20"/>
                    <w:szCs w:val="24"/>
                  </w:rPr>
                  <w:t xml:space="preserve">Pašarų įsigijimas  </w:t>
                </w:r>
              </w:p>
            </w:tc>
            <w:tc>
              <w:tcPr>
                <w:tcW w:w="972" w:type="dxa"/>
              </w:tcPr>
              <w:p>
                <w:pPr>
                  <w:rPr>
                    <w:iCs/>
                    <w:sz w:val="20"/>
                    <w:szCs w:val="24"/>
                  </w:rPr>
                </w:pPr>
                <w:r>
                  <w:rPr>
                    <w:iCs/>
                    <w:sz w:val="20"/>
                    <w:szCs w:val="24"/>
                  </w:rPr>
                  <w:t>3,19</w:t>
                </w:r>
              </w:p>
            </w:tc>
            <w:tc>
              <w:tcPr>
                <w:tcW w:w="972" w:type="dxa"/>
              </w:tcPr>
              <w:p>
                <w:pPr>
                  <w:jc w:val="both"/>
                  <w:rPr>
                    <w:iCs/>
                    <w:sz w:val="20"/>
                    <w:szCs w:val="24"/>
                  </w:rPr>
                </w:pPr>
                <w:r>
                  <w:rPr>
                    <w:iCs/>
                    <w:sz w:val="20"/>
                    <w:szCs w:val="24"/>
                  </w:rPr>
                  <w:t>3,19</w:t>
                </w:r>
              </w:p>
            </w:tc>
            <w:tc>
              <w:tcPr>
                <w:tcW w:w="972" w:type="dxa"/>
              </w:tcPr>
              <w:p>
                <w:pPr>
                  <w:jc w:val="both"/>
                  <w:rPr>
                    <w:iCs/>
                    <w:sz w:val="20"/>
                    <w:szCs w:val="24"/>
                  </w:rPr>
                </w:pPr>
                <w:r>
                  <w:rPr>
                    <w:iCs/>
                    <w:sz w:val="20"/>
                    <w:szCs w:val="24"/>
                  </w:rPr>
                  <w:t>5,07</w:t>
                </w:r>
              </w:p>
            </w:tc>
            <w:tc>
              <w:tcPr>
                <w:tcW w:w="972" w:type="dxa"/>
              </w:tcPr>
              <w:p>
                <w:pPr>
                  <w:jc w:val="both"/>
                  <w:rPr>
                    <w:iCs/>
                    <w:sz w:val="20"/>
                    <w:szCs w:val="24"/>
                  </w:rPr>
                </w:pPr>
                <w:r>
                  <w:rPr>
                    <w:iCs/>
                    <w:sz w:val="20"/>
                    <w:szCs w:val="24"/>
                  </w:rPr>
                  <w:t>4,34</w:t>
                </w:r>
              </w:p>
            </w:tc>
            <w:tc>
              <w:tcPr>
                <w:tcW w:w="972" w:type="dxa"/>
              </w:tcPr>
              <w:p>
                <w:pPr>
                  <w:jc w:val="both"/>
                  <w:rPr>
                    <w:iCs/>
                    <w:sz w:val="20"/>
                    <w:szCs w:val="24"/>
                  </w:rPr>
                </w:pPr>
                <w:r>
                  <w:rPr>
                    <w:iCs/>
                    <w:sz w:val="20"/>
                    <w:szCs w:val="24"/>
                  </w:rPr>
                  <w:t>4,34</w:t>
                </w:r>
              </w:p>
            </w:tc>
            <w:tc>
              <w:tcPr>
                <w:tcW w:w="972" w:type="dxa"/>
              </w:tcPr>
              <w:p>
                <w:pPr>
                  <w:jc w:val="both"/>
                  <w:rPr>
                    <w:iCs/>
                    <w:sz w:val="20"/>
                    <w:szCs w:val="24"/>
                  </w:rPr>
                </w:pPr>
                <w:r>
                  <w:rPr>
                    <w:iCs/>
                    <w:sz w:val="20"/>
                    <w:szCs w:val="24"/>
                  </w:rPr>
                  <w:t>4,34</w:t>
                </w:r>
              </w:p>
            </w:tc>
            <w:tc>
              <w:tcPr>
                <w:tcW w:w="870" w:type="dxa"/>
              </w:tcPr>
              <w:p>
                <w:pPr>
                  <w:jc w:val="both"/>
                  <w:rPr>
                    <w:iCs/>
                    <w:sz w:val="20"/>
                    <w:szCs w:val="24"/>
                  </w:rPr>
                </w:pPr>
                <w:r>
                  <w:rPr>
                    <w:iCs/>
                    <w:sz w:val="20"/>
                    <w:szCs w:val="24"/>
                  </w:rPr>
                  <w:t>4,34</w:t>
                </w:r>
              </w:p>
            </w:tc>
            <w:tc>
              <w:tcPr>
                <w:tcW w:w="870" w:type="dxa"/>
              </w:tcPr>
              <w:p>
                <w:pPr>
                  <w:jc w:val="both"/>
                  <w:rPr>
                    <w:iCs/>
                    <w:sz w:val="20"/>
                    <w:szCs w:val="24"/>
                  </w:rPr>
                </w:pPr>
                <w:r>
                  <w:rPr>
                    <w:iCs/>
                    <w:sz w:val="20"/>
                    <w:szCs w:val="24"/>
                  </w:rPr>
                  <w:t>5,79</w:t>
                </w:r>
              </w:p>
            </w:tc>
            <w:tc>
              <w:tcPr>
                <w:tcW w:w="871" w:type="dxa"/>
              </w:tcPr>
              <w:p>
                <w:pPr>
                  <w:jc w:val="both"/>
                  <w:rPr>
                    <w:iCs/>
                    <w:sz w:val="20"/>
                    <w:szCs w:val="24"/>
                  </w:rPr>
                </w:pPr>
                <w:r>
                  <w:rPr>
                    <w:iCs/>
                    <w:sz w:val="20"/>
                    <w:szCs w:val="24"/>
                  </w:rPr>
                  <w:t>5,79</w:t>
                </w:r>
              </w:p>
            </w:tc>
            <w:tc>
              <w:tcPr>
                <w:tcW w:w="1666" w:type="dxa"/>
              </w:tcPr>
              <w:p>
                <w:pPr>
                  <w:rPr>
                    <w:rFonts w:eastAsia="Calibri"/>
                    <w:sz w:val="20"/>
                    <w:szCs w:val="24"/>
                  </w:rPr>
                </w:pPr>
                <w:r>
                  <w:rPr>
                    <w:rFonts w:eastAsia="Calibri"/>
                    <w:sz w:val="20"/>
                    <w:szCs w:val="24"/>
                  </w:rPr>
                  <w:t>ŽT biudžeto lėšos</w:t>
                </w:r>
              </w:p>
              <w:p>
                <w:pPr>
                  <w:rPr>
                    <w:rFonts w:eastAsia="Calibri"/>
                    <w:sz w:val="20"/>
                    <w:szCs w:val="24"/>
                  </w:rPr>
                </w:pPr>
                <w:r>
                  <w:rPr>
                    <w:rFonts w:eastAsia="Calibri"/>
                    <w:sz w:val="20"/>
                    <w:szCs w:val="24"/>
                  </w:rPr>
                  <w:t>ES finansinės paramos lėšos</w:t>
                </w:r>
              </w:p>
            </w:tc>
            <w:tc>
              <w:tcPr>
                <w:tcW w:w="1363" w:type="dxa"/>
              </w:tcPr>
              <w:p>
                <w:pPr>
                  <w:rPr>
                    <w:rFonts w:eastAsia="Calibri"/>
                    <w:sz w:val="20"/>
                    <w:szCs w:val="24"/>
                  </w:rPr>
                </w:pPr>
                <w:r>
                  <w:rPr>
                    <w:rFonts w:eastAsia="Calibri"/>
                    <w:sz w:val="20"/>
                    <w:szCs w:val="24"/>
                  </w:rPr>
                  <w:t>ŽT</w:t>
                </w:r>
              </w:p>
              <w:p>
                <w:pPr>
                  <w:rPr>
                    <w:rFonts w:eastAsia="Calibri"/>
                    <w:sz w:val="20"/>
                    <w:szCs w:val="24"/>
                  </w:rPr>
                </w:pPr>
              </w:p>
            </w:tc>
          </w:tr>
          <w:tr>
            <w:trPr>
              <w:cantSplit/>
              <w:trHeight w:val="20"/>
            </w:trPr>
            <w:tc>
              <w:tcPr>
                <w:tcW w:w="601" w:type="dxa"/>
              </w:tcPr>
              <w:p>
                <w:pPr>
                  <w:jc w:val="both"/>
                  <w:rPr>
                    <w:iCs/>
                    <w:sz w:val="20"/>
                    <w:szCs w:val="24"/>
                  </w:rPr>
                </w:pPr>
                <w:r>
                  <w:rPr>
                    <w:iCs/>
                    <w:sz w:val="20"/>
                    <w:szCs w:val="24"/>
                  </w:rPr>
                  <w:t>9.</w:t>
                </w:r>
              </w:p>
            </w:tc>
            <w:tc>
              <w:tcPr>
                <w:tcW w:w="3079" w:type="dxa"/>
              </w:tcPr>
              <w:p>
                <w:pPr>
                  <w:rPr>
                    <w:iCs/>
                    <w:sz w:val="20"/>
                    <w:szCs w:val="24"/>
                  </w:rPr>
                </w:pPr>
                <w:r>
                  <w:rPr>
                    <w:iCs/>
                    <w:sz w:val="20"/>
                    <w:szCs w:val="24"/>
                  </w:rPr>
                  <w:t>Jauniklių fiziologinės ir genetinės būklės nustatymas</w:t>
                </w:r>
              </w:p>
            </w:tc>
            <w:tc>
              <w:tcPr>
                <w:tcW w:w="972" w:type="dxa"/>
              </w:tcPr>
              <w:p>
                <w:pPr>
                  <w:rPr>
                    <w:iCs/>
                    <w:sz w:val="20"/>
                    <w:szCs w:val="24"/>
                  </w:rPr>
                </w:pPr>
                <w:r>
                  <w:rPr>
                    <w:iCs/>
                    <w:sz w:val="20"/>
                    <w:szCs w:val="24"/>
                  </w:rPr>
                  <w:t>2,90</w:t>
                </w:r>
              </w:p>
            </w:tc>
            <w:tc>
              <w:tcPr>
                <w:tcW w:w="972" w:type="dxa"/>
              </w:tcPr>
              <w:p>
                <w:pPr>
                  <w:rPr>
                    <w:iCs/>
                    <w:sz w:val="20"/>
                    <w:szCs w:val="24"/>
                  </w:rPr>
                </w:pPr>
                <w:r>
                  <w:rPr>
                    <w:iCs/>
                    <w:sz w:val="20"/>
                    <w:szCs w:val="24"/>
                  </w:rPr>
                  <w:t>2,90</w:t>
                </w:r>
              </w:p>
            </w:tc>
            <w:tc>
              <w:tcPr>
                <w:tcW w:w="972" w:type="dxa"/>
              </w:tcPr>
              <w:p>
                <w:pPr>
                  <w:jc w:val="both"/>
                  <w:rPr>
                    <w:iCs/>
                    <w:sz w:val="20"/>
                    <w:szCs w:val="24"/>
                  </w:rPr>
                </w:pPr>
                <w:r>
                  <w:rPr>
                    <w:iCs/>
                    <w:sz w:val="20"/>
                    <w:szCs w:val="24"/>
                  </w:rPr>
                  <w:t>1,45</w:t>
                </w:r>
              </w:p>
            </w:tc>
            <w:tc>
              <w:tcPr>
                <w:tcW w:w="972" w:type="dxa"/>
              </w:tcPr>
              <w:p>
                <w:pPr>
                  <w:jc w:val="both"/>
                  <w:rPr>
                    <w:iCs/>
                    <w:sz w:val="20"/>
                    <w:szCs w:val="24"/>
                  </w:rPr>
                </w:pPr>
                <w:r>
                  <w:rPr>
                    <w:iCs/>
                    <w:sz w:val="20"/>
                    <w:szCs w:val="24"/>
                  </w:rPr>
                  <w:t>1,45</w:t>
                </w:r>
              </w:p>
            </w:tc>
            <w:tc>
              <w:tcPr>
                <w:tcW w:w="972" w:type="dxa"/>
              </w:tcPr>
              <w:p>
                <w:pPr>
                  <w:jc w:val="both"/>
                  <w:rPr>
                    <w:iCs/>
                    <w:sz w:val="20"/>
                    <w:szCs w:val="24"/>
                  </w:rPr>
                </w:pPr>
                <w:r>
                  <w:rPr>
                    <w:iCs/>
                    <w:sz w:val="20"/>
                    <w:szCs w:val="24"/>
                  </w:rPr>
                  <w:t>1,45</w:t>
                </w:r>
              </w:p>
            </w:tc>
            <w:tc>
              <w:tcPr>
                <w:tcW w:w="972" w:type="dxa"/>
              </w:tcPr>
              <w:p>
                <w:pPr>
                  <w:jc w:val="both"/>
                  <w:rPr>
                    <w:iCs/>
                    <w:sz w:val="20"/>
                    <w:szCs w:val="24"/>
                  </w:rPr>
                </w:pPr>
                <w:r>
                  <w:rPr>
                    <w:iCs/>
                    <w:sz w:val="20"/>
                    <w:szCs w:val="24"/>
                  </w:rPr>
                  <w:t>1,45</w:t>
                </w:r>
              </w:p>
            </w:tc>
            <w:tc>
              <w:tcPr>
                <w:tcW w:w="870" w:type="dxa"/>
              </w:tcPr>
              <w:p>
                <w:pPr>
                  <w:jc w:val="both"/>
                  <w:rPr>
                    <w:iCs/>
                    <w:sz w:val="20"/>
                    <w:szCs w:val="24"/>
                  </w:rPr>
                </w:pPr>
                <w:r>
                  <w:rPr>
                    <w:iCs/>
                    <w:sz w:val="20"/>
                    <w:szCs w:val="24"/>
                  </w:rPr>
                  <w:t>1,45</w:t>
                </w:r>
              </w:p>
            </w:tc>
            <w:tc>
              <w:tcPr>
                <w:tcW w:w="870" w:type="dxa"/>
              </w:tcPr>
              <w:p>
                <w:pPr>
                  <w:jc w:val="both"/>
                  <w:rPr>
                    <w:iCs/>
                    <w:sz w:val="20"/>
                    <w:szCs w:val="24"/>
                  </w:rPr>
                </w:pPr>
                <w:r>
                  <w:rPr>
                    <w:iCs/>
                    <w:sz w:val="20"/>
                    <w:szCs w:val="24"/>
                  </w:rPr>
                  <w:t>1,74</w:t>
                </w:r>
              </w:p>
            </w:tc>
            <w:tc>
              <w:tcPr>
                <w:tcW w:w="871" w:type="dxa"/>
              </w:tcPr>
              <w:p>
                <w:pPr>
                  <w:jc w:val="both"/>
                  <w:rPr>
                    <w:iCs/>
                    <w:sz w:val="20"/>
                    <w:szCs w:val="24"/>
                  </w:rPr>
                </w:pPr>
                <w:r>
                  <w:rPr>
                    <w:iCs/>
                    <w:sz w:val="20"/>
                    <w:szCs w:val="24"/>
                  </w:rPr>
                  <w:t>1,74</w:t>
                </w:r>
              </w:p>
            </w:tc>
            <w:tc>
              <w:tcPr>
                <w:tcW w:w="1666" w:type="dxa"/>
              </w:tcPr>
              <w:p>
                <w:pPr>
                  <w:rPr>
                    <w:rFonts w:eastAsia="Calibri"/>
                    <w:sz w:val="20"/>
                    <w:szCs w:val="24"/>
                  </w:rPr>
                </w:pPr>
                <w:r>
                  <w:rPr>
                    <w:rFonts w:eastAsia="Calibri"/>
                    <w:sz w:val="20"/>
                    <w:szCs w:val="24"/>
                  </w:rPr>
                  <w:t>ŽT biudžeto lėšos</w:t>
                </w:r>
              </w:p>
              <w:p>
                <w:pPr>
                  <w:rPr>
                    <w:rFonts w:eastAsia="Calibri"/>
                    <w:sz w:val="20"/>
                    <w:szCs w:val="24"/>
                  </w:rPr>
                </w:pPr>
                <w:r>
                  <w:rPr>
                    <w:rFonts w:eastAsia="Calibri"/>
                    <w:sz w:val="20"/>
                    <w:szCs w:val="24"/>
                  </w:rPr>
                  <w:t>ES finansinės paramos lėšos</w:t>
                </w:r>
              </w:p>
              <w:p>
                <w:pPr>
                  <w:rPr>
                    <w:rFonts w:eastAsia="Calibri"/>
                    <w:sz w:val="20"/>
                    <w:szCs w:val="24"/>
                  </w:rPr>
                </w:pPr>
                <w:r>
                  <w:rPr>
                    <w:rFonts w:eastAsia="Calibri"/>
                    <w:sz w:val="20"/>
                    <w:szCs w:val="24"/>
                  </w:rPr>
                  <w:t>A</w:t>
                </w:r>
                <w:r>
                  <w:rPr>
                    <w:rFonts w:eastAsia="Calibri"/>
                    <w:caps/>
                    <w:sz w:val="20"/>
                    <w:szCs w:val="24"/>
                  </w:rPr>
                  <w:t>arp</w:t>
                </w:r>
                <w:r>
                  <w:rPr>
                    <w:rFonts w:eastAsia="Calibri"/>
                    <w:sz w:val="20"/>
                    <w:szCs w:val="24"/>
                  </w:rPr>
                  <w:t xml:space="preserve"> lėšos</w:t>
                </w:r>
              </w:p>
            </w:tc>
            <w:tc>
              <w:tcPr>
                <w:tcW w:w="1363" w:type="dxa"/>
              </w:tcPr>
              <w:p>
                <w:pPr>
                  <w:rPr>
                    <w:rFonts w:eastAsia="Calibri"/>
                    <w:sz w:val="20"/>
                    <w:szCs w:val="24"/>
                  </w:rPr>
                </w:pPr>
                <w:r>
                  <w:rPr>
                    <w:rFonts w:eastAsia="Calibri"/>
                    <w:sz w:val="20"/>
                    <w:szCs w:val="24"/>
                  </w:rPr>
                  <w:t>ŽT</w:t>
                </w:r>
              </w:p>
              <w:p>
                <w:pPr>
                  <w:rPr>
                    <w:rFonts w:eastAsia="Calibri"/>
                    <w:sz w:val="20"/>
                    <w:szCs w:val="24"/>
                  </w:rPr>
                </w:pPr>
                <w:r>
                  <w:rPr>
                    <w:rFonts w:eastAsia="Calibri"/>
                    <w:sz w:val="20"/>
                    <w:szCs w:val="24"/>
                  </w:rPr>
                  <w:t>GTC EI</w:t>
                </w:r>
              </w:p>
              <w:p>
                <w:pPr>
                  <w:rPr>
                    <w:rFonts w:eastAsia="Calibri"/>
                    <w:sz w:val="20"/>
                    <w:szCs w:val="24"/>
                  </w:rPr>
                </w:pPr>
              </w:p>
            </w:tc>
          </w:tr>
          <w:tr>
            <w:trPr>
              <w:cantSplit/>
              <w:trHeight w:val="20"/>
            </w:trPr>
            <w:tc>
              <w:tcPr>
                <w:tcW w:w="601" w:type="dxa"/>
              </w:tcPr>
              <w:p>
                <w:pPr>
                  <w:jc w:val="both"/>
                  <w:rPr>
                    <w:iCs/>
                    <w:sz w:val="20"/>
                    <w:szCs w:val="24"/>
                  </w:rPr>
                </w:pPr>
                <w:r>
                  <w:rPr>
                    <w:iCs/>
                    <w:sz w:val="20"/>
                    <w:szCs w:val="24"/>
                  </w:rPr>
                  <w:t>10.</w:t>
                </w:r>
              </w:p>
            </w:tc>
            <w:tc>
              <w:tcPr>
                <w:tcW w:w="3079" w:type="dxa"/>
              </w:tcPr>
              <w:p>
                <w:pPr>
                  <w:rPr>
                    <w:iCs/>
                    <w:sz w:val="20"/>
                    <w:szCs w:val="24"/>
                  </w:rPr>
                </w:pPr>
                <w:r>
                  <w:rPr>
                    <w:iCs/>
                    <w:sz w:val="20"/>
                    <w:szCs w:val="24"/>
                  </w:rPr>
                  <w:t>Jauniklių paleidimas į upes</w:t>
                </w:r>
              </w:p>
            </w:tc>
            <w:tc>
              <w:tcPr>
                <w:tcW w:w="972" w:type="dxa"/>
              </w:tcPr>
              <w:p>
                <w:pPr>
                  <w:rPr>
                    <w:iCs/>
                    <w:sz w:val="20"/>
                    <w:szCs w:val="24"/>
                  </w:rPr>
                </w:pPr>
                <w:r>
                  <w:rPr>
                    <w:iCs/>
                    <w:sz w:val="20"/>
                    <w:szCs w:val="24"/>
                  </w:rPr>
                  <w:t>0,87</w:t>
                </w:r>
              </w:p>
            </w:tc>
            <w:tc>
              <w:tcPr>
                <w:tcW w:w="972" w:type="dxa"/>
              </w:tcPr>
              <w:p>
                <w:pPr>
                  <w:jc w:val="both"/>
                  <w:rPr>
                    <w:iCs/>
                    <w:sz w:val="20"/>
                    <w:szCs w:val="24"/>
                  </w:rPr>
                </w:pPr>
                <w:r>
                  <w:rPr>
                    <w:iCs/>
                    <w:sz w:val="20"/>
                    <w:szCs w:val="24"/>
                  </w:rPr>
                  <w:t>0,87</w:t>
                </w:r>
              </w:p>
            </w:tc>
            <w:tc>
              <w:tcPr>
                <w:tcW w:w="972" w:type="dxa"/>
              </w:tcPr>
              <w:p>
                <w:pPr>
                  <w:jc w:val="both"/>
                  <w:rPr>
                    <w:iCs/>
                    <w:sz w:val="20"/>
                    <w:szCs w:val="24"/>
                  </w:rPr>
                </w:pPr>
                <w:r>
                  <w:rPr>
                    <w:iCs/>
                    <w:sz w:val="20"/>
                    <w:szCs w:val="24"/>
                  </w:rPr>
                  <w:t>0,87</w:t>
                </w:r>
              </w:p>
            </w:tc>
            <w:tc>
              <w:tcPr>
                <w:tcW w:w="972" w:type="dxa"/>
              </w:tcPr>
              <w:p>
                <w:pPr>
                  <w:jc w:val="both"/>
                  <w:rPr>
                    <w:iCs/>
                    <w:sz w:val="20"/>
                    <w:szCs w:val="24"/>
                  </w:rPr>
                </w:pPr>
                <w:r>
                  <w:rPr>
                    <w:iCs/>
                    <w:sz w:val="20"/>
                    <w:szCs w:val="24"/>
                  </w:rPr>
                  <w:t>0,87</w:t>
                </w:r>
              </w:p>
            </w:tc>
            <w:tc>
              <w:tcPr>
                <w:tcW w:w="972" w:type="dxa"/>
              </w:tcPr>
              <w:p>
                <w:pPr>
                  <w:jc w:val="both"/>
                  <w:rPr>
                    <w:iCs/>
                    <w:sz w:val="20"/>
                    <w:szCs w:val="24"/>
                  </w:rPr>
                </w:pPr>
                <w:r>
                  <w:rPr>
                    <w:iCs/>
                    <w:sz w:val="20"/>
                    <w:szCs w:val="24"/>
                  </w:rPr>
                  <w:t>0,87</w:t>
                </w:r>
              </w:p>
            </w:tc>
            <w:tc>
              <w:tcPr>
                <w:tcW w:w="972" w:type="dxa"/>
              </w:tcPr>
              <w:p>
                <w:pPr>
                  <w:jc w:val="both"/>
                  <w:rPr>
                    <w:iCs/>
                    <w:sz w:val="20"/>
                    <w:szCs w:val="24"/>
                  </w:rPr>
                </w:pPr>
                <w:r>
                  <w:rPr>
                    <w:iCs/>
                    <w:sz w:val="20"/>
                    <w:szCs w:val="24"/>
                  </w:rPr>
                  <w:t>0,87</w:t>
                </w:r>
              </w:p>
            </w:tc>
            <w:tc>
              <w:tcPr>
                <w:tcW w:w="870" w:type="dxa"/>
              </w:tcPr>
              <w:p>
                <w:pPr>
                  <w:jc w:val="both"/>
                  <w:rPr>
                    <w:iCs/>
                    <w:sz w:val="20"/>
                    <w:szCs w:val="24"/>
                  </w:rPr>
                </w:pPr>
                <w:r>
                  <w:rPr>
                    <w:iCs/>
                    <w:sz w:val="20"/>
                    <w:szCs w:val="24"/>
                  </w:rPr>
                  <w:t>1,45</w:t>
                </w:r>
              </w:p>
            </w:tc>
            <w:tc>
              <w:tcPr>
                <w:tcW w:w="870" w:type="dxa"/>
              </w:tcPr>
              <w:p>
                <w:pPr>
                  <w:jc w:val="both"/>
                  <w:rPr>
                    <w:iCs/>
                    <w:sz w:val="20"/>
                    <w:szCs w:val="24"/>
                  </w:rPr>
                </w:pPr>
                <w:r>
                  <w:rPr>
                    <w:iCs/>
                    <w:sz w:val="20"/>
                    <w:szCs w:val="24"/>
                  </w:rPr>
                  <w:t>1,45</w:t>
                </w:r>
              </w:p>
            </w:tc>
            <w:tc>
              <w:tcPr>
                <w:tcW w:w="871" w:type="dxa"/>
              </w:tcPr>
              <w:p>
                <w:pPr>
                  <w:jc w:val="both"/>
                  <w:rPr>
                    <w:iCs/>
                    <w:sz w:val="20"/>
                    <w:szCs w:val="24"/>
                  </w:rPr>
                </w:pPr>
                <w:r>
                  <w:rPr>
                    <w:iCs/>
                    <w:sz w:val="20"/>
                    <w:szCs w:val="24"/>
                  </w:rPr>
                  <w:t>1,45</w:t>
                </w:r>
              </w:p>
            </w:tc>
            <w:tc>
              <w:tcPr>
                <w:tcW w:w="1666" w:type="dxa"/>
              </w:tcPr>
              <w:p>
                <w:pPr>
                  <w:rPr>
                    <w:rFonts w:eastAsia="Calibri"/>
                    <w:sz w:val="20"/>
                    <w:szCs w:val="24"/>
                  </w:rPr>
                </w:pPr>
                <w:r>
                  <w:rPr>
                    <w:rFonts w:eastAsia="Calibri"/>
                    <w:sz w:val="20"/>
                    <w:szCs w:val="24"/>
                  </w:rPr>
                  <w:t xml:space="preserve">ŽT biudžeto lėšos </w:t>
                </w:r>
              </w:p>
            </w:tc>
            <w:tc>
              <w:tcPr>
                <w:tcW w:w="1363" w:type="dxa"/>
              </w:tcPr>
              <w:p>
                <w:pPr>
                  <w:rPr>
                    <w:rFonts w:eastAsia="Calibri"/>
                    <w:sz w:val="20"/>
                    <w:szCs w:val="24"/>
                  </w:rPr>
                </w:pPr>
                <w:r>
                  <w:rPr>
                    <w:rFonts w:eastAsia="Calibri"/>
                    <w:sz w:val="20"/>
                    <w:szCs w:val="24"/>
                  </w:rPr>
                  <w:t>ŽT</w:t>
                </w:r>
              </w:p>
              <w:p>
                <w:pPr>
                  <w:rPr>
                    <w:rFonts w:eastAsia="Calibri"/>
                    <w:sz w:val="20"/>
                    <w:szCs w:val="24"/>
                  </w:rPr>
                </w:pPr>
                <w:r>
                  <w:rPr>
                    <w:rFonts w:eastAsia="Calibri"/>
                    <w:sz w:val="20"/>
                    <w:szCs w:val="24"/>
                  </w:rPr>
                  <w:t>GTC EI</w:t>
                </w:r>
              </w:p>
            </w:tc>
          </w:tr>
          <w:tr>
            <w:trPr>
              <w:cantSplit/>
              <w:trHeight w:val="20"/>
            </w:trPr>
            <w:tc>
              <w:tcPr>
                <w:tcW w:w="601" w:type="dxa"/>
              </w:tcPr>
              <w:p>
                <w:pPr>
                  <w:jc w:val="both"/>
                  <w:rPr>
                    <w:iCs/>
                    <w:sz w:val="20"/>
                    <w:szCs w:val="24"/>
                  </w:rPr>
                </w:pPr>
                <w:r>
                  <w:rPr>
                    <w:iCs/>
                    <w:sz w:val="20"/>
                    <w:szCs w:val="24"/>
                  </w:rPr>
                  <w:t>11.</w:t>
                </w:r>
              </w:p>
            </w:tc>
            <w:tc>
              <w:tcPr>
                <w:tcW w:w="3079" w:type="dxa"/>
              </w:tcPr>
              <w:p>
                <w:pPr>
                  <w:rPr>
                    <w:iCs/>
                    <w:sz w:val="20"/>
                    <w:szCs w:val="24"/>
                  </w:rPr>
                </w:pPr>
                <w:r>
                  <w:rPr>
                    <w:iCs/>
                    <w:sz w:val="20"/>
                    <w:szCs w:val="24"/>
                  </w:rPr>
                  <w:t xml:space="preserve">Telemetrinių ženklų įsigijimas ir aštriašnipių eršketų jauniklių ženklinimas telemetriniais ženklais </w:t>
                </w:r>
              </w:p>
            </w:tc>
            <w:tc>
              <w:tcPr>
                <w:tcW w:w="972" w:type="dxa"/>
              </w:tcPr>
              <w:p>
                <w:pPr>
                  <w:rPr>
                    <w:iCs/>
                    <w:sz w:val="20"/>
                    <w:szCs w:val="24"/>
                  </w:rPr>
                </w:pPr>
                <w:r>
                  <w:rPr>
                    <w:iCs/>
                    <w:sz w:val="20"/>
                    <w:szCs w:val="24"/>
                  </w:rPr>
                  <w:t>2,32</w:t>
                </w:r>
              </w:p>
            </w:tc>
            <w:tc>
              <w:tcPr>
                <w:tcW w:w="972" w:type="dxa"/>
              </w:tcPr>
              <w:p>
                <w:pPr>
                  <w:rPr>
                    <w:iCs/>
                    <w:sz w:val="20"/>
                    <w:szCs w:val="24"/>
                  </w:rPr>
                </w:pPr>
                <w:r>
                  <w:rPr>
                    <w:iCs/>
                    <w:sz w:val="20"/>
                    <w:szCs w:val="24"/>
                  </w:rPr>
                  <w:t>2,32</w:t>
                </w:r>
              </w:p>
            </w:tc>
            <w:tc>
              <w:tcPr>
                <w:tcW w:w="972" w:type="dxa"/>
              </w:tcPr>
              <w:p>
                <w:pPr>
                  <w:rPr>
                    <w:iCs/>
                    <w:sz w:val="20"/>
                    <w:szCs w:val="24"/>
                  </w:rPr>
                </w:pPr>
                <w:r>
                  <w:rPr>
                    <w:iCs/>
                    <w:sz w:val="20"/>
                    <w:szCs w:val="24"/>
                  </w:rPr>
                  <w:t>2,32</w:t>
                </w:r>
              </w:p>
            </w:tc>
            <w:tc>
              <w:tcPr>
                <w:tcW w:w="972" w:type="dxa"/>
              </w:tcPr>
              <w:p>
                <w:pPr>
                  <w:rPr>
                    <w:iCs/>
                    <w:sz w:val="20"/>
                    <w:szCs w:val="24"/>
                  </w:rPr>
                </w:pPr>
                <w:r>
                  <w:rPr>
                    <w:iCs/>
                    <w:sz w:val="20"/>
                    <w:szCs w:val="24"/>
                  </w:rPr>
                  <w:t>2,32</w:t>
                </w:r>
              </w:p>
            </w:tc>
            <w:tc>
              <w:tcPr>
                <w:tcW w:w="972" w:type="dxa"/>
              </w:tcPr>
              <w:p>
                <w:pPr>
                  <w:jc w:val="both"/>
                  <w:rPr>
                    <w:iCs/>
                    <w:sz w:val="20"/>
                    <w:szCs w:val="24"/>
                  </w:rPr>
                </w:pPr>
              </w:p>
            </w:tc>
            <w:tc>
              <w:tcPr>
                <w:tcW w:w="972" w:type="dxa"/>
              </w:tcPr>
              <w:p>
                <w:pPr>
                  <w:jc w:val="both"/>
                  <w:rPr>
                    <w:iCs/>
                    <w:sz w:val="20"/>
                    <w:szCs w:val="24"/>
                  </w:rPr>
                </w:pPr>
              </w:p>
            </w:tc>
            <w:tc>
              <w:tcPr>
                <w:tcW w:w="870" w:type="dxa"/>
              </w:tcPr>
              <w:p>
                <w:pPr>
                  <w:jc w:val="both"/>
                  <w:rPr>
                    <w:iCs/>
                    <w:sz w:val="20"/>
                    <w:szCs w:val="24"/>
                  </w:rPr>
                </w:pPr>
              </w:p>
            </w:tc>
            <w:tc>
              <w:tcPr>
                <w:tcW w:w="870" w:type="dxa"/>
              </w:tcPr>
              <w:p>
                <w:pPr>
                  <w:jc w:val="both"/>
                  <w:rPr>
                    <w:iCs/>
                    <w:sz w:val="20"/>
                    <w:szCs w:val="24"/>
                  </w:rPr>
                </w:pPr>
              </w:p>
            </w:tc>
            <w:tc>
              <w:tcPr>
                <w:tcW w:w="871" w:type="dxa"/>
              </w:tcPr>
              <w:p>
                <w:pPr>
                  <w:jc w:val="both"/>
                  <w:rPr>
                    <w:iCs/>
                    <w:sz w:val="20"/>
                    <w:szCs w:val="24"/>
                  </w:rPr>
                </w:pPr>
              </w:p>
            </w:tc>
            <w:tc>
              <w:tcPr>
                <w:tcW w:w="1666" w:type="dxa"/>
              </w:tcPr>
              <w:p>
                <w:pPr>
                  <w:rPr>
                    <w:rFonts w:eastAsia="Calibri"/>
                    <w:sz w:val="20"/>
                    <w:szCs w:val="24"/>
                  </w:rPr>
                </w:pPr>
                <w:r>
                  <w:rPr>
                    <w:rFonts w:eastAsia="Calibri"/>
                    <w:sz w:val="20"/>
                    <w:szCs w:val="24"/>
                  </w:rPr>
                  <w:t>ES finansinės paramos lėšos</w:t>
                </w:r>
              </w:p>
              <w:p>
                <w:pPr>
                  <w:rPr>
                    <w:rFonts w:eastAsia="Calibri"/>
                    <w:sz w:val="20"/>
                    <w:szCs w:val="24"/>
                  </w:rPr>
                </w:pPr>
              </w:p>
            </w:tc>
            <w:tc>
              <w:tcPr>
                <w:tcW w:w="1363" w:type="dxa"/>
              </w:tcPr>
              <w:p>
                <w:pPr>
                  <w:rPr>
                    <w:rFonts w:eastAsia="Calibri"/>
                    <w:sz w:val="20"/>
                    <w:szCs w:val="24"/>
                  </w:rPr>
                </w:pPr>
                <w:r>
                  <w:rPr>
                    <w:rFonts w:eastAsia="Calibri"/>
                    <w:sz w:val="20"/>
                    <w:szCs w:val="24"/>
                  </w:rPr>
                  <w:t>ŽT</w:t>
                </w:r>
              </w:p>
              <w:p>
                <w:pPr>
                  <w:rPr>
                    <w:rFonts w:eastAsia="Calibri"/>
                    <w:sz w:val="20"/>
                    <w:szCs w:val="24"/>
                  </w:rPr>
                </w:pPr>
                <w:r>
                  <w:rPr>
                    <w:rFonts w:eastAsia="Calibri"/>
                    <w:sz w:val="20"/>
                    <w:szCs w:val="24"/>
                  </w:rPr>
                  <w:t>GTC EI</w:t>
                </w:r>
              </w:p>
            </w:tc>
          </w:tr>
          <w:tr>
            <w:trPr>
              <w:cantSplit/>
              <w:trHeight w:val="20"/>
            </w:trPr>
            <w:tc>
              <w:tcPr>
                <w:tcW w:w="601" w:type="dxa"/>
              </w:tcPr>
              <w:p>
                <w:pPr>
                  <w:jc w:val="both"/>
                  <w:rPr>
                    <w:iCs/>
                    <w:sz w:val="20"/>
                    <w:szCs w:val="24"/>
                  </w:rPr>
                </w:pPr>
                <w:r>
                  <w:rPr>
                    <w:iCs/>
                    <w:sz w:val="20"/>
                    <w:szCs w:val="24"/>
                  </w:rPr>
                  <w:t>12.</w:t>
                </w:r>
              </w:p>
            </w:tc>
            <w:tc>
              <w:tcPr>
                <w:tcW w:w="3079" w:type="dxa"/>
              </w:tcPr>
              <w:p>
                <w:pPr>
                  <w:rPr>
                    <w:iCs/>
                    <w:sz w:val="20"/>
                    <w:szCs w:val="24"/>
                  </w:rPr>
                </w:pPr>
                <w:r>
                  <w:rPr>
                    <w:iCs/>
                    <w:sz w:val="20"/>
                    <w:szCs w:val="24"/>
                  </w:rPr>
                  <w:t xml:space="preserve">Telemetrinių ženklų sekimo įrangos įsigijimas </w:t>
                </w:r>
              </w:p>
            </w:tc>
            <w:tc>
              <w:tcPr>
                <w:tcW w:w="972" w:type="dxa"/>
              </w:tcPr>
              <w:p>
                <w:pPr>
                  <w:rPr>
                    <w:iCs/>
                    <w:sz w:val="20"/>
                    <w:szCs w:val="24"/>
                  </w:rPr>
                </w:pPr>
                <w:r>
                  <w:rPr>
                    <w:iCs/>
                    <w:sz w:val="20"/>
                    <w:szCs w:val="24"/>
                  </w:rPr>
                  <w:t>1,45</w:t>
                </w:r>
              </w:p>
            </w:tc>
            <w:tc>
              <w:tcPr>
                <w:tcW w:w="972" w:type="dxa"/>
              </w:tcPr>
              <w:p>
                <w:pPr>
                  <w:jc w:val="both"/>
                  <w:rPr>
                    <w:iCs/>
                    <w:sz w:val="20"/>
                    <w:szCs w:val="24"/>
                  </w:rPr>
                </w:pPr>
                <w:r>
                  <w:rPr>
                    <w:iCs/>
                    <w:sz w:val="20"/>
                    <w:szCs w:val="24"/>
                  </w:rPr>
                  <w:t>1,45</w:t>
                </w:r>
              </w:p>
            </w:tc>
            <w:tc>
              <w:tcPr>
                <w:tcW w:w="972" w:type="dxa"/>
              </w:tcPr>
              <w:p>
                <w:pPr>
                  <w:jc w:val="both"/>
                  <w:rPr>
                    <w:iCs/>
                    <w:sz w:val="20"/>
                    <w:szCs w:val="24"/>
                  </w:rPr>
                </w:pPr>
                <w:r>
                  <w:rPr>
                    <w:iCs/>
                    <w:sz w:val="20"/>
                    <w:szCs w:val="24"/>
                  </w:rPr>
                  <w:t>1,45</w:t>
                </w:r>
              </w:p>
            </w:tc>
            <w:tc>
              <w:tcPr>
                <w:tcW w:w="972" w:type="dxa"/>
              </w:tcPr>
              <w:p>
                <w:pPr>
                  <w:jc w:val="both"/>
                  <w:rPr>
                    <w:iCs/>
                    <w:sz w:val="20"/>
                    <w:szCs w:val="24"/>
                  </w:rPr>
                </w:pPr>
                <w:r>
                  <w:rPr>
                    <w:iCs/>
                    <w:sz w:val="20"/>
                    <w:szCs w:val="24"/>
                  </w:rPr>
                  <w:t>1,45</w:t>
                </w:r>
              </w:p>
            </w:tc>
            <w:tc>
              <w:tcPr>
                <w:tcW w:w="972" w:type="dxa"/>
              </w:tcPr>
              <w:p>
                <w:pPr>
                  <w:jc w:val="both"/>
                  <w:rPr>
                    <w:iCs/>
                    <w:sz w:val="20"/>
                    <w:szCs w:val="24"/>
                  </w:rPr>
                </w:pPr>
              </w:p>
            </w:tc>
            <w:tc>
              <w:tcPr>
                <w:tcW w:w="972" w:type="dxa"/>
              </w:tcPr>
              <w:p>
                <w:pPr>
                  <w:jc w:val="both"/>
                  <w:rPr>
                    <w:iCs/>
                    <w:sz w:val="20"/>
                    <w:szCs w:val="24"/>
                  </w:rPr>
                </w:pPr>
              </w:p>
            </w:tc>
            <w:tc>
              <w:tcPr>
                <w:tcW w:w="870" w:type="dxa"/>
              </w:tcPr>
              <w:p>
                <w:pPr>
                  <w:jc w:val="both"/>
                  <w:rPr>
                    <w:iCs/>
                    <w:sz w:val="20"/>
                    <w:szCs w:val="24"/>
                  </w:rPr>
                </w:pPr>
              </w:p>
            </w:tc>
            <w:tc>
              <w:tcPr>
                <w:tcW w:w="870" w:type="dxa"/>
              </w:tcPr>
              <w:p>
                <w:pPr>
                  <w:jc w:val="both"/>
                  <w:rPr>
                    <w:iCs/>
                    <w:sz w:val="20"/>
                    <w:szCs w:val="24"/>
                  </w:rPr>
                </w:pPr>
              </w:p>
            </w:tc>
            <w:tc>
              <w:tcPr>
                <w:tcW w:w="871" w:type="dxa"/>
              </w:tcPr>
              <w:p>
                <w:pPr>
                  <w:jc w:val="both"/>
                  <w:rPr>
                    <w:iCs/>
                    <w:sz w:val="20"/>
                    <w:szCs w:val="24"/>
                  </w:rPr>
                </w:pPr>
              </w:p>
            </w:tc>
            <w:tc>
              <w:tcPr>
                <w:tcW w:w="1666" w:type="dxa"/>
              </w:tcPr>
              <w:p>
                <w:pPr>
                  <w:rPr>
                    <w:rFonts w:eastAsia="Calibri"/>
                    <w:sz w:val="20"/>
                    <w:szCs w:val="24"/>
                  </w:rPr>
                </w:pPr>
                <w:r>
                  <w:rPr>
                    <w:rFonts w:eastAsia="Calibri"/>
                    <w:sz w:val="20"/>
                    <w:szCs w:val="24"/>
                  </w:rPr>
                  <w:t>ES finansinės paramos lėšos</w:t>
                </w:r>
              </w:p>
            </w:tc>
            <w:tc>
              <w:tcPr>
                <w:tcW w:w="1363" w:type="dxa"/>
              </w:tcPr>
              <w:p>
                <w:pPr>
                  <w:rPr>
                    <w:rFonts w:eastAsia="Calibri"/>
                    <w:sz w:val="20"/>
                    <w:szCs w:val="24"/>
                  </w:rPr>
                </w:pPr>
                <w:r>
                  <w:rPr>
                    <w:rFonts w:eastAsia="Calibri"/>
                    <w:sz w:val="20"/>
                    <w:szCs w:val="24"/>
                  </w:rPr>
                  <w:t>ŽT</w:t>
                </w:r>
              </w:p>
              <w:p>
                <w:pPr>
                  <w:rPr>
                    <w:rFonts w:eastAsia="Calibri"/>
                    <w:sz w:val="20"/>
                    <w:szCs w:val="24"/>
                  </w:rPr>
                </w:pPr>
                <w:r>
                  <w:rPr>
                    <w:rFonts w:eastAsia="Calibri"/>
                    <w:sz w:val="20"/>
                    <w:szCs w:val="24"/>
                  </w:rPr>
                  <w:t>GTC EI</w:t>
                </w:r>
              </w:p>
            </w:tc>
          </w:tr>
          <w:tr>
            <w:trPr>
              <w:cantSplit/>
              <w:trHeight w:val="20"/>
            </w:trPr>
            <w:tc>
              <w:tcPr>
                <w:tcW w:w="601" w:type="dxa"/>
              </w:tcPr>
              <w:p>
                <w:pPr>
                  <w:jc w:val="both"/>
                  <w:rPr>
                    <w:iCs/>
                    <w:sz w:val="20"/>
                    <w:szCs w:val="24"/>
                  </w:rPr>
                </w:pPr>
                <w:r>
                  <w:rPr>
                    <w:iCs/>
                    <w:sz w:val="20"/>
                    <w:szCs w:val="24"/>
                  </w:rPr>
                  <w:t>13.</w:t>
                </w:r>
              </w:p>
            </w:tc>
            <w:tc>
              <w:tcPr>
                <w:tcW w:w="3079" w:type="dxa"/>
              </w:tcPr>
              <w:p>
                <w:pPr>
                  <w:rPr>
                    <w:iCs/>
                    <w:sz w:val="20"/>
                    <w:szCs w:val="24"/>
                  </w:rPr>
                </w:pPr>
                <w:r>
                  <w:rPr>
                    <w:iCs/>
                    <w:sz w:val="20"/>
                    <w:szCs w:val="24"/>
                  </w:rPr>
                  <w:t>Jauniklių migracijos ir elgsenos tyrimai</w:t>
                </w:r>
              </w:p>
            </w:tc>
            <w:tc>
              <w:tcPr>
                <w:tcW w:w="972" w:type="dxa"/>
              </w:tcPr>
              <w:p>
                <w:pPr>
                  <w:rPr>
                    <w:iCs/>
                    <w:sz w:val="20"/>
                    <w:szCs w:val="24"/>
                  </w:rPr>
                </w:pPr>
                <w:r>
                  <w:rPr>
                    <w:iCs/>
                    <w:sz w:val="20"/>
                    <w:szCs w:val="24"/>
                  </w:rPr>
                  <w:t>2,90</w:t>
                </w:r>
              </w:p>
            </w:tc>
            <w:tc>
              <w:tcPr>
                <w:tcW w:w="972" w:type="dxa"/>
              </w:tcPr>
              <w:p>
                <w:pPr>
                  <w:jc w:val="both"/>
                  <w:rPr>
                    <w:iCs/>
                    <w:sz w:val="20"/>
                    <w:szCs w:val="24"/>
                  </w:rPr>
                </w:pPr>
                <w:r>
                  <w:rPr>
                    <w:iCs/>
                    <w:sz w:val="20"/>
                    <w:szCs w:val="24"/>
                  </w:rPr>
                  <w:t>2,90</w:t>
                </w:r>
              </w:p>
            </w:tc>
            <w:tc>
              <w:tcPr>
                <w:tcW w:w="972" w:type="dxa"/>
              </w:tcPr>
              <w:p>
                <w:pPr>
                  <w:jc w:val="both"/>
                  <w:rPr>
                    <w:iCs/>
                    <w:sz w:val="20"/>
                    <w:szCs w:val="24"/>
                  </w:rPr>
                </w:pPr>
                <w:r>
                  <w:rPr>
                    <w:iCs/>
                    <w:sz w:val="20"/>
                    <w:szCs w:val="24"/>
                  </w:rPr>
                  <w:t>2,90</w:t>
                </w:r>
              </w:p>
            </w:tc>
            <w:tc>
              <w:tcPr>
                <w:tcW w:w="972" w:type="dxa"/>
              </w:tcPr>
              <w:p>
                <w:pPr>
                  <w:jc w:val="both"/>
                  <w:rPr>
                    <w:iCs/>
                    <w:sz w:val="20"/>
                    <w:szCs w:val="24"/>
                  </w:rPr>
                </w:pPr>
                <w:r>
                  <w:rPr>
                    <w:iCs/>
                    <w:sz w:val="20"/>
                    <w:szCs w:val="24"/>
                  </w:rPr>
                  <w:t>2,90</w:t>
                </w:r>
              </w:p>
            </w:tc>
            <w:tc>
              <w:tcPr>
                <w:tcW w:w="972" w:type="dxa"/>
              </w:tcPr>
              <w:p>
                <w:pPr>
                  <w:jc w:val="both"/>
                  <w:rPr>
                    <w:iCs/>
                    <w:sz w:val="20"/>
                    <w:szCs w:val="24"/>
                  </w:rPr>
                </w:pPr>
                <w:r>
                  <w:rPr>
                    <w:iCs/>
                    <w:sz w:val="20"/>
                    <w:szCs w:val="24"/>
                  </w:rPr>
                  <w:t>2,90</w:t>
                </w:r>
              </w:p>
            </w:tc>
            <w:tc>
              <w:tcPr>
                <w:tcW w:w="972" w:type="dxa"/>
              </w:tcPr>
              <w:p>
                <w:pPr>
                  <w:jc w:val="both"/>
                  <w:rPr>
                    <w:iCs/>
                    <w:sz w:val="20"/>
                    <w:szCs w:val="24"/>
                  </w:rPr>
                </w:pPr>
                <w:r>
                  <w:rPr>
                    <w:iCs/>
                    <w:sz w:val="20"/>
                    <w:szCs w:val="24"/>
                  </w:rPr>
                  <w:t>2,90</w:t>
                </w:r>
              </w:p>
            </w:tc>
            <w:tc>
              <w:tcPr>
                <w:tcW w:w="870" w:type="dxa"/>
              </w:tcPr>
              <w:p>
                <w:pPr>
                  <w:jc w:val="both"/>
                  <w:rPr>
                    <w:iCs/>
                    <w:sz w:val="20"/>
                    <w:szCs w:val="24"/>
                  </w:rPr>
                </w:pPr>
                <w:r>
                  <w:rPr>
                    <w:iCs/>
                    <w:sz w:val="20"/>
                    <w:szCs w:val="24"/>
                  </w:rPr>
                  <w:t>2,90</w:t>
                </w:r>
              </w:p>
            </w:tc>
            <w:tc>
              <w:tcPr>
                <w:tcW w:w="870" w:type="dxa"/>
              </w:tcPr>
              <w:p>
                <w:pPr>
                  <w:jc w:val="both"/>
                  <w:rPr>
                    <w:iCs/>
                    <w:sz w:val="20"/>
                    <w:szCs w:val="24"/>
                  </w:rPr>
                </w:pPr>
                <w:r>
                  <w:rPr>
                    <w:iCs/>
                    <w:sz w:val="20"/>
                    <w:szCs w:val="24"/>
                  </w:rPr>
                  <w:t>2,90</w:t>
                </w:r>
              </w:p>
            </w:tc>
            <w:tc>
              <w:tcPr>
                <w:tcW w:w="871" w:type="dxa"/>
              </w:tcPr>
              <w:p>
                <w:pPr>
                  <w:jc w:val="both"/>
                  <w:rPr>
                    <w:iCs/>
                    <w:sz w:val="20"/>
                    <w:szCs w:val="24"/>
                  </w:rPr>
                </w:pPr>
                <w:r>
                  <w:rPr>
                    <w:iCs/>
                    <w:sz w:val="20"/>
                    <w:szCs w:val="24"/>
                  </w:rPr>
                  <w:t>2,90</w:t>
                </w:r>
              </w:p>
            </w:tc>
            <w:tc>
              <w:tcPr>
                <w:tcW w:w="1666" w:type="dxa"/>
              </w:tcPr>
              <w:p>
                <w:pPr>
                  <w:rPr>
                    <w:rFonts w:eastAsia="Calibri"/>
                    <w:sz w:val="20"/>
                    <w:szCs w:val="24"/>
                  </w:rPr>
                </w:pPr>
                <w:r>
                  <w:rPr>
                    <w:rFonts w:eastAsia="Calibri"/>
                    <w:sz w:val="20"/>
                    <w:szCs w:val="24"/>
                  </w:rPr>
                  <w:t>ES finansinės paramos lėšos</w:t>
                </w:r>
              </w:p>
            </w:tc>
            <w:tc>
              <w:tcPr>
                <w:tcW w:w="1363" w:type="dxa"/>
              </w:tcPr>
              <w:p>
                <w:pPr>
                  <w:rPr>
                    <w:rFonts w:eastAsia="Calibri"/>
                    <w:sz w:val="20"/>
                    <w:szCs w:val="24"/>
                  </w:rPr>
                </w:pPr>
                <w:r>
                  <w:rPr>
                    <w:rFonts w:eastAsia="Calibri"/>
                    <w:sz w:val="20"/>
                    <w:szCs w:val="24"/>
                  </w:rPr>
                  <w:t>ŽT</w:t>
                </w:r>
              </w:p>
              <w:p>
                <w:pPr>
                  <w:rPr>
                    <w:rFonts w:eastAsia="Calibri"/>
                    <w:sz w:val="20"/>
                    <w:szCs w:val="24"/>
                  </w:rPr>
                </w:pPr>
                <w:r>
                  <w:rPr>
                    <w:rFonts w:eastAsia="Calibri"/>
                    <w:sz w:val="20"/>
                    <w:szCs w:val="24"/>
                  </w:rPr>
                  <w:t>GTC EI</w:t>
                </w:r>
              </w:p>
            </w:tc>
          </w:tr>
          <w:tr>
            <w:trPr>
              <w:cantSplit/>
              <w:trHeight w:val="20"/>
            </w:trPr>
            <w:tc>
              <w:tcPr>
                <w:tcW w:w="601" w:type="dxa"/>
              </w:tcPr>
              <w:p>
                <w:pPr>
                  <w:jc w:val="both"/>
                  <w:rPr>
                    <w:iCs/>
                    <w:sz w:val="20"/>
                    <w:szCs w:val="24"/>
                  </w:rPr>
                </w:pPr>
                <w:r>
                  <w:rPr>
                    <w:iCs/>
                    <w:sz w:val="20"/>
                    <w:szCs w:val="24"/>
                  </w:rPr>
                  <w:t>14.</w:t>
                </w:r>
              </w:p>
            </w:tc>
            <w:tc>
              <w:tcPr>
                <w:tcW w:w="3079" w:type="dxa"/>
              </w:tcPr>
              <w:p>
                <w:pPr>
                  <w:rPr>
                    <w:iCs/>
                    <w:sz w:val="20"/>
                    <w:szCs w:val="24"/>
                  </w:rPr>
                </w:pPr>
                <w:r>
                  <w:rPr>
                    <w:iCs/>
                    <w:sz w:val="20"/>
                    <w:szCs w:val="24"/>
                  </w:rPr>
                  <w:t>Jauniklių augimo ir mitybos natūraliomis sąlygomis tyrimai</w:t>
                </w:r>
              </w:p>
            </w:tc>
            <w:tc>
              <w:tcPr>
                <w:tcW w:w="972" w:type="dxa"/>
              </w:tcPr>
              <w:p>
                <w:pPr>
                  <w:rPr>
                    <w:iCs/>
                    <w:sz w:val="20"/>
                    <w:szCs w:val="24"/>
                  </w:rPr>
                </w:pPr>
                <w:r>
                  <w:rPr>
                    <w:iCs/>
                    <w:sz w:val="20"/>
                    <w:szCs w:val="24"/>
                  </w:rPr>
                  <w:t>3,48</w:t>
                </w:r>
              </w:p>
            </w:tc>
            <w:tc>
              <w:tcPr>
                <w:tcW w:w="972" w:type="dxa"/>
              </w:tcPr>
              <w:p>
                <w:pPr>
                  <w:jc w:val="both"/>
                  <w:rPr>
                    <w:iCs/>
                    <w:sz w:val="20"/>
                    <w:szCs w:val="24"/>
                  </w:rPr>
                </w:pPr>
                <w:r>
                  <w:rPr>
                    <w:iCs/>
                    <w:sz w:val="20"/>
                    <w:szCs w:val="24"/>
                  </w:rPr>
                  <w:t>3,48</w:t>
                </w:r>
              </w:p>
            </w:tc>
            <w:tc>
              <w:tcPr>
                <w:tcW w:w="972" w:type="dxa"/>
              </w:tcPr>
              <w:p>
                <w:pPr>
                  <w:jc w:val="both"/>
                  <w:rPr>
                    <w:iCs/>
                    <w:sz w:val="20"/>
                    <w:szCs w:val="24"/>
                  </w:rPr>
                </w:pPr>
                <w:r>
                  <w:rPr>
                    <w:iCs/>
                    <w:sz w:val="20"/>
                    <w:szCs w:val="24"/>
                  </w:rPr>
                  <w:t>3,48</w:t>
                </w:r>
              </w:p>
            </w:tc>
            <w:tc>
              <w:tcPr>
                <w:tcW w:w="972" w:type="dxa"/>
              </w:tcPr>
              <w:p>
                <w:pPr>
                  <w:jc w:val="both"/>
                  <w:rPr>
                    <w:iCs/>
                    <w:sz w:val="20"/>
                    <w:szCs w:val="24"/>
                  </w:rPr>
                </w:pPr>
                <w:r>
                  <w:rPr>
                    <w:iCs/>
                    <w:sz w:val="20"/>
                    <w:szCs w:val="24"/>
                  </w:rPr>
                  <w:t>3,48</w:t>
                </w:r>
              </w:p>
            </w:tc>
            <w:tc>
              <w:tcPr>
                <w:tcW w:w="972" w:type="dxa"/>
              </w:tcPr>
              <w:p>
                <w:pPr>
                  <w:jc w:val="both"/>
                  <w:rPr>
                    <w:iCs/>
                    <w:sz w:val="20"/>
                    <w:szCs w:val="24"/>
                  </w:rPr>
                </w:pPr>
                <w:r>
                  <w:rPr>
                    <w:iCs/>
                    <w:sz w:val="20"/>
                    <w:szCs w:val="24"/>
                  </w:rPr>
                  <w:t>3,48</w:t>
                </w:r>
              </w:p>
            </w:tc>
            <w:tc>
              <w:tcPr>
                <w:tcW w:w="972" w:type="dxa"/>
              </w:tcPr>
              <w:p>
                <w:pPr>
                  <w:jc w:val="both"/>
                  <w:rPr>
                    <w:iCs/>
                    <w:sz w:val="20"/>
                    <w:szCs w:val="24"/>
                  </w:rPr>
                </w:pPr>
                <w:r>
                  <w:rPr>
                    <w:iCs/>
                    <w:sz w:val="20"/>
                    <w:szCs w:val="24"/>
                  </w:rPr>
                  <w:t>3,48</w:t>
                </w:r>
              </w:p>
            </w:tc>
            <w:tc>
              <w:tcPr>
                <w:tcW w:w="870" w:type="dxa"/>
              </w:tcPr>
              <w:p>
                <w:pPr>
                  <w:jc w:val="both"/>
                  <w:rPr>
                    <w:iCs/>
                    <w:sz w:val="20"/>
                    <w:szCs w:val="24"/>
                  </w:rPr>
                </w:pPr>
                <w:r>
                  <w:rPr>
                    <w:iCs/>
                    <w:sz w:val="20"/>
                    <w:szCs w:val="24"/>
                  </w:rPr>
                  <w:t>3,48</w:t>
                </w:r>
              </w:p>
            </w:tc>
            <w:tc>
              <w:tcPr>
                <w:tcW w:w="870" w:type="dxa"/>
              </w:tcPr>
              <w:p>
                <w:pPr>
                  <w:jc w:val="both"/>
                  <w:rPr>
                    <w:iCs/>
                    <w:sz w:val="20"/>
                    <w:szCs w:val="24"/>
                  </w:rPr>
                </w:pPr>
                <w:r>
                  <w:rPr>
                    <w:iCs/>
                    <w:sz w:val="20"/>
                    <w:szCs w:val="24"/>
                  </w:rPr>
                  <w:t>3,48</w:t>
                </w:r>
              </w:p>
            </w:tc>
            <w:tc>
              <w:tcPr>
                <w:tcW w:w="871" w:type="dxa"/>
              </w:tcPr>
              <w:p>
                <w:pPr>
                  <w:jc w:val="both"/>
                  <w:rPr>
                    <w:iCs/>
                    <w:sz w:val="20"/>
                    <w:szCs w:val="24"/>
                  </w:rPr>
                </w:pPr>
                <w:r>
                  <w:rPr>
                    <w:iCs/>
                    <w:sz w:val="20"/>
                    <w:szCs w:val="24"/>
                  </w:rPr>
                  <w:t>3,48</w:t>
                </w:r>
              </w:p>
            </w:tc>
            <w:tc>
              <w:tcPr>
                <w:tcW w:w="1666" w:type="dxa"/>
              </w:tcPr>
              <w:p>
                <w:pPr>
                  <w:rPr>
                    <w:rFonts w:eastAsia="Calibri"/>
                    <w:sz w:val="20"/>
                    <w:szCs w:val="24"/>
                  </w:rPr>
                </w:pPr>
                <w:r>
                  <w:rPr>
                    <w:rFonts w:eastAsia="Calibri"/>
                    <w:sz w:val="20"/>
                    <w:szCs w:val="24"/>
                  </w:rPr>
                  <w:t>ES finansinės paramos lėšos</w:t>
                </w:r>
              </w:p>
            </w:tc>
            <w:tc>
              <w:tcPr>
                <w:tcW w:w="1363" w:type="dxa"/>
              </w:tcPr>
              <w:p>
                <w:pPr>
                  <w:rPr>
                    <w:rFonts w:eastAsia="Calibri"/>
                    <w:sz w:val="20"/>
                    <w:szCs w:val="24"/>
                  </w:rPr>
                </w:pPr>
                <w:r>
                  <w:rPr>
                    <w:rFonts w:eastAsia="Calibri"/>
                    <w:sz w:val="20"/>
                    <w:szCs w:val="24"/>
                  </w:rPr>
                  <w:t>ŽT</w:t>
                </w:r>
              </w:p>
              <w:p>
                <w:pPr>
                  <w:rPr>
                    <w:rFonts w:eastAsia="Calibri"/>
                    <w:sz w:val="20"/>
                    <w:szCs w:val="24"/>
                  </w:rPr>
                </w:pPr>
                <w:r>
                  <w:rPr>
                    <w:rFonts w:eastAsia="Calibri"/>
                    <w:sz w:val="20"/>
                    <w:szCs w:val="24"/>
                  </w:rPr>
                  <w:t>GTC EI</w:t>
                </w:r>
              </w:p>
            </w:tc>
          </w:tr>
          <w:tr>
            <w:trPr>
              <w:cantSplit/>
              <w:trHeight w:val="20"/>
            </w:trPr>
            <w:tc>
              <w:tcPr>
                <w:tcW w:w="601" w:type="dxa"/>
              </w:tcPr>
              <w:p>
                <w:pPr>
                  <w:jc w:val="both"/>
                  <w:rPr>
                    <w:iCs/>
                    <w:sz w:val="20"/>
                    <w:szCs w:val="24"/>
                  </w:rPr>
                </w:pPr>
                <w:r>
                  <w:rPr>
                    <w:iCs/>
                    <w:sz w:val="20"/>
                    <w:szCs w:val="24"/>
                  </w:rPr>
                  <w:t>15.</w:t>
                </w:r>
              </w:p>
            </w:tc>
            <w:tc>
              <w:tcPr>
                <w:tcW w:w="3079" w:type="dxa"/>
              </w:tcPr>
              <w:p>
                <w:pPr>
                  <w:rPr>
                    <w:iCs/>
                    <w:sz w:val="20"/>
                    <w:szCs w:val="24"/>
                  </w:rPr>
                </w:pPr>
                <w:r>
                  <w:rPr>
                    <w:iCs/>
                    <w:sz w:val="20"/>
                    <w:szCs w:val="24"/>
                  </w:rPr>
                  <w:t>Tolesnis aštriašnipių eršketų auginimas ir motininės bandos formavimas</w:t>
                </w:r>
              </w:p>
            </w:tc>
            <w:tc>
              <w:tcPr>
                <w:tcW w:w="972" w:type="dxa"/>
              </w:tcPr>
              <w:p>
                <w:pPr>
                  <w:rPr>
                    <w:iCs/>
                    <w:sz w:val="20"/>
                    <w:szCs w:val="24"/>
                  </w:rPr>
                </w:pPr>
                <w:r>
                  <w:rPr>
                    <w:iCs/>
                    <w:sz w:val="20"/>
                    <w:szCs w:val="24"/>
                  </w:rPr>
                  <w:t>1,16</w:t>
                </w:r>
              </w:p>
            </w:tc>
            <w:tc>
              <w:tcPr>
                <w:tcW w:w="972" w:type="dxa"/>
              </w:tcPr>
              <w:p>
                <w:pPr>
                  <w:jc w:val="both"/>
                  <w:rPr>
                    <w:iCs/>
                    <w:sz w:val="20"/>
                    <w:szCs w:val="24"/>
                  </w:rPr>
                </w:pPr>
                <w:r>
                  <w:rPr>
                    <w:iCs/>
                    <w:sz w:val="20"/>
                    <w:szCs w:val="24"/>
                  </w:rPr>
                  <w:t>1,16</w:t>
                </w:r>
              </w:p>
            </w:tc>
            <w:tc>
              <w:tcPr>
                <w:tcW w:w="972" w:type="dxa"/>
              </w:tcPr>
              <w:p>
                <w:pPr>
                  <w:jc w:val="both"/>
                  <w:rPr>
                    <w:iCs/>
                    <w:sz w:val="20"/>
                    <w:szCs w:val="24"/>
                  </w:rPr>
                </w:pPr>
                <w:r>
                  <w:rPr>
                    <w:iCs/>
                    <w:sz w:val="20"/>
                    <w:szCs w:val="24"/>
                  </w:rPr>
                  <w:t>1,16</w:t>
                </w:r>
              </w:p>
            </w:tc>
            <w:tc>
              <w:tcPr>
                <w:tcW w:w="972" w:type="dxa"/>
              </w:tcPr>
              <w:p>
                <w:pPr>
                  <w:jc w:val="both"/>
                  <w:rPr>
                    <w:iCs/>
                    <w:sz w:val="20"/>
                  </w:rPr>
                </w:pPr>
                <w:r>
                  <w:rPr>
                    <w:iCs/>
                    <w:sz w:val="20"/>
                  </w:rPr>
                  <w:t>1,16</w:t>
                </w:r>
              </w:p>
            </w:tc>
            <w:tc>
              <w:tcPr>
                <w:tcW w:w="972" w:type="dxa"/>
              </w:tcPr>
              <w:p>
                <w:pPr>
                  <w:rPr>
                    <w:rFonts w:eastAsia="Calibri"/>
                    <w:sz w:val="20"/>
                  </w:rPr>
                </w:pPr>
                <w:r>
                  <w:rPr>
                    <w:rFonts w:eastAsia="Calibri"/>
                    <w:sz w:val="20"/>
                  </w:rPr>
                  <w:t>1,16</w:t>
                </w:r>
              </w:p>
            </w:tc>
            <w:tc>
              <w:tcPr>
                <w:tcW w:w="972" w:type="dxa"/>
              </w:tcPr>
              <w:p>
                <w:pPr>
                  <w:rPr>
                    <w:iCs/>
                    <w:sz w:val="20"/>
                  </w:rPr>
                </w:pPr>
                <w:r>
                  <w:rPr>
                    <w:iCs/>
                    <w:sz w:val="20"/>
                  </w:rPr>
                  <w:t>1,45</w:t>
                </w:r>
              </w:p>
            </w:tc>
            <w:tc>
              <w:tcPr>
                <w:tcW w:w="870" w:type="dxa"/>
              </w:tcPr>
              <w:p>
                <w:pPr>
                  <w:rPr>
                    <w:iCs/>
                    <w:sz w:val="20"/>
                    <w:szCs w:val="24"/>
                  </w:rPr>
                </w:pPr>
                <w:r>
                  <w:rPr>
                    <w:iCs/>
                    <w:sz w:val="20"/>
                    <w:szCs w:val="24"/>
                  </w:rPr>
                  <w:t>1,45</w:t>
                </w:r>
              </w:p>
            </w:tc>
            <w:tc>
              <w:tcPr>
                <w:tcW w:w="870" w:type="dxa"/>
              </w:tcPr>
              <w:p>
                <w:pPr>
                  <w:jc w:val="both"/>
                  <w:rPr>
                    <w:iCs/>
                    <w:sz w:val="20"/>
                    <w:szCs w:val="24"/>
                  </w:rPr>
                </w:pPr>
                <w:r>
                  <w:rPr>
                    <w:iCs/>
                    <w:sz w:val="20"/>
                    <w:szCs w:val="24"/>
                  </w:rPr>
                  <w:t>1,45</w:t>
                </w:r>
              </w:p>
            </w:tc>
            <w:tc>
              <w:tcPr>
                <w:tcW w:w="871" w:type="dxa"/>
              </w:tcPr>
              <w:p>
                <w:pPr>
                  <w:jc w:val="both"/>
                  <w:rPr>
                    <w:iCs/>
                    <w:sz w:val="20"/>
                    <w:szCs w:val="24"/>
                  </w:rPr>
                </w:pPr>
                <w:r>
                  <w:rPr>
                    <w:iCs/>
                    <w:sz w:val="20"/>
                    <w:szCs w:val="24"/>
                  </w:rPr>
                  <w:t>1,45</w:t>
                </w:r>
              </w:p>
            </w:tc>
            <w:tc>
              <w:tcPr>
                <w:tcW w:w="1666" w:type="dxa"/>
              </w:tcPr>
              <w:p>
                <w:pPr>
                  <w:rPr>
                    <w:rFonts w:eastAsia="Calibri"/>
                    <w:sz w:val="20"/>
                    <w:szCs w:val="24"/>
                  </w:rPr>
                </w:pPr>
                <w:r>
                  <w:rPr>
                    <w:rFonts w:eastAsia="Calibri"/>
                    <w:sz w:val="20"/>
                    <w:szCs w:val="24"/>
                  </w:rPr>
                  <w:t xml:space="preserve">ŽT biudžeto lėšos </w:t>
                </w:r>
              </w:p>
            </w:tc>
            <w:tc>
              <w:tcPr>
                <w:tcW w:w="1363" w:type="dxa"/>
              </w:tcPr>
              <w:p>
                <w:pPr>
                  <w:rPr>
                    <w:rFonts w:eastAsia="Calibri"/>
                    <w:sz w:val="20"/>
                    <w:szCs w:val="24"/>
                  </w:rPr>
                </w:pPr>
                <w:r>
                  <w:rPr>
                    <w:rFonts w:eastAsia="Calibri"/>
                    <w:sz w:val="20"/>
                    <w:szCs w:val="24"/>
                  </w:rPr>
                  <w:t>ŽT</w:t>
                </w:r>
              </w:p>
            </w:tc>
          </w:tr>
          <w:tr>
            <w:trPr>
              <w:cantSplit/>
              <w:trHeight w:val="20"/>
            </w:trPr>
            <w:tc>
              <w:tcPr>
                <w:tcW w:w="601" w:type="dxa"/>
              </w:tcPr>
              <w:p>
                <w:pPr>
                  <w:jc w:val="both"/>
                  <w:rPr>
                    <w:iCs/>
                    <w:sz w:val="20"/>
                    <w:szCs w:val="24"/>
                  </w:rPr>
                </w:pPr>
                <w:r>
                  <w:rPr>
                    <w:iCs/>
                    <w:sz w:val="20"/>
                    <w:szCs w:val="24"/>
                  </w:rPr>
                  <w:t>16.</w:t>
                </w:r>
              </w:p>
            </w:tc>
            <w:tc>
              <w:tcPr>
                <w:tcW w:w="3079" w:type="dxa"/>
              </w:tcPr>
              <w:p>
                <w:pPr>
                  <w:rPr>
                    <w:iCs/>
                    <w:sz w:val="20"/>
                    <w:szCs w:val="24"/>
                  </w:rPr>
                </w:pPr>
                <w:r>
                  <w:rPr>
                    <w:iCs/>
                    <w:sz w:val="20"/>
                    <w:szCs w:val="24"/>
                  </w:rPr>
                  <w:t>Ikrų paėmimas (iš užaugintų Lietuvoje reproduktorių) ir inkubavimas</w:t>
                </w:r>
              </w:p>
            </w:tc>
            <w:tc>
              <w:tcPr>
                <w:tcW w:w="972" w:type="dxa"/>
              </w:tcPr>
              <w:p>
                <w:pPr>
                  <w:rPr>
                    <w:iCs/>
                    <w:sz w:val="20"/>
                    <w:szCs w:val="24"/>
                  </w:rPr>
                </w:pPr>
                <w:r>
                  <w:rPr>
                    <w:iCs/>
                    <w:sz w:val="20"/>
                    <w:szCs w:val="24"/>
                  </w:rPr>
                  <w:t>-</w:t>
                </w:r>
              </w:p>
            </w:tc>
            <w:tc>
              <w:tcPr>
                <w:tcW w:w="972" w:type="dxa"/>
              </w:tcPr>
              <w:p>
                <w:pPr>
                  <w:jc w:val="both"/>
                  <w:rPr>
                    <w:iCs/>
                    <w:sz w:val="20"/>
                    <w:szCs w:val="24"/>
                  </w:rPr>
                </w:pPr>
                <w:r>
                  <w:rPr>
                    <w:iCs/>
                    <w:sz w:val="20"/>
                    <w:szCs w:val="24"/>
                  </w:rPr>
                  <w:t>-</w:t>
                </w:r>
              </w:p>
            </w:tc>
            <w:tc>
              <w:tcPr>
                <w:tcW w:w="972" w:type="dxa"/>
              </w:tcPr>
              <w:p>
                <w:pPr>
                  <w:jc w:val="both"/>
                  <w:rPr>
                    <w:iCs/>
                    <w:sz w:val="20"/>
                    <w:szCs w:val="24"/>
                  </w:rPr>
                </w:pPr>
                <w:r>
                  <w:rPr>
                    <w:iCs/>
                    <w:sz w:val="20"/>
                    <w:szCs w:val="24"/>
                  </w:rPr>
                  <w:t>-</w:t>
                </w:r>
              </w:p>
            </w:tc>
            <w:tc>
              <w:tcPr>
                <w:tcW w:w="972" w:type="dxa"/>
              </w:tcPr>
              <w:p>
                <w:pPr>
                  <w:jc w:val="both"/>
                  <w:rPr>
                    <w:iCs/>
                    <w:sz w:val="20"/>
                    <w:szCs w:val="24"/>
                  </w:rPr>
                </w:pPr>
                <w:r>
                  <w:rPr>
                    <w:iCs/>
                    <w:sz w:val="20"/>
                    <w:szCs w:val="24"/>
                  </w:rPr>
                  <w:t>-</w:t>
                </w:r>
              </w:p>
            </w:tc>
            <w:tc>
              <w:tcPr>
                <w:tcW w:w="972" w:type="dxa"/>
              </w:tcPr>
              <w:p>
                <w:pPr>
                  <w:jc w:val="both"/>
                  <w:rPr>
                    <w:iCs/>
                    <w:sz w:val="20"/>
                    <w:szCs w:val="24"/>
                  </w:rPr>
                </w:pPr>
                <w:r>
                  <w:rPr>
                    <w:iCs/>
                    <w:sz w:val="20"/>
                    <w:szCs w:val="24"/>
                  </w:rPr>
                  <w:t>-</w:t>
                </w:r>
              </w:p>
            </w:tc>
            <w:tc>
              <w:tcPr>
                <w:tcW w:w="972" w:type="dxa"/>
              </w:tcPr>
              <w:p>
                <w:pPr>
                  <w:jc w:val="both"/>
                  <w:rPr>
                    <w:iCs/>
                    <w:sz w:val="20"/>
                    <w:szCs w:val="24"/>
                  </w:rPr>
                </w:pPr>
                <w:r>
                  <w:rPr>
                    <w:iCs/>
                    <w:sz w:val="20"/>
                    <w:szCs w:val="24"/>
                  </w:rPr>
                  <w:t>-</w:t>
                </w:r>
              </w:p>
            </w:tc>
            <w:tc>
              <w:tcPr>
                <w:tcW w:w="870" w:type="dxa"/>
              </w:tcPr>
              <w:p>
                <w:pPr>
                  <w:jc w:val="both"/>
                  <w:rPr>
                    <w:iCs/>
                    <w:sz w:val="20"/>
                    <w:szCs w:val="24"/>
                  </w:rPr>
                </w:pPr>
                <w:r>
                  <w:rPr>
                    <w:iCs/>
                    <w:sz w:val="20"/>
                    <w:szCs w:val="24"/>
                  </w:rPr>
                  <w:t>-</w:t>
                </w:r>
              </w:p>
            </w:tc>
            <w:tc>
              <w:tcPr>
                <w:tcW w:w="870" w:type="dxa"/>
              </w:tcPr>
              <w:p>
                <w:pPr>
                  <w:jc w:val="both"/>
                  <w:rPr>
                    <w:iCs/>
                    <w:sz w:val="20"/>
                    <w:szCs w:val="24"/>
                  </w:rPr>
                </w:pPr>
                <w:r>
                  <w:rPr>
                    <w:iCs/>
                    <w:sz w:val="20"/>
                    <w:szCs w:val="24"/>
                  </w:rPr>
                  <w:t>1,45</w:t>
                </w:r>
              </w:p>
            </w:tc>
            <w:tc>
              <w:tcPr>
                <w:tcW w:w="871" w:type="dxa"/>
              </w:tcPr>
              <w:p>
                <w:pPr>
                  <w:jc w:val="both"/>
                  <w:rPr>
                    <w:iCs/>
                    <w:sz w:val="20"/>
                    <w:szCs w:val="24"/>
                  </w:rPr>
                </w:pPr>
                <w:r>
                  <w:rPr>
                    <w:iCs/>
                    <w:sz w:val="20"/>
                    <w:szCs w:val="24"/>
                  </w:rPr>
                  <w:t>1,45</w:t>
                </w:r>
              </w:p>
            </w:tc>
            <w:tc>
              <w:tcPr>
                <w:tcW w:w="1666" w:type="dxa"/>
              </w:tcPr>
              <w:p>
                <w:pPr>
                  <w:rPr>
                    <w:rFonts w:eastAsia="Calibri"/>
                    <w:sz w:val="20"/>
                    <w:szCs w:val="24"/>
                  </w:rPr>
                </w:pPr>
                <w:r>
                  <w:rPr>
                    <w:rFonts w:eastAsia="Calibri"/>
                    <w:sz w:val="20"/>
                    <w:szCs w:val="24"/>
                  </w:rPr>
                  <w:t>ŽT biudžeto lėšos</w:t>
                </w:r>
              </w:p>
            </w:tc>
            <w:tc>
              <w:tcPr>
                <w:tcW w:w="1363" w:type="dxa"/>
              </w:tcPr>
              <w:p>
                <w:pPr>
                  <w:rPr>
                    <w:rFonts w:eastAsia="Calibri"/>
                    <w:sz w:val="20"/>
                    <w:szCs w:val="24"/>
                  </w:rPr>
                </w:pPr>
                <w:r>
                  <w:rPr>
                    <w:rFonts w:eastAsia="Calibri"/>
                    <w:sz w:val="20"/>
                    <w:szCs w:val="24"/>
                  </w:rPr>
                  <w:t>ŽT</w:t>
                </w:r>
              </w:p>
              <w:p>
                <w:pPr>
                  <w:rPr>
                    <w:rFonts w:eastAsia="Calibri"/>
                    <w:sz w:val="20"/>
                    <w:szCs w:val="24"/>
                  </w:rPr>
                </w:pPr>
              </w:p>
            </w:tc>
          </w:tr>
          <w:tr>
            <w:trPr>
              <w:cantSplit/>
              <w:trHeight w:val="20"/>
            </w:trPr>
            <w:tc>
              <w:tcPr>
                <w:tcW w:w="601" w:type="dxa"/>
              </w:tcPr>
              <w:p>
                <w:pPr>
                  <w:jc w:val="both"/>
                  <w:rPr>
                    <w:iCs/>
                    <w:sz w:val="20"/>
                    <w:szCs w:val="24"/>
                  </w:rPr>
                </w:pPr>
                <w:r>
                  <w:rPr>
                    <w:iCs/>
                    <w:sz w:val="20"/>
                    <w:szCs w:val="24"/>
                  </w:rPr>
                  <w:t>17.</w:t>
                </w:r>
              </w:p>
            </w:tc>
            <w:tc>
              <w:tcPr>
                <w:tcW w:w="3079" w:type="dxa"/>
              </w:tcPr>
              <w:p>
                <w:pPr>
                  <w:rPr>
                    <w:iCs/>
                    <w:sz w:val="20"/>
                    <w:szCs w:val="24"/>
                  </w:rPr>
                </w:pPr>
                <w:r>
                  <w:rPr>
                    <w:sz w:val="20"/>
                    <w:szCs w:val="24"/>
                  </w:rPr>
                  <w:t xml:space="preserve">Verslinės ir mėgėjų žvejybos reglamentavimo priemonių, mažinančių  galimus aštriašnipių eršketų sugavimus, nustatymas</w:t>
                </w:r>
              </w:p>
            </w:tc>
            <w:tc>
              <w:tcPr>
                <w:tcW w:w="972" w:type="dxa"/>
              </w:tcPr>
              <w:p>
                <w:pPr>
                  <w:rPr>
                    <w:iCs/>
                    <w:sz w:val="20"/>
                    <w:szCs w:val="24"/>
                  </w:rPr>
                </w:pPr>
                <w:r>
                  <w:rPr>
                    <w:iCs/>
                    <w:sz w:val="20"/>
                    <w:szCs w:val="24"/>
                  </w:rPr>
                  <w:t>-</w:t>
                </w:r>
              </w:p>
            </w:tc>
            <w:tc>
              <w:tcPr>
                <w:tcW w:w="972" w:type="dxa"/>
              </w:tcPr>
              <w:p>
                <w:pPr>
                  <w:jc w:val="both"/>
                  <w:rPr>
                    <w:iCs/>
                    <w:sz w:val="20"/>
                    <w:szCs w:val="24"/>
                  </w:rPr>
                </w:pPr>
                <w:r>
                  <w:rPr>
                    <w:iCs/>
                    <w:sz w:val="20"/>
                    <w:szCs w:val="24"/>
                  </w:rPr>
                  <w:t>-</w:t>
                </w:r>
              </w:p>
            </w:tc>
            <w:tc>
              <w:tcPr>
                <w:tcW w:w="972" w:type="dxa"/>
              </w:tcPr>
              <w:p>
                <w:pPr>
                  <w:jc w:val="both"/>
                  <w:rPr>
                    <w:iCs/>
                    <w:sz w:val="20"/>
                    <w:szCs w:val="24"/>
                  </w:rPr>
                </w:pPr>
                <w:r>
                  <w:rPr>
                    <w:iCs/>
                    <w:sz w:val="20"/>
                    <w:szCs w:val="24"/>
                  </w:rPr>
                  <w:t>-</w:t>
                </w:r>
              </w:p>
            </w:tc>
            <w:tc>
              <w:tcPr>
                <w:tcW w:w="972" w:type="dxa"/>
              </w:tcPr>
              <w:p>
                <w:pPr>
                  <w:jc w:val="both"/>
                  <w:rPr>
                    <w:iCs/>
                    <w:sz w:val="20"/>
                    <w:szCs w:val="24"/>
                  </w:rPr>
                </w:pPr>
                <w:r>
                  <w:rPr>
                    <w:iCs/>
                    <w:sz w:val="20"/>
                    <w:szCs w:val="24"/>
                  </w:rPr>
                  <w:t>-</w:t>
                </w:r>
              </w:p>
            </w:tc>
            <w:tc>
              <w:tcPr>
                <w:tcW w:w="972" w:type="dxa"/>
              </w:tcPr>
              <w:p>
                <w:pPr>
                  <w:jc w:val="both"/>
                  <w:rPr>
                    <w:iCs/>
                    <w:sz w:val="20"/>
                    <w:szCs w:val="24"/>
                  </w:rPr>
                </w:pPr>
                <w:r>
                  <w:rPr>
                    <w:iCs/>
                    <w:sz w:val="20"/>
                    <w:szCs w:val="24"/>
                  </w:rPr>
                  <w:t>-</w:t>
                </w:r>
              </w:p>
            </w:tc>
            <w:tc>
              <w:tcPr>
                <w:tcW w:w="972" w:type="dxa"/>
              </w:tcPr>
              <w:p>
                <w:pPr>
                  <w:jc w:val="both"/>
                  <w:rPr>
                    <w:iCs/>
                    <w:sz w:val="20"/>
                    <w:szCs w:val="24"/>
                  </w:rPr>
                </w:pPr>
                <w:r>
                  <w:rPr>
                    <w:iCs/>
                    <w:sz w:val="20"/>
                    <w:szCs w:val="24"/>
                  </w:rPr>
                  <w:t>-</w:t>
                </w:r>
              </w:p>
            </w:tc>
            <w:tc>
              <w:tcPr>
                <w:tcW w:w="870" w:type="dxa"/>
              </w:tcPr>
              <w:p>
                <w:pPr>
                  <w:jc w:val="both"/>
                  <w:rPr>
                    <w:iCs/>
                    <w:sz w:val="20"/>
                    <w:szCs w:val="24"/>
                  </w:rPr>
                </w:pPr>
                <w:r>
                  <w:rPr>
                    <w:iCs/>
                    <w:sz w:val="20"/>
                    <w:szCs w:val="24"/>
                  </w:rPr>
                  <w:t>-</w:t>
                </w:r>
              </w:p>
            </w:tc>
            <w:tc>
              <w:tcPr>
                <w:tcW w:w="870" w:type="dxa"/>
              </w:tcPr>
              <w:p>
                <w:pPr>
                  <w:jc w:val="both"/>
                  <w:rPr>
                    <w:iCs/>
                    <w:sz w:val="20"/>
                    <w:szCs w:val="24"/>
                  </w:rPr>
                </w:pPr>
                <w:r>
                  <w:rPr>
                    <w:iCs/>
                    <w:sz w:val="20"/>
                    <w:szCs w:val="24"/>
                  </w:rPr>
                  <w:t>-</w:t>
                </w:r>
              </w:p>
            </w:tc>
            <w:tc>
              <w:tcPr>
                <w:tcW w:w="871" w:type="dxa"/>
              </w:tcPr>
              <w:p>
                <w:pPr>
                  <w:jc w:val="both"/>
                  <w:rPr>
                    <w:iCs/>
                    <w:sz w:val="20"/>
                    <w:szCs w:val="24"/>
                  </w:rPr>
                </w:pPr>
                <w:r>
                  <w:rPr>
                    <w:iCs/>
                    <w:sz w:val="20"/>
                    <w:szCs w:val="24"/>
                  </w:rPr>
                  <w:t>-</w:t>
                </w:r>
              </w:p>
            </w:tc>
            <w:tc>
              <w:tcPr>
                <w:tcW w:w="1666" w:type="dxa"/>
              </w:tcPr>
              <w:p>
                <w:pPr>
                  <w:rPr>
                    <w:rFonts w:eastAsia="Calibri"/>
                    <w:sz w:val="20"/>
                    <w:szCs w:val="24"/>
                  </w:rPr>
                </w:pPr>
              </w:p>
            </w:tc>
            <w:tc>
              <w:tcPr>
                <w:tcW w:w="1363" w:type="dxa"/>
              </w:tcPr>
              <w:p>
                <w:pPr>
                  <w:rPr>
                    <w:rFonts w:eastAsia="Calibri"/>
                    <w:sz w:val="20"/>
                    <w:szCs w:val="24"/>
                  </w:rPr>
                </w:pPr>
                <w:r>
                  <w:rPr>
                    <w:rFonts w:eastAsia="Calibri"/>
                    <w:sz w:val="20"/>
                    <w:szCs w:val="24"/>
                  </w:rPr>
                  <w:t>AM</w:t>
                </w:r>
              </w:p>
            </w:tc>
          </w:tr>
          <w:tr>
            <w:trPr>
              <w:cantSplit/>
              <w:trHeight w:val="20"/>
            </w:trPr>
            <w:tc>
              <w:tcPr>
                <w:tcW w:w="601" w:type="dxa"/>
              </w:tcPr>
              <w:p>
                <w:pPr>
                  <w:jc w:val="both"/>
                  <w:rPr>
                    <w:iCs/>
                    <w:sz w:val="20"/>
                    <w:szCs w:val="24"/>
                  </w:rPr>
                </w:pPr>
                <w:r>
                  <w:rPr>
                    <w:iCs/>
                    <w:sz w:val="20"/>
                    <w:szCs w:val="24"/>
                  </w:rPr>
                  <w:t>18.</w:t>
                </w:r>
              </w:p>
            </w:tc>
            <w:tc>
              <w:tcPr>
                <w:tcW w:w="3079" w:type="dxa"/>
              </w:tcPr>
              <w:p>
                <w:pPr>
                  <w:rPr>
                    <w:iCs/>
                    <w:sz w:val="20"/>
                    <w:szCs w:val="24"/>
                  </w:rPr>
                </w:pPr>
                <w:r>
                  <w:rPr>
                    <w:sz w:val="20"/>
                    <w:szCs w:val="24"/>
                  </w:rPr>
                  <w:t>Visuomenės informavimas apie aštriašnipių eršketų išteklių atkūrimą</w:t>
                </w:r>
              </w:p>
            </w:tc>
            <w:tc>
              <w:tcPr>
                <w:tcW w:w="972" w:type="dxa"/>
              </w:tcPr>
              <w:p>
                <w:pPr>
                  <w:rPr>
                    <w:iCs/>
                    <w:sz w:val="20"/>
                    <w:szCs w:val="24"/>
                  </w:rPr>
                </w:pPr>
                <w:r>
                  <w:rPr>
                    <w:iCs/>
                    <w:sz w:val="20"/>
                    <w:szCs w:val="24"/>
                  </w:rPr>
                  <w:t>0,87</w:t>
                </w:r>
              </w:p>
            </w:tc>
            <w:tc>
              <w:tcPr>
                <w:tcW w:w="972" w:type="dxa"/>
              </w:tcPr>
              <w:p>
                <w:pPr>
                  <w:jc w:val="both"/>
                  <w:rPr>
                    <w:iCs/>
                    <w:sz w:val="20"/>
                    <w:szCs w:val="24"/>
                  </w:rPr>
                </w:pPr>
                <w:r>
                  <w:rPr>
                    <w:iCs/>
                    <w:sz w:val="20"/>
                    <w:szCs w:val="24"/>
                  </w:rPr>
                  <w:t>0,87</w:t>
                </w:r>
              </w:p>
            </w:tc>
            <w:tc>
              <w:tcPr>
                <w:tcW w:w="972" w:type="dxa"/>
              </w:tcPr>
              <w:p>
                <w:pPr>
                  <w:jc w:val="both"/>
                  <w:rPr>
                    <w:iCs/>
                    <w:sz w:val="20"/>
                    <w:szCs w:val="24"/>
                  </w:rPr>
                </w:pPr>
                <w:r>
                  <w:rPr>
                    <w:iCs/>
                    <w:sz w:val="20"/>
                    <w:szCs w:val="24"/>
                  </w:rPr>
                  <w:t>0,87</w:t>
                </w:r>
              </w:p>
            </w:tc>
            <w:tc>
              <w:tcPr>
                <w:tcW w:w="972" w:type="dxa"/>
              </w:tcPr>
              <w:p>
                <w:pPr>
                  <w:jc w:val="both"/>
                  <w:rPr>
                    <w:iCs/>
                    <w:sz w:val="20"/>
                    <w:szCs w:val="24"/>
                  </w:rPr>
                </w:pPr>
                <w:r>
                  <w:rPr>
                    <w:iCs/>
                    <w:sz w:val="20"/>
                    <w:szCs w:val="24"/>
                  </w:rPr>
                  <w:t>1,45</w:t>
                </w:r>
              </w:p>
            </w:tc>
            <w:tc>
              <w:tcPr>
                <w:tcW w:w="972" w:type="dxa"/>
              </w:tcPr>
              <w:p>
                <w:pPr>
                  <w:jc w:val="both"/>
                  <w:rPr>
                    <w:iCs/>
                    <w:sz w:val="20"/>
                    <w:szCs w:val="24"/>
                  </w:rPr>
                </w:pPr>
                <w:r>
                  <w:rPr>
                    <w:iCs/>
                    <w:sz w:val="20"/>
                    <w:szCs w:val="24"/>
                  </w:rPr>
                  <w:t>1,45</w:t>
                </w:r>
              </w:p>
            </w:tc>
            <w:tc>
              <w:tcPr>
                <w:tcW w:w="972" w:type="dxa"/>
              </w:tcPr>
              <w:p>
                <w:pPr>
                  <w:jc w:val="both"/>
                  <w:rPr>
                    <w:iCs/>
                    <w:sz w:val="20"/>
                    <w:szCs w:val="24"/>
                  </w:rPr>
                </w:pPr>
                <w:r>
                  <w:rPr>
                    <w:iCs/>
                    <w:sz w:val="20"/>
                    <w:szCs w:val="24"/>
                  </w:rPr>
                  <w:t>1,45</w:t>
                </w:r>
              </w:p>
            </w:tc>
            <w:tc>
              <w:tcPr>
                <w:tcW w:w="870" w:type="dxa"/>
              </w:tcPr>
              <w:p>
                <w:pPr>
                  <w:jc w:val="both"/>
                  <w:rPr>
                    <w:iCs/>
                    <w:sz w:val="20"/>
                    <w:szCs w:val="24"/>
                  </w:rPr>
                </w:pPr>
                <w:r>
                  <w:rPr>
                    <w:iCs/>
                    <w:sz w:val="20"/>
                    <w:szCs w:val="24"/>
                  </w:rPr>
                  <w:t>1,45</w:t>
                </w:r>
              </w:p>
            </w:tc>
            <w:tc>
              <w:tcPr>
                <w:tcW w:w="870" w:type="dxa"/>
              </w:tcPr>
              <w:p>
                <w:pPr>
                  <w:jc w:val="both"/>
                  <w:rPr>
                    <w:iCs/>
                    <w:sz w:val="20"/>
                    <w:szCs w:val="24"/>
                  </w:rPr>
                </w:pPr>
                <w:r>
                  <w:rPr>
                    <w:iCs/>
                    <w:sz w:val="20"/>
                    <w:szCs w:val="24"/>
                  </w:rPr>
                  <w:t>1,45</w:t>
                </w:r>
              </w:p>
            </w:tc>
            <w:tc>
              <w:tcPr>
                <w:tcW w:w="871" w:type="dxa"/>
              </w:tcPr>
              <w:p>
                <w:pPr>
                  <w:jc w:val="both"/>
                  <w:rPr>
                    <w:iCs/>
                    <w:sz w:val="20"/>
                    <w:szCs w:val="24"/>
                  </w:rPr>
                </w:pPr>
                <w:r>
                  <w:rPr>
                    <w:iCs/>
                    <w:sz w:val="20"/>
                    <w:szCs w:val="24"/>
                  </w:rPr>
                  <w:t>1,45</w:t>
                </w:r>
              </w:p>
            </w:tc>
            <w:tc>
              <w:tcPr>
                <w:tcW w:w="1666" w:type="dxa"/>
              </w:tcPr>
              <w:p>
                <w:pPr>
                  <w:rPr>
                    <w:rFonts w:eastAsia="Calibri"/>
                    <w:sz w:val="20"/>
                    <w:szCs w:val="24"/>
                  </w:rPr>
                </w:pPr>
                <w:r>
                  <w:rPr>
                    <w:rFonts w:eastAsia="Calibri"/>
                    <w:sz w:val="20"/>
                    <w:szCs w:val="24"/>
                  </w:rPr>
                  <w:t>ŽŪM, ŽT, AM biudžeto lėšos</w:t>
                </w:r>
              </w:p>
            </w:tc>
            <w:tc>
              <w:tcPr>
                <w:tcW w:w="1363" w:type="dxa"/>
              </w:tcPr>
              <w:p>
                <w:pPr>
                  <w:rPr>
                    <w:rFonts w:eastAsia="Calibri"/>
                    <w:sz w:val="20"/>
                    <w:szCs w:val="24"/>
                  </w:rPr>
                </w:pPr>
                <w:r>
                  <w:rPr>
                    <w:rFonts w:eastAsia="Calibri"/>
                    <w:sz w:val="20"/>
                    <w:szCs w:val="24"/>
                  </w:rPr>
                  <w:t>ŽŪM, ŽT, AM</w:t>
                </w:r>
              </w:p>
            </w:tc>
          </w:tr>
        </w:tbl>
        <w:p>
          <w:pPr>
            <w:rPr>
              <w:rFonts w:eastAsia="Calibri"/>
              <w:b/>
              <w:sz w:val="18"/>
              <w:szCs w:val="22"/>
            </w:rPr>
          </w:pPr>
        </w:p>
        <w:sdt>
          <w:sdtPr>
            <w:alias w:val="skirsnis"/>
            <w:tag w:val="part_73337b1d7d3a451da161d24d81eef71e"/>
            <w:lock w:val="sdtLocked"/>
            <w:richText/>
          </w:sdtPr>
          <w:sdtContent>
            <w:p>
              <w:pPr>
                <w:rPr>
                  <w:rFonts w:eastAsia="Calibri"/>
                  <w:b/>
                  <w:sz w:val="18"/>
                  <w:szCs w:val="22"/>
                </w:rPr>
              </w:pPr>
              <w:sdt>
                <w:sdtPr>
                  <w:alias w:val="Pavadinimas"/>
                  <w:tag w:val="title_73337b1d7d3a451da161d24d81eef71e"/>
                  <w:lock w:val="sdtLocked"/>
                  <w:richText/>
                </w:sdtPr>
                <w:sdtContent>
                  <w:r>
                    <w:rPr>
                      <w:rFonts w:eastAsia="Calibri"/>
                      <w:b/>
                      <w:sz w:val="18"/>
                      <w:szCs w:val="22"/>
                    </w:rPr>
                    <w:t>Pastabos:</w:t>
                  </w:r>
                </w:sdtContent>
              </w:sdt>
            </w:p>
            <w:p>
              <w:pPr>
                <w:rPr>
                  <w:rFonts w:eastAsia="Calibri"/>
                  <w:sz w:val="18"/>
                  <w:szCs w:val="22"/>
                </w:rPr>
              </w:pPr>
              <w:r>
                <w:rPr>
                  <w:rFonts w:eastAsia="Calibri"/>
                  <w:sz w:val="18"/>
                  <w:szCs w:val="22"/>
                </w:rPr>
                <w:t>Vartojamos santrumpos:</w:t>
              </w:r>
            </w:p>
            <w:p>
              <w:pPr>
                <w:rPr>
                  <w:rFonts w:eastAsia="Calibri"/>
                  <w:sz w:val="18"/>
                  <w:szCs w:val="22"/>
                </w:rPr>
              </w:pPr>
              <w:r>
                <w:rPr>
                  <w:rFonts w:eastAsia="Calibri"/>
                  <w:sz w:val="18"/>
                  <w:szCs w:val="22"/>
                </w:rPr>
                <w:t>AM – Lietuvos Respublikos aplinkos ministerija;</w:t>
              </w:r>
            </w:p>
            <w:p>
              <w:pPr>
                <w:rPr>
                  <w:rFonts w:eastAsia="Calibri"/>
                  <w:sz w:val="18"/>
                  <w:szCs w:val="22"/>
                </w:rPr>
              </w:pPr>
              <w:r>
                <w:rPr>
                  <w:rFonts w:eastAsia="Calibri"/>
                  <w:sz w:val="18"/>
                  <w:szCs w:val="22"/>
                </w:rPr>
                <w:t>EŽF – Europos žuvininkystės fondas;</w:t>
              </w:r>
            </w:p>
            <w:p>
              <w:pPr>
                <w:rPr>
                  <w:rFonts w:eastAsia="Calibri"/>
                  <w:sz w:val="18"/>
                  <w:szCs w:val="22"/>
                </w:rPr>
              </w:pPr>
              <w:r>
                <w:rPr>
                  <w:rFonts w:eastAsia="Calibri"/>
                  <w:sz w:val="18"/>
                  <w:szCs w:val="22"/>
                </w:rPr>
                <w:t>ŽŪM – Lietuvos Respublikos žemės ūkio ministerija;</w:t>
              </w:r>
            </w:p>
            <w:p>
              <w:pPr>
                <w:rPr>
                  <w:rFonts w:eastAsia="Calibri"/>
                  <w:sz w:val="18"/>
                  <w:szCs w:val="22"/>
                </w:rPr>
              </w:pPr>
              <w:r>
                <w:rPr>
                  <w:rFonts w:eastAsia="Calibri"/>
                  <w:sz w:val="18"/>
                  <w:szCs w:val="22"/>
                </w:rPr>
                <w:t>ŽT – Žuvininkystės tarnyba prie Lietuvos Respublikos žemės ūkio ministerijos;</w:t>
              </w:r>
            </w:p>
            <w:p>
              <w:pPr>
                <w:rPr>
                  <w:rFonts w:eastAsia="Calibri"/>
                  <w:iCs/>
                  <w:sz w:val="18"/>
                  <w:szCs w:val="22"/>
                </w:rPr>
              </w:pPr>
              <w:r>
                <w:rPr>
                  <w:rFonts w:eastAsia="Calibri"/>
                  <w:iCs/>
                  <w:sz w:val="18"/>
                  <w:szCs w:val="22"/>
                </w:rPr>
                <w:t>GTC EI – Gamtos tyrimų centro Ekologijos institutas;</w:t>
              </w:r>
            </w:p>
            <w:p>
              <w:pPr>
                <w:rPr>
                  <w:rFonts w:eastAsia="Calibri"/>
                  <w:iCs/>
                  <w:sz w:val="18"/>
                  <w:szCs w:val="22"/>
                </w:rPr>
              </w:pPr>
              <w:r>
                <w:rPr>
                  <w:rFonts w:eastAsia="Calibri"/>
                  <w:iCs/>
                  <w:sz w:val="18"/>
                  <w:szCs w:val="22"/>
                </w:rPr>
                <w:t>A</w:t>
              </w:r>
              <w:r>
                <w:rPr>
                  <w:rFonts w:eastAsia="Calibri"/>
                  <w:iCs/>
                  <w:caps/>
                  <w:sz w:val="18"/>
                  <w:szCs w:val="22"/>
                </w:rPr>
                <w:t xml:space="preserve">arp – </w:t>
              </w:r>
              <w:r>
                <w:rPr>
                  <w:rFonts w:eastAsia="Calibri"/>
                  <w:iCs/>
                  <w:sz w:val="18"/>
                  <w:szCs w:val="22"/>
                </w:rPr>
                <w:t>Aplinkos apsaugos rėmimo programa;</w:t>
              </w:r>
            </w:p>
            <w:p>
              <w:pPr>
                <w:rPr>
                  <w:rFonts w:eastAsia="Calibri"/>
                  <w:sz w:val="18"/>
                  <w:szCs w:val="22"/>
                </w:rPr>
              </w:pPr>
              <w:r>
                <w:rPr>
                  <w:rFonts w:eastAsia="Calibri"/>
                  <w:iCs/>
                  <w:sz w:val="18"/>
                  <w:szCs w:val="22"/>
                </w:rPr>
                <w:t>ES – Europos Sąjunga.</w:t>
              </w:r>
            </w:p>
          </w:sdtContent>
        </w:sdt>
        <w:sdt>
          <w:sdtPr>
            <w:alias w:val="pabaiga"/>
            <w:tag w:val="part_9c24bb8395d644eb9ea02553f26da54f"/>
            <w:lock w:val="sdtLocked"/>
            <w:richText/>
          </w:sdtPr>
          <w:sdtContent>
            <w:p>
              <w:pPr>
                <w:jc w:val="center"/>
              </w:pPr>
              <w:r>
                <w:rPr>
                  <w:sz w:val="18"/>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fae8d0642d11e4ab32a37dfc9a0878">
            <w:r w:rsidRPr="00532B9F">
              <w:rPr>
                <w:rFonts w:ascii="Times New Roman" w:eastAsia="MS Mincho" w:hAnsi="Times New Roman"/>
                <w:sz w:val="20"/>
                <w:i/>
                <w:iCs/>
                <w:color w:val="0000FF" w:themeColor="hyperlink"/>
                <w:u w:val="single"/>
              </w:rPr>
              <w:t>3D-824/D1-874</w:t>
            </w:r>
          </w:fldSimple>
          <w:r>
            <w:rPr>
              <w:rFonts w:ascii="Times New Roman" w:eastAsia="MS Mincho" w:hAnsi="Times New Roman"/>
              <w:sz w:val="20"/>
              <w:i/>
              <w:iCs/>
            </w:rPr>
            <w:t>,
2014-11-04,
paskelbta TAR 2014-11-05, i. k. 2014-15781            </w:t>
          </w:r>
        </w:p>
        <w:p/>
      </w:sdtContent>
    </w:sdt>
    <w:sdt>
      <w:sdtPr>
        <w:alias w:val=""/>
        <w:tag w:val="part_2e5b8d9bbc5743659300c346206cb83e"/>
        <w:lock w:val="sdtLocked"/>
        <w:richText/>
      </w:sdtPr>
      <w:sdtContent>
        <w:p>
          <w:pPr>
            <w:jc w:val="center"/>
            <w:rPr>
              <w:color w:val="000000"/>
            </w:rPr>
            <w:sectPr>
              <w:pgSz w:w="16840" w:h="11907" w:orient="landscape" w:code="9"/>
              <w:pgMar w:top="1134" w:right="1134" w:bottom="1701" w:left="1134" w:header="567" w:footer="284" w:gutter="0"/>
              <w:cols w:space="1296"/>
              <w:docGrid w:linePitch="360"/>
            </w:sectPr>
          </w:pPr>
        </w:p>
        <w:p>
          <w:pPr>
            <w:ind w:left="4536"/>
            <w:rPr>
              <w:color w:val="000000"/>
            </w:rPr>
          </w:pPr>
          <w:r>
            <w:rPr>
              <w:color w:val="000000"/>
            </w:rPr>
            <w:t>PATVIRTINTA</w:t>
          </w:r>
        </w:p>
        <w:p>
          <w:pPr>
            <w:keepLines/>
            <w:widowControl w:val="0"/>
            <w:suppressAutoHyphens/>
            <w:ind w:left="4535"/>
            <w:rPr>
              <w:color w:val="000000"/>
            </w:rPr>
          </w:pPr>
          <w:r>
            <w:rPr>
              <w:color w:val="000000"/>
            </w:rPr>
            <w:t xml:space="preserve">Lietuvos Respublikos žemės ūkio ministro ir </w:t>
          </w:r>
        </w:p>
        <w:p>
          <w:pPr>
            <w:keepLines/>
            <w:widowControl w:val="0"/>
            <w:suppressAutoHyphens/>
            <w:ind w:left="4535"/>
            <w:rPr>
              <w:color w:val="000000"/>
            </w:rPr>
          </w:pPr>
          <w:r>
            <w:rPr>
              <w:color w:val="000000"/>
            </w:rPr>
            <w:t xml:space="preserve">Lietuvos Respublikos aplinkos ministro </w:t>
          </w:r>
        </w:p>
        <w:p>
          <w:pPr>
            <w:keepLines/>
            <w:widowControl w:val="0"/>
            <w:suppressAutoHyphens/>
            <w:ind w:left="4535"/>
            <w:rPr>
              <w:color w:val="000000"/>
            </w:rPr>
          </w:pPr>
          <w:r>
            <w:rPr>
              <w:color w:val="000000"/>
            </w:rPr>
            <w:t xml:space="preserve">2012 m. gegužės 8 d. </w:t>
          </w:r>
        </w:p>
        <w:p>
          <w:pPr>
            <w:keepLines/>
            <w:widowControl w:val="0"/>
            <w:suppressAutoHyphens/>
            <w:ind w:left="4535"/>
            <w:rPr>
              <w:color w:val="000000"/>
            </w:rPr>
          </w:pPr>
          <w:r>
            <w:rPr>
              <w:color w:val="000000"/>
            </w:rPr>
            <w:t>įsakymu Nr. 3D-330 / D1-401</w:t>
          </w:r>
        </w:p>
        <w:p>
          <w:pPr>
            <w:widowControl w:val="0"/>
            <w:suppressAutoHyphens/>
            <w:ind w:firstLine="567"/>
            <w:jc w:val="both"/>
            <w:rPr>
              <w:color w:val="000000"/>
            </w:rPr>
          </w:pPr>
        </w:p>
        <w:p>
          <w:pPr>
            <w:keepLines/>
            <w:widowControl w:val="0"/>
            <w:suppressAutoHyphens/>
            <w:jc w:val="center"/>
            <w:rPr>
              <w:b/>
              <w:bCs/>
              <w:caps/>
              <w:color w:val="000000"/>
            </w:rPr>
          </w:pPr>
          <w:r>
            <w:rPr>
              <w:b/>
              <w:bCs/>
              <w:caps/>
              <w:color w:val="000000"/>
            </w:rPr>
            <w:t>AŠTRIAŠNIPIŲ ERŠKETŲ POPULIACIJOS ATKŪRIMO LIETUVOJE 2012–2020 METAIS PROGRAMOS ĮGYVENDINIMO PRIEŽIŪROS GRUPĖ</w:t>
          </w:r>
        </w:p>
        <w:p>
          <w:pPr>
            <w:widowControl w:val="0"/>
            <w:suppressAutoHyphens/>
            <w:ind w:firstLine="567"/>
            <w:jc w:val="both"/>
            <w:rPr>
              <w:color w:val="000000"/>
            </w:rPr>
          </w:pPr>
        </w:p>
        <w:sdt>
          <w:sdtPr>
            <w:alias w:val="1 p."/>
            <w:tag w:val="part_dc80104d666d4f3e94bee9e100615717"/>
            <w:lock w:val="sdtLocked"/>
            <w:richText/>
          </w:sdtPr>
          <w:sdtContent>
            <w:p>
              <w:pPr>
                <w:suppressAutoHyphens/>
                <w:ind w:firstLine="567"/>
                <w:jc w:val="both"/>
                <w:textAlignment w:val="center"/>
                <w:rPr>
                  <w:color w:val="000000"/>
                  <w:szCs w:val="24"/>
                </w:rPr>
              </w:pPr>
              <w:sdt>
                <w:sdtPr>
                  <w:alias w:val="Numeris"/>
                  <w:tag w:val="nr_dc80104d666d4f3e94bee9e100615717"/>
                  <w:lock w:val="sdtLocked"/>
                  <w:richText/>
                </w:sdtPr>
                <w:sdtContent>
                  <w:r>
                    <w:rPr>
                      <w:color w:val="000000"/>
                      <w:szCs w:val="24"/>
                    </w:rPr>
                    <w:t>1</w:t>
                  </w:r>
                </w:sdtContent>
              </w:sdt>
              <w:r>
                <w:rPr>
                  <w:color w:val="000000"/>
                  <w:szCs w:val="24"/>
                </w:rPr>
                <w:t>. S u d a r o m e Aštriašnipių eršketų populiacijos atkūrimo Lietuvoje 2012–2020 metais programos įgyvendinimo priežiūros grupę (toliau – Priežiūros grupė):</w:t>
              </w:r>
            </w:p>
            <w:p>
              <w:pPr>
                <w:suppressAutoHyphens/>
                <w:ind w:firstLine="567"/>
                <w:jc w:val="both"/>
                <w:textAlignment w:val="center"/>
                <w:rPr>
                  <w:color w:val="000000"/>
                  <w:szCs w:val="24"/>
                  <w:lang w:eastAsia="lt-LT"/>
                </w:rPr>
              </w:pPr>
              <w:r>
                <w:rPr>
                  <w:color w:val="000000"/>
                  <w:szCs w:val="24"/>
                  <w:lang w:eastAsia="lt-LT"/>
                </w:rPr>
                <w:t xml:space="preserve">Agnė Razmislavičiūtė-Palionienė – Lietuvos Respublikos žemės ūkio ministerijos Žuvininkystės departamento (toliau – Žuvininkystės departamentas) direktorė, </w:t>
              </w:r>
              <w:r>
                <w:rPr>
                  <w:color w:val="000000"/>
                  <w:szCs w:val="24"/>
                </w:rPr>
                <w:t xml:space="preserve">Priežiūros grupės </w:t>
              </w:r>
              <w:r>
                <w:rPr>
                  <w:color w:val="000000"/>
                  <w:szCs w:val="24"/>
                  <w:lang w:eastAsia="lt-LT"/>
                </w:rPr>
                <w:t>vadovė;</w:t>
              </w:r>
            </w:p>
            <w:p>
              <w:pPr>
                <w:suppressAutoHyphens/>
                <w:ind w:firstLine="567"/>
                <w:jc w:val="both"/>
                <w:textAlignment w:val="center"/>
                <w:rPr>
                  <w:color w:val="000000"/>
                  <w:szCs w:val="24"/>
                  <w:lang w:eastAsia="lt-LT"/>
                </w:rPr>
              </w:pPr>
              <w:r>
                <w:rPr>
                  <w:color w:val="000000"/>
                  <w:szCs w:val="24"/>
                  <w:lang w:eastAsia="lt-LT"/>
                </w:rPr>
                <w:t>Ramunė Mickuvienė – Žuvininkystės departamento direktoriaus pavaduotoja, Priežiūros grupės vadovo pavaduotoja;</w:t>
              </w:r>
            </w:p>
            <w:p>
              <w:pPr>
                <w:suppressAutoHyphens/>
                <w:ind w:firstLine="567"/>
                <w:jc w:val="both"/>
                <w:textAlignment w:val="center"/>
                <w:rPr>
                  <w:strike/>
                  <w:color w:val="000000"/>
                  <w:szCs w:val="24"/>
                </w:rPr>
              </w:pPr>
              <w:r>
                <w:rPr>
                  <w:color w:val="000000"/>
                  <w:szCs w:val="24"/>
                </w:rPr>
                <w:t>Laimutis Budrys – Lietuvos Respublikos aplinkos ministerijos Gamtos apsaugos skyriaus vyriausiasis specialistas;</w:t>
              </w:r>
            </w:p>
            <w:p>
              <w:pPr>
                <w:suppressAutoHyphens/>
                <w:ind w:firstLine="567"/>
                <w:jc w:val="both"/>
                <w:textAlignment w:val="center"/>
                <w:rPr>
                  <w:color w:val="000000"/>
                  <w:szCs w:val="24"/>
                </w:rPr>
              </w:pPr>
              <w:r>
                <w:rPr>
                  <w:color w:val="000000"/>
                  <w:szCs w:val="24"/>
                </w:rPr>
                <w:t>Egidijus Bukelskis – Vilniaus universiteto Gamtos mokslų fakulteto Zoologijos katedros docentas;</w:t>
              </w:r>
            </w:p>
            <w:p>
              <w:pPr>
                <w:suppressAutoHyphens/>
                <w:ind w:firstLine="567"/>
                <w:jc w:val="both"/>
                <w:textAlignment w:val="center"/>
                <w:rPr>
                  <w:color w:val="000000"/>
                  <w:szCs w:val="24"/>
                </w:rPr>
              </w:pPr>
              <w:r>
                <w:rPr>
                  <w:color w:val="000000"/>
                  <w:szCs w:val="24"/>
                </w:rPr>
                <w:t>Valdas Gečys – Žuvininkystės tarnybos prie Lietuvos Respublikos žemės ūkio ministerijos (toliau – Žuvininkystės tarnyba) Žuvivaisos skyriaus vedėjas;</w:t>
              </w:r>
            </w:p>
            <w:p>
              <w:pPr>
                <w:suppressAutoHyphens/>
                <w:ind w:firstLine="567"/>
                <w:jc w:val="both"/>
                <w:textAlignment w:val="center"/>
                <w:rPr>
                  <w:color w:val="000000"/>
                  <w:szCs w:val="24"/>
                </w:rPr>
              </w:pPr>
              <w:r>
                <w:rPr>
                  <w:color w:val="000000"/>
                  <w:szCs w:val="24"/>
                </w:rPr>
                <w:t>Vilmantas Graičiūnas – Lietuvos Respublikos aplinkos ministerijos Gamtos apsaugos skyriaus vedėjas;</w:t>
              </w:r>
            </w:p>
            <w:p>
              <w:pPr>
                <w:suppressAutoHyphens/>
                <w:ind w:firstLine="567"/>
                <w:jc w:val="both"/>
                <w:textAlignment w:val="center"/>
                <w:rPr>
                  <w:color w:val="000000"/>
                  <w:spacing w:val="-4"/>
                  <w:szCs w:val="24"/>
                </w:rPr>
              </w:pPr>
              <w:r>
                <w:rPr>
                  <w:color w:val="000000"/>
                  <w:spacing w:val="-4"/>
                  <w:szCs w:val="24"/>
                </w:rPr>
                <w:t>Vytautas Kesminas – Gamtos tyrimų centro Ekologijos instituto Hidrobiontų ekologijos ir fiziologijos laboratorijos vadovas;</w:t>
              </w:r>
            </w:p>
            <w:p>
              <w:pPr>
                <w:suppressAutoHyphens/>
                <w:ind w:firstLine="567"/>
                <w:jc w:val="both"/>
                <w:textAlignment w:val="center"/>
                <w:rPr>
                  <w:color w:val="000000"/>
                  <w:szCs w:val="24"/>
                </w:rPr>
              </w:pPr>
              <w:r>
                <w:rPr>
                  <w:color w:val="000000"/>
                  <w:szCs w:val="24"/>
                </w:rPr>
                <w:t>Kęstutis Motiekaitis – Valstybinės aplinkos apsaugos tarnybos prie Lietuvos Respublikos aplinkos ministerijos Strategijos skyriaus vedėjas;</w:t>
              </w:r>
            </w:p>
            <w:p>
              <w:pPr>
                <w:suppressAutoHyphens/>
                <w:ind w:firstLine="567"/>
                <w:jc w:val="both"/>
                <w:textAlignment w:val="center"/>
                <w:rPr>
                  <w:color w:val="000000"/>
                  <w:spacing w:val="-6"/>
                  <w:szCs w:val="24"/>
                </w:rPr>
              </w:pPr>
              <w:r>
                <w:rPr>
                  <w:color w:val="000000"/>
                  <w:spacing w:val="-6"/>
                  <w:szCs w:val="24"/>
                </w:rPr>
                <w:t>Saulius Stakėnas – Gamtos tyrimų centro Ekologijos instituto Gėlųjų vandenų ekologijos sektoriaus vyresnysis mokslo darbuotojas;</w:t>
              </w:r>
            </w:p>
            <w:p>
              <w:pPr>
                <w:ind w:firstLine="567"/>
                <w:jc w:val="both"/>
                <w:rPr>
                  <w:color w:val="000000"/>
                  <w:szCs w:val="24"/>
                </w:rPr>
              </w:pPr>
              <w:r>
                <w:rPr>
                  <w:color w:val="000000"/>
                  <w:szCs w:val="24"/>
                </w:rPr>
                <w:t xml:space="preserve">Indrė Šidlauskienė – Žuvininkystės tarnybos direktorė; </w:t>
              </w:r>
            </w:p>
            <w:p>
              <w:pPr>
                <w:ind w:firstLine="567"/>
                <w:jc w:val="both"/>
                <w:rPr>
                  <w:color w:val="000000"/>
                </w:rPr>
              </w:pPr>
              <w:r>
                <w:rPr>
                  <w:color w:val="000000"/>
                  <w:szCs w:val="24"/>
                </w:rPr>
                <w:t>Laima Vaitonytė – Žuvininkystės departamento Žuvininkystės politikos skyriaus vyriausioji specialistė.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fae8d0642d11e4ab32a37dfc9a0878">
                <w:r w:rsidRPr="00532B9F">
                  <w:rPr>
                    <w:rFonts w:ascii="Times New Roman" w:eastAsia="MS Mincho" w:hAnsi="Times New Roman"/>
                    <w:sz w:val="20"/>
                    <w:i/>
                    <w:iCs/>
                    <w:color w:val="0000FF" w:themeColor="hyperlink"/>
                    <w:u w:val="single"/>
                  </w:rPr>
                  <w:t>3D-824/D1-874</w:t>
                </w:r>
              </w:fldSimple>
              <w:r>
                <w:rPr>
                  <w:rFonts w:ascii="Times New Roman" w:eastAsia="MS Mincho" w:hAnsi="Times New Roman"/>
                  <w:sz w:val="20"/>
                  <w:i/>
                  <w:iCs/>
                </w:rPr>
                <w:t>,
2014-11-04,
paskelbta TAR 2014-11-05, i. k. 2014-15781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6af0056811e6a238c18f7a3f1736">
                <w:r w:rsidRPr="00532B9F">
                  <w:rPr>
                    <w:rFonts w:ascii="Times New Roman" w:eastAsia="MS Mincho" w:hAnsi="Times New Roman"/>
                    <w:sz w:val="20"/>
                    <w:i/>
                    <w:iCs/>
                    <w:color w:val="0000FF" w:themeColor="hyperlink"/>
                    <w:u w:val="single"/>
                  </w:rPr>
                  <w:t>3D-220/D1-260</w:t>
                </w:r>
              </w:fldSimple>
              <w:r>
                <w:rPr>
                  <w:rFonts w:ascii="Times New Roman" w:eastAsia="MS Mincho" w:hAnsi="Times New Roman"/>
                  <w:sz w:val="20"/>
                  <w:i/>
                  <w:iCs/>
                </w:rPr>
                <w:t>,
2016-04-18,
paskelbta TAR 2016-04-18, i. k. 2016-09860            </w:t>
              </w:r>
            </w:p>
            <w:p/>
          </w:sdtContent>
        </w:sdt>
        <w:sdt>
          <w:sdtPr>
            <w:alias w:val="2 p."/>
            <w:tag w:val="part_17c597f639634a72b0ed9df250f027ed"/>
            <w:lock w:val="sdtLocked"/>
            <w:richText/>
          </w:sdtPr>
          <w:sdtContent>
            <w:p>
              <w:pPr>
                <w:widowControl w:val="0"/>
                <w:suppressAutoHyphens/>
                <w:ind w:firstLine="567"/>
                <w:jc w:val="both"/>
                <w:rPr>
                  <w:color w:val="000000"/>
                </w:rPr>
              </w:pPr>
              <w:sdt>
                <w:sdtPr>
                  <w:alias w:val="Numeris"/>
                  <w:tag w:val="nr_17c597f639634a72b0ed9df250f027ed"/>
                  <w:lock w:val="sdtLocked"/>
                  <w:richText/>
                </w:sdtPr>
                <w:sdtContent>
                  <w:r>
                    <w:rPr>
                      <w:color w:val="000000"/>
                    </w:rPr>
                    <w:t>2</w:t>
                  </w:r>
                </w:sdtContent>
              </w:sdt>
              <w:r>
                <w:rPr>
                  <w:color w:val="000000"/>
                </w:rPr>
                <w:t>. P a v e d a m e Priežiūros grupei pirmojo posėdžio metu patvirtinti darbo reglamentą.</w:t>
              </w:r>
            </w:p>
          </w:sdtContent>
        </w:sdt>
        <w:sdt>
          <w:sdtPr>
            <w:alias w:val="3 p."/>
            <w:tag w:val="part_7c98691275cd4a09bc0e538ad435f0f9"/>
            <w:lock w:val="sdtLocked"/>
            <w:richText/>
          </w:sdtPr>
          <w:sdtContent>
            <w:p>
              <w:pPr>
                <w:widowControl w:val="0"/>
                <w:suppressAutoHyphens/>
                <w:ind w:firstLine="567"/>
                <w:jc w:val="both"/>
                <w:rPr>
                  <w:color w:val="000000"/>
                </w:rPr>
              </w:pPr>
              <w:sdt>
                <w:sdtPr>
                  <w:alias w:val="Numeris"/>
                  <w:tag w:val="nr_7c98691275cd4a09bc0e538ad435f0f9"/>
                  <w:lock w:val="sdtLocked"/>
                  <w:richText/>
                </w:sdtPr>
                <w:sdtContent>
                  <w:r>
                    <w:rPr>
                      <w:color w:val="000000"/>
                    </w:rPr>
                    <w:t>3</w:t>
                  </w:r>
                </w:sdtContent>
              </w:sdt>
              <w:r>
                <w:rPr>
                  <w:color w:val="000000"/>
                </w:rPr>
                <w:t>. N u s t a t o m e, kad į Priežiūros grupės posėdžius esant poreikiui gali būti kviečiami ir kitų institucijų, įmonių ir organizacijų atstovai.</w:t>
              </w:r>
            </w:p>
            <w:p>
              <w:pPr>
                <w:keepLines/>
                <w:widowControl w:val="0"/>
                <w:suppressAutoHyphens/>
                <w:jc w:val="center"/>
                <w:rPr>
                  <w:color w:val="000000"/>
                </w:rPr>
              </w:pPr>
            </w:p>
          </w:sdtContent>
        </w:sdt>
        <w:sdt>
          <w:sdtPr>
            <w:alias w:val="pabaiga"/>
            <w:tag w:val="part_90c86793bc6344c089fffbd7e418f4cf"/>
            <w:lock w:val="sdtLocked"/>
            <w:richText/>
          </w:sdtPr>
          <w:sdtContent>
            <w:p>
              <w:pPr>
                <w:keepLines/>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fae8d0642d11e4ab32a37dfc9a0878">
            <w:r w:rsidRPr="00532B9F">
              <w:rPr>
                <w:rFonts w:ascii="Times New Roman" w:eastAsia="MS Mincho" w:hAnsi="Times New Roman"/>
                <w:sz w:val="20"/>
                <w:iCs/>
                <w:color w:val="0000FF" w:themeColor="hyperlink"/>
                <w:u w:val="single"/>
              </w:rPr>
              <w:t>3D-824/D1-874</w:t>
            </w:r>
          </w:fldSimple>
          <w:r>
            <w:rPr>
              <w:rFonts w:ascii="Times New Roman" w:eastAsia="MS Mincho" w:hAnsi="Times New Roman"/>
              <w:sz w:val="20"/>
              <w:iCs/>
            </w:rPr>
            <w:t>,
2014-11-04,
paskelbta TAR 2014-11-05, i. k. 2014-15781                </w:t>
          </w:r>
        </w:p>
        <w:p>
          <w:pPr>
            <w:jc w:val="both"/>
            <w:rPr>
              <w:rFonts w:ascii="Times New Roman" w:hAnsi="Times New Roman"/>
            </w:rPr>
          </w:pPr>
          <w:r>
            <w:rPr>
              <w:rFonts w:ascii="Times New Roman" w:hAnsi="Times New Roman"/>
              <w:sz w:val="20"/>
            </w:rPr>
            <w:t>Dėl žemės ūkio ministro ir aplinkos ministro 2012 gegužės 8 d. įsakymo Nr. 3D-330/D1-401 „Dėl Aštriašnipių eršketų populiacijos atkūrimo Lietuvoje 2012–2020 metais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736af0056811e6a238c18f7a3f1736">
            <w:r w:rsidRPr="00532B9F">
              <w:rPr>
                <w:rFonts w:ascii="Times New Roman" w:eastAsia="MS Mincho" w:hAnsi="Times New Roman"/>
                <w:sz w:val="20"/>
                <w:iCs/>
                <w:color w:val="0000FF" w:themeColor="hyperlink"/>
                <w:u w:val="single"/>
              </w:rPr>
              <w:t>3D-220/D1-260</w:t>
            </w:r>
          </w:fldSimple>
          <w:r>
            <w:rPr>
              <w:rFonts w:ascii="Times New Roman" w:eastAsia="MS Mincho" w:hAnsi="Times New Roman"/>
              <w:sz w:val="20"/>
              <w:iCs/>
            </w:rPr>
            <w:t>,
2016-04-18,
paskelbta TAR 2016-04-18, i. k. 2016-09860                </w:t>
          </w:r>
        </w:p>
        <w:p>
          <w:pPr>
            <w:jc w:val="both"/>
            <w:rPr>
              <w:rFonts w:ascii="Times New Roman" w:hAnsi="Times New Roman"/>
            </w:rPr>
          </w:pPr>
          <w:r>
            <w:rPr>
              <w:rFonts w:ascii="Times New Roman" w:hAnsi="Times New Roman"/>
              <w:sz w:val="20"/>
            </w:rPr>
            <w:t>Dėl žemės ūkio ministro ir aplinkos ministro 2012 gegužės 8 d. įsakymo Nr. 3D-330/D1-401 „Dėl Aštriašnipių eršketų populiacijos atkūrimo Lietuvoje 2012–2020 metais programos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9</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7</w:t>
    </w:r>
    <w:r>
      <w:rPr>
        <w:sz w:val="22"/>
        <w:szCs w:val="22"/>
      </w:rPr>
      <w:fldChar w:fldCharType="end"/>
    </w:r>
  </w:p>
  <w:p>
    <w:pPr>
      <w:tabs>
        <w:tab w:val="center" w:pos="4819"/>
        <w:tab w:val="right" w:pos="9638"/>
      </w:tabs>
      <w:rPr>
        <w:sz w:val="22"/>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591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2B96CE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a9ece50183f4d7f85e7e356a57990ba" PartId="586d63a5877f435cb0b4b8837e78d6e1">
    <Part Type="preambule" DocPartId="b8509f11700048a7a054acba2edf929c" PartId="93eb0378188a4945a87747406eb3d6f3"/>
    <Part Type="punktas" Nr="1" Abbr="1 p." DocPartId="5879384870a54639900bb8e63645ec29" PartId="c8b8bb9a56b74091908fdba25105ecd9">
      <Part Type="punktas" Nr="1.1" Abbr="1.1 p." DocPartId="3dbcb99d27014a019927879065805d6a" PartId="bd2953688f8042418223291d5c1d4264"/>
      <Part Type="punktas" Nr="1.2" Abbr="1.2 p." DocPartId="10d76130422141619a9fd2b5d74f7bd8" PartId="7ad56ea8e08e43a692d83ea03b5529af"/>
    </Part>
    <Part Type="punktas" Nr="2" Abbr="2 p." DocPartId="e490dbc7fde74246aa63123cec5a5af0" PartId="5bfdd8fca568470291b5f44e9070bb87">
      <Part Type="punktas" Nr="2.1" Abbr="2.1 p." DocPartId="fd2ec13fd1e94f8ebe2258a6b1d592d9" PartId="b8bc5e77ba7a4e1e97d525046161099f"/>
      <Part Type="punktas" Nr="2.2" Abbr="2.2 p." DocPartId="0b7c27651c444f268ab2daf00956ca83" PartId="eee204b80e154a24858d1838f256afe0"/>
    </Part>
    <Part Type="signatura" DocPartId="5d7c138f165843f5a548cabb69d9d485" PartId="ec45e4f129ab4d13a54b13f3b8b47d4f"/>
  </Part>
  <Part Type="patvirtinta" Title="AŠTRIAŠNIPIŲ ERŠKETŲ POPULIACIJOS ATKŪRIMO LIETUVOJE 2012–2020 METAIS PROGRAMA" DocPartId="923356332ae34d8a8641c14f024a31a0" PartId="3669b2d6ca94461aaccedb31276194c4">
    <Part Type="skyrius" Nr="1" Title="BENDROSIOS NUOSTATOS" DocPartId="e5d8f7511e904f05bc82b7bb78c8cb36" PartId="3942726bf6a5440c8f4d6cfe0de9b94f">
      <Part Type="punktas" Nr="1" Abbr="1 p." DocPartId="5e668489247a4dde97b298b1c4d4deda" PartId="e1ceea45c44d4c37a11db109e2b2490f"/>
      <Part Type="punktas" Nr="2" Abbr="2 p." DocPartId="f6ab3a861b82408d8a2aa16df0b4e2ba" PartId="471dd419c258417fbff720112ff388c6"/>
    </Part>
    <Part Type="skyrius" Nr="2" Title="ESAMA BŪKLĖ" DocPartId="004c8f9e102f4e5c9292ac7a4f5ea478" PartId="c0ed2839af54475fb3a1af210413887e">
      <Part Type="punktas" Nr="3" Abbr="3 p." DocPartId="aa382120cc7e4acd9a19c210c691c567" PartId="e0c14ffbc422424398a5246397208741"/>
      <Part Type="punktas" Nr="4" Abbr="4 p." DocPartId="d9b81c81c9814e529ea0fba48dfe7957" PartId="f05167b8d8de467ca2a603ce095e540b"/>
      <Part Type="punktas" Nr="5" Abbr="5 p." DocPartId="0ea5b28f8a5f4e009adfb3c3e95980d3" PartId="e86c198acd8f4047be85cd4c5569894f"/>
      <Part Type="punktas" Nr="6" Abbr="6 p." DocPartId="82949213220649d2b11068566bd142f3" PartId="1160e51177b940aebdea80840e1fdad3"/>
    </Part>
    <Part Type="skyrius" Nr="3" Title="PROGRAMOS TIKSLAI, UŽDAVINIAI" DocPartId="9f53f666844c44abb6bdda25d21784f3" PartId="88fb13411775452b96c2e7ea6b0c1f0e">
      <Part Type="punktas" Nr="7" Abbr="7 p." DocPartId="843bbc9cf40f46088e283a21d43fea63" PartId="74da671548584cff953f054e93e872d4"/>
      <Part Type="punktas" Nr="8" Abbr="8 p." DocPartId="d487ffb92e8d4612bca307cff05d236b" PartId="ea260207af984524b8f58712672688a9">
        <Part Type="punktas" Nr="8.1" Abbr="8.1 p." DocPartId="92cc393bda4943be80bf8a5de26e215e" PartId="19316ba0c1a9485fa35d2e58f34069a1"/>
        <Part Type="punktas" Nr="8.2" Abbr="8.2 p." DocPartId="377bb5cde5ca4e739e92600eeae2fd5b" PartId="3b87028b82bb44099353424ba60f0667"/>
      </Part>
    </Part>
    <Part Type="skyrius" Nr="4" Title="PROGRAMOS VERTINIMO KRITERIJAI IR SIEKIAMAS REZULTATAS" DocPartId="a989e3594be34f62a58556c196dd0a55" PartId="cd93e60a54834541a65a9e50dd309fd0">
      <Part Type="punktas" Nr="9" Abbr="9 p." DocPartId="85113ead80ec4901a8a9eaef417a46de" PartId="0bf48b98d540455d81e24a5db3235b72">
        <Part Type="punktas" Nr="9.1" Abbr="9.1 p." DocPartId="01f51c6d7928449aa788f905bdb4b2c1" PartId="92c23f6ab5584108b0f7c445aebe920d"/>
        <Part Type="punktas" Nr="9.2" Abbr="9.2 p." DocPartId="ff5da76df9f64f81b846e49e41d7bac2" PartId="0ab01954845e4f6eb5915d4c057ecd30"/>
      </Part>
      <Part Type="punktas" Nr="10" Abbr="10 p." DocPartId="8e907102aa344118a72ac01d1ff989f5" PartId="0fdc15d9c9414710932d02dda87b8c37"/>
    </Part>
    <Part Type="skyrius" Nr="5" Title="PROGRAMOS ĮGYVENDINIMO PRIEMONĖS" DocPartId="a251ea7cef8149718882d47c4d8a1db4" PartId="64d5e222041c44afa3acc81243fc8685">
      <Part Type="punktas" Nr="11" Abbr="11 p." DocPartId="56d4c0d8e015496aa8e584880e22866d" PartId="f5086bb867824e1db0f6bc5b704a9f5b">
        <Part Type="punktas" Nr="11.1" Abbr="11.1 p." DocPartId="da8eb09596bb4419932f05a71992410a" PartId="db1c71c32d09414d86d781b85c3295b4"/>
        <Part Type="punktas" Nr="11.2" Abbr="11.2 p." DocPartId="c3d9b1d651ab418fa2a71f66e94e15da" PartId="d415c52d5f3346199c749c0b2d53d38c"/>
        <Part Type="punktas" Nr="11.3" Abbr="11.3 p." DocPartId="9fb698a1b64e4ef8a6162b89abb4774c" PartId="1948bf5408b94ea0b6423ed24c30cb93"/>
        <Part Type="punktas" Nr="11.4" Abbr="11.4 p." DocPartId="2e927cbd7c1e49a3ae0dc68c83b0eaf0" PartId="3cf54f90c6164c23b96839b683ad7826"/>
        <Part Type="punktas" Nr="11.5" Abbr="11.5 p." DocPartId="5ff6393b16674491b295f87fb197c902" PartId="d298d13e44154b26bee4f91ca22375a3"/>
        <Part Type="punktas" Nr="11.6" Abbr="11.6 p." DocPartId="5e5df401bbe44f7b8f32a300bbd37371" PartId="aa6b8be9b23f433db28edf7a86355a01"/>
        <Part Type="punktas" Nr="11.7" Abbr="11.7 p." DocPartId="6b2e7fd337214bdc9281b9402c9f2e10" PartId="ff5eddb99bd94938a45b242ffa647e79"/>
        <Part Type="punktas" Nr="11.8" Abbr="11.8 p." DocPartId="d1509c23fd5a4508aa9e9772edcb90c6" PartId="8944917da0c24de79289e6fb9301c3a0"/>
        <Part Type="punktas" Nr="11.9" Abbr="11.9 p." DocPartId="5db1c47ca7e44cc895852e90bb01b1d1" PartId="0273cd873a2948fc8dbef164e0016c0d"/>
        <Part Type="punktas" Nr="11.10" Abbr="11.10 p." DocPartId="3e02d6e2180e494782da8c04a7070031" PartId="6b65ed0e43e34ea2b8444a068eccf227"/>
        <Part Type="punktas" Nr="11.11" Abbr="11.11 p." DocPartId="c3d4ed057c474818a5081d7d94839a8c" PartId="575c41c232774fddb58e4ac8ee87742c"/>
        <Part Type="punktas" Nr="11.12" Abbr="11.12 p." DocPartId="bfa216629a534352b5381fb57e64f6f6" PartId="2d009ae1bd8642a2ae0073c21734ae22"/>
        <Part Type="punktas" Nr="11.13" Abbr="11.13 p." DocPartId="9fc2162187184873bdcf1d013bdb1a5d" PartId="0a0f9f98abc74d38b33cdf3529c85360"/>
        <Part Type="punktas" Nr="11.14" Abbr="11.14 p." DocPartId="8a7bff8016494ac1bdaa7354ef2cc579" PartId="7fd91b2b515543979c0d054c1a6b6b4c"/>
      </Part>
      <Part Type="punktas" Nr="12" Abbr="12 p." DocPartId="c53983058e674ec882b15a107bc22b0a" PartId="7e8330600c604aaeaa3dd9c0d3f21dcf"/>
    </Part>
    <Part Type="skyrius" Nr="6" Title="PROGRAMOS KOORDINAVIMAS IR ĮGYVENDINIMAS" DocPartId="fcb8b0340ed44f25abc49bb811292e59" PartId="3af28bbc2bda4a3a81c02d90f9895e3f">
      <Part Type="punktas" Nr="13" Abbr="13 p." DocPartId="75f5672762a843b28316286e74de9689" PartId="c436051e1e5348759bfec6dde098bcb1"/>
      <Part Type="punktas" Nr="14" Abbr="14 p." DocPartId="5cbc9500f5214cdeab36ec1a0883102f" PartId="e68a34ec7a6b4548ae27f0b5dd759e9b"/>
      <Part Type="punktas" Nr="15" Abbr="15 p." DocPartId="1af30d25247a40db89cf9f33d72358f5" PartId="1bec0bac7e28488ba8faae489f4aad4d"/>
      <Part Type="punktas" Nr="16" Abbr="16 p." DocPartId="33650d2e9c9c4d1c9e5617970edd3101" PartId="353c2f134daf4041ab707a695579da1a"/>
      <Part Type="punktas" Nr="17" Abbr="17 p." DocPartId="5c4ca8e9b5864beda5cc74e946777734" PartId="5e657dc9b2b24f76aebc5d6ee5342d2f"/>
    </Part>
    <Part Type="skyrius" Nr="7" Title="PROGRAMOS FINANSAVIMAS" DocPartId="0ad90db87aff4262bfc28033ac387054" PartId="7d3eb08632dc4e9695285c9bf0cbdf00">
      <Part Type="punktas" Nr="18" Abbr="18 p." DocPartId="6c6ff2dd763a4bcb8eccbf6c9d119910" PartId="4022b9986e6b480aaf846d5234b9e609"/>
      <Part Type="punktas" Nr="19" Abbr="19 p." DocPartId="0d7024e18739425fbe7dd34254fefccb" PartId="774cbfd5b8cf4378950b19e06a6152df"/>
    </Part>
    <Part Type="pabaiga" DocPartId="f74df045fb3f4386a96106a0af6e3639" PartId="ce41bde56dc3495b8110592605db7414"/>
  </Part>
  <Part Type="priedas" Abbr="pr." Title="AŠTRIAŠNIPIŲ ERŠKETŲ POPULIACIJOS ATKŪRIMO LIETUVOJE 2012–2020 METAIS PROGRAMOS VEIKSMŲ PLANAS" DocPartId="bd14df1b27764e459ad1e044932e72de" PartId="539bdcaa8b1e4fcea023924e260b41c3">
    <Part Type="skirsnis" Title="Pastabos:" DocPartId="4404b7b48a4944108e5757b7b0f57a58" PartId="73337b1d7d3a451da161d24d81eef71e"/>
    <Part Type="pabaiga" DocPartId="d0131371307647a9af876d5fae4b559a" PartId="9c24bb8395d644eb9ea02553f26da54f"/>
  </Part>
  <Part Type="patvirtinta" Nr="" Abbr="" Title="" DocPartId="f4b546e81d774ea993c0c503a856adb4" PartId="2e5b8d9bbc5743659300c346206cb83e">
    <Part Type="punktas" Nr="1" Abbr="1 p." DocPartId="bcf7d718db0e4c35a104fe4c70879fdb" PartId="dc80104d666d4f3e94bee9e100615717"/>
    <Part Type="punktas" Nr="2" Abbr="2 p." DocPartId="4aedcfe897d245c18c47f886a78632d2" PartId="17c597f639634a72b0ed9df250f027ed"/>
    <Part Type="punktas" Nr="3" Abbr="3 p." DocPartId="163fab8f143c467d9acc31c1b92ceb81" PartId="7c98691275cd4a09bc0e538ad435f0f9"/>
    <Part Type="pabaiga" DocPartId="1aaffb2682ad4eb4aaaea412de9cbda0" PartId="90c86793bc6344c089fffbd7e418f4cf"/>
  </Part>
</Parts>
</file>

<file path=customXml/itemProps1.xml><?xml version="1.0" encoding="utf-8"?>
<ds:datastoreItem xmlns:ds="http://schemas.openxmlformats.org/officeDocument/2006/customXml" ds:itemID="{98C996A1-E6F8-4721-B7A3-F77A3C12D322}">
  <ds:schemaRefs>
    <ds:schemaRef ds:uri="http://lrs.lt/TAIS/DocParts"/>
  </ds:schemaRefs>
</ds:datastoreItem>
</file>

<file path=docProps/app.xml><?xml version="1.0" encoding="utf-8"?>
<Properties xmlns="http://schemas.openxmlformats.org/officeDocument/2006/extended-properties">
  <Template>Normal.dotm</Template>
  <TotalTime>8</TotalTime>
  <Pages>9</Pages>
  <Words>10335</Words>
  <Characters>5891</Characters>
  <Application>Microsoft Office Word</Application>
  <DocSecurity>0</DocSecurity>
  <Lines>49</Lines>
  <Paragraphs>32</Paragraphs>
  <ScaleCrop>false</ScaleCrop>
  <Company/>
  <LinksUpToDate>false</LinksUpToDate>
  <CharactersWithSpaces>16194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2015-10-04T05:06:00Z</dcterms:created>
  <dc:creator>Rima</dc:creator>
  <lastModifiedBy>JUOSPONIENĖ Karolina</lastModifiedBy>
  <dcterms:modified xsi:type="dcterms:W3CDTF">2016-04-19T05:47:00Z</dcterms:modified>
  <revision>6</revision>
  <dc:title>LIETUVOS RESPUBLIKOS ŽEMĖS ŪKIO MINISTRO</dc:title>
</coreProperties>
</file>