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7dbdc66600f94fbfb28970b70ba98b43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2014-04-29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2012, Nr. </w:t>
          </w:r>
          <w:fldSimple w:instr="HYPERLINK https://www.e-tar.lt/portal/legalAct.html?documentId=TAR.5C3B32EDF92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41-2003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; Žin. 2012, Nr. </w:t>
          </w:r>
          <w:fldSimple w:instr="HYPERLINK https://www.e-tar.lt/portal/legalAct.html?documentId=TAR.5C3B32EDF92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69-3579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1122055ISAK000VA-40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2014-04-29: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a904ed20cebd11e3a8ded1a0f5aff0a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VA-25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2014-04-28,
paskelbta TAR 2014-04-28, i. k. 2014-04827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suppressAutoHyphens/>
            <w:spacing w:line="259" w:lineRule="auto"/>
            <w:ind w:firstLine="900"/>
            <w:jc w:val="both"/>
            <w:rPr>
              <w:sz w:val="14"/>
              <w:szCs w:val="14"/>
            </w:rPr>
          </w:pPr>
        </w:p>
        <w:sdt>
          <w:sdtPr>
            <w:alias w:val="Pavadinimas"/>
            <w:tag w:val="title_7dbdc66600f94fbfb28970b70ba98b43"/>
            <w:lock w:val="sdtLocked"/>
            <w:richText/>
          </w:sdtPr>
          <w:sdtContent>
            <w:p>
              <w:pPr>
                <w:suppressAutoHyphens/>
                <w:jc w:val="center"/>
                <w:rPr>
                  <w:rFonts w:eastAsia="Calibri"/>
                  <w:b/>
                  <w:caps/>
                  <w:szCs w:val="24"/>
                </w:rPr>
              </w:pPr>
              <w:r>
                <w:rPr>
                  <w:rFonts w:eastAsia="Calibri"/>
                  <w:b/>
                  <w:caps/>
                  <w:szCs w:val="24"/>
                </w:rPr>
                <w:t xml:space="preserve">VALSTYBINĖS MOKESČIŲ INSPEKCIJOS </w:t>
              </w:r>
            </w:p>
            <w:p>
              <w:pPr>
                <w:suppressAutoHyphens/>
                <w:jc w:val="center"/>
                <w:rPr>
                  <w:rFonts w:eastAsia="Calibri"/>
                  <w:b/>
                  <w:caps/>
                  <w:szCs w:val="24"/>
                </w:rPr>
              </w:pPr>
              <w:r>
                <w:rPr>
                  <w:rFonts w:eastAsia="Calibri"/>
                  <w:b/>
                  <w:caps/>
                  <w:szCs w:val="24"/>
                </w:rPr>
                <w:t xml:space="preserve">PRIE LIETUVOS RESPUBLIKOS FINANSŲ MINISTERIJOS </w:t>
              </w:r>
            </w:p>
            <w:p>
              <w:pPr>
                <w:suppressAutoHyphens/>
                <w:jc w:val="center"/>
                <w:rPr>
                  <w:rFonts w:eastAsia="Calibri"/>
                  <w:b/>
                  <w:color w:val="000000"/>
                  <w:szCs w:val="24"/>
                </w:rPr>
              </w:pPr>
              <w:r>
                <w:rPr>
                  <w:rFonts w:eastAsia="Calibri"/>
                  <w:b/>
                  <w:caps/>
                  <w:szCs w:val="24"/>
                </w:rPr>
                <w:t>VIRŠININKAS</w:t>
              </w:r>
            </w:p>
          </w:sdtContent>
        </w:sdt>
        <w:p>
          <w:pPr>
            <w:suppressAutoHyphens/>
            <w:spacing w:line="259" w:lineRule="auto"/>
            <w:jc w:val="center"/>
            <w:rPr>
              <w:rFonts w:eastAsia="Calibri"/>
              <w:b/>
              <w:color w:val="000000"/>
              <w:szCs w:val="24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uppressAutoHyphens/>
            <w:jc w:val="center"/>
            <w:rPr>
              <w:rFonts w:eastAsia="Calibri"/>
              <w:b/>
              <w:color w:val="000000"/>
              <w:szCs w:val="24"/>
            </w:rPr>
          </w:pPr>
          <w:r>
            <w:rPr>
              <w:rFonts w:eastAsia="Calibri"/>
              <w:b/>
              <w:caps/>
              <w:szCs w:val="24"/>
            </w:rPr>
            <w:t>ĮSAKYMAS</w:t>
          </w:r>
        </w:p>
        <w:p>
          <w:pPr>
            <w:suppressAutoHyphens/>
            <w:jc w:val="center"/>
            <w:rPr>
              <w:rFonts w:eastAsia="Calibri"/>
              <w:color w:val="000000"/>
              <w:szCs w:val="24"/>
            </w:rPr>
          </w:pPr>
          <w:r>
            <w:rPr>
              <w:rFonts w:eastAsia="Calibri"/>
              <w:b/>
              <w:color w:val="000000"/>
              <w:szCs w:val="24"/>
            </w:rPr>
            <w:t>DĖL KASOS APARATO NENAUDOJIMO ATVEJŲ, KAI KASOS APARATO NEĮMANOMA NAUDOTI DĖL OBJEKTYVIŲ PRIEŽASČIŲ ARBA KASOS APARATO NAUDOJIMAS SUKELTŲ AKIVAIZDŽIAI NEPROPORCINGĄ ADMINISTRACINĘ NAŠTĄ, IR APSKAITOS DOKUMENTO IŠRAŠYMO</w:t>
          </w:r>
        </w:p>
        <w:p>
          <w:pPr>
            <w:spacing w:line="259" w:lineRule="auto"/>
            <w:rPr>
              <w:rFonts w:eastAsia="Calibri"/>
              <w:szCs w:val="24"/>
            </w:rPr>
          </w:pPr>
        </w:p>
        <w:p>
          <w:pPr>
            <w:spacing w:line="259" w:lineRule="auto"/>
            <w:jc w:val="center"/>
            <w:rPr>
              <w:color w:val="000000"/>
            </w:rPr>
          </w:pPr>
          <w:r>
            <w:rPr>
              <w:color w:val="000000"/>
            </w:rPr>
            <w:t>2012 m. balandžio 3 d. Nr. VA-40</w:t>
          </w:r>
        </w:p>
        <w:p>
          <w:pPr>
            <w:spacing w:line="259" w:lineRule="auto"/>
            <w:jc w:val="center"/>
            <w:rPr>
              <w:rFonts w:eastAsia="Calibri"/>
              <w:szCs w:val="24"/>
            </w:rPr>
          </w:pPr>
          <w:r>
            <w:rPr>
              <w:color w:val="000000"/>
            </w:rPr>
            <w:t>Vilnius</w:t>
          </w:r>
        </w:p>
        <w:p>
          <w:pPr>
            <w:rPr>
              <w:sz w:val="14"/>
              <w:szCs w:val="14"/>
            </w:rPr>
          </w:pPr>
        </w:p>
        <w:sdt>
          <w:sdtPr>
            <w:alias w:val="preambule"/>
            <w:tag w:val="part_f77e5e6a5c3946d2bb8f27dc8e151ee7"/>
            <w:lock w:val="sdtLocked"/>
            <w:richText/>
          </w:sdtPr>
          <w:sdtContent>
            <w:p>
              <w:pPr>
                <w:spacing w:line="259" w:lineRule="auto"/>
                <w:ind w:firstLine="90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Vadovaudamasis Kasos aparatų diegimo ir naudojimo tvarkos aprašo, patvirtinto Lietuvos Respublikos Vyriausybės </w:t>
              </w:r>
              <w:smartTag w:uri="urn:schemas-microsoft-com:office:smarttags" w:element="metricconverter">
                <w:smartTagPr>
                  <w:attr w:name="ProductID" w:val="2002 m"/>
                </w:smartTagPr>
                <w:r>
                  <w:rPr>
                    <w:rFonts w:eastAsia="Calibri"/>
                    <w:szCs w:val="24"/>
                  </w:rPr>
                  <w:t>2002 m</w:t>
                </w:r>
              </w:smartTag>
              <w:r>
                <w:rPr>
                  <w:rFonts w:eastAsia="Calibri"/>
                  <w:szCs w:val="24"/>
                </w:rPr>
                <w:t>. rugpjūčio 13 d. nutarimu Nr. 1283 „Dėl Kasos aparatų diegimo ir naudojimo tvarkos aprašo patvirtinimo“, 12.1 papunkčiu ir 12</w:t>
              </w:r>
              <w:r>
                <w:rPr>
                  <w:rFonts w:eastAsia="Calibri"/>
                  <w:szCs w:val="24"/>
                  <w:vertAlign w:val="superscript"/>
                </w:rPr>
                <w:t>1</w:t>
              </w:r>
              <w:r>
                <w:rPr>
                  <w:rFonts w:eastAsia="Calibri"/>
                  <w:szCs w:val="24"/>
                </w:rPr>
                <w:t xml:space="preserve"> punktu ir Valstybinės mokesčių inspekcijos prie Lietuvos Respublikos finansų ministerijos nuostatų, patvirtintų Lietuvos Respublikos finansų ministro </w:t>
              </w:r>
              <w:smartTag w:uri="urn:schemas-microsoft-com:office:smarttags" w:element="metricconverter">
                <w:smartTagPr>
                  <w:attr w:name="ProductID" w:val="1997 m"/>
                </w:smartTagPr>
                <w:r>
                  <w:rPr>
                    <w:rFonts w:eastAsia="Calibri"/>
                    <w:szCs w:val="24"/>
                  </w:rPr>
                  <w:t>1997 m</w:t>
                </w:r>
              </w:smartTag>
              <w:r>
                <w:rPr>
                  <w:rFonts w:eastAsia="Calibri"/>
                  <w:szCs w:val="24"/>
                </w:rPr>
                <w:t>. liepos 29 d. įsakymu Nr. 110 „Dėl Valstybinės mokesčių inspekcijos prie Lietuvos Respublikos finansų ministerijos nuostatų patvirtinimo“, 18.11 papunkčiu,</w:t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pastraipa"/>
            <w:tag w:val="part_713e237ba4854f55ba2bc934e0a62150"/>
            <w:lock w:val="sdtLocked"/>
            <w:richText/>
          </w:sdtPr>
          <w:sdtContent>
            <w:p>
              <w:pPr>
                <w:ind w:firstLine="90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pacing w:val="60"/>
                  <w:szCs w:val="24"/>
                </w:rPr>
                <w:t>nustata</w:t>
              </w:r>
              <w:r>
                <w:rPr>
                  <w:rFonts w:eastAsia="Calibri"/>
                  <w:spacing w:val="20"/>
                  <w:szCs w:val="24"/>
                </w:rPr>
                <w:t>u,</w:t>
              </w:r>
              <w:r>
                <w:rPr>
                  <w:rFonts w:eastAsia="Calibri"/>
                  <w:szCs w:val="24"/>
                </w:rPr>
                <w:t xml:space="preserve"> kad naudoti kasos aparato nereikalaujama (bet, asmeniui pageidaujant, išduodamas pinigų priėmimo kvitas arba kitas teisės aktų nustatytais atvejais vietoj jo naudojamas 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apskaitos dokumentas), kai kasos aparato neįmanoma naudoti dėl objektyvių priežasčių arba kasos aparato naudojimas sukeltų akivaizdžiai neproporcingą administracinę naštą:</w:t>
              </w:r>
            </w:p>
          </w:sdtContent>
        </w:sdt>
        <w:sdt>
          <w:sdtPr>
            <w:alias w:val="1 p."/>
            <w:tag w:val="part_081db242d19943f0ae3b4082a9fa603d"/>
            <w:lock w:val="sdtLocked"/>
            <w:richText/>
          </w:sdtPr>
          <w:sdtContent>
            <w:p>
              <w:pPr>
                <w:tabs>
                  <w:tab w:val="left" w:pos="662"/>
                </w:tabs>
                <w:ind w:firstLine="90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081db242d19943f0ae3b4082a9fa603d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 individualia veikla besiverčiantiems gyventojams (toliau – gyventojai), kurie prekiauja pastatuose ar patalpose, taip pat kioskuose, vagonėliuose, kilnojamuose nameliuose, autoparduotuvėse, kurių siena (-os) arba ją atitinkantys konstrukcijos elementai yra visiškai ar didžia dalimi atidaromi į lauką,</w:t>
              </w:r>
            </w:p>
          </w:sdtContent>
        </w:sdt>
        <w:sdt>
          <w:sdtPr>
            <w:alias w:val="2 p."/>
            <w:tag w:val="part_f13da3d403d3498ca83a21ef03b57525"/>
            <w:lock w:val="sdtLocked"/>
            <w:richText/>
          </w:sdtPr>
          <w:sdtContent>
            <w:p>
              <w:pPr>
                <w:tabs>
                  <w:tab w:val="left" w:pos="662"/>
                </w:tabs>
                <w:ind w:firstLine="90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f13da3d403d3498ca83a21ef03b57525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 gyventojams, kurie per paskutinius 2 metus pirmą kartą įregistravo prekybos individualią veiklą pagal pažymą arba įsigijo prekybos verslo liudijimą, arba keičia mokesčių sumokėjimo formą iš individualios veiklos su prekybos verslo liudijimu į prekybos individualią veiklą pagal pažymą, prekiauja pirmuosius 6 veiklos vykdymo mėnesius, skaičiuojamus nuo veiklos įregistravimo ar verslo liudijimo įsigijimo,</w:t>
              </w:r>
            </w:p>
          </w:sdtContent>
        </w:sdt>
        <w:sdt>
          <w:sdtPr>
            <w:alias w:val="3 p."/>
            <w:tag w:val="part_c6cf008c1ded4cef9b0c409ce2a9c505"/>
            <w:lock w:val="sdtLocked"/>
            <w:richText/>
          </w:sdtPr>
          <w:sdtContent>
            <w:p>
              <w:pPr>
                <w:tabs>
                  <w:tab w:val="left" w:pos="662"/>
                </w:tabs>
                <w:ind w:firstLine="90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c6cf008c1ded4cef9b0c409ce2a9c505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>. gyventojams, kurie įsigijo prekybos verslo liudijimą, kuriame numatyta veiklą vykdyti tik 1 dieną ar 2 dienas</w:t>
              </w:r>
              <w:r>
                <w:rPr>
                  <w:rFonts w:eastAsia="Calibri"/>
                  <w:b/>
                  <w:szCs w:val="24"/>
                </w:rPr>
                <w:t xml:space="preserve"> </w:t>
              </w:r>
              <w:r>
                <w:rPr>
                  <w:rFonts w:eastAsia="Calibri"/>
                  <w:szCs w:val="24"/>
                </w:rPr>
                <w:t xml:space="preserve">per savaitę, </w:t>
              </w:r>
            </w:p>
          </w:sdtContent>
        </w:sdt>
        <w:sdt>
          <w:sdtPr>
            <w:alias w:val="4 p."/>
            <w:tag w:val="part_36f252c004c6405590c5e0ee94dfc705"/>
            <w:lock w:val="sdtLocked"/>
            <w:richText/>
          </w:sdtPr>
          <w:sdtContent>
            <w:p>
              <w:pPr>
                <w:tabs>
                  <w:tab w:val="left" w:pos="662"/>
                </w:tabs>
                <w:ind w:firstLine="900"/>
                <w:jc w:val="both"/>
              </w:pPr>
              <w:sdt>
                <w:sdtPr>
                  <w:alias w:val="Numeris"/>
                  <w:tag w:val="nr_36f252c004c6405590c5e0ee94dfc705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szCs w:val="24"/>
                </w:rPr>
                <w:t>. konkrečiais atvejais, kai Valstybinė mokesčių inspekcija įvertina objektyvias priežastis ir priima individualius sprendimus, dėl kurių kasos aparato naudojimas atitinkamoje prekybos vietoje yra negalimas arba sukeltų akivaizdžiai neproporcingas administracinės naštos pasekmes.</w:t>
              </w:r>
            </w:p>
          </w:sdtContent>
        </w:sdt>
        <w:sdt>
          <w:sdtPr>
            <w:alias w:val="signatura"/>
            <w:tag w:val="part_d1521e6d62844c8499b7c60e2c008151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Viršininko pavaduotoja, </w:t>
              </w:r>
            </w:p>
            <w:p>
              <w:pPr>
                <w:widowControl w:val="0"/>
                <w:tabs>
                  <w:tab w:val="right" w:pos="9071"/>
                </w:tabs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>atliekanti viršininko funkcijas</w:t>
                <w:tab/>
                <w:t>Vilma Vildžiūnaitė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Valstybinė mokesčių inspekcija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246198ECCD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VA-60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2012-06-15,
Žin., 2012, Nr.
69-3579 (2012-06-21), i. k. 1122055ISAK000VA-60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Valstybinės mokesčių inspekcijos prie Lietuvos Respublikos finansų ministerijos viršininko 2012 m. balandžio 3 d. įsakymo Nr. VA-40 "Dėl kasos aparato nenaudojimo atvejų, kai kasos aparato neįmanoma naudoti dėl objektyvių priežasčių arba kasos aparato naudojimas sukeltų akivaizdžiai neproporcingą administracinę naštą"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Valstybinė mokesčių inspekcija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904ed20cebd11e3a8ded1a0f5aff0a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VA-25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2014-04-28,
paskelbta TAR 2014-04-28, i. k. 2014-04827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Valstybinės mokesčių inspekcijos prie Lietuvos Respublikos finansų ministerijos viršininko 2012 m. balandžio 3 d. įsakymo Nr. VA-40 „Dėl kasos aparato nenaudojimo atvejų, kai kasos aparato neįmanoma naudoti dėl objektyvių priežasčių arba kasos aparato naudojimas sukeltų akivaizdžiai neproporcingą administracinę naštą ir apskaitos dokumento išrašymo“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A75E535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hyperlink" TargetMode="External" Target="https://www.e-tar.lt/portal/lt/legalAct/TAR.077276F69388"/>
  <Relationship Id="rId11" Type="http://schemas.openxmlformats.org/officeDocument/2006/relationships/hyperlink" TargetMode="External" Target="https://www.e-tar.lt/portal/lt/legalAct/TAR.7BF4A922BC55"/>
  <Relationship Id="rId12" Type="http://schemas.openxmlformats.org/officeDocument/2006/relationships/hyperlink" TargetMode="External" Target="https://www.e-tar.lt/portal/lt/legalAct/TAR.A77DCEEE5DDC"/>
  <Relationship Id="rId13" Type="http://schemas.openxmlformats.org/officeDocument/2006/relationships/hyperlink" TargetMode="External" Target="https://www.e-tar.lt/portal/lt/legalAct/TAR.C1E23C6712B4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microsoft.com/office/2007/relationships/stylesWithEffects" Target="stylesWithEffects.xml"/>
  <Relationship Id="rId17" Type="http://schemas.openxmlformats.org/officeDocument/2006/relationships/theme" Target="theme/theme1.xml"/>
  <Relationship Id="rId18" Type="http://schemas.openxmlformats.org/officeDocument/2006/relationships/webSettings" Target="webSettings.xml"/>
  <Relationship Id="rId19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Nr="" Title="" DocPartId="e4df04ab1d994d15bd3f6af0c1c49eae" PartId="7dbdc66600f94fbfb28970b70ba98b43">
    <Part Type="preambule" Nr="" Title="" DocPartId="4fe202673e5f46c2b7654f1d396680be" PartId="f77e5e6a5c3946d2bb8f27dc8e151ee7"/>
    <Part Type="pastraipa" Nr="" Title="" DocPartId="a7f39bdcb3d543728e27f14f93b77ab1" PartId="713e237ba4854f55ba2bc934e0a62150"/>
    <Part Type="punktas" Nr="1" Abbr="1 p." DocPartId="6322a4077f9647579c47b309a38ab490" PartId="081db242d19943f0ae3b4082a9fa603d"/>
    <Part Type="punktas" Nr="2" Abbr="2 p." DocPartId="ebc22cbc7b3e4ef991214075c9f0b748" PartId="f13da3d403d3498ca83a21ef03b57525"/>
    <Part Type="punktas" Nr="3" Abbr="3 p." DocPartId="0124dba1f6da45dd9eac0ca08bab3e4d" PartId="c6cf008c1ded4cef9b0c409ce2a9c505"/>
    <Part Type="punktas" Nr="4" Abbr="4 p." DocPartId="a614d3d446914454b42a21bea82f65d6" PartId="36f252c004c6405590c5e0ee94dfc705"/>
    <Part Type="signatura" DocPartId="7ed35eba17974ccea924c80e83ecc67a" PartId="d1521e6d62844c8499b7c60e2c008151"/>
  </Part>
</Parts>
</file>

<file path=customXml/itemProps1.xml><?xml version="1.0" encoding="utf-8"?>
<ds:datastoreItem xmlns:ds="http://schemas.openxmlformats.org/officeDocument/2006/customXml" ds:itemID="{56C59542-E0FB-4A90-89A0-D232E7605E3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3836</Words>
  <Characters>2188</Characters>
  <Application>Microsoft Office Word</Application>
  <DocSecurity>0</DocSecurity>
  <Lines>18</Lines>
  <Paragraphs>12</Paragraphs>
  <ScaleCrop>false</ScaleCrop>
  <Company/>
  <LinksUpToDate>false</LinksUpToDate>
  <CharactersWithSpaces>6012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2015-09-07T22:47:00Z</dcterms:created>
  <dc:creator>Rima</dc:creator>
  <lastModifiedBy>GRUNDAITĖ Aistė</lastModifiedBy>
  <dcterms:modified xsi:type="dcterms:W3CDTF">2016-04-06T07:46:00Z</dcterms:modified>
  <revision>6</revision>
  <dc:title>VALSTYBINĖS MOKESČIŲ INSPEKCIJOS</dc:title>
</coreProperties>
</file>