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b7099fadf74403c97aab70954c4e5f5"/>
        <w:lock w:val="sdtLocked"/>
        <w:richText/>
      </w:sdtPr>
      <w:sdtContent>
        <w:p>
          <w:pPr>
            <w:jc w:val="both"/>
            <w:rPr>
              <w:rFonts w:ascii="Times New Roman" w:hAnsi="Times New Roman"/>
            </w:rPr>
          </w:pPr>
          <w:r>
            <w:rPr>
              <w:rFonts w:ascii="Times New Roman" w:hAnsi="Times New Roman"/>
              <w:b/>
              <w:i/>
            </w:rPr>
            <w:t>Suvestinė redakcija nuo 2026-01-10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F9A660712178">
            <w:r w:rsidRPr="00532B9F">
              <w:rPr>
                <w:rFonts w:ascii="Times New Roman" w:eastAsia="MS Mincho" w:hAnsi="Times New Roman"/>
                <w:sz w:val="20"/>
                <w:i/>
                <w:iCs/>
                <w:color w:val="0000FF" w:themeColor="hyperlink"/>
                <w:u w:val="single"/>
              </w:rPr>
              <w:t>152-7193</w:t>
            </w:r>
          </w:fldSimple>
          <w:r>
            <w:rPr>
              <w:rFonts w:ascii="Times New Roman" w:eastAsia="MS Mincho" w:hAnsi="Times New Roman"/>
              <w:sz w:val="20"/>
              <w:i/>
              <w:iCs/>
            </w:rPr>
            <w:t>, i. k. 11123ZTISAK00V1-140</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23" o:title=""/>
              </v:shape>
              <w:control r:id="rId24" w:name="Control 2" w:shapeid="_x0000_s1026"/>
            </w:pict>
          </w:r>
          <w:r>
            <w:rPr>
              <w:color w:val="000000"/>
            </w:rPr>
            <w:t>ŽUVININKYSTĖS TARNYBOS</w:t>
          </w:r>
        </w:p>
        <w:p>
          <w:pPr>
            <w:widowControl w:val="0"/>
            <w:suppressAutoHyphens/>
            <w:jc w:val="center"/>
            <w:rPr>
              <w:color w:val="000000"/>
            </w:rPr>
          </w:pPr>
          <w:r>
            <w:rPr>
              <w:color w:val="000000"/>
            </w:rPr>
            <w:t>PRIE LIETUVOS RESPUBLIKOS ŽEMĖS ŪKIO MINISTERIJOS DIREKTORIAUS</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sdt>
          <w:sdtPr>
            <w:alias w:val="Pavadinimas"/>
            <w:tag w:val="title_ab7099fadf74403c97aab70954c4e5f5"/>
            <w:lock w:val="sdtLocked"/>
            <w:richText/>
          </w:sdtPr>
          <w:sdtContent>
            <w:p>
              <w:pPr>
                <w:widowControl w:val="0"/>
                <w:suppressAutoHyphens/>
                <w:jc w:val="center"/>
                <w:rPr>
                  <w:color w:val="000000"/>
                </w:rPr>
              </w:pPr>
              <w:r>
                <w:rPr>
                  <w:b/>
                  <w:bCs/>
                  <w:caps/>
                  <w:color w:val="000000"/>
                </w:rPr>
                <w:t xml:space="preserve">DĖL LIETUVOS RESPUBLIKOS ŽVEJYBOS LAIVŲ STEBĖJIMO SISTEMOS TVARKOS APRAŠO PATVIRTINIMO </w:t>
              </w:r>
            </w:p>
          </w:sdtContent>
        </w:sdt>
        <w:p>
          <w:pPr>
            <w:widowControl w:val="0"/>
            <w:suppressAutoHyphens/>
            <w:jc w:val="center"/>
            <w:rPr>
              <w:color w:val="000000"/>
            </w:rPr>
          </w:pPr>
        </w:p>
        <w:p>
          <w:pPr>
            <w:widowControl w:val="0"/>
            <w:suppressAutoHyphens/>
            <w:jc w:val="center"/>
            <w:rPr>
              <w:color w:val="000000"/>
            </w:rPr>
          </w:pPr>
          <w:r>
            <w:rPr>
              <w:color w:val="000000"/>
            </w:rPr>
            <w:t>2011 m. gruodžio 2 d. Nr. V1-140</w:t>
          </w:r>
        </w:p>
        <w:p>
          <w:pPr>
            <w:widowControl w:val="0"/>
            <w:suppressAutoHyphens/>
            <w:jc w:val="center"/>
            <w:rPr>
              <w:color w:val="000000"/>
            </w:rPr>
          </w:pPr>
          <w:r>
            <w:rPr>
              <w:color w:val="000000"/>
            </w:rPr>
            <w:t>Vilnius</w:t>
          </w:r>
        </w:p>
        <w:p>
          <w:pPr>
            <w:widowControl w:val="0"/>
            <w:suppressAutoHyphen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e1a50874f11e3a6508050c26bd4c8">
            <w:r w:rsidRPr="00532B9F">
              <w:rPr>
                <w:rFonts w:ascii="Times New Roman" w:eastAsia="MS Mincho" w:hAnsi="Times New Roman"/>
                <w:sz w:val="20"/>
                <w:i/>
                <w:iCs/>
                <w:color w:val="0000FF" w:themeColor="hyperlink"/>
                <w:u w:val="single"/>
              </w:rPr>
              <w:t>V1-176</w:t>
            </w:r>
          </w:fldSimple>
          <w:r>
            <w:rPr>
              <w:rFonts w:ascii="Times New Roman" w:eastAsia="MS Mincho" w:hAnsi="Times New Roman"/>
              <w:sz w:val="20"/>
              <w:i/>
              <w:iCs/>
            </w:rPr>
            <w:t>,
2013-12-23,
paskelbta TAR 2014-01-27, i. k. 2014-00571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582b1ed6111f09cfce49e7aeb76fe">
            <w:r w:rsidRPr="00532B9F">
              <w:rPr>
                <w:rFonts w:ascii="Times New Roman" w:eastAsia="MS Mincho" w:hAnsi="Times New Roman"/>
                <w:sz w:val="20"/>
                <w:i/>
                <w:iCs/>
                <w:color w:val="0000FF" w:themeColor="hyperlink"/>
                <w:u w:val="single"/>
              </w:rPr>
              <w:t>V1-3</w:t>
            </w:r>
          </w:fldSimple>
          <w:r>
            <w:rPr>
              <w:rFonts w:ascii="Times New Roman" w:eastAsia="MS Mincho" w:hAnsi="Times New Roman"/>
              <w:sz w:val="20"/>
              <w:i/>
              <w:iCs/>
            </w:rPr>
            <w:t>,
2026-01-09,
paskelbta TAR 2026-01-09, i. k. 2026-00297        </w:t>
          </w:r>
        </w:p>
        <w:p/>
        <w:sdt>
          <w:sdtPr>
            <w:alias w:val="preambule"/>
            <w:tag w:val="part_4d7ae8dc2a064d92af934ba57aad83d7"/>
            <w:lock w:val="sdtLocked"/>
            <w:richText/>
          </w:sdtPr>
          <w:sdtContent>
            <w:p>
              <w:pPr>
                <w:tabs>
                  <w:tab w:val="left" w:pos="720"/>
                </w:tabs>
                <w:ind w:firstLine="567"/>
                <w:jc w:val="both"/>
                <w:rPr>
                  <w:color w:val="000000"/>
                </w:rPr>
              </w:pPr>
              <w:r>
                <w:rPr>
                  <w:szCs w:val="24"/>
                </w:rPr>
                <w:t>Vadovaudamasis 2009 m. lapkričio 20 d. Tarybos reglamento (EB) Nr. 1224/2009, nustatančio Bendrijos kontrolės sistemą, kuria užtikrinamas bendrosios žuvininkystės politikos taisyklių laikymasis, iš dalies keičiančiu reglamentus (EB) Nr. 847/96, (EB) Nr. 2371/2002, (EB) Nr. 811/2004, (EB) Nr. 768/2005, (EB) Nr. 2115/2005, (EB) Nr. 2166/2005, (EB) Nr. 388/2006, (EB) Nr. 509/2007, (EB) Nr. 676/2007, (EB) Nr. 1098/2007, (EB) Nr. 1300/2008, (EB) Nr. 1342/2008 ir panaikinančiu reglamentus (EEB) Nr. 2847/93, (EB) Nr. 1627/94 ir (EB) Nr. 1966/2006, 9 straipsniu, 2011 m. balandžio 8 d. Komisijos įgyvendinimo reglamento (ES) Nr. 404/2011, kuriuo nustatomos išsamios Tarybos reglamento (EB) Nr. 1224/2009, nustatančio Bendrijos kontrolės sistemą, kuria užtikrinamas bendrosios žuvininkystės politikos taisyklių laikymasis, įgyvendinimo taisyklės IV skyriumi, Lietuvos Respublikos žuvininkystės įstatymo 34 straipsniu ir Lietuvos Respublikos žemės ūkio ministro 2004 m. rugpjūčio 2 d. įsakymo Nr. 3D-451 „Dėl įgaliojimų suteikimo įgyvendinant Lietuvos Respublikos žuvininkystės įstatymą“ 7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5e1520a0ec11eb9fecb5ecd3bd711c">
                <w:r w:rsidRPr="00532B9F">
                  <w:rPr>
                    <w:rFonts w:ascii="Times New Roman" w:eastAsia="MS Mincho" w:hAnsi="Times New Roman"/>
                    <w:sz w:val="20"/>
                    <w:i/>
                    <w:iCs/>
                    <w:color w:val="0000FF" w:themeColor="hyperlink"/>
                    <w:u w:val="single"/>
                  </w:rPr>
                  <w:t>V1-44</w:t>
                </w:r>
              </w:fldSimple>
              <w:r>
                <w:rPr>
                  <w:rFonts w:ascii="Times New Roman" w:eastAsia="MS Mincho" w:hAnsi="Times New Roman"/>
                  <w:sz w:val="20"/>
                  <w:i/>
                  <w:iCs/>
                </w:rPr>
                <w:t>,
2021-04-19,
paskelbta TAR 2021-04-19, i. k. 2021-08056            </w:t>
              </w:r>
            </w:p>
            <w:p/>
          </w:sdtContent>
        </w:sdt>
        <w:sdt>
          <w:sdtPr>
            <w:alias w:val="1 p."/>
            <w:tag w:val="part_1c0e4c4bed5240ae97c058d27484b988"/>
            <w:lock w:val="sdtLocked"/>
            <w:richText/>
          </w:sdtPr>
          <w:sdtContent>
            <w:p>
              <w:pPr>
                <w:tabs>
                  <w:tab w:val="left" w:pos="720"/>
                </w:tabs>
                <w:ind w:firstLine="567"/>
                <w:jc w:val="both"/>
                <w:rPr>
                  <w:color w:val="000000"/>
                  <w:spacing w:val="-1"/>
                </w:rPr>
              </w:pPr>
              <w:sdt>
                <w:sdtPr>
                  <w:alias w:val="Numeris"/>
                  <w:tag w:val="nr_1c0e4c4bed5240ae97c058d27484b988"/>
                  <w:lock w:val="sdtLocked"/>
                  <w:richText/>
                </w:sdtPr>
                <w:sdtContent>
                  <w:r>
                    <w:rPr>
                      <w:color w:val="000000"/>
                      <w:lang w:eastAsia="lt-LT"/>
                    </w:rPr>
                    <w:t>1</w:t>
                  </w:r>
                </w:sdtContent>
              </w:sdt>
              <w:r>
                <w:rPr>
                  <w:color w:val="000000"/>
                  <w:lang w:eastAsia="lt-LT"/>
                </w:rPr>
                <w:t>. Tvirtinu Lietuvos Respublikos žvejybos laivų stebėjimo sistemos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e1a50874f11e3a6508050c26bd4c8">
                <w:r w:rsidRPr="00532B9F">
                  <w:rPr>
                    <w:rFonts w:ascii="Times New Roman" w:eastAsia="MS Mincho" w:hAnsi="Times New Roman"/>
                    <w:sz w:val="20"/>
                    <w:i/>
                    <w:iCs/>
                    <w:color w:val="0000FF" w:themeColor="hyperlink"/>
                    <w:u w:val="single"/>
                  </w:rPr>
                  <w:t>V1-176</w:t>
                </w:r>
              </w:fldSimple>
              <w:r>
                <w:rPr>
                  <w:rFonts w:ascii="Times New Roman" w:eastAsia="MS Mincho" w:hAnsi="Times New Roman"/>
                  <w:sz w:val="20"/>
                  <w:i/>
                  <w:iCs/>
                </w:rPr>
                <w:t>,
2013-12-23,
paskelbta TAR 2014-01-27, i. k. 2014-00571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582b1ed6111f09cfce49e7aeb76fe">
                <w:r w:rsidRPr="00532B9F">
                  <w:rPr>
                    <w:rFonts w:ascii="Times New Roman" w:eastAsia="MS Mincho" w:hAnsi="Times New Roman"/>
                    <w:sz w:val="20"/>
                    <w:i/>
                    <w:iCs/>
                    <w:color w:val="0000FF" w:themeColor="hyperlink"/>
                    <w:u w:val="single"/>
                  </w:rPr>
                  <w:t>V1-3</w:t>
                </w:r>
              </w:fldSimple>
              <w:r>
                <w:rPr>
                  <w:rFonts w:ascii="Times New Roman" w:eastAsia="MS Mincho" w:hAnsi="Times New Roman"/>
                  <w:sz w:val="20"/>
                  <w:i/>
                  <w:iCs/>
                </w:rPr>
                <w:t>,
2026-01-09,
paskelbta TAR 2026-01-09, i. k. 2026-00297            </w:t>
              </w:r>
            </w:p>
            <w:p/>
          </w:sdtContent>
        </w:sdt>
        <w:sdt>
          <w:sdtPr>
            <w:alias w:val="2 p."/>
            <w:tag w:val="part_97641bb1647445a88191ff9aa2abc3a3"/>
            <w:lock w:val="sdtLocked"/>
            <w:richText/>
          </w:sdtPr>
          <w:sdtContent>
            <w:p>
              <w:pPr>
                <w:widowControl w:val="0"/>
                <w:suppressAutoHyphens/>
                <w:ind w:firstLine="567"/>
                <w:jc w:val="both"/>
                <w:rPr>
                  <w:color w:val="000000"/>
                </w:rPr>
              </w:pPr>
              <w:sdt>
                <w:sdtPr>
                  <w:alias w:val="Numeris"/>
                  <w:tag w:val="nr_97641bb1647445a88191ff9aa2abc3a3"/>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netekusiais galios:</w:t>
              </w:r>
            </w:p>
            <w:sdt>
              <w:sdtPr>
                <w:alias w:val="2.1 p."/>
                <w:tag w:val="part_20bcd60e23c44c048d5b363663d7c1d1"/>
                <w:lock w:val="sdtLocked"/>
                <w:richText/>
              </w:sdtPr>
              <w:sdtContent>
                <w:p>
                  <w:pPr>
                    <w:widowControl w:val="0"/>
                    <w:suppressAutoHyphens/>
                    <w:ind w:firstLine="567"/>
                    <w:jc w:val="both"/>
                    <w:rPr>
                      <w:color w:val="000000"/>
                    </w:rPr>
                  </w:pPr>
                  <w:sdt>
                    <w:sdtPr>
                      <w:alias w:val="Numeris"/>
                      <w:tag w:val="nr_20bcd60e23c44c048d5b363663d7c1d1"/>
                      <w:lock w:val="sdtLocked"/>
                      <w:richText/>
                    </w:sdtPr>
                    <w:sdtContent>
                      <w:r>
                        <w:rPr>
                          <w:color w:val="000000"/>
                        </w:rPr>
                        <w:t>2.1</w:t>
                      </w:r>
                    </w:sdtContent>
                  </w:sdt>
                  <w:r>
                    <w:rPr>
                      <w:color w:val="000000"/>
                    </w:rPr>
                    <w:t xml:space="preserve">. Žuvininkystės departamento prie Lietuvos Respublikos žemės ūkio ministerijos direktoriaus 2004 m. spalio 29 d. įsakymą Nr. V1-46 „Dėl palydovinio ryšio Lietuvos Respublikos žvejybos laivų stebėjimo sistemos“ (Žin., 2004, Nr. </w:t>
                  </w:r>
                  <w:hyperlink r:id="rId25" w:tgtFrame="_blank" w:history="1">
                    <w:r>
                      <w:rPr>
                        <w:color w:val="0000FF" w:themeColor="hyperlink"/>
                        <w:u w:val="single"/>
                      </w:rPr>
                      <w:t>165-6053</w:t>
                    </w:r>
                  </w:hyperlink>
                  <w:r>
                    <w:rPr>
                      <w:color w:val="000000"/>
                    </w:rPr>
                    <w:t>);</w:t>
                  </w:r>
                </w:p>
              </w:sdtContent>
            </w:sdt>
            <w:sdt>
              <w:sdtPr>
                <w:alias w:val="2.2 p."/>
                <w:tag w:val="part_49469f9d1949440c853de48455e0a095"/>
                <w:lock w:val="sdtLocked"/>
                <w:richText/>
              </w:sdtPr>
              <w:sdtContent>
                <w:p>
                  <w:pPr>
                    <w:widowControl w:val="0"/>
                    <w:suppressAutoHyphens/>
                    <w:ind w:firstLine="567"/>
                    <w:jc w:val="both"/>
                    <w:rPr>
                      <w:color w:val="000000"/>
                    </w:rPr>
                  </w:pPr>
                  <w:sdt>
                    <w:sdtPr>
                      <w:alias w:val="Numeris"/>
                      <w:tag w:val="nr_49469f9d1949440c853de48455e0a095"/>
                      <w:lock w:val="sdtLocked"/>
                      <w:richText/>
                    </w:sdtPr>
                    <w:sdtContent>
                      <w:r>
                        <w:rPr>
                          <w:color w:val="000000"/>
                        </w:rPr>
                        <w:t>2.2</w:t>
                      </w:r>
                    </w:sdtContent>
                  </w:sdt>
                  <w:r>
                    <w:rPr>
                      <w:color w:val="000000"/>
                    </w:rPr>
                    <w:t xml:space="preserve">. Žuvininkystės departamento prie Lietuvos Respublikos žemės ūkio ministerijos generalinio direktoriaus 2008 m. birželio 12 d. įsakymą Nr. V1-50 „Dėl Žuvininkystės departamento prie Lietuvos Respublikos žemės ūkio ministerijos direktoriaus 2004 m. spalio 29 d. įsakymo Nr. V1-46 „Dėl palydovinio ryšio Lietuvos Respublikos žvejybos laivų stebėjimo sistemos“ pakeitimo“ (Žin., 2008, Nr. </w:t>
                  </w:r>
                  <w:hyperlink r:id="rId26" w:tgtFrame="_blank" w:history="1">
                    <w:r>
                      <w:rPr>
                        <w:color w:val="0000FF" w:themeColor="hyperlink"/>
                        <w:u w:val="single"/>
                      </w:rPr>
                      <w:t>70-2695</w:t>
                    </w:r>
                  </w:hyperlink>
                  <w:r>
                    <w:rPr>
                      <w:color w:val="000000"/>
                    </w:rPr>
                    <w:t>);</w:t>
                  </w:r>
                </w:p>
              </w:sdtContent>
            </w:sdt>
            <w:sdt>
              <w:sdtPr>
                <w:alias w:val="2.3 p."/>
                <w:tag w:val="part_5cdec5cd17a14efb8287de8200abd336"/>
                <w:lock w:val="sdtLocked"/>
                <w:richText/>
              </w:sdtPr>
              <w:sdtContent>
                <w:p>
                  <w:pPr>
                    <w:widowControl w:val="0"/>
                    <w:suppressAutoHyphens/>
                    <w:ind w:firstLine="567"/>
                    <w:jc w:val="both"/>
                    <w:rPr>
                      <w:color w:val="000000"/>
                    </w:rPr>
                  </w:pPr>
                  <w:sdt>
                    <w:sdtPr>
                      <w:alias w:val="Numeris"/>
                      <w:tag w:val="nr_5cdec5cd17a14efb8287de8200abd336"/>
                      <w:lock w:val="sdtLocked"/>
                      <w:richText/>
                    </w:sdtPr>
                    <w:sdtContent>
                      <w:r>
                        <w:rPr>
                          <w:color w:val="000000"/>
                        </w:rPr>
                        <w:t>2.3</w:t>
                      </w:r>
                    </w:sdtContent>
                  </w:sdt>
                  <w:r>
                    <w:rPr>
                      <w:color w:val="000000"/>
                    </w:rPr>
                    <w:t xml:space="preserve">. Žuvininkystės departamento prie Lietuvos Respublikos žemės ūkio ministerijos generalinio direktoriaus 2009 m. vasario 5 d. įsakymą Nr. V1-14 „Dėl Žuvininkystės departamento prie Lietuvos Respublikos žemės ūkio ministerijos direktoriaus 2004 m. spalio 29 d. įsakymo Nr. V1-46 „Dėl palydovinio ryšio Lietuvos Respublikos žvejybos laivų stebėjimo sistemos“ pakeitimo“ (Žin., 2009, Nr. </w:t>
                  </w:r>
                  <w:hyperlink r:id="rId27" w:tgtFrame="_blank" w:history="1">
                    <w:r>
                      <w:rPr>
                        <w:color w:val="0000FF" w:themeColor="hyperlink"/>
                        <w:u w:val="single"/>
                      </w:rPr>
                      <w:t>18-729</w:t>
                    </w:r>
                  </w:hyperlink>
                  <w:r>
                    <w:rPr>
                      <w:color w:val="000000"/>
                    </w:rPr>
                    <w:t>).</w:t>
                  </w:r>
                </w:p>
                <w:p>
                  <w:pPr>
                    <w:widowControl w:val="0"/>
                    <w:suppressAutoHyphens/>
                    <w:jc w:val="both"/>
                    <w:rPr>
                      <w:color w:val="000000"/>
                    </w:rPr>
                  </w:pPr>
                </w:p>
                <w:p>
                  <w:pPr>
                    <w:widowControl w:val="0"/>
                    <w:tabs>
                      <w:tab w:val="right" w:pos="9071"/>
                    </w:tabs>
                    <w:suppressAutoHyphens/>
                    <w:rPr>
                      <w:caps/>
                      <w:color w:val="000000"/>
                    </w:rPr>
                  </w:pPr>
                </w:p>
              </w:sdtContent>
            </w:sdt>
          </w:sdtContent>
        </w:sdt>
        <w:sdt>
          <w:sdtPr>
            <w:alias w:val="signatura"/>
            <w:tag w:val="part_98736aa58afe4e67b1030577c0721450"/>
            <w:lock w:val="sdtLocked"/>
            <w:richText/>
          </w:sdtPr>
          <w:sdtContent>
            <w:p>
              <w:pPr>
                <w:widowControl w:val="0"/>
                <w:tabs>
                  <w:tab w:val="right" w:pos="9071"/>
                </w:tabs>
                <w:suppressAutoHyphens/>
                <w:rPr>
                  <w:caps/>
                  <w:color w:val="000000"/>
                </w:rPr>
              </w:pPr>
              <w:r>
                <w:rPr>
                  <w:caps/>
                  <w:color w:val="000000"/>
                </w:rPr>
                <w:t xml:space="preserve">Direktorius </w:t>
                <w:tab/>
                <w:t>Vytautas Grušauskas</w:t>
              </w:r>
            </w:p>
            <w:p>
              <w:pPr>
                <w:widowControl w:val="0"/>
                <w:tabs>
                  <w:tab w:val="right" w:pos="9071"/>
                </w:tabs>
                <w:suppressAutoHyphens/>
                <w:rPr>
                  <w:caps/>
                  <w:color w:val="000000"/>
                </w:rPr>
              </w:pPr>
            </w:p>
            <w:p>
              <w:pPr>
                <w:widowControl w:val="0"/>
                <w:suppressAutoHyphens/>
                <w:jc w:val="both"/>
                <w:rPr>
                  <w:color w:val="000000"/>
                </w:rPr>
              </w:pPr>
            </w:p>
          </w:sdtContent>
        </w:sdt>
      </w:sdtContent>
    </w:sdt>
    <w:sdt>
      <w:sdtPr>
        <w:alias w:val="patvirtinta"/>
        <w:tag w:val="part_1ba284d4c69840f8ac206487bf104403"/>
        <w:lock w:val="sdtLocked"/>
        <w:richText/>
      </w:sdtPr>
      <w:sdtContent>
        <w:p>
          <w:pPr>
            <w:keepLines/>
            <w:tabs>
              <w:tab w:val="left" w:pos="1304"/>
              <w:tab w:val="left" w:pos="1457"/>
              <w:tab w:val="left" w:pos="1604"/>
              <w:tab w:val="left" w:pos="1757"/>
            </w:tabs>
            <w:suppressAutoHyphens/>
            <w:ind w:left="5954"/>
            <w:textAlignment w:val="center"/>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567" w:bottom="1134" w:left="1701" w:header="709" w:footer="709" w:gutter="0"/>
              <w:pgNumType w:start="1"/>
              <w:cols w:space="1296"/>
              <w:titlePg/>
              <w:docGrid w:linePitch="360"/>
            </w:sectPr>
          </w:pPr>
        </w:p>
        <w:p>
          <w:pPr>
            <w:keepLines/>
            <w:tabs>
              <w:tab w:val="left" w:pos="1304"/>
              <w:tab w:val="left" w:pos="1457"/>
              <w:tab w:val="left" w:pos="1604"/>
              <w:tab w:val="left" w:pos="1757"/>
            </w:tabs>
            <w:suppressAutoHyphens/>
            <w:ind w:firstLine="5670"/>
            <w:textAlignment w:val="center"/>
            <w:rPr>
              <w:color w:val="000000"/>
              <w:szCs w:val="24"/>
            </w:rPr>
          </w:pPr>
          <w:r>
            <w:rPr>
              <w:color w:val="000000"/>
            </w:rPr>
            <w:t>PATVIRTINTA</w:t>
          </w:r>
        </w:p>
        <w:p>
          <w:pPr>
            <w:keepLines/>
            <w:tabs>
              <w:tab w:val="left" w:pos="1304"/>
              <w:tab w:val="left" w:pos="1457"/>
              <w:tab w:val="left" w:pos="1604"/>
              <w:tab w:val="left" w:pos="1757"/>
            </w:tabs>
            <w:suppressAutoHyphens/>
            <w:ind w:firstLine="5670"/>
            <w:textAlignment w:val="center"/>
            <w:rPr>
              <w:color w:val="000000"/>
            </w:rPr>
          </w:pPr>
          <w:r>
            <w:rPr>
              <w:color w:val="000000"/>
            </w:rPr>
            <w:t xml:space="preserve">Žuvininkystės tarnybos prie Lietuvos </w:t>
          </w:r>
        </w:p>
        <w:p>
          <w:pPr>
            <w:keepLines/>
            <w:tabs>
              <w:tab w:val="left" w:pos="1304"/>
              <w:tab w:val="left" w:pos="1457"/>
              <w:tab w:val="left" w:pos="1604"/>
              <w:tab w:val="left" w:pos="1757"/>
            </w:tabs>
            <w:suppressAutoHyphens/>
            <w:ind w:firstLine="5670"/>
            <w:textAlignment w:val="center"/>
            <w:rPr>
              <w:color w:val="000000"/>
            </w:rPr>
          </w:pPr>
          <w:r>
            <w:rPr>
              <w:color w:val="000000"/>
            </w:rPr>
            <w:t>Respublikos žemės ūkio ministerijos</w:t>
          </w:r>
        </w:p>
        <w:p>
          <w:pPr>
            <w:keepLines/>
            <w:tabs>
              <w:tab w:val="left" w:pos="1304"/>
              <w:tab w:val="left" w:pos="1457"/>
              <w:tab w:val="left" w:pos="1604"/>
              <w:tab w:val="left" w:pos="1757"/>
            </w:tabs>
            <w:suppressAutoHyphens/>
            <w:ind w:firstLine="5670"/>
            <w:textAlignment w:val="center"/>
            <w:rPr>
              <w:color w:val="000000"/>
            </w:rPr>
          </w:pPr>
          <w:r>
            <w:rPr>
              <w:color w:val="000000"/>
            </w:rPr>
            <w:t>direktoriaus 2011 m. gruodžio 2 d.</w:t>
          </w:r>
        </w:p>
        <w:p>
          <w:pPr>
            <w:keepLines/>
            <w:tabs>
              <w:tab w:val="left" w:pos="1304"/>
              <w:tab w:val="left" w:pos="1457"/>
              <w:tab w:val="left" w:pos="1604"/>
              <w:tab w:val="left" w:pos="1757"/>
            </w:tabs>
            <w:suppressAutoHyphens/>
            <w:ind w:firstLine="5670"/>
            <w:textAlignment w:val="center"/>
            <w:rPr>
              <w:color w:val="000000"/>
            </w:rPr>
          </w:pPr>
          <w:r>
            <w:rPr>
              <w:color w:val="000000"/>
            </w:rPr>
            <w:t>įsakymu Nr. V1-140</w:t>
          </w:r>
        </w:p>
        <w:p>
          <w:pPr>
            <w:keepLines/>
            <w:tabs>
              <w:tab w:val="left" w:pos="1304"/>
              <w:tab w:val="left" w:pos="1457"/>
              <w:tab w:val="left" w:pos="1604"/>
              <w:tab w:val="left" w:pos="1757"/>
            </w:tabs>
            <w:suppressAutoHyphens/>
            <w:ind w:firstLine="5670"/>
            <w:textAlignment w:val="center"/>
            <w:rPr>
              <w:color w:val="000000"/>
            </w:rPr>
          </w:pPr>
          <w:r>
            <w:rPr>
              <w:color w:val="000000"/>
            </w:rPr>
            <w:t xml:space="preserve">(Žuvininkystės tarnybos prie Lietuvos </w:t>
          </w:r>
        </w:p>
        <w:p>
          <w:pPr>
            <w:keepLines/>
            <w:tabs>
              <w:tab w:val="left" w:pos="1304"/>
              <w:tab w:val="left" w:pos="1457"/>
              <w:tab w:val="left" w:pos="1604"/>
              <w:tab w:val="left" w:pos="1757"/>
            </w:tabs>
            <w:suppressAutoHyphens/>
            <w:ind w:firstLine="5670"/>
            <w:textAlignment w:val="center"/>
            <w:rPr>
              <w:color w:val="000000"/>
            </w:rPr>
          </w:pPr>
          <w:r>
            <w:rPr>
              <w:color w:val="000000"/>
            </w:rPr>
            <w:t>Respublikos žemės ūkio ministerijos</w:t>
          </w:r>
        </w:p>
        <w:p>
          <w:pPr>
            <w:keepLines/>
            <w:tabs>
              <w:tab w:val="left" w:pos="1304"/>
              <w:tab w:val="left" w:pos="1457"/>
              <w:tab w:val="left" w:pos="1604"/>
              <w:tab w:val="left" w:pos="1757"/>
            </w:tabs>
            <w:suppressAutoHyphens/>
            <w:ind w:firstLine="5670"/>
            <w:textAlignment w:val="center"/>
            <w:rPr>
              <w:color w:val="000000"/>
            </w:rPr>
          </w:pPr>
          <w:r>
            <w:rPr>
              <w:color w:val="000000"/>
            </w:rPr>
            <w:t>direktoriaus 2026 m. sausio 9 d.</w:t>
          </w:r>
        </w:p>
        <w:p>
          <w:pPr>
            <w:keepLines/>
            <w:tabs>
              <w:tab w:val="left" w:pos="1304"/>
              <w:tab w:val="left" w:pos="1457"/>
              <w:tab w:val="left" w:pos="1604"/>
              <w:tab w:val="left" w:pos="1757"/>
            </w:tabs>
            <w:suppressAutoHyphens/>
            <w:ind w:firstLine="5670"/>
            <w:textAlignment w:val="center"/>
            <w:rPr>
              <w:color w:val="000000"/>
            </w:rPr>
          </w:pPr>
          <w:r>
            <w:rPr>
              <w:color w:val="000000"/>
            </w:rPr>
            <w:t>įsakymo Nr. V1-3 redakcija)</w:t>
          </w:r>
        </w:p>
        <w:p>
          <w:pPr>
            <w:suppressAutoHyphens/>
            <w:spacing w:line="297" w:lineRule="auto"/>
            <w:ind w:firstLine="312"/>
            <w:jc w:val="both"/>
            <w:textAlignment w:val="center"/>
            <w:rPr>
              <w:color w:val="000000"/>
            </w:rPr>
          </w:pPr>
        </w:p>
        <w:p>
          <w:pPr>
            <w:keepLines/>
            <w:suppressAutoHyphens/>
            <w:jc w:val="center"/>
            <w:textAlignment w:val="center"/>
            <w:rPr>
              <w:b/>
              <w:bCs/>
              <w:caps/>
              <w:color w:val="000000"/>
            </w:rPr>
          </w:pPr>
          <w:sdt>
            <w:sdtPr>
              <w:alias w:val="Pavadinimas"/>
              <w:tag w:val="title_1ba284d4c69840f8ac206487bf104403"/>
              <w:lock w:val="sdtLocked"/>
              <w:richText/>
            </w:sdtPr>
            <w:sdtContent>
              <w:r>
                <w:rPr>
                  <w:b/>
                  <w:bCs/>
                  <w:caps/>
                  <w:color w:val="000000"/>
                </w:rPr>
                <w:t xml:space="preserve">LIETUVOS RESPUBLIKOS žvejybos laivų stebėjimo sistemos </w:t>
              </w:r>
              <w:r>
                <w:br/>
              </w:r>
              <w:r>
                <w:rPr>
                  <w:b/>
                  <w:bCs/>
                  <w:caps/>
                  <w:color w:val="000000"/>
                </w:rPr>
                <w:t>tvarkos aprašas</w:t>
              </w:r>
            </w:sdtContent>
          </w:sdt>
        </w:p>
        <w:p>
          <w:pPr>
            <w:keepLines/>
            <w:suppressAutoHyphens/>
            <w:spacing w:line="288" w:lineRule="auto"/>
            <w:jc w:val="center"/>
            <w:textAlignment w:val="center"/>
            <w:rPr>
              <w:b/>
              <w:bCs/>
              <w:caps/>
              <w:color w:val="000000"/>
            </w:rPr>
          </w:pPr>
        </w:p>
        <w:sdt>
          <w:sdtPr>
            <w:alias w:val="skyrius"/>
            <w:tag w:val="part_cdff047b11b44b80a3f1e77088784e8c"/>
            <w:lock w:val="sdtLocked"/>
            <w:richText/>
          </w:sdtPr>
          <w:sdtContent>
            <w:p>
              <w:pPr>
                <w:keepLines/>
                <w:suppressAutoHyphens/>
                <w:spacing w:line="288" w:lineRule="auto"/>
                <w:jc w:val="center"/>
                <w:textAlignment w:val="center"/>
                <w:rPr>
                  <w:b/>
                  <w:bCs/>
                  <w:caps/>
                  <w:color w:val="000000"/>
                </w:rPr>
              </w:pPr>
              <w:sdt>
                <w:sdtPr>
                  <w:alias w:val="Numeris"/>
                  <w:tag w:val="nr_cdff047b11b44b80a3f1e77088784e8c"/>
                  <w:lock w:val="sdtLocked"/>
                  <w:richText/>
                </w:sdtPr>
                <w:sdtContent>
                  <w:r>
                    <w:rPr>
                      <w:b/>
                      <w:bCs/>
                      <w:caps/>
                      <w:color w:val="000000"/>
                    </w:rPr>
                    <w:t>I</w:t>
                  </w:r>
                </w:sdtContent>
              </w:sdt>
              <w:r>
                <w:rPr>
                  <w:b/>
                  <w:bCs/>
                  <w:caps/>
                  <w:color w:val="000000"/>
                </w:rPr>
                <w:t xml:space="preserve">. </w:t>
              </w:r>
              <w:sdt>
                <w:sdtPr>
                  <w:alias w:val="Pavadinimas"/>
                  <w:tag w:val="title_cdff047b11b44b80a3f1e77088784e8c"/>
                  <w:lock w:val="sdtLocked"/>
                  <w:richText/>
                </w:sdtPr>
                <w:sdtContent>
                  <w:r>
                    <w:rPr>
                      <w:b/>
                      <w:bCs/>
                      <w:caps/>
                      <w:color w:val="000000"/>
                    </w:rPr>
                    <w:t>Bendrosios nuostatos</w:t>
                  </w:r>
                </w:sdtContent>
              </w:sdt>
            </w:p>
            <w:p>
              <w:pPr>
                <w:suppressAutoHyphens/>
                <w:spacing w:line="297" w:lineRule="auto"/>
                <w:ind w:firstLine="312"/>
                <w:jc w:val="both"/>
                <w:textAlignment w:val="center"/>
                <w:rPr>
                  <w:color w:val="000000"/>
                </w:rPr>
              </w:pPr>
            </w:p>
            <w:sdt>
              <w:sdtPr>
                <w:alias w:val="1 p."/>
                <w:tag w:val="part_97ebbf9df90f4e57a71bf22145fab413"/>
                <w:lock w:val="sdtLocked"/>
                <w:richText/>
              </w:sdtPr>
              <w:sdtContent>
                <w:p>
                  <w:pPr>
                    <w:suppressAutoHyphens/>
                    <w:spacing w:line="360" w:lineRule="auto"/>
                    <w:ind w:firstLine="312"/>
                    <w:jc w:val="both"/>
                    <w:textAlignment w:val="center"/>
                    <w:rPr>
                      <w:color w:val="000000"/>
                    </w:rPr>
                  </w:pPr>
                  <w:sdt>
                    <w:sdtPr>
                      <w:alias w:val="Numeris"/>
                      <w:tag w:val="nr_97ebbf9df90f4e57a71bf22145fab413"/>
                      <w:lock w:val="sdtLocked"/>
                      <w:richText/>
                    </w:sdtPr>
                    <w:sdtContent>
                      <w:r>
                        <w:rPr>
                          <w:color w:val="000000"/>
                        </w:rPr>
                        <w:t>1</w:t>
                      </w:r>
                    </w:sdtContent>
                  </w:sdt>
                  <w:r>
                    <w:rPr>
                      <w:color w:val="000000"/>
                    </w:rPr>
                    <w:t xml:space="preserve">. Lietuvos Respublikos žvejybos laivų stebėjimo sistemos tvarkos aprašas (toliau – Tvarkos aprašas) nustato žvejybos laivų stebėjimo sistemos (toliau – LSS) įrengimo, veikimo, žvejybos duomenų žvejybos stebėjimo centrui (toliau - ŽSC) perdavimo, naudojimo bei palydovinių siųstuvų </w:t>
                  </w:r>
                  <w:r>
                    <w:t>aktyvinimo ir deaktyvinimo tvarką žvejybos laivuose</w:t>
                  </w:r>
                  <w:r>
                    <w:rPr>
                      <w:color w:val="000000"/>
                    </w:rPr>
                    <w:t>.</w:t>
                  </w:r>
                </w:p>
              </w:sdtContent>
            </w:sdt>
            <w:sdt>
              <w:sdtPr>
                <w:alias w:val="2 p."/>
                <w:tag w:val="part_edfd1e53b8c348af97d9e69d78f062a5"/>
                <w:lock w:val="sdtLocked"/>
                <w:richText/>
              </w:sdtPr>
              <w:sdtContent>
                <w:p>
                  <w:pPr>
                    <w:suppressAutoHyphens/>
                    <w:spacing w:line="360" w:lineRule="auto"/>
                    <w:ind w:firstLine="312"/>
                    <w:jc w:val="both"/>
                    <w:textAlignment w:val="center"/>
                    <w:rPr>
                      <w:color w:val="000000"/>
                    </w:rPr>
                  </w:pPr>
                  <w:sdt>
                    <w:sdtPr>
                      <w:alias w:val="Numeris"/>
                      <w:tag w:val="nr_edfd1e53b8c348af97d9e69d78f062a5"/>
                      <w:lock w:val="sdtLocked"/>
                      <w:richText/>
                    </w:sdtPr>
                    <w:sdtContent>
                      <w:r>
                        <w:rPr>
                          <w:color w:val="000000"/>
                        </w:rPr>
                        <w:t>2</w:t>
                      </w:r>
                    </w:sdtContent>
                  </w:sdt>
                  <w:r>
                    <w:rPr>
                      <w:color w:val="000000"/>
                    </w:rPr>
                    <w:t xml:space="preserve">. Tvarkos aprašas parengtas vadovaujantis Lietuvos Respublikos žuvininkystės įstatymu, 2009 m. lapkričio 20 d. Tarybos reglamentu </w:t>
                  </w:r>
                  <w:hyperlink r:id="rId34" w:tgtFrame="_blank" w:history="1">
                    <w:r>
                      <w:rPr>
                        <w:color w:val="0000FF" w:themeColor="hyperlink"/>
                        <w:u w:val="single"/>
                      </w:rPr>
                      <w:t>(EB) Nr. 1224/2009</w:t>
                    </w:r>
                  </w:hyperlink>
                  <w:r>
                    <w:rPr>
                      <w:color w:val="000000"/>
                    </w:rPr>
                    <w:t xml:space="preserve">, nustatančiu Bendrijos kontrolės sistemą, kuria užtikrinamas bendrosios žuvininkystės politikos taisyklių laikymasis, iš dalies keičiančiu </w:t>
                  </w:r>
                  <w:r>
                    <w:t xml:space="preserve">reglamentus </w:t>
                  </w:r>
                  <w:hyperlink r:id="rId35" w:tgtFrame="_blank" w:history="1">
                    <w:r>
                      <w:rPr>
                        <w:color w:val="0000FF" w:themeColor="hyperlink"/>
                        <w:u w:val="single"/>
                      </w:rPr>
                      <w:t>(EB) Nr. 847/96</w:t>
                    </w:r>
                  </w:hyperlink>
                  <w:r>
                    <w:t xml:space="preserve">, </w:t>
                  </w:r>
                  <w:hyperlink r:id="rId36" w:tgtFrame="_blank" w:history="1">
                    <w:r>
                      <w:rPr>
                        <w:color w:val="0000FF" w:themeColor="hyperlink"/>
                        <w:u w:val="single"/>
                      </w:rPr>
                      <w:t>(EB) Nr. 2371/2002</w:t>
                    </w:r>
                  </w:hyperlink>
                  <w:r>
                    <w:t xml:space="preserve">, </w:t>
                  </w:r>
                  <w:hyperlink r:id="rId37" w:tgtFrame="_blank" w:history="1">
                    <w:r>
                      <w:rPr>
                        <w:color w:val="0000FF" w:themeColor="hyperlink"/>
                        <w:u w:val="single"/>
                      </w:rPr>
                      <w:t>(EB) Nr. 811/2004</w:t>
                    </w:r>
                  </w:hyperlink>
                  <w:r>
                    <w:t xml:space="preserve">, </w:t>
                  </w:r>
                  <w:hyperlink r:id="rId38" w:tgtFrame="_blank" w:history="1">
                    <w:r>
                      <w:rPr>
                        <w:color w:val="0000FF" w:themeColor="hyperlink"/>
                        <w:u w:val="single"/>
                      </w:rPr>
                      <w:t>(EB) Nr. 768/2005</w:t>
                    </w:r>
                  </w:hyperlink>
                  <w:r>
                    <w:t xml:space="preserve">, </w:t>
                  </w:r>
                  <w:hyperlink r:id="rId39" w:tgtFrame="_blank" w:history="1">
                    <w:r>
                      <w:rPr>
                        <w:color w:val="0000FF" w:themeColor="hyperlink"/>
                        <w:u w:val="single"/>
                      </w:rPr>
                      <w:t>(EB) Nr. 2115/2005</w:t>
                    </w:r>
                  </w:hyperlink>
                  <w:r>
                    <w:t xml:space="preserve">, </w:t>
                  </w:r>
                  <w:hyperlink r:id="rId40" w:tgtFrame="_blank" w:history="1">
                    <w:r>
                      <w:rPr>
                        <w:color w:val="0000FF" w:themeColor="hyperlink"/>
                        <w:u w:val="single"/>
                      </w:rPr>
                      <w:t>(EB) Nr. 2166/2005</w:t>
                    </w:r>
                  </w:hyperlink>
                  <w:r>
                    <w:t xml:space="preserve">, </w:t>
                  </w:r>
                  <w:hyperlink r:id="rId41" w:tgtFrame="_blank" w:history="1">
                    <w:r>
                      <w:rPr>
                        <w:color w:val="0000FF" w:themeColor="hyperlink"/>
                        <w:u w:val="single"/>
                      </w:rPr>
                      <w:t>(EB) Nr. 388/2006</w:t>
                    </w:r>
                  </w:hyperlink>
                  <w:r>
                    <w:t xml:space="preserve">, </w:t>
                  </w:r>
                  <w:hyperlink r:id="rId42" w:tgtFrame="_blank" w:history="1">
                    <w:r>
                      <w:rPr>
                        <w:color w:val="0000FF" w:themeColor="hyperlink"/>
                        <w:u w:val="single"/>
                      </w:rPr>
                      <w:t>(EB) Nr. 509/2007</w:t>
                    </w:r>
                  </w:hyperlink>
                  <w:r>
                    <w:t xml:space="preserve">, </w:t>
                  </w:r>
                  <w:hyperlink r:id="rId43" w:tgtFrame="_blank" w:history="1">
                    <w:r>
                      <w:rPr>
                        <w:color w:val="0000FF" w:themeColor="hyperlink"/>
                        <w:u w:val="single"/>
                      </w:rPr>
                      <w:t>(EB) Nr. 676/2007</w:t>
                    </w:r>
                  </w:hyperlink>
                  <w:r>
                    <w:t xml:space="preserve">, </w:t>
                  </w:r>
                  <w:hyperlink r:id="rId44" w:tgtFrame="_blank" w:history="1">
                    <w:r>
                      <w:rPr>
                        <w:color w:val="0000FF" w:themeColor="hyperlink"/>
                        <w:u w:val="single"/>
                      </w:rPr>
                      <w:t>(EB) Nr. 1098/2007</w:t>
                    </w:r>
                  </w:hyperlink>
                  <w:r>
                    <w:t xml:space="preserve">, </w:t>
                  </w:r>
                  <w:hyperlink r:id="rId45" w:tgtFrame="_blank" w:history="1">
                    <w:r>
                      <w:rPr>
                        <w:color w:val="0000FF" w:themeColor="hyperlink"/>
                        <w:u w:val="single"/>
                      </w:rPr>
                      <w:t>(EB) Nr. 1300/2008</w:t>
                    </w:r>
                  </w:hyperlink>
                  <w:r>
                    <w:t xml:space="preserve">, </w:t>
                  </w:r>
                  <w:hyperlink r:id="rId46" w:tgtFrame="_blank" w:history="1">
                    <w:r>
                      <w:rPr>
                        <w:color w:val="0000FF" w:themeColor="hyperlink"/>
                        <w:u w:val="single"/>
                      </w:rPr>
                      <w:t>(EB) Nr. 1342/2008</w:t>
                    </w:r>
                  </w:hyperlink>
                  <w:r>
                    <w:t xml:space="preserve"> ir panaikinančiu reglamentus </w:t>
                  </w:r>
                  <w:hyperlink r:id="rId47" w:tgtFrame="_blank" w:history="1">
                    <w:r>
                      <w:rPr>
                        <w:color w:val="0000FF" w:themeColor="hyperlink"/>
                        <w:u w:val="single"/>
                      </w:rPr>
                      <w:t>(EEB) Nr. 2847/93</w:t>
                    </w:r>
                  </w:hyperlink>
                  <w:r>
                    <w:t xml:space="preserve">, </w:t>
                  </w:r>
                  <w:hyperlink r:id="rId48" w:tgtFrame="_blank" w:history="1">
                    <w:r>
                      <w:rPr>
                        <w:color w:val="0000FF" w:themeColor="hyperlink"/>
                        <w:u w:val="single"/>
                      </w:rPr>
                      <w:t>(EB) Nr. 1627/94</w:t>
                    </w:r>
                  </w:hyperlink>
                  <w:r>
                    <w:t xml:space="preserve"> ir </w:t>
                  </w:r>
                  <w:hyperlink r:id="rId49" w:tgtFrame="_blank" w:history="1">
                    <w:r>
                      <w:rPr>
                        <w:color w:val="0000FF" w:themeColor="hyperlink"/>
                        <w:u w:val="single"/>
                      </w:rPr>
                      <w:t>(EB) Nr. 1966/2006</w:t>
                    </w:r>
                  </w:hyperlink>
                  <w:r>
                    <w:rPr>
                      <w:color w:val="000000"/>
                    </w:rPr>
                    <w:t xml:space="preserve"> (OL 2009 L 343, p. 1) su visais pakeitimais, 2011 m. balandžio 8 d. Komisijos įgyvendinimo reglamentu </w:t>
                  </w:r>
                  <w:hyperlink r:id="rId50" w:tgtFrame="_blank" w:history="1">
                    <w:r>
                      <w:rPr>
                        <w:color w:val="0000FF" w:themeColor="hyperlink"/>
                        <w:u w:val="single"/>
                      </w:rPr>
                      <w:t>(ES) Nr. 404/2011</w:t>
                    </w:r>
                  </w:hyperlink>
                  <w:r>
                    <w:rPr>
                      <w:color w:val="000000"/>
                    </w:rPr>
                    <w:t xml:space="preserve">, kuriuo nustatomos išsamios Tarybos reglamento </w:t>
                  </w:r>
                  <w:hyperlink r:id="rId51" w:tgtFrame="_blank" w:history="1">
                    <w:r>
                      <w:rPr>
                        <w:color w:val="0000FF" w:themeColor="hyperlink"/>
                        <w:u w:val="single"/>
                      </w:rPr>
                      <w:t>(EB) Nr. 1224/2009</w:t>
                    </w:r>
                  </w:hyperlink>
                  <w:r>
                    <w:rPr>
                      <w:color w:val="000000"/>
                    </w:rPr>
                    <w:t xml:space="preserve">, nustatančio Bendrijos kontrolės sistemą, kuria užtikrinamas bendrosios žuvininkystės politikos taisyklių laikymasis, įgyvendinimo taisyklės (OL 2011 L 112, p.1), 2025 m. rugpjūčio 27 d. Komisijos deleguotuoju reglamentu </w:t>
                  </w:r>
                  <w:hyperlink r:id="rId52" w:tgtFrame="_blank" w:history="1">
                    <w:r>
                      <w:rPr>
                        <w:color w:val="0000FF" w:themeColor="hyperlink"/>
                        <w:u w:val="single"/>
                      </w:rPr>
                      <w:t>(ES) 2025/1766</w:t>
                    </w:r>
                  </w:hyperlink>
                  <w:r>
                    <w:rPr>
                      <w:color w:val="000000"/>
                    </w:rPr>
                    <w:t xml:space="preserve">, kuriuo papildomas Tarybos reglamentas </w:t>
                  </w:r>
                  <w:hyperlink r:id="rId53" w:tgtFrame="_blank" w:history="1">
                    <w:r>
                      <w:rPr>
                        <w:color w:val="0000FF" w:themeColor="hyperlink"/>
                        <w:u w:val="single"/>
                      </w:rPr>
                      <w:t>(EB) Nr. 1224/2009</w:t>
                    </w:r>
                  </w:hyperlink>
                  <w:r>
                    <w:rPr>
                      <w:color w:val="000000"/>
                    </w:rPr>
                    <w:t xml:space="preserve"> nustatant žuvininkystės kontrolės ir žvejybos veiklos priežiūros bei inspektavimo, taip pat vykdymo užtikrinimo ir atitikties reikalavimams taisykles. kuriuo papildomas Tarybos reglamentas </w:t>
                  </w:r>
                  <w:hyperlink r:id="rId54" w:tgtFrame="_blank" w:history="1">
                    <w:r>
                      <w:rPr>
                        <w:color w:val="0000FF" w:themeColor="hyperlink"/>
                        <w:u w:val="single"/>
                      </w:rPr>
                      <w:t>(EB) Nr. 1224/2009</w:t>
                    </w:r>
                  </w:hyperlink>
                  <w:r>
                    <w:rPr>
                      <w:color w:val="000000"/>
                    </w:rPr>
                    <w:t xml:space="preserve"> nustatant žuvininkystės kontrolės ir žvejybos veiklos priežiūros bei inspektavimo, taip pat vykdymo užtikrinimo ir atitikties reikalavimams taisykles, ir 2025 m. spalio 17 d. Komisijos įgyvendinimo reglamentu </w:t>
                  </w:r>
                  <w:hyperlink r:id="rId55" w:tgtFrame="_blank" w:history="1">
                    <w:r>
                      <w:rPr>
                        <w:color w:val="0000FF" w:themeColor="hyperlink"/>
                        <w:u w:val="single"/>
                      </w:rPr>
                      <w:t>(ES) Nr. 2025/2196</w:t>
                    </w:r>
                  </w:hyperlink>
                  <w:r>
                    <w:rPr>
                      <w:color w:val="000000"/>
                    </w:rPr>
                    <w:t xml:space="preserve">, kuriuo nustatomos išsamios Tarybos reglamento </w:t>
                  </w:r>
                  <w:hyperlink r:id="rId56" w:tgtFrame="_blank" w:history="1">
                    <w:r>
                      <w:rPr>
                        <w:color w:val="0000FF" w:themeColor="hyperlink"/>
                        <w:u w:val="single"/>
                      </w:rPr>
                      <w:t>(EB) Nr. 1224/2009</w:t>
                    </w:r>
                  </w:hyperlink>
                  <w:r>
                    <w:rPr>
                      <w:color w:val="000000"/>
                    </w:rPr>
                    <w:t xml:space="preserve"> įgyvendinimo taisyklės, susijusios su galimybe patekti į vandenis ir naudoti išteklius, žuvininkystės kontrole, priežiūros, inspektavimo ir vykdymo užtikrinimo veiksmais, kvotų ir žvejybos pastangų išskaitymu ir duomenimis bei informacija, ir panaikinamas Komisijos įgyvendinimo reglamentas </w:t>
                  </w:r>
                  <w:hyperlink r:id="rId57" w:tgtFrame="_blank" w:history="1">
                    <w:r>
                      <w:rPr>
                        <w:color w:val="0000FF" w:themeColor="hyperlink"/>
                        <w:u w:val="single"/>
                      </w:rPr>
                      <w:t>(ES) Nr. 404/2011</w:t>
                    </w:r>
                  </w:hyperlink>
                  <w:r>
                    <w:rPr>
                      <w:color w:val="000000"/>
                    </w:rPr>
                    <w:t>.</w:t>
                  </w:r>
                </w:p>
              </w:sdtContent>
            </w:sdt>
            <w:sdt>
              <w:sdtPr>
                <w:alias w:val="3 p."/>
                <w:tag w:val="part_39b7e5fb766b405098ba0afd27f76691"/>
                <w:lock w:val="sdtLocked"/>
                <w:richText/>
              </w:sdtPr>
              <w:sdtContent>
                <w:p>
                  <w:pPr>
                    <w:suppressAutoHyphens/>
                    <w:spacing w:line="360" w:lineRule="auto"/>
                    <w:ind w:firstLine="312"/>
                    <w:jc w:val="both"/>
                    <w:textAlignment w:val="center"/>
                    <w:rPr>
                      <w:color w:val="000000"/>
                    </w:rPr>
                  </w:pPr>
                  <w:sdt>
                    <w:sdtPr>
                      <w:alias w:val="Numeris"/>
                      <w:tag w:val="nr_39b7e5fb766b405098ba0afd27f76691"/>
                      <w:lock w:val="sdtLocked"/>
                      <w:richText/>
                    </w:sdtPr>
                    <w:sdtContent>
                      <w:r>
                        <w:rPr>
                          <w:color w:val="000000"/>
                        </w:rPr>
                        <w:t>3</w:t>
                      </w:r>
                    </w:sdtContent>
                  </w:sdt>
                  <w:r>
                    <w:rPr>
                      <w:color w:val="000000"/>
                    </w:rPr>
                    <w:t>. Šiame Tvarkos apraše vartojamos sąvokos apibrėžtos Lietuvos Respublikos žuvininkystės įstatyme ir kituose teisės aktuose.</w:t>
                  </w:r>
                </w:p>
                <w:p>
                  <w:pPr>
                    <w:suppressAutoHyphens/>
                    <w:spacing w:line="297" w:lineRule="auto"/>
                    <w:ind w:firstLine="312"/>
                    <w:jc w:val="both"/>
                    <w:textAlignment w:val="center"/>
                    <w:rPr>
                      <w:b/>
                      <w:bCs/>
                      <w:color w:val="000000"/>
                    </w:rPr>
                  </w:pPr>
                </w:p>
              </w:sdtContent>
            </w:sdt>
          </w:sdtContent>
        </w:sdt>
        <w:sdt>
          <w:sdtPr>
            <w:alias w:val="skyrius"/>
            <w:tag w:val="part_48b4aa8d4a914ab59c6ce6c0c1b6e206"/>
            <w:lock w:val="sdtLocked"/>
            <w:richText/>
          </w:sdtPr>
          <w:sdtContent>
            <w:p>
              <w:pPr>
                <w:keepLines/>
                <w:suppressAutoHyphens/>
                <w:spacing w:line="288" w:lineRule="auto"/>
                <w:jc w:val="center"/>
                <w:textAlignment w:val="center"/>
                <w:rPr>
                  <w:b/>
                  <w:bCs/>
                  <w:caps/>
                  <w:color w:val="000000"/>
                </w:rPr>
              </w:pPr>
              <w:sdt>
                <w:sdtPr>
                  <w:alias w:val="Numeris"/>
                  <w:tag w:val="nr_48b4aa8d4a914ab59c6ce6c0c1b6e206"/>
                  <w:lock w:val="sdtLocked"/>
                  <w:richText/>
                </w:sdtPr>
                <w:sdtContent>
                  <w:r>
                    <w:rPr>
                      <w:b/>
                      <w:bCs/>
                      <w:caps/>
                      <w:color w:val="000000"/>
                    </w:rPr>
                    <w:t>II</w:t>
                  </w:r>
                </w:sdtContent>
              </w:sdt>
              <w:r>
                <w:rPr>
                  <w:b/>
                  <w:bCs/>
                  <w:caps/>
                  <w:color w:val="000000"/>
                </w:rPr>
                <w:t xml:space="preserve">. </w:t>
              </w:r>
              <w:sdt>
                <w:sdtPr>
                  <w:alias w:val="Pavadinimas"/>
                  <w:tag w:val="title_48b4aa8d4a914ab59c6ce6c0c1b6e206"/>
                  <w:lock w:val="sdtLocked"/>
                  <w:richText/>
                </w:sdtPr>
                <w:sdtContent>
                  <w:r>
                    <w:rPr>
                      <w:b/>
                      <w:bCs/>
                      <w:caps/>
                      <w:color w:val="000000"/>
                    </w:rPr>
                    <w:t>ŽVEJYBOS LAIVŲ STEBĖJIMO SISTEMOS NAUDOJIMAS</w:t>
                  </w:r>
                </w:sdtContent>
              </w:sdt>
            </w:p>
            <w:p>
              <w:pPr>
                <w:suppressAutoHyphens/>
                <w:spacing w:line="297" w:lineRule="auto"/>
                <w:ind w:firstLine="312"/>
                <w:jc w:val="both"/>
                <w:textAlignment w:val="center"/>
                <w:rPr>
                  <w:color w:val="000000"/>
                </w:rPr>
              </w:pPr>
            </w:p>
            <w:sdt>
              <w:sdtPr>
                <w:alias w:val="4 p."/>
                <w:tag w:val="part_3ca212c016b64e85863ebc5672ea2e2f"/>
                <w:lock w:val="sdtLocked"/>
                <w:richText/>
              </w:sdtPr>
              <w:sdtContent>
                <w:p>
                  <w:pPr>
                    <w:suppressAutoHyphens/>
                    <w:spacing w:line="360" w:lineRule="auto"/>
                    <w:ind w:firstLine="312"/>
                    <w:jc w:val="both"/>
                    <w:textAlignment w:val="center"/>
                    <w:rPr>
                      <w:color w:val="000000"/>
                    </w:rPr>
                  </w:pPr>
                  <w:sdt>
                    <w:sdtPr>
                      <w:alias w:val="Numeris"/>
                      <w:tag w:val="nr_3ca212c016b64e85863ebc5672ea2e2f"/>
                      <w:lock w:val="sdtLocked"/>
                      <w:richText/>
                    </w:sdtPr>
                    <w:sdtContent>
                      <w:r>
                        <w:rPr>
                          <w:color w:val="000000"/>
                        </w:rPr>
                        <w:t>4</w:t>
                      </w:r>
                    </w:sdtContent>
                  </w:sdt>
                  <w:r>
                    <w:rPr>
                      <w:color w:val="000000"/>
                    </w:rPr>
                    <w:t>. Kiekviename ilgesniame kaip 12 m Lietuvos Respublikos žvejybos laive (toliau – žvejybos laivas) privalo būti įrengta veikianti LSS.</w:t>
                  </w:r>
                </w:p>
              </w:sdtContent>
            </w:sdt>
            <w:sdt>
              <w:sdtPr>
                <w:alias w:val="5 p."/>
                <w:tag w:val="part_1726c8827a344243a56576a7bd3ce2ee"/>
                <w:lock w:val="sdtLocked"/>
                <w:richText/>
              </w:sdtPr>
              <w:sdtContent>
                <w:p>
                  <w:pPr>
                    <w:suppressAutoHyphens/>
                    <w:spacing w:line="360" w:lineRule="auto"/>
                    <w:ind w:firstLine="312"/>
                    <w:jc w:val="both"/>
                    <w:textAlignment w:val="center"/>
                    <w:rPr>
                      <w:color w:val="000000"/>
                    </w:rPr>
                  </w:pPr>
                  <w:sdt>
                    <w:sdtPr>
                      <w:alias w:val="Numeris"/>
                      <w:tag w:val="nr_1726c8827a344243a56576a7bd3ce2ee"/>
                      <w:lock w:val="sdtLocked"/>
                      <w:richText/>
                    </w:sdtPr>
                    <w:sdtContent>
                      <w:r>
                        <w:rPr>
                          <w:color w:val="000000"/>
                        </w:rPr>
                        <w:t>5</w:t>
                      </w:r>
                    </w:sdtContent>
                  </w:sdt>
                  <w:r>
                    <w:rPr>
                      <w:color w:val="000000"/>
                    </w:rPr>
                    <w:t>. Ilgesniems nei 12 m žvejybos laivams, kuriuose nėra įrengta veikianti LSS, vykdyti žvejybos veiklą yra draudžiama.</w:t>
                  </w:r>
                </w:p>
              </w:sdtContent>
            </w:sdt>
            <w:sdt>
              <w:sdtPr>
                <w:alias w:val="6 p."/>
                <w:tag w:val="part_2e58b57c430e4450b6a33a57b4ddaeeb"/>
                <w:lock w:val="sdtLocked"/>
                <w:richText/>
              </w:sdtPr>
              <w:sdtContent>
                <w:p>
                  <w:pPr>
                    <w:suppressAutoHyphens/>
                    <w:spacing w:line="360" w:lineRule="auto"/>
                    <w:ind w:firstLine="312"/>
                    <w:jc w:val="both"/>
                    <w:textAlignment w:val="center"/>
                    <w:rPr>
                      <w:color w:val="000000"/>
                    </w:rPr>
                  </w:pPr>
                  <w:sdt>
                    <w:sdtPr>
                      <w:alias w:val="Numeris"/>
                      <w:tag w:val="nr_2e58b57c430e4450b6a33a57b4ddaeeb"/>
                      <w:lock w:val="sdtLocked"/>
                      <w:richText/>
                    </w:sdtPr>
                    <w:sdtContent>
                      <w:r>
                        <w:rPr>
                          <w:color w:val="000000"/>
                        </w:rPr>
                        <w:t>6</w:t>
                      </w:r>
                    </w:sdtContent>
                  </w:sdt>
                  <w:r>
                    <w:rPr>
                      <w:color w:val="000000"/>
                    </w:rPr>
                    <w:t xml:space="preserve">. Visuose žvejybos laivuose, kuriems taikomi LSS reikalavimai pagal Reglamento </w:t>
                  </w:r>
                  <w:hyperlink r:id="rId58" w:tgtFrame="_blank" w:history="1">
                    <w:r>
                      <w:rPr>
                        <w:color w:val="0000FF" w:themeColor="hyperlink"/>
                        <w:u w:val="single"/>
                      </w:rPr>
                      <w:t>(EB) 1224/2009</w:t>
                    </w:r>
                  </w:hyperlink>
                  <w:r>
                    <w:rPr>
                      <w:color w:val="000000"/>
                    </w:rPr>
                    <w:t xml:space="preserve"> 9 straipsnį arba griežtesnes nuostatas, nustatytas kitomis bendros žuvininkystės politikos taisyklėmis, įrengiamas laivų stebėjimo įtaisas, atitinkantis Reglamento </w:t>
                  </w:r>
                  <w:hyperlink r:id="rId59" w:tgtFrame="_blank" w:history="1">
                    <w:r>
                      <w:rPr>
                        <w:color w:val="0000FF" w:themeColor="hyperlink"/>
                        <w:u w:val="single"/>
                      </w:rPr>
                      <w:t>(ES) 2025/2196</w:t>
                    </w:r>
                  </w:hyperlink>
                  <w:r>
                    <w:rPr>
                      <w:color w:val="000000"/>
                    </w:rPr>
                    <w:t xml:space="preserve"> 20 skyriuje nustatytas minimaliąsias technines sąlygas.</w:t>
                  </w:r>
                </w:p>
                <w:p>
                  <w:pPr>
                    <w:suppressAutoHyphens/>
                    <w:spacing w:line="297" w:lineRule="auto"/>
                    <w:ind w:firstLine="312"/>
                    <w:jc w:val="both"/>
                    <w:textAlignment w:val="center"/>
                  </w:pPr>
                </w:p>
              </w:sdtContent>
            </w:sdt>
          </w:sdtContent>
        </w:sdt>
        <w:sdt>
          <w:sdtPr>
            <w:alias w:val="skyrius"/>
            <w:tag w:val="part_e16340cff9b54efb8d45e7645b775996"/>
            <w:lock w:val="sdtLocked"/>
            <w:richText/>
          </w:sdtPr>
          <w:sdtContent>
            <w:p>
              <w:pPr>
                <w:suppressAutoHyphens/>
                <w:jc w:val="center"/>
                <w:rPr>
                  <w:b/>
                  <w:caps/>
                  <w:color w:val="000000"/>
                  <w:szCs w:val="24"/>
                  <w:lang w:eastAsia="lt-LT"/>
                </w:rPr>
              </w:pPr>
              <w:sdt>
                <w:sdtPr>
                  <w:alias w:val="Numeris"/>
                  <w:tag w:val="nr_e16340cff9b54efb8d45e7645b775996"/>
                  <w:lock w:val="sdtLocked"/>
                  <w:richText/>
                </w:sdtPr>
                <w:sdtContent>
                  <w:r>
                    <w:rPr>
                      <w:b/>
                      <w:caps/>
                      <w:color w:val="000000"/>
                      <w:szCs w:val="24"/>
                      <w:lang w:eastAsia="lt-LT"/>
                    </w:rPr>
                    <w:t>III</w:t>
                  </w:r>
                </w:sdtContent>
              </w:sdt>
              <w:r>
                <w:rPr>
                  <w:b/>
                  <w:caps/>
                  <w:color w:val="000000"/>
                  <w:szCs w:val="24"/>
                  <w:lang w:eastAsia="lt-LT"/>
                </w:rPr>
                <w:t xml:space="preserve">. </w:t>
              </w:r>
              <w:sdt>
                <w:sdtPr>
                  <w:alias w:val="Pavadinimas"/>
                  <w:tag w:val="title_e16340cff9b54efb8d45e7645b775996"/>
                  <w:lock w:val="sdtLocked"/>
                  <w:richText/>
                </w:sdtPr>
                <w:sdtContent>
                  <w:r>
                    <w:rPr>
                      <w:b/>
                      <w:caps/>
                      <w:color w:val="000000"/>
                      <w:szCs w:val="24"/>
                      <w:lang w:eastAsia="lt-LT"/>
                    </w:rPr>
                    <w:t>PALYDOViNIO RYŠIO Siųstuvų aktyvINIMO ir deaktyvinimo tVARKA</w:t>
                  </w:r>
                </w:sdtContent>
              </w:sdt>
            </w:p>
            <w:p>
              <w:pPr>
                <w:suppressAutoHyphens/>
                <w:spacing w:line="297" w:lineRule="auto"/>
                <w:ind w:firstLine="312"/>
                <w:jc w:val="both"/>
                <w:textAlignment w:val="center"/>
                <w:rPr>
                  <w:szCs w:val="24"/>
                </w:rPr>
              </w:pPr>
            </w:p>
            <w:sdt>
              <w:sdtPr>
                <w:alias w:val="7 p."/>
                <w:tag w:val="part_6ab1a2a642e341128310a532c3688984"/>
                <w:lock w:val="sdtLocked"/>
                <w:richText/>
              </w:sdtPr>
              <w:sdtContent>
                <w:p>
                  <w:pPr>
                    <w:spacing w:line="360" w:lineRule="auto"/>
                    <w:ind w:firstLine="312"/>
                    <w:jc w:val="both"/>
                    <w:rPr>
                      <w:lang w:eastAsia="lt-LT"/>
                    </w:rPr>
                  </w:pPr>
                  <w:sdt>
                    <w:sdtPr>
                      <w:alias w:val="Numeris"/>
                      <w:tag w:val="nr_6ab1a2a642e341128310a532c3688984"/>
                      <w:lock w:val="sdtLocked"/>
                      <w:richText/>
                    </w:sdtPr>
                    <w:sdtContent>
                      <w:r>
                        <w:rPr>
                          <w:color w:val="000000"/>
                          <w:lang w:eastAsia="lt-LT"/>
                        </w:rPr>
                        <w:t>7</w:t>
                      </w:r>
                    </w:sdtContent>
                  </w:sdt>
                  <w:r>
                    <w:rPr>
                      <w:color w:val="000000"/>
                      <w:lang w:eastAsia="lt-LT"/>
                    </w:rPr>
                    <w:t xml:space="preserve">. </w:t>
                  </w:r>
                  <w:r>
                    <w:rPr>
                      <w:lang w:eastAsia="lt-LT"/>
                    </w:rPr>
                    <w:t xml:space="preserve">Žvejybos veiklą vykdantis ūkio subjektas (toliau – naudotojas), prieš aktyvindamas palydovinio ryšio siųstuvą žvejybos laive, turi būti sudaręs sutartį su Inmarsat-C arba Iridium palydovinio ryšio paslaugų tiekėju dėl palydovinių duomenų persiuntimo. Naudotojas už Inmarsat-C arba Iridium palydovinio ryšio paslaugas apmoka tiesiogiai tiekėjui. </w:t>
                  </w:r>
                </w:p>
              </w:sdtContent>
            </w:sdt>
            <w:sdt>
              <w:sdtPr>
                <w:alias w:val="8 p."/>
                <w:tag w:val="part_33000c94452d425bbe0c813b9f32f255"/>
                <w:lock w:val="sdtLocked"/>
                <w:richText/>
              </w:sdtPr>
              <w:sdtContent>
                <w:p>
                  <w:pPr>
                    <w:spacing w:line="360" w:lineRule="auto"/>
                    <w:ind w:firstLine="312"/>
                    <w:jc w:val="both"/>
                    <w:rPr>
                      <w:lang w:eastAsia="lt-LT"/>
                    </w:rPr>
                  </w:pPr>
                  <w:sdt>
                    <w:sdtPr>
                      <w:alias w:val="Numeris"/>
                      <w:tag w:val="nr_33000c94452d425bbe0c813b9f32f255"/>
                      <w:lock w:val="sdtLocked"/>
                      <w:richText/>
                    </w:sdtPr>
                    <w:sdtContent>
                      <w:r>
                        <w:rPr>
                          <w:lang w:eastAsia="lt-LT"/>
                        </w:rPr>
                        <w:t>8</w:t>
                      </w:r>
                    </w:sdtContent>
                  </w:sdt>
                  <w:r>
                    <w:rPr>
                      <w:lang w:eastAsia="lt-LT"/>
                    </w:rPr>
                    <w:t>. Naudotojas Žuvininkystės tarnybai prie Lietuvos Respublikos žemės ūkio ministerijos (toliau – Žuvininkystės tarnyba) pateikia prašymą aktyvinti siųstuvą ir pateikia jame nurodytus duomenis (1 priedas).</w:t>
                  </w:r>
                </w:p>
              </w:sdtContent>
            </w:sdt>
            <w:sdt>
              <w:sdtPr>
                <w:alias w:val="9 p."/>
                <w:tag w:val="part_c57da09139fc40e5837de0e934e6ce2a"/>
                <w:lock w:val="sdtLocked"/>
                <w:richText/>
              </w:sdtPr>
              <w:sdtContent>
                <w:p>
                  <w:pPr>
                    <w:spacing w:line="360" w:lineRule="auto"/>
                    <w:ind w:firstLine="312"/>
                    <w:jc w:val="both"/>
                    <w:rPr>
                      <w:color w:val="000000"/>
                      <w:lang w:eastAsia="lt-LT"/>
                    </w:rPr>
                  </w:pPr>
                  <w:sdt>
                    <w:sdtPr>
                      <w:alias w:val="Numeris"/>
                      <w:tag w:val="nr_c57da09139fc40e5837de0e934e6ce2a"/>
                      <w:lock w:val="sdtLocked"/>
                      <w:richText/>
                    </w:sdtPr>
                    <w:sdtContent>
                      <w:r>
                        <w:rPr>
                          <w:color w:val="000000"/>
                          <w:lang w:eastAsia="lt-LT"/>
                        </w:rPr>
                        <w:t>9</w:t>
                      </w:r>
                    </w:sdtContent>
                  </w:sdt>
                  <w:r>
                    <w:rPr>
                      <w:color w:val="000000"/>
                      <w:lang w:eastAsia="lt-LT"/>
                    </w:rPr>
                    <w:t>. Prieš Žuvininkystės tarnybai aktyvinant Inmarsat-C palydovų sistemą naudojančio</w:t>
                  </w:r>
                  <w:r>
                    <w:rPr>
                      <w:b/>
                      <w:bCs/>
                      <w:color w:val="000000"/>
                      <w:lang w:eastAsia="lt-LT"/>
                    </w:rPr>
                    <w:t xml:space="preserve"> </w:t>
                  </w:r>
                  <w:r>
                    <w:rPr>
                      <w:color w:val="000000"/>
                      <w:lang w:eastAsia="lt-LT"/>
                    </w:rPr>
                    <w:t>žvejybos laivo siųstuvą ir įdiegiant duomenų tinklo identifikavimo numerį – DNID (toliau – DNID), naudotojas turi užtikrinti, kad siųstuvas būtų visą laiką įjungtas ir prisijungęs prie to Inmarsat-C palydovo regiono, kuriame bus vykdoma žvejyba. Jei žvejybos laivas vykdys žvejybą skirtingų Inmarsat-C palydovų aptarnaujamuose regionuose, tai, įplaukęs į kitą regioną, siųstuvas turi būti prijungtas prie tą regioną aptarnaujančio palydovo. Prieš Žuvininkystės tarnybai aktyvinant Iridium palydovų sistemą naudojantį žvejybos laivo siųstuvą, naudotojas pateikia 1 priede nurodytus CLS siųstuvo duomenis.</w:t>
                  </w:r>
                </w:p>
              </w:sdtContent>
            </w:sdt>
            <w:sdt>
              <w:sdtPr>
                <w:alias w:val="10 p."/>
                <w:tag w:val="part_64cb921c9ff94f7ba67460ba9e68c4e0"/>
                <w:lock w:val="sdtLocked"/>
                <w:richText/>
              </w:sdtPr>
              <w:sdtContent>
                <w:p>
                  <w:pPr>
                    <w:suppressAutoHyphens/>
                    <w:spacing w:line="360" w:lineRule="auto"/>
                    <w:ind w:firstLine="312"/>
                    <w:jc w:val="both"/>
                    <w:rPr>
                      <w:color w:val="000000"/>
                      <w:spacing w:val="-3"/>
                      <w:kern w:val="2"/>
                      <w:lang w:eastAsia="lt-LT"/>
                    </w:rPr>
                  </w:pPr>
                  <w:sdt>
                    <w:sdtPr>
                      <w:alias w:val="Numeris"/>
                      <w:tag w:val="nr_64cb921c9ff94f7ba67460ba9e68c4e0"/>
                      <w:lock w:val="sdtLocked"/>
                      <w:richText/>
                    </w:sdtPr>
                    <w:sdtContent>
                      <w:r>
                        <w:rPr>
                          <w:color w:val="000000"/>
                          <w:spacing w:val="-3"/>
                          <w:kern w:val="2"/>
                          <w:lang w:eastAsia="lt-LT"/>
                        </w:rPr>
                        <w:t>10</w:t>
                      </w:r>
                    </w:sdtContent>
                  </w:sdt>
                  <w:r>
                    <w:rPr>
                      <w:color w:val="000000"/>
                      <w:spacing w:val="-3"/>
                      <w:kern w:val="2"/>
                      <w:lang w:eastAsia="lt-LT"/>
                    </w:rPr>
                    <w:t xml:space="preserve">. Žuvininkystės tarnybai aktyvinus siųstuvą, ne vėliau nei per 2 darbo dienas naudotojui elektroniniu paštu </w:t>
                  </w:r>
                  <w:r>
                    <w:rPr>
                      <w:color w:val="000000"/>
                      <w:lang w:eastAsia="lt-LT"/>
                    </w:rPr>
                    <w:t xml:space="preserve">išsiunčiamas patvirtinimas, kad siųstuvas įregistruotas ir duomenų perdavimo paslauga aktyvuota. </w:t>
                  </w:r>
                </w:p>
              </w:sdtContent>
            </w:sdt>
            <w:sdt>
              <w:sdtPr>
                <w:alias w:val="11 p."/>
                <w:tag w:val="part_b95bdd5df4c04b5187787cc084b955d7"/>
                <w:lock w:val="sdtLocked"/>
                <w:richText/>
              </w:sdtPr>
              <w:sdtContent>
                <w:p>
                  <w:pPr>
                    <w:spacing w:line="360" w:lineRule="auto"/>
                    <w:ind w:firstLine="312"/>
                    <w:jc w:val="both"/>
                    <w:rPr>
                      <w:color w:val="000000"/>
                      <w:szCs w:val="24"/>
                      <w:lang w:eastAsia="lt-LT"/>
                    </w:rPr>
                  </w:pPr>
                  <w:sdt>
                    <w:sdtPr>
                      <w:alias w:val="Numeris"/>
                      <w:tag w:val="nr_b95bdd5df4c04b5187787cc084b955d7"/>
                      <w:lock w:val="sdtLocked"/>
                      <w:richText/>
                    </w:sdtPr>
                    <w:sdtContent>
                      <w:r>
                        <w:rPr>
                          <w:color w:val="000000"/>
                          <w:szCs w:val="24"/>
                          <w:lang w:eastAsia="lt-LT"/>
                        </w:rPr>
                        <w:t>11</w:t>
                      </w:r>
                    </w:sdtContent>
                  </w:sdt>
                  <w:r>
                    <w:rPr>
                      <w:color w:val="000000"/>
                      <w:szCs w:val="24"/>
                      <w:lang w:eastAsia="lt-LT"/>
                    </w:rPr>
                    <w:t>. Inmarsat-C siųstuvas turi būti įjungtas visą laiką, kol Žuvininkystės tarnyba atliks deaktyvinimo procedūrą. Prieš deaktyvinant siųstuvą naudotojas turi užtikrinti, kad žvejybos laivas yra prisijungęs prie to Inmarsat-C palydovo regiono (AOR-W, AOR-E, POR, IOR), kuriems Žuvininkystės tarnyba buvo prijungusi DNID. Tik iš siųstuvo ištrynus visus prie Inmarsat-C palydovų regionų įkrautus DNID bus laikoma, kad siųstuvas yra deaktyvintas.</w:t>
                  </w:r>
                </w:p>
              </w:sdtContent>
            </w:sdt>
            <w:sdt>
              <w:sdtPr>
                <w:alias w:val="12 p."/>
                <w:tag w:val="part_8b66f51dd67f4cb7a24854cca7711f98"/>
                <w:lock w:val="sdtLocked"/>
                <w:richText/>
              </w:sdtPr>
              <w:sdtContent>
                <w:p>
                  <w:pPr>
                    <w:spacing w:line="360" w:lineRule="auto"/>
                    <w:ind w:firstLine="312"/>
                    <w:jc w:val="both"/>
                    <w:rPr>
                      <w:color w:val="000000"/>
                      <w:lang w:eastAsia="lt-LT"/>
                    </w:rPr>
                  </w:pPr>
                  <w:sdt>
                    <w:sdtPr>
                      <w:alias w:val="Numeris"/>
                      <w:tag w:val="nr_8b66f51dd67f4cb7a24854cca7711f98"/>
                      <w:lock w:val="sdtLocked"/>
                      <w:richText/>
                    </w:sdtPr>
                    <w:sdtContent>
                      <w:r>
                        <w:rPr>
                          <w:color w:val="000000"/>
                          <w:lang w:eastAsia="lt-LT"/>
                        </w:rPr>
                        <w:t>12</w:t>
                      </w:r>
                    </w:sdtContent>
                  </w:sdt>
                  <w:r>
                    <w:rPr>
                      <w:color w:val="000000"/>
                      <w:lang w:eastAsia="lt-LT"/>
                    </w:rPr>
                    <w:t>. Žvejybos laivas iš Žvejojančių jūrų vandenyse laivų duomenų sistemos neišregistruojamas tol, kol nustatyta tvarka nėra deaktyvintas jo Inmarsat-C siųstuvas.</w:t>
                  </w:r>
                </w:p>
              </w:sdtContent>
            </w:sdt>
            <w:sdt>
              <w:sdtPr>
                <w:alias w:val="13 p."/>
                <w:tag w:val="part_6f67cfcfe0824b3f9dee4701046d1d7a"/>
                <w:lock w:val="sdtLocked"/>
                <w:richText/>
              </w:sdtPr>
              <w:sdtContent>
                <w:p>
                  <w:pPr>
                    <w:suppressAutoHyphens/>
                    <w:spacing w:line="360" w:lineRule="auto"/>
                    <w:ind w:firstLine="312"/>
                    <w:jc w:val="both"/>
                    <w:rPr>
                      <w:color w:val="000000"/>
                      <w:spacing w:val="-3"/>
                      <w:kern w:val="2"/>
                      <w:lang w:eastAsia="lt-LT"/>
                    </w:rPr>
                  </w:pPr>
                  <w:sdt>
                    <w:sdtPr>
                      <w:alias w:val="Numeris"/>
                      <w:tag w:val="nr_6f67cfcfe0824b3f9dee4701046d1d7a"/>
                      <w:lock w:val="sdtLocked"/>
                      <w:richText/>
                    </w:sdtPr>
                    <w:sdtContent>
                      <w:r>
                        <w:rPr>
                          <w:color w:val="000000"/>
                          <w:spacing w:val="-3"/>
                          <w:kern w:val="2"/>
                          <w:lang w:eastAsia="lt-LT"/>
                        </w:rPr>
                        <w:t>13</w:t>
                      </w:r>
                    </w:sdtContent>
                  </w:sdt>
                  <w:r>
                    <w:rPr>
                      <w:color w:val="000000"/>
                      <w:spacing w:val="-3"/>
                      <w:kern w:val="2"/>
                      <w:lang w:eastAsia="lt-LT"/>
                    </w:rPr>
                    <w:t xml:space="preserve">. Prieš atjungiant Inmarsat-C siųstuvą arba keičiant jį nauju, naudotojas turi ne vėliau kaip prieš 7 darbo dienas </w:t>
                  </w:r>
                  <w:r>
                    <w:rPr>
                      <w:color w:val="000000"/>
                      <w:lang w:eastAsia="lt-LT"/>
                    </w:rPr>
                    <w:t xml:space="preserve">pateikti prašymą deaktyvinti LSS </w:t>
                  </w:r>
                  <w:r>
                    <w:rPr>
                      <w:color w:val="000000"/>
                      <w:spacing w:val="-3"/>
                      <w:kern w:val="2"/>
                      <w:lang w:eastAsia="lt-LT"/>
                    </w:rPr>
                    <w:t>Žuvininkystės tarnyb</w:t>
                  </w:r>
                  <w:r>
                    <w:rPr>
                      <w:color w:val="000000"/>
                      <w:lang w:eastAsia="lt-LT"/>
                    </w:rPr>
                    <w:t>ai</w:t>
                  </w:r>
                  <w:r>
                    <w:rPr>
                      <w:color w:val="000000"/>
                      <w:spacing w:val="-3"/>
                      <w:kern w:val="2"/>
                      <w:lang w:eastAsia="lt-LT"/>
                    </w:rPr>
                    <w:t xml:space="preserve"> </w:t>
                  </w:r>
                  <w:r>
                    <w:rPr>
                      <w:color w:val="000000"/>
                      <w:lang w:eastAsia="lt-LT"/>
                    </w:rPr>
                    <w:t>(2 priedas).</w:t>
                  </w:r>
                  <w:r>
                    <w:rPr>
                      <w:color w:val="000000"/>
                      <w:spacing w:val="-3"/>
                      <w:kern w:val="2"/>
                      <w:lang w:eastAsia="lt-LT"/>
                    </w:rPr>
                    <w:t xml:space="preserve"> </w:t>
                  </w:r>
                </w:p>
              </w:sdtContent>
            </w:sdt>
            <w:sdt>
              <w:sdtPr>
                <w:alias w:val="14 p."/>
                <w:tag w:val="part_68e7148b26534b91b396b572405c4059"/>
                <w:lock w:val="sdtLocked"/>
                <w:richText/>
              </w:sdtPr>
              <w:sdtContent>
                <w:p>
                  <w:pPr>
                    <w:spacing w:line="360" w:lineRule="auto"/>
                    <w:ind w:firstLine="312"/>
                    <w:jc w:val="both"/>
                    <w:rPr>
                      <w:color w:val="000000"/>
                      <w:szCs w:val="24"/>
                      <w:lang w:eastAsia="lt-LT"/>
                    </w:rPr>
                  </w:pPr>
                  <w:sdt>
                    <w:sdtPr>
                      <w:alias w:val="Numeris"/>
                      <w:tag w:val="nr_68e7148b26534b91b396b572405c4059"/>
                      <w:lock w:val="sdtLocked"/>
                      <w:richText/>
                    </w:sdtPr>
                    <w:sdtContent>
                      <w:r>
                        <w:rPr>
                          <w:color w:val="000000"/>
                          <w:szCs w:val="24"/>
                          <w:lang w:eastAsia="lt-LT"/>
                        </w:rPr>
                        <w:t>14</w:t>
                      </w:r>
                    </w:sdtContent>
                  </w:sdt>
                  <w:r>
                    <w:rPr>
                      <w:color w:val="000000"/>
                      <w:szCs w:val="24"/>
                      <w:lang w:eastAsia="lt-LT"/>
                    </w:rPr>
                    <w:t>. Palydovinių siųstuvų aktyvinimo ir deaktyvinimo tvarka netaikoma kitiems žvejybos laivo įtaisams aktyvinti ir deaktyvinti.</w:t>
                  </w:r>
                </w:p>
                <w:p>
                  <w:pPr>
                    <w:suppressAutoHyphens/>
                    <w:spacing w:line="297" w:lineRule="auto"/>
                    <w:ind w:firstLine="312"/>
                    <w:jc w:val="both"/>
                    <w:textAlignment w:val="center"/>
                    <w:rPr>
                      <w:color w:val="000000"/>
                    </w:rPr>
                  </w:pPr>
                </w:p>
              </w:sdtContent>
            </w:sdt>
          </w:sdtContent>
        </w:sdt>
        <w:sdt>
          <w:sdtPr>
            <w:alias w:val="skyrius"/>
            <w:tag w:val="part_fb5f833daf194c1db53583e50d789538"/>
            <w:lock w:val="sdtLocked"/>
            <w:richText/>
          </w:sdtPr>
          <w:sdtContent>
            <w:p>
              <w:pPr>
                <w:keepLines/>
                <w:suppressAutoHyphens/>
                <w:spacing w:line="288" w:lineRule="auto"/>
                <w:jc w:val="center"/>
                <w:textAlignment w:val="center"/>
                <w:rPr>
                  <w:b/>
                  <w:bCs/>
                  <w:caps/>
                  <w:color w:val="000000"/>
                </w:rPr>
              </w:pPr>
              <w:sdt>
                <w:sdtPr>
                  <w:alias w:val="Numeris"/>
                  <w:tag w:val="nr_fb5f833daf194c1db53583e50d789538"/>
                  <w:lock w:val="sdtLocked"/>
                  <w:richText/>
                </w:sdtPr>
                <w:sdtContent>
                  <w:r>
                    <w:rPr>
                      <w:b/>
                      <w:bCs/>
                      <w:caps/>
                      <w:color w:val="000000"/>
                    </w:rPr>
                    <w:t>IV</w:t>
                  </w:r>
                </w:sdtContent>
              </w:sdt>
              <w:r>
                <w:rPr>
                  <w:b/>
                  <w:bCs/>
                  <w:caps/>
                  <w:color w:val="000000"/>
                </w:rPr>
                <w:t xml:space="preserve">. </w:t>
              </w:r>
              <w:sdt>
                <w:sdtPr>
                  <w:alias w:val="Pavadinimas"/>
                  <w:tag w:val="title_fb5f833daf194c1db53583e50d789538"/>
                  <w:lock w:val="sdtLocked"/>
                  <w:richText/>
                </w:sdtPr>
                <w:sdtContent>
                  <w:r>
                    <w:rPr>
                      <w:b/>
                      <w:bCs/>
                      <w:caps/>
                      <w:color w:val="000000"/>
                    </w:rPr>
                    <w:t>Reikalavimai žvejybos laivams SU įrengtais LAIVO STEBĖJIMO ĮTAISAIS</w:t>
                  </w:r>
                </w:sdtContent>
              </w:sdt>
            </w:p>
            <w:p>
              <w:pPr>
                <w:suppressAutoHyphens/>
                <w:spacing w:line="297" w:lineRule="auto"/>
                <w:ind w:firstLine="312"/>
                <w:jc w:val="both"/>
                <w:textAlignment w:val="center"/>
                <w:rPr>
                  <w:color w:val="000000"/>
                </w:rPr>
              </w:pPr>
            </w:p>
            <w:sdt>
              <w:sdtPr>
                <w:alias w:val="15 p."/>
                <w:tag w:val="part_368bdd801ea1417d823d1768ecd28f2c"/>
                <w:lock w:val="sdtLocked"/>
                <w:richText/>
              </w:sdtPr>
              <w:sdtContent>
                <w:p>
                  <w:pPr>
                    <w:suppressAutoHyphens/>
                    <w:spacing w:line="360" w:lineRule="auto"/>
                    <w:ind w:firstLine="312"/>
                    <w:jc w:val="both"/>
                    <w:textAlignment w:val="center"/>
                    <w:rPr>
                      <w:color w:val="000000"/>
                    </w:rPr>
                  </w:pPr>
                  <w:sdt>
                    <w:sdtPr>
                      <w:alias w:val="Numeris"/>
                      <w:tag w:val="nr_368bdd801ea1417d823d1768ecd28f2c"/>
                      <w:lock w:val="sdtLocked"/>
                      <w:richText/>
                    </w:sdtPr>
                    <w:sdtContent>
                      <w:r>
                        <w:rPr>
                          <w:color w:val="000000"/>
                        </w:rPr>
                        <w:t>15</w:t>
                      </w:r>
                    </w:sdtContent>
                  </w:sdt>
                  <w:r>
                    <w:rPr>
                      <w:color w:val="000000"/>
                    </w:rPr>
                    <w:t xml:space="preserve">. Į Lietuvos Respublikos žvejybos stebėjimo centrą (toliau – ŽSC), kuris kaupia, sistemina ir analizuoja iš žvejybos laivų gaunamą informaciją, LSS įtaisais automatiškai reguliariais intervalais turi būti perduodami duomenys pagal Komisijos įgyvendinimo reglamento </w:t>
                  </w:r>
                  <w:hyperlink r:id="rId60" w:tgtFrame="_blank" w:history="1">
                    <w:r>
                      <w:rPr>
                        <w:color w:val="0000FF" w:themeColor="hyperlink"/>
                        <w:u w:val="single"/>
                      </w:rPr>
                      <w:t>(ES) 2025/2196</w:t>
                    </w:r>
                  </w:hyperlink>
                  <w:r>
                    <w:rPr>
                      <w:color w:val="000000"/>
                    </w:rPr>
                    <w:t xml:space="preserve"> 20 ir 21 straipsnių nuostatas.</w:t>
                  </w:r>
                </w:p>
              </w:sdtContent>
            </w:sdt>
            <w:sdt>
              <w:sdtPr>
                <w:alias w:val="16 p."/>
                <w:tag w:val="part_4776cfd1f8a64a7f8df8b978327943b1"/>
                <w:lock w:val="sdtLocked"/>
                <w:richText/>
              </w:sdtPr>
              <w:sdtContent>
                <w:p>
                  <w:pPr>
                    <w:suppressAutoHyphens/>
                    <w:spacing w:line="360" w:lineRule="auto"/>
                    <w:ind w:firstLine="312"/>
                    <w:jc w:val="both"/>
                    <w:textAlignment w:val="center"/>
                    <w:rPr>
                      <w:color w:val="000000"/>
                    </w:rPr>
                  </w:pPr>
                  <w:sdt>
                    <w:sdtPr>
                      <w:alias w:val="Numeris"/>
                      <w:tag w:val="nr_4776cfd1f8a64a7f8df8b978327943b1"/>
                      <w:lock w:val="sdtLocked"/>
                      <w:richText/>
                    </w:sdtPr>
                    <w:sdtContent>
                      <w:r>
                        <w:rPr>
                          <w:color w:val="000000"/>
                        </w:rPr>
                        <w:t>16</w:t>
                      </w:r>
                    </w:sdtContent>
                  </w:sdt>
                  <w:r>
                    <w:rPr>
                      <w:color w:val="000000"/>
                    </w:rPr>
                    <w:t xml:space="preserve">. Žvejybos laivo, kuriame įmontuota LSS, kapitonas privalo laikytis Komisijos įgyvendinimo reglamento </w:t>
                  </w:r>
                  <w:hyperlink r:id="rId61" w:tgtFrame="_blank" w:history="1">
                    <w:r>
                      <w:rPr>
                        <w:color w:val="0000FF" w:themeColor="hyperlink"/>
                        <w:u w:val="single"/>
                      </w:rPr>
                      <w:t>(ES) 2025/2196</w:t>
                    </w:r>
                  </w:hyperlink>
                  <w:r>
                    <w:rPr>
                      <w:color w:val="000000"/>
                    </w:rPr>
                    <w:t xml:space="preserve"> 22 straipsnio reikalavimų.</w:t>
                  </w:r>
                </w:p>
              </w:sdtContent>
            </w:sdt>
            <w:sdt>
              <w:sdtPr>
                <w:alias w:val="17 p."/>
                <w:tag w:val="part_ec834a7930e94933932644540dc19a31"/>
                <w:lock w:val="sdtLocked"/>
                <w:richText/>
              </w:sdtPr>
              <w:sdtContent>
                <w:p>
                  <w:pPr>
                    <w:suppressAutoHyphens/>
                    <w:spacing w:line="360" w:lineRule="auto"/>
                    <w:ind w:firstLine="312"/>
                    <w:jc w:val="both"/>
                    <w:textAlignment w:val="center"/>
                    <w:rPr>
                      <w:rFonts w:ascii="EUAlbertina" w:hAnsi="EUAlbertina" w:cs="EUAlbertina"/>
                      <w:color w:val="000000"/>
                      <w:lang w:eastAsia="lt-LT"/>
                    </w:rPr>
                  </w:pPr>
                  <w:sdt>
                    <w:sdtPr>
                      <w:alias w:val="Numeris"/>
                      <w:tag w:val="nr_ec834a7930e94933932644540dc19a31"/>
                      <w:lock w:val="sdtLocked"/>
                      <w:richText/>
                    </w:sdtPr>
                    <w:sdtContent>
                      <w:r>
                        <w:rPr>
                          <w:color w:val="000000"/>
                        </w:rPr>
                        <w:t>17</w:t>
                      </w:r>
                    </w:sdtContent>
                  </w:sdt>
                  <w:r>
                    <w:rPr>
                      <w:color w:val="000000"/>
                    </w:rPr>
                    <w:t xml:space="preserve">. </w:t>
                  </w:r>
                  <w:r>
                    <w:rPr>
                      <w:color w:val="333333"/>
                    </w:rPr>
                    <w:t>Je</w:t>
                  </w:r>
                  <w:r>
                    <w:rPr>
                      <w:color w:val="000000"/>
                    </w:rPr>
                    <w:t>i laive yra įrengtas laivo stebėjimo įtaisas, jį išmontuoti siekiant patikrinti, pataisyti ar pakeisti galima tik gavus Žuvininkystės tarnybos raštišką leidimą.</w:t>
                  </w:r>
                  <w:r>
                    <w:rPr>
                      <w:color w:val="000000"/>
                      <w:lang w:eastAsia="lt-LT"/>
                    </w:rPr>
                    <w:t xml:space="preserve"> Apie ketinimus atlikti šiuos veiksmus būtina pranešti Žuvininkystės tarnybai elektroniniu paštu </w:t>
                  </w:r>
                  <w:r>
                    <w:rPr>
                      <w:color w:val="0000FF"/>
                      <w:u w:val="single"/>
                      <w:lang w:eastAsia="lt-LT"/>
                    </w:rPr>
                    <w:t>stebesena@zuv.lt</w:t>
                  </w:r>
                  <w:r>
                    <w:rPr>
                      <w:color w:val="000000"/>
                      <w:lang w:eastAsia="lt-LT"/>
                    </w:rPr>
                    <w:t xml:space="preserve"> bei gauti leidimą šiems veiksmams atlikti.</w:t>
                  </w:r>
                  <w:r>
                    <w:rPr>
                      <w:rFonts w:ascii="EUAlbertina" w:hAnsi="EUAlbertina" w:cs="EUAlbertina"/>
                      <w:color w:val="000000"/>
                      <w:lang w:eastAsia="lt-LT"/>
                    </w:rPr>
                    <w:t xml:space="preserve"> </w:t>
                  </w:r>
                  <w:r>
                    <w:rPr>
                      <w:color w:val="000000"/>
                    </w:rPr>
                    <w:t>Draudžiama naikinti, apgadinti, sugadinti laivo stebėjimo įtaisą ar kaip nors kitaip daryti įtaką jo veikimui.</w:t>
                  </w:r>
                </w:p>
              </w:sdtContent>
            </w:sdt>
            <w:sdt>
              <w:sdtPr>
                <w:alias w:val="18 p."/>
                <w:tag w:val="part_87a6a7346a2040f99cb104d60edf2c68"/>
                <w:lock w:val="sdtLocked"/>
                <w:richText/>
              </w:sdtPr>
              <w:sdtContent>
                <w:p>
                  <w:pPr>
                    <w:suppressAutoHyphens/>
                    <w:spacing w:line="360" w:lineRule="auto"/>
                    <w:ind w:firstLine="312"/>
                    <w:jc w:val="both"/>
                    <w:textAlignment w:val="center"/>
                    <w:rPr>
                      <w:color w:val="000000"/>
                    </w:rPr>
                  </w:pPr>
                  <w:sdt>
                    <w:sdtPr>
                      <w:alias w:val="Numeris"/>
                      <w:tag w:val="nr_87a6a7346a2040f99cb104d60edf2c68"/>
                      <w:lock w:val="sdtLocked"/>
                      <w:richText/>
                    </w:sdtPr>
                    <w:sdtContent>
                      <w:r>
                        <w:rPr>
                          <w:color w:val="000000"/>
                        </w:rPr>
                        <w:t>18</w:t>
                      </w:r>
                    </w:sdtContent>
                  </w:sdt>
                  <w:r>
                    <w:rPr>
                      <w:color w:val="000000"/>
                    </w:rPr>
                    <w:t xml:space="preserve">. Žvejybos laivai laivo buvimo vietos duomenis į ŽSC perduoda bent kartą per 60 minučių, išskyrus atvejus, kai žvejyba vykdoma ribojamos žvejybos rajonuose, kaip apibrėžta </w:t>
                  </w:r>
                  <w:r>
                    <w:t>Tarybos r</w:t>
                  </w:r>
                  <w:r>
                    <w:rPr>
                      <w:color w:val="333333"/>
                    </w:rPr>
                    <w:t xml:space="preserve">eglamento </w:t>
                  </w:r>
                  <w:hyperlink r:id="rId62" w:tgtFrame="_blank" w:history="1">
                    <w:r>
                      <w:rPr>
                        <w:color w:val="0000FF" w:themeColor="hyperlink"/>
                        <w:u w:val="single"/>
                      </w:rPr>
                      <w:t>(EB) 1224/2009</w:t>
                    </w:r>
                  </w:hyperlink>
                  <w:r>
                    <w:rPr>
                      <w:color w:val="333333"/>
                    </w:rPr>
                    <w:t xml:space="preserve"> 4 straipsnio 14 dalyje</w:t>
                  </w:r>
                  <w:r>
                    <w:t xml:space="preserve"> bei 5 jūrmylių spinduliu nuo šių rajonų -</w:t>
                  </w:r>
                  <w:r>
                    <w:rPr>
                      <w:color w:val="000000"/>
                    </w:rPr>
                    <w:t xml:space="preserve"> bent kartą per 30 minučių. </w:t>
                  </w:r>
                </w:p>
              </w:sdtContent>
            </w:sdt>
            <w:sdt>
              <w:sdtPr>
                <w:alias w:val="19 p."/>
                <w:tag w:val="part_27f8cc0dca484f2998d69acfea0f2191"/>
                <w:lock w:val="sdtLocked"/>
                <w:richText/>
              </w:sdtPr>
              <w:sdtContent>
                <w:p>
                  <w:pPr>
                    <w:suppressAutoHyphens/>
                    <w:spacing w:line="360" w:lineRule="auto"/>
                    <w:ind w:firstLine="312"/>
                    <w:jc w:val="both"/>
                    <w:textAlignment w:val="center"/>
                    <w:rPr>
                      <w:color w:val="000000"/>
                    </w:rPr>
                  </w:pPr>
                  <w:sdt>
                    <w:sdtPr>
                      <w:alias w:val="Numeris"/>
                      <w:tag w:val="nr_27f8cc0dca484f2998d69acfea0f2191"/>
                      <w:lock w:val="sdtLocked"/>
                      <w:richText/>
                    </w:sdtPr>
                    <w:sdtContent>
                      <w:r>
                        <w:rPr>
                          <w:color w:val="000000"/>
                        </w:rPr>
                        <w:t>19</w:t>
                      </w:r>
                    </w:sdtContent>
                  </w:sdt>
                  <w:r>
                    <w:rPr>
                      <w:color w:val="000000"/>
                    </w:rPr>
                    <w:t xml:space="preserve">. Jeigu žvejybos laivas yra uoste, LSS įtaisas gali būti išjungtas, jei apie tai prieš vieną valandą pranešama ŽSC Tvarkos aprašo 24 punkte nurodytais kontaktais. </w:t>
                  </w:r>
                  <w:r>
                    <w:t>P</w:t>
                  </w:r>
                  <w:r>
                    <w:rPr>
                      <w:szCs w:val="24"/>
                    </w:rPr>
                    <w:t>ranešime turi būti nurodyta, kad žvejybos laivas yra uosto teritorijoje arba iškrovimo vietoje.</w:t>
                  </w:r>
                </w:p>
              </w:sdtContent>
            </w:sdt>
            <w:sdt>
              <w:sdtPr>
                <w:alias w:val="20 p."/>
                <w:tag w:val="part_2277c283bfee44caa97fe74adcc83916"/>
                <w:lock w:val="sdtLocked"/>
                <w:richText/>
              </w:sdtPr>
              <w:sdtContent>
                <w:p>
                  <w:pPr>
                    <w:suppressAutoHyphens/>
                    <w:spacing w:line="360" w:lineRule="auto"/>
                    <w:ind w:firstLine="312"/>
                    <w:jc w:val="both"/>
                    <w:textAlignment w:val="center"/>
                    <w:rPr>
                      <w:color w:val="000000"/>
                    </w:rPr>
                  </w:pPr>
                  <w:sdt>
                    <w:sdtPr>
                      <w:alias w:val="Numeris"/>
                      <w:tag w:val="nr_2277c283bfee44caa97fe74adcc83916"/>
                      <w:lock w:val="sdtLocked"/>
                      <w:richText/>
                    </w:sdtPr>
                    <w:sdtContent>
                      <w:r>
                        <w:rPr>
                          <w:color w:val="000000"/>
                        </w:rPr>
                        <w:t>20</w:t>
                      </w:r>
                    </w:sdtContent>
                  </w:sdt>
                  <w:r>
                    <w:rPr>
                      <w:color w:val="000000"/>
                    </w:rPr>
                    <w:t xml:space="preserve">. Įjungus LSS įtaisą, pirmasis jo pranešimas turi būti išsiųstas iš tos pačios vietos, iš kurios buvo išsiųstas paskutinis pranešimas prieš jį išjungiant. Apie LSS įtaiso  įjungimą prieš vieną valandą privaloma pranešti Lietuvos Respublikos ŽSC ir pakrantės valstybės ŽSC.</w:t>
                  </w:r>
                </w:p>
              </w:sdtContent>
            </w:sdt>
            <w:sdt>
              <w:sdtPr>
                <w:alias w:val="21 p."/>
                <w:tag w:val="part_88ccc3b471c74d0682d01cdeef4e9118"/>
                <w:lock w:val="sdtLocked"/>
                <w:richText/>
              </w:sdtPr>
              <w:sdtContent>
                <w:p>
                  <w:pPr>
                    <w:suppressAutoHyphens/>
                    <w:spacing w:line="360" w:lineRule="auto"/>
                    <w:ind w:firstLine="312"/>
                    <w:jc w:val="both"/>
                    <w:textAlignment w:val="center"/>
                    <w:rPr>
                      <w:color w:val="000000"/>
                    </w:rPr>
                  </w:pPr>
                  <w:sdt>
                    <w:sdtPr>
                      <w:alias w:val="Numeris"/>
                      <w:tag w:val="nr_88ccc3b471c74d0682d01cdeef4e9118"/>
                      <w:lock w:val="sdtLocked"/>
                      <w:richText/>
                    </w:sdtPr>
                    <w:sdtContent>
                      <w:r>
                        <w:rPr>
                          <w:color w:val="000000"/>
                        </w:rPr>
                        <w:t>21</w:t>
                      </w:r>
                    </w:sdtContent>
                  </w:sdt>
                  <w:r>
                    <w:rPr>
                      <w:color w:val="000000"/>
                    </w:rPr>
                    <w:t xml:space="preserve">. Laive įvykus LSS įtaiso techniniam gedimui ar ryšio sutrikimui arba tam įtaisui neveikiant, kapitonas nuo tada, kai nustatomas įvykis, arba nuo tada, kai jis gauna sistemos pranešimą apie klaidą arba pranešimą iš ŽSC, atsižvelgiant į tai, kas įvyksta anksčiau, kapitonas perduoda esamus laivo geografinių koordinačių duomenis bent kartą per 4 valandas ŽSC, kurio kontaktiniai duomenys pateikti šio Tvarkos aprašo </w:t>
                  </w:r>
                  <w:r>
                    <w:t xml:space="preserve">24 </w:t>
                  </w:r>
                  <w:r>
                    <w:rPr>
                      <w:color w:val="000000"/>
                    </w:rPr>
                    <w:t>punkte.</w:t>
                  </w:r>
                </w:p>
              </w:sdtContent>
            </w:sdt>
            <w:sdt>
              <w:sdtPr>
                <w:alias w:val="22 p."/>
                <w:tag w:val="part_a7eb4bd1aae54f4795475f723463ac77"/>
                <w:lock w:val="sdtLocked"/>
                <w:richText/>
              </w:sdtPr>
              <w:sdtContent>
                <w:p>
                  <w:pPr>
                    <w:suppressAutoHyphens/>
                    <w:spacing w:line="360" w:lineRule="auto"/>
                    <w:ind w:firstLine="312"/>
                    <w:jc w:val="both"/>
                    <w:textAlignment w:val="center"/>
                    <w:rPr>
                      <w:szCs w:val="24"/>
                    </w:rPr>
                  </w:pPr>
                  <w:sdt>
                    <w:sdtPr>
                      <w:alias w:val="Numeris"/>
                      <w:tag w:val="nr_a7eb4bd1aae54f4795475f723463ac77"/>
                      <w:lock w:val="sdtLocked"/>
                      <w:richText/>
                    </w:sdtPr>
                    <w:sdtContent>
                      <w:r>
                        <w:rPr>
                          <w:color w:val="000000"/>
                        </w:rPr>
                        <w:t>22</w:t>
                      </w:r>
                    </w:sdtContent>
                  </w:sdt>
                  <w:r>
                    <w:rPr>
                      <w:color w:val="000000"/>
                    </w:rPr>
                    <w:t xml:space="preserve">. </w:t>
                  </w:r>
                  <w:r>
                    <w:rPr>
                      <w:color w:val="000000"/>
                      <w:szCs w:val="24"/>
                    </w:rPr>
                    <w:t>Sugedus (neveikiant) LSS įtaisui, žvejybos laivui neleidžiama išplaukti iš uosto tol, kol laive sumontuoto laivo stebėjimo įrenginio veikimas nebus atstatytas arba kol jam Žuvininkystės tarnyba nesuteiks leidimo išplaukti. Laivas gali išplaukti iš uosto tik tada, kai LSS įtaisas pradeda veikti tinkamai ir tai patvirtina ŽSC.</w:t>
                  </w:r>
                </w:p>
              </w:sdtContent>
            </w:sdt>
            <w:sdt>
              <w:sdtPr>
                <w:alias w:val="23 p."/>
                <w:tag w:val="part_87403a2e2f1f450593f85fb5851acf62"/>
                <w:lock w:val="sdtLocked"/>
                <w:richText/>
              </w:sdtPr>
              <w:sdtContent>
                <w:p>
                  <w:pPr>
                    <w:suppressAutoHyphens/>
                    <w:spacing w:line="360" w:lineRule="auto"/>
                    <w:ind w:firstLine="312"/>
                    <w:jc w:val="both"/>
                    <w:textAlignment w:val="center"/>
                    <w:rPr>
                      <w:color w:val="000000"/>
                    </w:rPr>
                  </w:pPr>
                  <w:sdt>
                    <w:sdtPr>
                      <w:alias w:val="Numeris"/>
                      <w:tag w:val="nr_87403a2e2f1f450593f85fb5851acf62"/>
                      <w:lock w:val="sdtLocked"/>
                      <w:richText/>
                    </w:sdtPr>
                    <w:sdtContent>
                      <w:r>
                        <w:rPr>
                          <w:color w:val="000000"/>
                        </w:rPr>
                        <w:t>23</w:t>
                      </w:r>
                    </w:sdtContent>
                  </w:sdt>
                  <w:r>
                    <w:rPr>
                      <w:color w:val="000000"/>
                    </w:rPr>
                    <w:t xml:space="preserve">. Laivui gali būti leista išplaukti iš uosto su neveikiančiu LSS įtaisu, kai jį ketinama remontuoti ar pakeisti, taip pat išimtiniais atvejais, pagrįstais tokio remonto ar pakeitimo vėlavimu, laikantis Komisijos reglamento </w:t>
                  </w:r>
                  <w:hyperlink r:id="rId63" w:tgtFrame="_blank" w:history="1">
                    <w:r>
                      <w:rPr>
                        <w:color w:val="0000FF" w:themeColor="hyperlink"/>
                        <w:u w:val="single"/>
                      </w:rPr>
                      <w:t>(ES) 2025/1766</w:t>
                    </w:r>
                  </w:hyperlink>
                  <w:r>
                    <w:rPr>
                      <w:color w:val="000000"/>
                    </w:rPr>
                    <w:t xml:space="preserve"> 4 straipsnio 1 ir 5 dalyse nustatytų sąlygų.</w:t>
                  </w:r>
                </w:p>
              </w:sdtContent>
            </w:sdt>
            <w:sdt>
              <w:sdtPr>
                <w:alias w:val="24 p."/>
                <w:tag w:val="part_5a8e4bcb7a5e4ec6adc51c301311386e"/>
                <w:lock w:val="sdtLocked"/>
                <w:richText/>
              </w:sdtPr>
              <w:sdtContent>
                <w:p>
                  <w:pPr>
                    <w:suppressAutoHyphens/>
                    <w:spacing w:line="360" w:lineRule="auto"/>
                    <w:ind w:firstLine="312"/>
                    <w:jc w:val="both"/>
                    <w:textAlignment w:val="center"/>
                    <w:rPr>
                      <w:color w:val="000000"/>
                    </w:rPr>
                  </w:pPr>
                  <w:sdt>
                    <w:sdtPr>
                      <w:alias w:val="Numeris"/>
                      <w:tag w:val="nr_5a8e4bcb7a5e4ec6adc51c301311386e"/>
                      <w:lock w:val="sdtLocked"/>
                      <w:richText/>
                    </w:sdtPr>
                    <w:sdtContent>
                      <w:r>
                        <w:rPr>
                          <w:color w:val="000000"/>
                        </w:rPr>
                        <w:t>24</w:t>
                      </w:r>
                    </w:sdtContent>
                  </w:sdt>
                  <w:r>
                    <w:rPr>
                      <w:color w:val="000000"/>
                    </w:rPr>
                    <w:t>. Žvejybos laivo kapitonas arba jo atstovas ŽSC teikia duomenis toliau nurodytais adresais:</w:t>
                  </w:r>
                </w:p>
                <w:sdt>
                  <w:sdtPr>
                    <w:alias w:val="24.1 pp."/>
                    <w:tag w:val="part_44bcdc91c3204cb6907055656b2d82f3"/>
                    <w:lock w:val="sdtLocked"/>
                    <w:richText/>
                  </w:sdtPr>
                  <w:sdtContent>
                    <w:p>
                      <w:pPr>
                        <w:suppressAutoHyphens/>
                        <w:spacing w:line="360" w:lineRule="auto"/>
                        <w:ind w:firstLine="312"/>
                        <w:jc w:val="both"/>
                        <w:textAlignment w:val="center"/>
                        <w:rPr>
                          <w:color w:val="000000"/>
                        </w:rPr>
                      </w:pPr>
                      <w:sdt>
                        <w:sdtPr>
                          <w:alias w:val="Numeris"/>
                          <w:tag w:val="nr_44bcdc91c3204cb6907055656b2d82f3"/>
                          <w:lock w:val="sdtLocked"/>
                          <w:richText/>
                        </w:sdtPr>
                        <w:sdtContent>
                          <w:r>
                            <w:rPr>
                              <w:color w:val="000000"/>
                            </w:rPr>
                            <w:t>24.1</w:t>
                          </w:r>
                        </w:sdtContent>
                      </w:sdt>
                      <w:r>
                        <w:rPr>
                          <w:color w:val="000000"/>
                        </w:rPr>
                        <w:t xml:space="preserve">. Tolimuosiuose žvejybos rajonuose veiklą vykdantys žvejybos laivai – Žuvininkystės tarnybos Žvejybos stebėsenos ir kontrolės skyriui, J. Janonio g. 24, 92251 Klaipėda, tel.: +370 700 14 935, mob. tel. +370 684 42408, faks. +370 700 14912, el. pašto adresas </w:t>
                      </w:r>
                      <w:r>
                        <w:rPr>
                          <w:color w:val="0000FF"/>
                          <w:u w:val="single"/>
                        </w:rPr>
                        <w:t>fmc@zuv.lt</w:t>
                      </w:r>
                      <w:r>
                        <w:rPr>
                          <w:color w:val="000000"/>
                        </w:rPr>
                        <w:t>;</w:t>
                      </w:r>
                    </w:p>
                  </w:sdtContent>
                </w:sdt>
                <w:sdt>
                  <w:sdtPr>
                    <w:alias w:val="24.2 pp."/>
                    <w:tag w:val="part_8772977882164c14a7a1d41c77a23689"/>
                    <w:lock w:val="sdtLocked"/>
                    <w:richText/>
                  </w:sdtPr>
                  <w:sdtContent>
                    <w:p>
                      <w:pPr>
                        <w:suppressAutoHyphens/>
                        <w:spacing w:line="360" w:lineRule="auto"/>
                        <w:ind w:firstLine="312"/>
                        <w:jc w:val="both"/>
                        <w:textAlignment w:val="center"/>
                        <w:rPr>
                          <w:color w:val="000000"/>
                        </w:rPr>
                      </w:pPr>
                      <w:sdt>
                        <w:sdtPr>
                          <w:alias w:val="Numeris"/>
                          <w:tag w:val="nr_8772977882164c14a7a1d41c77a23689"/>
                          <w:lock w:val="sdtLocked"/>
                          <w:richText/>
                        </w:sdtPr>
                        <w:sdtContent>
                          <w:r>
                            <w:rPr>
                              <w:color w:val="000000"/>
                            </w:rPr>
                            <w:t>24.2</w:t>
                          </w:r>
                        </w:sdtContent>
                      </w:sdt>
                      <w:r>
                        <w:rPr>
                          <w:color w:val="000000"/>
                        </w:rPr>
                        <w:t xml:space="preserve">. Baltijos jūroje veiklą vykdantys žvejybos laivai – Žuvininkystės tarnybos Žvejybos Baltijos jūroje kontrolės skyriui, J. Janonio g. 24, 92251 Klaipėda, tel. +370 700 14949, mob. tel. +370 614 93659, faks. +370 700 14912, el. pašto adresas </w:t>
                      </w:r>
                      <w:r>
                        <w:rPr>
                          <w:color w:val="0000FF"/>
                          <w:u w:val="single"/>
                        </w:rPr>
                        <w:t>zvejybos.kontrole@zuv.lt</w:t>
                      </w:r>
                      <w:r>
                        <w:rPr>
                          <w:color w:val="000000"/>
                        </w:rPr>
                        <w:t>.</w:t>
                      </w:r>
                    </w:p>
                    <w:p>
                      <w:pPr>
                        <w:suppressAutoHyphens/>
                        <w:spacing w:line="297" w:lineRule="auto"/>
                        <w:jc w:val="both"/>
                        <w:textAlignment w:val="center"/>
                        <w:rPr>
                          <w:color w:val="000000"/>
                        </w:rPr>
                      </w:pPr>
                    </w:p>
                  </w:sdtContent>
                </w:sdt>
              </w:sdtContent>
            </w:sdt>
          </w:sdtContent>
        </w:sdt>
        <w:sdt>
          <w:sdtPr>
            <w:alias w:val="skyrius"/>
            <w:tag w:val="part_9a85f21d6ae945a58b8913c49198e43c"/>
            <w:lock w:val="sdtLocked"/>
            <w:richText/>
          </w:sdtPr>
          <w:sdtContent>
            <w:p>
              <w:pPr>
                <w:keepLines/>
                <w:suppressAutoHyphens/>
                <w:spacing w:line="288" w:lineRule="auto"/>
                <w:jc w:val="center"/>
                <w:textAlignment w:val="center"/>
                <w:rPr>
                  <w:b/>
                  <w:bCs/>
                  <w:caps/>
                  <w:color w:val="000000"/>
                </w:rPr>
              </w:pPr>
              <w:sdt>
                <w:sdtPr>
                  <w:alias w:val="Numeris"/>
                  <w:tag w:val="nr_9a85f21d6ae945a58b8913c49198e43c"/>
                  <w:lock w:val="sdtLocked"/>
                  <w:richText/>
                </w:sdtPr>
                <w:sdtContent>
                  <w:r>
                    <w:rPr>
                      <w:b/>
                      <w:bCs/>
                      <w:caps/>
                      <w:color w:val="000000"/>
                    </w:rPr>
                    <w:t>V</w:t>
                  </w:r>
                </w:sdtContent>
              </w:sdt>
              <w:r>
                <w:rPr>
                  <w:b/>
                  <w:bCs/>
                  <w:caps/>
                  <w:color w:val="000000"/>
                </w:rPr>
                <w:t xml:space="preserve">. </w:t>
              </w:r>
              <w:sdt>
                <w:sdtPr>
                  <w:alias w:val="Pavadinimas"/>
                  <w:tag w:val="title_9a85f21d6ae945a58b8913c49198e43c"/>
                  <w:lock w:val="sdtLocked"/>
                  <w:richText/>
                </w:sdtPr>
                <w:sdtContent>
                  <w:r>
                    <w:rPr>
                      <w:b/>
                      <w:bCs/>
                      <w:caps/>
                      <w:color w:val="000000"/>
                    </w:rPr>
                    <w:t>BAIGIAMOSIOS NUOSTATOS</w:t>
                  </w:r>
                </w:sdtContent>
              </w:sdt>
            </w:p>
            <w:p>
              <w:pPr>
                <w:suppressAutoHyphens/>
                <w:spacing w:line="297" w:lineRule="auto"/>
                <w:ind w:firstLine="312"/>
                <w:jc w:val="both"/>
                <w:textAlignment w:val="center"/>
                <w:rPr>
                  <w:b/>
                  <w:bCs/>
                  <w:color w:val="000000"/>
                </w:rPr>
              </w:pPr>
            </w:p>
            <w:sdt>
              <w:sdtPr>
                <w:alias w:val="25 p."/>
                <w:tag w:val="part_cbae3304ebd14bd39e9383e2d73a1f22"/>
                <w:lock w:val="sdtLocked"/>
                <w:richText/>
              </w:sdtPr>
              <w:sdtContent>
                <w:p>
                  <w:pPr>
                    <w:suppressAutoHyphens/>
                    <w:spacing w:line="360" w:lineRule="auto"/>
                    <w:ind w:firstLine="312"/>
                    <w:jc w:val="both"/>
                    <w:textAlignment w:val="center"/>
                    <w:rPr>
                      <w:szCs w:val="24"/>
                    </w:rPr>
                  </w:pPr>
                  <w:sdt>
                    <w:sdtPr>
                      <w:alias w:val="Numeris"/>
                      <w:tag w:val="nr_cbae3304ebd14bd39e9383e2d73a1f22"/>
                      <w:lock w:val="sdtLocked"/>
                      <w:richText/>
                    </w:sdtPr>
                    <w:sdtContent>
                      <w:r>
                        <w:t>25</w:t>
                      </w:r>
                    </w:sdtContent>
                  </w:sdt>
                  <w:r>
                    <w:t xml:space="preserve">. </w:t>
                  </w:r>
                  <w:r>
                    <w:rPr>
                      <w:szCs w:val="24"/>
                    </w:rPr>
                    <w:t xml:space="preserve">Įpareigojimo iškrauti laimikį stebėjimo ir kontrolės tikslu Lietuvos Respublikos žūklės laivuose, kurių bendrasis ilgis yra 18 metrų ar didesnis, keliančiuose didelę įpareigojimo iškrauti laimikį reikalavimų nesilaikymo riziką, gali būti sumontuotos ir veiktų nuotolinės elektroninės stebėjimo (toliau – NES) sistemos. Įpareigojimo iškrauti laimikį reikalavimų nesilaikymo rizikos vertinimas atliekamas laikantis pagal </w:t>
                  </w:r>
                  <w:r>
                    <w:t xml:space="preserve">Tarybos reglamento </w:t>
                  </w:r>
                  <w:hyperlink r:id="rId64" w:tgtFrame="_blank" w:history="1">
                    <w:r>
                      <w:rPr>
                        <w:color w:val="0000FF" w:themeColor="hyperlink"/>
                        <w:u w:val="single"/>
                      </w:rPr>
                      <w:t>(EB) 1224/2009</w:t>
                    </w:r>
                  </w:hyperlink>
                  <w:r>
                    <w:t xml:space="preserve"> </w:t>
                  </w:r>
                  <w:r>
                    <w:rPr>
                      <w:szCs w:val="24"/>
                    </w:rPr>
                    <w:t>95 straipsnio 1 dalį priimtus įgyvendinimo aktus. NES sistema turi būti pajėgi veiksmingai stebėti ir kontroliuoti, kaip laikomasi įpareigojimo iškrauti laimikį, apima apsaugines vaizdo stebėjimo sistemos kameras ir gali apimti kitus prietaisus ir (arba) įrangą. Laivo kapitonas užtikrina, kad NES sistemos duomenys būtų teikiami kompetentingoms institucijoms. Už žuvininkystės kontrolę atsakingoms vėliavos ir pakrantės valstybių narių kompetentingoms institucijoms suteikiama vienoda prieiga prie tų duomenų, nedarant poveikio atitinkamoms asmens duomenų apsaugos taisyklėms. NES sistemos gali būti naudojamos ne tik įpareigojimo iškrauti laimikį, bet ir kitų bendros žuvininkystės politikos taisyklių laikymosi kontrolės tikslais.</w:t>
                  </w:r>
                </w:p>
              </w:sdtContent>
            </w:sdt>
            <w:sdt>
              <w:sdtPr>
                <w:alias w:val="26 p."/>
                <w:tag w:val="part_6e9d165a87d043819ab7318babb867a1"/>
                <w:lock w:val="sdtLocked"/>
                <w:richText/>
              </w:sdtPr>
              <w:sdtContent>
                <w:p>
                  <w:pPr>
                    <w:suppressAutoHyphens/>
                    <w:spacing w:line="360" w:lineRule="auto"/>
                    <w:ind w:firstLine="312"/>
                    <w:jc w:val="both"/>
                    <w:textAlignment w:val="center"/>
                    <w:rPr>
                      <w:color w:val="000000"/>
                    </w:rPr>
                  </w:pPr>
                  <w:sdt>
                    <w:sdtPr>
                      <w:alias w:val="Numeris"/>
                      <w:tag w:val="nr_6e9d165a87d043819ab7318babb867a1"/>
                      <w:lock w:val="sdtLocked"/>
                      <w:richText/>
                    </w:sdtPr>
                    <w:sdtContent>
                      <w:r>
                        <w:rPr>
                          <w:color w:val="000000"/>
                        </w:rPr>
                        <w:t>26</w:t>
                      </w:r>
                    </w:sdtContent>
                  </w:sdt>
                  <w:r>
                    <w:rPr>
                      <w:color w:val="000000"/>
                    </w:rPr>
                    <w:t>. Asmenys, pažeidę Tvarkos aprašo reikalavimus, atsako Lietuvos Respublikos teisės aktų nustatyta tvarka.</w:t>
                  </w:r>
                </w:p>
              </w:sdtContent>
            </w:sdt>
          </w:sdtContent>
        </w:sdt>
        <w:sdt>
          <w:sdtPr>
            <w:alias w:val="pabaiga"/>
            <w:tag w:val="part_5b688539431c4fb8955401fdaef7a403"/>
            <w:lock w:val="sdtLocked"/>
            <w:richText/>
          </w:sdtPr>
          <w:sdtContent>
            <w:p>
              <w:pPr>
                <w:spacing w:line="360" w:lineRule="auto"/>
                <w:jc w:val="center"/>
              </w:pPr>
              <w:r>
                <w:rPr>
                  <w:rFonts w:ascii="EUAlbertina" w:hAnsi="EUAlbertina" w:cs="EUAlbertina"/>
                  <w:color w:val="000000"/>
                  <w:szCs w:val="24"/>
                  <w:lang w:eastAsia="lt-LT"/>
                </w:rPr>
                <w:t>___________________</w:t>
              </w:r>
            </w:p>
          </w:sdtContent>
        </w:sdt>
      </w:sdtContent>
    </w:sdt>
    <w:sdt>
      <w:sdtPr>
        <w:alias w:val="1 pr."/>
        <w:tag w:val="part_cb13bdf147684a7aad9c8a4108d18f7c"/>
        <w:lock w:val="sdtLocked"/>
        <w:richText/>
      </w:sdtPr>
      <w:sdtContent>
        <w:p>
          <w:pPr>
            <w:overflowPunct w:val="0"/>
            <w:ind w:left="6481"/>
            <w:textAlignment w:val="baseline"/>
            <w:sectPr>
              <w:pgSz w:w="11906" w:h="16838" w:code="9"/>
              <w:pgMar w:top="1134" w:right="567" w:bottom="1134" w:left="1701" w:header="709" w:footer="709" w:gutter="0"/>
              <w:pgNumType w:start="1"/>
              <w:cols w:space="1296"/>
              <w:titlePg/>
              <w:docGrid w:linePitch="360"/>
            </w:sectPr>
          </w:pPr>
        </w:p>
        <w:p>
          <w:pPr>
            <w:overflowPunct w:val="0"/>
            <w:ind w:firstLine="6237"/>
            <w:textAlignment w:val="baseline"/>
          </w:pPr>
          <w:r>
            <w:t xml:space="preserve">Lietuvos Respublikos žvejybos </w:t>
          </w:r>
        </w:p>
        <w:p>
          <w:pPr>
            <w:overflowPunct w:val="0"/>
            <w:ind w:firstLine="6237"/>
            <w:textAlignment w:val="baseline"/>
          </w:pPr>
          <w:r>
            <w:t xml:space="preserve">laivų stebėjimo sistemos tvarkos </w:t>
          </w:r>
        </w:p>
        <w:p>
          <w:pPr>
            <w:overflowPunct w:val="0"/>
            <w:ind w:firstLine="6237"/>
            <w:textAlignment w:val="baseline"/>
            <w:rPr>
              <w:lang w:val="es-ES"/>
            </w:rPr>
          </w:pPr>
          <w:r>
            <w:t>aprašo</w:t>
          </w:r>
        </w:p>
        <w:p>
          <w:pPr>
            <w:overflowPunct w:val="0"/>
            <w:ind w:firstLine="6237"/>
            <w:textAlignment w:val="baseline"/>
            <w:rPr>
              <w:szCs w:val="24"/>
              <w:lang w:val="es-ES"/>
            </w:rPr>
          </w:pPr>
          <w:sdt>
            <w:sdtPr>
              <w:alias w:val="Numeris"/>
              <w:tag w:val="nr_cb13bdf147684a7aad9c8a4108d18f7c"/>
              <w:lock w:val="sdtLocked"/>
              <w:richText/>
            </w:sdtPr>
            <w:sdtContent>
              <w:r>
                <w:rPr>
                  <w:szCs w:val="24"/>
                  <w:lang w:val="es-ES"/>
                </w:rPr>
                <w:t>1</w:t>
              </w:r>
            </w:sdtContent>
          </w:sdt>
          <w:r>
            <w:rPr>
              <w:szCs w:val="24"/>
              <w:lang w:val="es-ES"/>
            </w:rPr>
            <w:t xml:space="preserve"> priedas</w:t>
          </w:r>
        </w:p>
        <w:p>
          <w:pPr>
            <w:overflowPunct w:val="0"/>
            <w:textAlignment w:val="baseline"/>
            <w:rPr>
              <w:szCs w:val="24"/>
              <w:lang w:val="es-ES"/>
            </w:rPr>
          </w:pPr>
        </w:p>
        <w:p>
          <w:pPr>
            <w:overflowPunct w:val="0"/>
            <w:jc w:val="center"/>
            <w:textAlignment w:val="baseline"/>
            <w:rPr>
              <w:szCs w:val="24"/>
              <w:lang w:val="es-ES"/>
            </w:rPr>
          </w:pPr>
        </w:p>
        <w:p>
          <w:pPr>
            <w:overflowPunct w:val="0"/>
            <w:textAlignment w:val="baseline"/>
            <w:rPr>
              <w:szCs w:val="24"/>
              <w:lang w:val="es-ES"/>
            </w:rPr>
          </w:pPr>
        </w:p>
        <w:p>
          <w:pPr>
            <w:overflowPunct w:val="0"/>
            <w:jc w:val="center"/>
            <w:textAlignment w:val="baseline"/>
            <w:rPr>
              <w:szCs w:val="24"/>
              <w:lang w:val="es-ES"/>
            </w:rPr>
          </w:pPr>
          <w:r>
            <w:rPr>
              <w:szCs w:val="24"/>
              <w:lang w:val="es-ES"/>
            </w:rPr>
            <w:t>___________________________________________________________</w:t>
          </w:r>
        </w:p>
        <w:p>
          <w:pPr>
            <w:overflowPunct w:val="0"/>
            <w:jc w:val="center"/>
            <w:textAlignment w:val="baseline"/>
            <w:rPr>
              <w:vertAlign w:val="superscript"/>
              <w:lang w:val="es-ES"/>
            </w:rPr>
          </w:pPr>
          <w:r>
            <w:rPr>
              <w:vertAlign w:val="superscript"/>
              <w:lang w:val="es-ES"/>
            </w:rPr>
            <w:t xml:space="preserve">(ūkio subjekto pavadinimas,  teisinė forma,  kodas)</w:t>
          </w:r>
        </w:p>
        <w:p>
          <w:pPr>
            <w:overflowPunct w:val="0"/>
            <w:jc w:val="center"/>
            <w:textAlignment w:val="baseline"/>
            <w:rPr>
              <w:szCs w:val="24"/>
              <w:vertAlign w:val="superscript"/>
              <w:lang w:val="es-ES"/>
            </w:rPr>
          </w:pPr>
        </w:p>
        <w:p>
          <w:pPr>
            <w:overflowPunct w:val="0"/>
            <w:jc w:val="center"/>
            <w:textAlignment w:val="baseline"/>
            <w:rPr>
              <w:szCs w:val="24"/>
              <w:lang w:val="es-ES"/>
            </w:rPr>
          </w:pPr>
          <w:r>
            <w:rPr>
              <w:szCs w:val="24"/>
              <w:lang w:val="es-ES"/>
            </w:rPr>
            <w:t>______________________________________________</w:t>
          </w:r>
        </w:p>
        <w:p>
          <w:pPr>
            <w:overflowPunct w:val="0"/>
            <w:jc w:val="center"/>
            <w:textAlignment w:val="baseline"/>
            <w:rPr>
              <w:vertAlign w:val="superscript"/>
              <w:lang w:val="es-ES"/>
            </w:rPr>
          </w:pPr>
          <w:r>
            <w:rPr>
              <w:vertAlign w:val="superscript"/>
              <w:lang w:val="es-ES"/>
            </w:rPr>
            <w:t>(buveinės adresas, telefono nr., el. pašto adresas)</w:t>
          </w:r>
        </w:p>
        <w:p>
          <w:pPr>
            <w:overflowPunct w:val="0"/>
            <w:textAlignment w:val="baseline"/>
            <w:rPr>
              <w:szCs w:val="24"/>
              <w:lang w:val="es-ES"/>
            </w:rPr>
          </w:pPr>
        </w:p>
        <w:p>
          <w:pPr>
            <w:overflowPunct w:val="0"/>
            <w:textAlignment w:val="baseline"/>
            <w:rPr>
              <w:szCs w:val="24"/>
              <w:lang w:val="es-ES"/>
            </w:rPr>
          </w:pPr>
        </w:p>
        <w:p>
          <w:pPr>
            <w:overflowPunct w:val="0"/>
            <w:textAlignment w:val="baseline"/>
            <w:rPr>
              <w:szCs w:val="24"/>
              <w:lang w:val="es-ES"/>
            </w:rPr>
          </w:pPr>
          <w:r>
            <w:rPr>
              <w:szCs w:val="24"/>
              <w:lang w:val="es-ES"/>
            </w:rPr>
            <w:t>Žuvininkystės tarnybai</w:t>
          </w:r>
        </w:p>
        <w:p>
          <w:pPr>
            <w:overflowPunct w:val="0"/>
            <w:textAlignment w:val="baseline"/>
            <w:rPr>
              <w:b/>
              <w:szCs w:val="24"/>
              <w:lang w:val="es-ES"/>
            </w:rPr>
          </w:pPr>
          <w:r>
            <w:rPr>
              <w:szCs w:val="24"/>
              <w:lang w:val="es-ES"/>
            </w:rPr>
            <w:t>prie Lietuvos Respublikos žemės ūkio ministerijos</w:t>
          </w:r>
        </w:p>
        <w:p>
          <w:pPr>
            <w:overflowPunct w:val="0"/>
            <w:textAlignment w:val="baseline"/>
            <w:rPr>
              <w:b/>
              <w:szCs w:val="24"/>
              <w:lang w:val="es-ES"/>
            </w:rPr>
          </w:pPr>
        </w:p>
        <w:p>
          <w:pPr>
            <w:overflowPunct w:val="0"/>
            <w:jc w:val="center"/>
            <w:textAlignment w:val="baseline"/>
            <w:rPr>
              <w:b/>
              <w:szCs w:val="24"/>
              <w:lang w:val="es-ES"/>
            </w:rPr>
          </w:pPr>
          <w:r>
            <w:rPr>
              <w:b/>
              <w:szCs w:val="24"/>
              <w:lang w:val="es-ES"/>
            </w:rPr>
            <w:t>PRAŠYMAS</w:t>
          </w:r>
        </w:p>
        <w:sdt>
          <w:sdtPr>
            <w:alias w:val="Pavadinimas"/>
            <w:tag w:val="title_cb13bdf147684a7aad9c8a4108d18f7c"/>
            <w:lock w:val="sdtLocked"/>
            <w:richText/>
          </w:sdtPr>
          <w:sdtContent>
            <w:p>
              <w:pPr>
                <w:overflowPunct w:val="0"/>
                <w:jc w:val="center"/>
                <w:textAlignment w:val="baseline"/>
                <w:rPr>
                  <w:b/>
                  <w:bCs/>
                  <w:lang w:val="es-ES"/>
                </w:rPr>
              </w:pPr>
              <w:r>
                <w:rPr>
                  <w:b/>
                  <w:bCs/>
                  <w:lang w:val="es-ES"/>
                </w:rPr>
                <w:t>AKTYVUOTI PALYDOVINIO RYŠIO ĮTAISĄ</w:t>
              </w:r>
            </w:p>
          </w:sdtContent>
        </w:sdt>
        <w:p>
          <w:pPr>
            <w:overflowPunct w:val="0"/>
            <w:jc w:val="center"/>
            <w:textAlignment w:val="baseline"/>
            <w:rPr>
              <w:b/>
              <w:szCs w:val="24"/>
              <w:lang w:val="es-ES"/>
            </w:rPr>
          </w:pPr>
        </w:p>
        <w:p>
          <w:pPr>
            <w:overflowPunct w:val="0"/>
            <w:jc w:val="center"/>
            <w:textAlignment w:val="baseline"/>
            <w:rPr>
              <w:szCs w:val="24"/>
              <w:lang w:val="es-ES"/>
            </w:rPr>
          </w:pPr>
          <w:r>
            <w:rPr>
              <w:szCs w:val="24"/>
              <w:lang w:val="es-ES"/>
            </w:rPr>
            <w:t>20_____ m. _____________ d.</w:t>
          </w:r>
        </w:p>
        <w:p>
          <w:pPr>
            <w:overflowPunct w:val="0"/>
            <w:jc w:val="center"/>
            <w:textAlignment w:val="baseline"/>
            <w:rPr>
              <w:szCs w:val="24"/>
              <w:vertAlign w:val="superscript"/>
              <w:lang w:val="es-ES"/>
            </w:rPr>
          </w:pPr>
          <w:r>
            <w:rPr>
              <w:szCs w:val="24"/>
              <w:vertAlign w:val="superscript"/>
              <w:lang w:val="es-ES"/>
            </w:rPr>
            <w:t>(data)</w:t>
          </w:r>
        </w:p>
        <w:p>
          <w:pPr>
            <w:overflowPunct w:val="0"/>
            <w:jc w:val="center"/>
            <w:textAlignment w:val="baseline"/>
            <w:rPr>
              <w:szCs w:val="24"/>
              <w:lang w:val="es-ES"/>
            </w:rPr>
          </w:pPr>
          <w:r>
            <w:rPr>
              <w:szCs w:val="24"/>
              <w:lang w:val="es-ES"/>
            </w:rPr>
            <w:t>_______________________</w:t>
          </w:r>
        </w:p>
        <w:p>
          <w:pPr>
            <w:overflowPunct w:val="0"/>
            <w:jc w:val="center"/>
            <w:textAlignment w:val="baseline"/>
            <w:rPr>
              <w:szCs w:val="24"/>
              <w:vertAlign w:val="superscript"/>
              <w:lang w:val="es-ES"/>
            </w:rPr>
          </w:pPr>
          <w:r>
            <w:rPr>
              <w:szCs w:val="24"/>
              <w:vertAlign w:val="superscript"/>
              <w:lang w:val="es-ES"/>
            </w:rPr>
            <w:t>(vieta)</w:t>
          </w:r>
        </w:p>
        <w:p>
          <w:pPr>
            <w:overflowPunct w:val="0"/>
            <w:jc w:val="center"/>
            <w:textAlignment w:val="baseline"/>
            <w:rPr>
              <w:szCs w:val="24"/>
              <w:lang w:val="es-ES"/>
            </w:rPr>
          </w:pPr>
        </w:p>
        <w:p>
          <w:pPr>
            <w:overflowPunct w:val="0"/>
            <w:textAlignment w:val="baseline"/>
            <w:rPr>
              <w:lang w:val="es-ES"/>
            </w:rPr>
          </w:pPr>
          <w:r>
            <w:rPr>
              <w:lang w:val="es-ES"/>
            </w:rPr>
            <w:t>Prašau aktyvuoti laivo _____________________________________________________________</w:t>
          </w:r>
        </w:p>
        <w:p>
          <w:pPr>
            <w:overflowPunct w:val="0"/>
            <w:ind w:firstLine="3686"/>
            <w:textAlignment w:val="baseline"/>
            <w:rPr>
              <w:lang w:val="es-ES"/>
            </w:rPr>
          </w:pPr>
          <w:r>
            <w:rPr>
              <w:vertAlign w:val="superscript"/>
              <w:lang w:val="es-ES"/>
            </w:rPr>
            <w:t>(žvejybos laivo pavadinimas, išorinio žymėjimo numeris, radijo šaukinys)</w:t>
          </w:r>
        </w:p>
        <w:p>
          <w:pPr>
            <w:overflowPunct w:val="0"/>
            <w:textAlignment w:val="baseline"/>
            <w:rPr>
              <w:lang w:val="es-ES"/>
            </w:rPr>
          </w:pPr>
          <w:r>
            <w:rPr>
              <w:lang w:val="es-ES"/>
            </w:rPr>
            <w:t>palydovinio ryšio įtaisą, kurio parametrai yra šie:</w:t>
          </w:r>
        </w:p>
        <w:p>
          <w:pPr>
            <w:overflowPunct w:val="0"/>
            <w:textAlignment w:val="baseline"/>
            <w:rPr>
              <w:szCs w:val="24"/>
              <w:lang w:val="es-ES"/>
            </w:rPr>
          </w:pPr>
        </w:p>
        <w:p>
          <w:pPr>
            <w:overflowPunct w:val="0"/>
            <w:textAlignment w:val="baseline"/>
            <w:rPr>
              <w:szCs w:val="24"/>
              <w:lang w:val="es-ES"/>
            </w:rPr>
          </w:pPr>
          <w:r>
            <w:rPr>
              <w:szCs w:val="24"/>
              <w:lang w:val="es-ES"/>
            </w:rPr>
            <w:t>_______________________________________________________________________________</w:t>
          </w:r>
        </w:p>
        <w:p>
          <w:pPr>
            <w:overflowPunct w:val="0"/>
            <w:ind w:firstLine="1021"/>
            <w:textAlignment w:val="baseline"/>
            <w:rPr>
              <w:vertAlign w:val="superscript"/>
              <w:lang w:val="es-ES"/>
            </w:rPr>
          </w:pPr>
          <w:r>
            <w:rPr>
              <w:b/>
              <w:bCs/>
              <w:vertAlign w:val="superscript"/>
              <w:lang w:val="es-ES"/>
            </w:rPr>
            <w:t>INMARSAT-C</w:t>
          </w:r>
          <w:r>
            <w:rPr>
              <w:vertAlign w:val="superscript"/>
              <w:lang w:val="es-ES"/>
            </w:rPr>
            <w:t xml:space="preserve"> (modelio pavadinimas, mobilus Nr. (IMN), serijos Nr. (SN), regionas (AOR-W, AOR-E, POR, IOR))  arba</w:t>
          </w:r>
        </w:p>
        <w:p>
          <w:pPr>
            <w:overflowPunct w:val="0"/>
            <w:ind w:firstLine="1701"/>
            <w:textAlignment w:val="baseline"/>
            <w:rPr>
              <w:vertAlign w:val="superscript"/>
              <w:lang w:val="es-ES"/>
            </w:rPr>
          </w:pPr>
          <w:r>
            <w:rPr>
              <w:b/>
              <w:bCs/>
              <w:vertAlign w:val="superscript"/>
              <w:lang w:val="es-ES"/>
            </w:rPr>
            <w:t>IRIDIUM (</w:t>
          </w:r>
          <w:r>
            <w:rPr>
              <w:vertAlign w:val="superscript"/>
              <w:lang w:val="es-ES"/>
            </w:rPr>
            <w:t xml:space="preserve">CLS siųstuvo modelio pavadinimas, siųstuvo (unit) numeris, siųstuvo serijinis  numeris)</w:t>
          </w:r>
        </w:p>
        <w:p>
          <w:pPr>
            <w:overflowPunct w:val="0"/>
            <w:spacing w:line="360" w:lineRule="auto"/>
            <w:jc w:val="both"/>
            <w:textAlignment w:val="baseline"/>
            <w:rPr>
              <w:szCs w:val="24"/>
              <w:lang w:val="es-ES"/>
            </w:rPr>
          </w:pPr>
        </w:p>
        <w:p>
          <w:pPr>
            <w:overflowPunct w:val="0"/>
            <w:jc w:val="both"/>
            <w:textAlignment w:val="baseline"/>
            <w:rPr>
              <w:szCs w:val="24"/>
              <w:lang w:val="es-ES"/>
            </w:rPr>
          </w:pPr>
        </w:p>
        <w:p>
          <w:pPr>
            <w:overflowPunct w:val="0"/>
            <w:jc w:val="both"/>
            <w:textAlignment w:val="baseline"/>
            <w:rPr>
              <w:szCs w:val="24"/>
              <w:lang w:val="es-ES"/>
            </w:rPr>
          </w:pPr>
        </w:p>
        <w:p>
          <w:pPr>
            <w:overflowPunct w:val="0"/>
            <w:jc w:val="both"/>
            <w:textAlignment w:val="baseline"/>
            <w:rPr>
              <w:szCs w:val="24"/>
              <w:lang w:val="es-ES"/>
            </w:rPr>
          </w:pPr>
        </w:p>
        <w:p>
          <w:pPr>
            <w:overflowPunct w:val="0"/>
            <w:jc w:val="both"/>
            <w:textAlignment w:val="baseline"/>
            <w:rPr>
              <w:szCs w:val="24"/>
              <w:lang w:val="es-ES"/>
            </w:rPr>
          </w:pPr>
        </w:p>
        <w:p>
          <w:pPr>
            <w:overflowPunct w:val="0"/>
            <w:jc w:val="both"/>
            <w:textAlignment w:val="baseline"/>
            <w:rPr>
              <w:szCs w:val="24"/>
              <w:lang w:val="es-ES"/>
            </w:rPr>
          </w:pPr>
          <w:r>
            <w:rPr>
              <w:szCs w:val="24"/>
              <w:lang w:val="es-ES"/>
            </w:rPr>
            <w:t xml:space="preserve">___________________________________                           ______________________________</w:t>
          </w:r>
        </w:p>
        <w:p>
          <w:pPr>
            <w:overflowPunct w:val="0"/>
            <w:textAlignment w:val="baseline"/>
            <w:rPr>
              <w:vertAlign w:val="superscript"/>
              <w:lang w:val="es-ES"/>
            </w:rPr>
          </w:pPr>
          <w:r>
            <w:rPr>
              <w:vertAlign w:val="superscript"/>
              <w:lang w:val="es-ES"/>
            </w:rPr>
            <w:t xml:space="preserve">(ūkio subjekto įgalioto atstovo pareigos (parašas)                                                                                                        (vardas, pavardė)</w:t>
          </w:r>
        </w:p>
        <w:p>
          <w:pPr>
            <w:overflowPunct w:val="0"/>
            <w:jc w:val="center"/>
            <w:textAlignment w:val="baseline"/>
            <w:rPr>
              <w:szCs w:val="24"/>
              <w:lang w:val="es-ES"/>
            </w:rPr>
          </w:pPr>
        </w:p>
        <w:p>
          <w:pPr>
            <w:overflowPunct w:val="0"/>
            <w:jc w:val="center"/>
            <w:textAlignment w:val="baseline"/>
            <w:rPr>
              <w:szCs w:val="24"/>
              <w:lang w:val="es-ES"/>
            </w:rPr>
          </w:pPr>
        </w:p>
        <w:sdt>
          <w:sdtPr>
            <w:alias w:val="pabaiga"/>
            <w:tag w:val="part_3eb16bccd57f4c42810e4239cb8058b2"/>
            <w:lock w:val="sdtLocked"/>
            <w:richText/>
          </w:sdtPr>
          <w:sdtContent>
            <w:p>
              <w:pPr>
                <w:overflowPunct w:val="0"/>
                <w:jc w:val="center"/>
                <w:textAlignment w:val="baseline"/>
              </w:pPr>
              <w:r>
                <w:rPr>
                  <w:szCs w:val="24"/>
                  <w:lang w:val="es-ES"/>
                </w:rPr>
                <w:t>_____________________</w:t>
              </w:r>
            </w:p>
          </w:sdtContent>
        </w:sdt>
      </w:sdtContent>
    </w:sdt>
    <w:sdt>
      <w:sdtPr>
        <w:alias w:val="2 pr."/>
        <w:tag w:val="part_e0657bada339431aad23ae8cc74903d8"/>
        <w:lock w:val="sdtLocked"/>
        <w:richText/>
      </w:sdtPr>
      <w:sdtContent>
        <w:p>
          <w:pPr>
            <w:overflowPunct w:val="0"/>
            <w:ind w:left="6481"/>
            <w:textAlignment w:val="baseline"/>
            <w:sectPr>
              <w:pgSz w:w="11906" w:h="16838" w:code="9"/>
              <w:pgMar w:top="1134" w:right="567" w:bottom="1134" w:left="1701" w:header="709" w:footer="709" w:gutter="0"/>
              <w:pgNumType w:start="1"/>
              <w:cols w:space="1296"/>
              <w:titlePg/>
              <w:docGrid w:linePitch="360"/>
            </w:sectPr>
          </w:pPr>
        </w:p>
        <w:p>
          <w:pPr>
            <w:overflowPunct w:val="0"/>
            <w:ind w:firstLine="6237"/>
            <w:textAlignment w:val="baseline"/>
          </w:pPr>
          <w:r>
            <w:t xml:space="preserve">Lietuvos Respublikos žvejybos </w:t>
          </w:r>
        </w:p>
        <w:p>
          <w:pPr>
            <w:overflowPunct w:val="0"/>
            <w:ind w:firstLine="6237"/>
            <w:textAlignment w:val="baseline"/>
          </w:pPr>
          <w:r>
            <w:t xml:space="preserve">laivų stebėjimo sistemos tvarkos </w:t>
          </w:r>
        </w:p>
        <w:p>
          <w:pPr>
            <w:overflowPunct w:val="0"/>
            <w:ind w:firstLine="6237"/>
            <w:textAlignment w:val="baseline"/>
            <w:rPr>
              <w:lang w:val="es-ES"/>
            </w:rPr>
          </w:pPr>
          <w:r>
            <w:t>aprašo</w:t>
          </w:r>
        </w:p>
        <w:p>
          <w:pPr>
            <w:overflowPunct w:val="0"/>
            <w:ind w:firstLine="6237"/>
            <w:textAlignment w:val="baseline"/>
            <w:rPr>
              <w:szCs w:val="24"/>
              <w:lang w:val="es-ES"/>
            </w:rPr>
          </w:pPr>
          <w:sdt>
            <w:sdtPr>
              <w:alias w:val="Numeris"/>
              <w:tag w:val="nr_e0657bada339431aad23ae8cc74903d8"/>
              <w:lock w:val="sdtLocked"/>
              <w:richText/>
            </w:sdtPr>
            <w:sdtContent>
              <w:r>
                <w:rPr>
                  <w:szCs w:val="24"/>
                  <w:lang w:val="es-ES"/>
                </w:rPr>
                <w:t>2</w:t>
              </w:r>
            </w:sdtContent>
          </w:sdt>
          <w:r>
            <w:rPr>
              <w:szCs w:val="24"/>
              <w:lang w:val="es-ES"/>
            </w:rPr>
            <w:t xml:space="preserve"> priedas</w:t>
          </w:r>
        </w:p>
        <w:p>
          <w:pPr>
            <w:overflowPunct w:val="0"/>
            <w:textAlignment w:val="baseline"/>
            <w:rPr>
              <w:szCs w:val="24"/>
              <w:lang w:val="es-ES"/>
            </w:rPr>
          </w:pPr>
        </w:p>
        <w:p>
          <w:pPr>
            <w:overflowPunct w:val="0"/>
            <w:jc w:val="center"/>
            <w:textAlignment w:val="baseline"/>
            <w:rPr>
              <w:szCs w:val="24"/>
              <w:lang w:val="es-ES"/>
            </w:rPr>
          </w:pPr>
        </w:p>
        <w:p>
          <w:pPr>
            <w:overflowPunct w:val="0"/>
            <w:textAlignment w:val="baseline"/>
            <w:rPr>
              <w:szCs w:val="24"/>
              <w:lang w:val="es-ES"/>
            </w:rPr>
          </w:pPr>
        </w:p>
        <w:p>
          <w:pPr>
            <w:overflowPunct w:val="0"/>
            <w:jc w:val="center"/>
            <w:textAlignment w:val="baseline"/>
            <w:rPr>
              <w:szCs w:val="24"/>
              <w:lang w:val="es-ES"/>
            </w:rPr>
          </w:pPr>
          <w:r>
            <w:rPr>
              <w:szCs w:val="24"/>
              <w:lang w:val="es-ES"/>
            </w:rPr>
            <w:t>___________________________________________________________</w:t>
          </w:r>
        </w:p>
        <w:p>
          <w:pPr>
            <w:overflowPunct w:val="0"/>
            <w:jc w:val="center"/>
            <w:textAlignment w:val="baseline"/>
            <w:rPr>
              <w:vertAlign w:val="superscript"/>
              <w:lang w:val="es-ES"/>
            </w:rPr>
          </w:pPr>
          <w:r>
            <w:rPr>
              <w:vertAlign w:val="superscript"/>
              <w:lang w:val="es-ES"/>
            </w:rPr>
            <w:t>(ūkio subjekto pavadinimas, teisinė forma, pavadinimas, kodas)</w:t>
          </w:r>
        </w:p>
        <w:p>
          <w:pPr>
            <w:overflowPunct w:val="0"/>
            <w:jc w:val="center"/>
            <w:textAlignment w:val="baseline"/>
            <w:rPr>
              <w:szCs w:val="24"/>
              <w:vertAlign w:val="superscript"/>
              <w:lang w:val="es-ES"/>
            </w:rPr>
          </w:pPr>
        </w:p>
        <w:p>
          <w:pPr>
            <w:overflowPunct w:val="0"/>
            <w:jc w:val="center"/>
            <w:textAlignment w:val="baseline"/>
            <w:rPr>
              <w:szCs w:val="24"/>
              <w:lang w:val="es-ES"/>
            </w:rPr>
          </w:pPr>
          <w:r>
            <w:rPr>
              <w:szCs w:val="24"/>
              <w:lang w:val="es-ES"/>
            </w:rPr>
            <w:t>______________________________________________</w:t>
          </w:r>
        </w:p>
        <w:p>
          <w:pPr>
            <w:overflowPunct w:val="0"/>
            <w:jc w:val="center"/>
            <w:textAlignment w:val="baseline"/>
            <w:rPr>
              <w:vertAlign w:val="superscript"/>
              <w:lang w:val="es-ES"/>
            </w:rPr>
          </w:pPr>
          <w:r>
            <w:rPr>
              <w:vertAlign w:val="superscript"/>
              <w:lang w:val="es-ES"/>
            </w:rPr>
            <w:t>(buveinės adresas, telefono nr., el. pašto adresas)</w:t>
          </w:r>
        </w:p>
        <w:p>
          <w:pPr>
            <w:overflowPunct w:val="0"/>
            <w:textAlignment w:val="baseline"/>
            <w:rPr>
              <w:szCs w:val="24"/>
              <w:lang w:val="es-ES"/>
            </w:rPr>
          </w:pPr>
        </w:p>
        <w:p>
          <w:pPr>
            <w:overflowPunct w:val="0"/>
            <w:textAlignment w:val="baseline"/>
            <w:rPr>
              <w:szCs w:val="24"/>
              <w:lang w:val="es-ES"/>
            </w:rPr>
          </w:pPr>
        </w:p>
        <w:p>
          <w:pPr>
            <w:overflowPunct w:val="0"/>
            <w:textAlignment w:val="baseline"/>
            <w:rPr>
              <w:szCs w:val="24"/>
              <w:lang w:val="es-ES"/>
            </w:rPr>
          </w:pPr>
          <w:r>
            <w:rPr>
              <w:szCs w:val="24"/>
              <w:lang w:val="es-ES"/>
            </w:rPr>
            <w:t>Žuvininkystės tarnybai</w:t>
          </w:r>
        </w:p>
        <w:p>
          <w:pPr>
            <w:overflowPunct w:val="0"/>
            <w:textAlignment w:val="baseline"/>
            <w:rPr>
              <w:b/>
              <w:szCs w:val="24"/>
              <w:lang w:val="es-ES"/>
            </w:rPr>
          </w:pPr>
          <w:r>
            <w:rPr>
              <w:szCs w:val="24"/>
              <w:lang w:val="es-ES"/>
            </w:rPr>
            <w:t>prie Lietuvos Respublikos žemės ūkio ministerijos</w:t>
          </w:r>
        </w:p>
        <w:p>
          <w:pPr>
            <w:overflowPunct w:val="0"/>
            <w:textAlignment w:val="baseline"/>
            <w:rPr>
              <w:b/>
              <w:szCs w:val="24"/>
              <w:lang w:val="es-ES"/>
            </w:rPr>
          </w:pPr>
        </w:p>
        <w:p>
          <w:pPr>
            <w:overflowPunct w:val="0"/>
            <w:jc w:val="center"/>
            <w:textAlignment w:val="baseline"/>
            <w:rPr>
              <w:b/>
              <w:szCs w:val="24"/>
              <w:lang w:val="es-ES"/>
            </w:rPr>
          </w:pPr>
          <w:r>
            <w:rPr>
              <w:b/>
              <w:szCs w:val="24"/>
              <w:lang w:val="es-ES"/>
            </w:rPr>
            <w:t>PRAŠYMAS</w:t>
          </w:r>
        </w:p>
        <w:sdt>
          <w:sdtPr>
            <w:alias w:val="Pavadinimas"/>
            <w:tag w:val="title_e0657bada339431aad23ae8cc74903d8"/>
            <w:lock w:val="sdtLocked"/>
            <w:richText/>
          </w:sdtPr>
          <w:sdtContent>
            <w:p>
              <w:pPr>
                <w:overflowPunct w:val="0"/>
                <w:jc w:val="center"/>
                <w:textAlignment w:val="baseline"/>
                <w:rPr>
                  <w:b/>
                  <w:bCs/>
                  <w:lang w:val="es-ES"/>
                </w:rPr>
              </w:pPr>
              <w:r>
                <w:rPr>
                  <w:b/>
                  <w:bCs/>
                  <w:lang w:val="es-ES"/>
                </w:rPr>
                <w:t>DEAKTYVUOTI PALYDOVINIO RYŠIO SISTEMĄ</w:t>
              </w:r>
            </w:p>
          </w:sdtContent>
        </w:sdt>
        <w:p>
          <w:pPr>
            <w:overflowPunct w:val="0"/>
            <w:jc w:val="center"/>
            <w:textAlignment w:val="baseline"/>
            <w:rPr>
              <w:b/>
              <w:szCs w:val="24"/>
              <w:lang w:val="es-ES"/>
            </w:rPr>
          </w:pPr>
        </w:p>
        <w:p>
          <w:pPr>
            <w:overflowPunct w:val="0"/>
            <w:jc w:val="center"/>
            <w:textAlignment w:val="baseline"/>
            <w:rPr>
              <w:szCs w:val="24"/>
              <w:lang w:val="es-ES"/>
            </w:rPr>
          </w:pPr>
          <w:r>
            <w:rPr>
              <w:szCs w:val="24"/>
              <w:lang w:val="es-ES"/>
            </w:rPr>
            <w:t>20_____ m. _____________ d.</w:t>
          </w:r>
        </w:p>
        <w:p>
          <w:pPr>
            <w:overflowPunct w:val="0"/>
            <w:jc w:val="center"/>
            <w:textAlignment w:val="baseline"/>
            <w:rPr>
              <w:szCs w:val="24"/>
              <w:vertAlign w:val="superscript"/>
              <w:lang w:val="es-ES"/>
            </w:rPr>
          </w:pPr>
          <w:r>
            <w:rPr>
              <w:szCs w:val="24"/>
              <w:vertAlign w:val="superscript"/>
              <w:lang w:val="es-ES"/>
            </w:rPr>
            <w:t>(data)</w:t>
          </w:r>
        </w:p>
        <w:p>
          <w:pPr>
            <w:overflowPunct w:val="0"/>
            <w:jc w:val="center"/>
            <w:textAlignment w:val="baseline"/>
            <w:rPr>
              <w:szCs w:val="24"/>
              <w:lang w:val="es-ES"/>
            </w:rPr>
          </w:pPr>
          <w:r>
            <w:rPr>
              <w:szCs w:val="24"/>
              <w:lang w:val="es-ES"/>
            </w:rPr>
            <w:t>_______________________</w:t>
          </w:r>
        </w:p>
        <w:p>
          <w:pPr>
            <w:overflowPunct w:val="0"/>
            <w:jc w:val="center"/>
            <w:textAlignment w:val="baseline"/>
            <w:rPr>
              <w:szCs w:val="24"/>
              <w:vertAlign w:val="superscript"/>
              <w:lang w:val="es-ES"/>
            </w:rPr>
          </w:pPr>
          <w:r>
            <w:rPr>
              <w:szCs w:val="24"/>
              <w:vertAlign w:val="superscript"/>
              <w:lang w:val="es-ES"/>
            </w:rPr>
            <w:t>(vieta)</w:t>
          </w:r>
        </w:p>
        <w:p>
          <w:pPr>
            <w:overflowPunct w:val="0"/>
            <w:jc w:val="center"/>
            <w:textAlignment w:val="baseline"/>
            <w:rPr>
              <w:szCs w:val="24"/>
              <w:lang w:val="es-ES"/>
            </w:rPr>
          </w:pPr>
        </w:p>
        <w:p>
          <w:pPr>
            <w:overflowPunct w:val="0"/>
            <w:jc w:val="center"/>
            <w:textAlignment w:val="baseline"/>
            <w:rPr>
              <w:szCs w:val="24"/>
              <w:lang w:val="es-ES"/>
            </w:rPr>
          </w:pPr>
        </w:p>
        <w:p>
          <w:pPr>
            <w:overflowPunct w:val="0"/>
            <w:jc w:val="center"/>
            <w:textAlignment w:val="baseline"/>
            <w:rPr>
              <w:szCs w:val="24"/>
              <w:lang w:val="es-ES"/>
            </w:rPr>
          </w:pPr>
        </w:p>
        <w:p>
          <w:pPr>
            <w:overflowPunct w:val="0"/>
            <w:textAlignment w:val="baseline"/>
            <w:rPr>
              <w:szCs w:val="24"/>
              <w:lang w:val="es-ES"/>
            </w:rPr>
          </w:pPr>
          <w:r>
            <w:rPr>
              <w:szCs w:val="24"/>
              <w:lang w:val="es-ES"/>
            </w:rPr>
            <w:t>Prašau deaktyvuoti laivo ___________________________________________________________</w:t>
          </w:r>
        </w:p>
        <w:p>
          <w:pPr>
            <w:overflowPunct w:val="0"/>
            <w:ind w:firstLine="3686"/>
            <w:textAlignment w:val="baseline"/>
            <w:rPr>
              <w:vertAlign w:val="superscript"/>
              <w:lang w:val="es-ES"/>
            </w:rPr>
          </w:pPr>
          <w:r>
            <w:rPr>
              <w:vertAlign w:val="superscript"/>
              <w:lang w:val="es-ES"/>
            </w:rPr>
            <w:t>(žvejybos laivo pavadinimas, išorinio žymėjimo numeris, radijo šaukinys)</w:t>
          </w:r>
        </w:p>
        <w:p>
          <w:pPr>
            <w:overflowPunct w:val="0"/>
            <w:jc w:val="both"/>
            <w:textAlignment w:val="baseline"/>
            <w:rPr>
              <w:szCs w:val="24"/>
              <w:lang w:val="es-ES"/>
            </w:rPr>
          </w:pPr>
        </w:p>
        <w:p>
          <w:pPr>
            <w:overflowPunct w:val="0"/>
            <w:jc w:val="both"/>
            <w:textAlignment w:val="baseline"/>
            <w:rPr>
              <w:szCs w:val="24"/>
              <w:lang w:val="es-ES"/>
            </w:rPr>
          </w:pPr>
          <w:r>
            <w:rPr>
              <w:szCs w:val="24"/>
              <w:lang w:val="es-ES"/>
            </w:rPr>
            <w:t>palydovinio ryšio sistemą INMARSAT-C / IRIDIUM (nereikalingą išbraukti)</w:t>
          </w:r>
        </w:p>
        <w:p>
          <w:pPr>
            <w:overflowPunct w:val="0"/>
            <w:jc w:val="both"/>
            <w:textAlignment w:val="baseline"/>
            <w:rPr>
              <w:szCs w:val="24"/>
              <w:lang w:val="es-ES"/>
            </w:rPr>
          </w:pPr>
        </w:p>
        <w:p>
          <w:pPr>
            <w:overflowPunct w:val="0"/>
            <w:jc w:val="both"/>
            <w:textAlignment w:val="baseline"/>
            <w:rPr>
              <w:szCs w:val="24"/>
              <w:lang w:val="es-ES"/>
            </w:rPr>
          </w:pPr>
          <w:r>
            <w:rPr>
              <w:szCs w:val="24"/>
              <w:lang w:val="es-ES"/>
            </w:rPr>
            <w:t>nuo _________________________ imtinai, kadangi:</w:t>
          </w:r>
        </w:p>
        <w:p>
          <w:pPr>
            <w:overflowPunct w:val="0"/>
            <w:ind w:firstLine="1418"/>
            <w:textAlignment w:val="baseline"/>
            <w:rPr>
              <w:szCs w:val="24"/>
              <w:vertAlign w:val="superscript"/>
              <w:lang w:val="es-ES"/>
            </w:rPr>
          </w:pPr>
          <w:r>
            <w:rPr>
              <w:szCs w:val="24"/>
              <w:vertAlign w:val="superscript"/>
              <w:lang w:val="es-ES"/>
            </w:rPr>
            <w:t>(data)</w:t>
          </w:r>
        </w:p>
        <w:p>
          <w:pPr>
            <w:overflowPunct w:val="0"/>
            <w:jc w:val="both"/>
            <w:textAlignment w:val="baseline"/>
            <w:rPr>
              <w:szCs w:val="24"/>
              <w:lang w:val="es-ES"/>
            </w:rPr>
          </w:pPr>
        </w:p>
        <w:p>
          <w:pPr>
            <w:overflowPunct w:val="0"/>
            <w:jc w:val="both"/>
            <w:textAlignment w:val="baseline"/>
            <w:rPr>
              <w:szCs w:val="24"/>
              <w:lang w:val="es-ES"/>
            </w:rPr>
          </w:pPr>
        </w:p>
        <w:p>
          <w:pPr>
            <w:overflowPunct w:val="0"/>
            <w:jc w:val="both"/>
            <w:textAlignment w:val="baseline"/>
            <w:rPr>
              <w:szCs w:val="24"/>
              <w:lang w:val="es-ES"/>
            </w:rPr>
          </w:pPr>
        </w:p>
        <w:p>
          <w:pPr>
            <w:overflowPunct w:val="0"/>
            <w:textAlignment w:val="baseline"/>
            <w:rPr>
              <w:szCs w:val="24"/>
              <w:lang w:val="es-ES"/>
            </w:rPr>
          </w:pPr>
          <w:r>
            <w:rPr>
              <w:szCs w:val="24"/>
              <w:lang w:val="es-ES"/>
            </w:rPr>
            <w:t>_______________________________________________________________________________</w:t>
          </w:r>
        </w:p>
        <w:p>
          <w:pPr>
            <w:overflowPunct w:val="0"/>
            <w:ind w:firstLine="3969"/>
            <w:textAlignment w:val="baseline"/>
            <w:rPr>
              <w:sz w:val="20"/>
            </w:rPr>
          </w:pPr>
          <w:r>
            <w:rPr>
              <w:sz w:val="20"/>
            </w:rPr>
            <w:t>(deaktyvavimo priežastis)</w:t>
          </w:r>
        </w:p>
        <w:p>
          <w:pPr>
            <w:overflowPunct w:val="0"/>
            <w:jc w:val="both"/>
            <w:textAlignment w:val="baseline"/>
            <w:rPr>
              <w:szCs w:val="24"/>
              <w:lang w:val="es-ES"/>
            </w:rPr>
          </w:pPr>
        </w:p>
        <w:p>
          <w:pPr>
            <w:overflowPunct w:val="0"/>
            <w:jc w:val="both"/>
            <w:textAlignment w:val="baseline"/>
            <w:rPr>
              <w:szCs w:val="24"/>
              <w:lang w:val="es-ES"/>
            </w:rPr>
          </w:pPr>
        </w:p>
        <w:p>
          <w:pPr>
            <w:overflowPunct w:val="0"/>
            <w:jc w:val="both"/>
            <w:textAlignment w:val="baseline"/>
            <w:rPr>
              <w:szCs w:val="24"/>
              <w:lang w:val="es-ES"/>
            </w:rPr>
          </w:pPr>
        </w:p>
        <w:p>
          <w:pPr>
            <w:overflowPunct w:val="0"/>
            <w:jc w:val="both"/>
            <w:textAlignment w:val="baseline"/>
            <w:rPr>
              <w:szCs w:val="24"/>
              <w:lang w:val="es-ES"/>
            </w:rPr>
          </w:pPr>
          <w:r>
            <w:rPr>
              <w:szCs w:val="24"/>
              <w:lang w:val="es-ES"/>
            </w:rPr>
            <w:t xml:space="preserve">___________________________________                           ______________________________</w:t>
          </w:r>
        </w:p>
        <w:p>
          <w:pPr>
            <w:overflowPunct w:val="0"/>
            <w:textAlignment w:val="baseline"/>
            <w:rPr>
              <w:vertAlign w:val="superscript"/>
              <w:lang w:val="es-ES"/>
            </w:rPr>
          </w:pPr>
          <w:r>
            <w:rPr>
              <w:vertAlign w:val="superscript"/>
              <w:lang w:val="es-ES"/>
            </w:rPr>
            <w:t xml:space="preserve">(ūkio subjekto įgalioto atstovo pareigos (parašas)                                                                                                        (vardas, pavardė)</w:t>
          </w:r>
        </w:p>
        <w:p>
          <w:pPr>
            <w:overflowPunct w:val="0"/>
            <w:jc w:val="center"/>
            <w:textAlignment w:val="baseline"/>
            <w:rPr>
              <w:szCs w:val="24"/>
              <w:lang w:val="es-ES"/>
            </w:rPr>
          </w:pPr>
        </w:p>
        <w:p>
          <w:pPr>
            <w:overflowPunct w:val="0"/>
            <w:jc w:val="center"/>
            <w:textAlignment w:val="baseline"/>
            <w:rPr>
              <w:szCs w:val="24"/>
              <w:lang w:val="es-ES"/>
            </w:rPr>
          </w:pPr>
        </w:p>
        <w:p>
          <w:pPr>
            <w:overflowPunct w:val="0"/>
            <w:jc w:val="center"/>
            <w:textAlignment w:val="baseline"/>
            <w:rPr>
              <w:szCs w:val="24"/>
              <w:lang w:val="es-ES"/>
            </w:rPr>
          </w:pPr>
        </w:p>
        <w:sdt>
          <w:sdtPr>
            <w:alias w:val="pabaiga"/>
            <w:tag w:val="part_f3671bcd33734adc97206cf2868dedb2"/>
            <w:lock w:val="sdtLocked"/>
            <w:richText/>
          </w:sdtPr>
          <w:sdtContent>
            <w:p>
              <w:pPr>
                <w:overflowPunct w:val="0"/>
                <w:jc w:val="center"/>
                <w:textAlignment w:val="baseline"/>
              </w:pPr>
              <w:r>
                <w:rPr>
                  <w:szCs w:val="24"/>
                  <w:lang w:val="en-GB"/>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6e1a50874f11e3a6508050c26bd4c8">
            <w:r w:rsidRPr="00532B9F">
              <w:rPr>
                <w:rFonts w:ascii="Times New Roman" w:eastAsia="MS Mincho" w:hAnsi="Times New Roman"/>
                <w:sz w:val="20"/>
                <w:iCs/>
                <w:color w:val="0000FF" w:themeColor="hyperlink"/>
                <w:u w:val="single"/>
              </w:rPr>
              <w:t>V1-176</w:t>
            </w:r>
          </w:fldSimple>
          <w:r>
            <w:rPr>
              <w:rFonts w:ascii="Times New Roman" w:eastAsia="MS Mincho" w:hAnsi="Times New Roman"/>
              <w:sz w:val="20"/>
              <w:iCs/>
            </w:rPr>
            <w:t>,
2013-12-23,
paskelbta TAR 2014-01-27, i. k. 2014-00571                </w:t>
          </w:r>
        </w:p>
        <w:p>
          <w:pPr>
            <w:jc w:val="both"/>
            <w:rPr>
              <w:rFonts w:ascii="Times New Roman" w:hAnsi="Times New Roman"/>
            </w:rPr>
          </w:pPr>
          <w:r>
            <w:rPr>
              <w:rFonts w:ascii="Times New Roman" w:hAnsi="Times New Roman"/>
              <w:sz w:val="20"/>
            </w:rPr>
            <w:t>Dėl Žuvininkystės tarnybos prie Lietuvos Respublikos žemės ūkio ministerijos direktoriaus 2011 m. gruodžio 2 d. įsakymo Nr. V1-140 „Dėl Palydovinio ryšio Lietuvos Respublikos žvejybos laivų stebėjimo sistemos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fc1a208b7f11e9ae2e9d61b1f977b3">
            <w:r w:rsidRPr="00532B9F">
              <w:rPr>
                <w:rFonts w:ascii="Times New Roman" w:eastAsia="MS Mincho" w:hAnsi="Times New Roman"/>
                <w:sz w:val="20"/>
                <w:iCs/>
                <w:color w:val="0000FF" w:themeColor="hyperlink"/>
                <w:u w:val="single"/>
              </w:rPr>
              <w:t>V1-74</w:t>
            </w:r>
          </w:fldSimple>
          <w:r>
            <w:rPr>
              <w:rFonts w:ascii="Times New Roman" w:eastAsia="MS Mincho" w:hAnsi="Times New Roman"/>
              <w:sz w:val="20"/>
              <w:iCs/>
            </w:rPr>
            <w:t>,
2019-06-10,
paskelbta TAR 2019-06-10, i. k. 2019-09417                </w:t>
          </w:r>
        </w:p>
        <w:p>
          <w:pPr>
            <w:jc w:val="both"/>
            <w:rPr>
              <w:rFonts w:ascii="Times New Roman" w:hAnsi="Times New Roman"/>
            </w:rPr>
          </w:pPr>
          <w:r>
            <w:rPr>
              <w:rFonts w:ascii="Times New Roman" w:hAnsi="Times New Roman"/>
              <w:sz w:val="20"/>
            </w:rPr>
            <w:t>Dėl Žuvininkystės tarnybos prie Lietuvos Respublikos žemės ūkio ministerijos direktoriaus 2011 m. gruodžio 2 d. įsakymo Nr. V1-140 "Dėl Palydovinės Lietuvos Respublikos žvejybos laivų stebėjimo sistemos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5e1520a0ec11eb9fecb5ecd3bd711c">
            <w:r w:rsidRPr="00532B9F">
              <w:rPr>
                <w:rFonts w:ascii="Times New Roman" w:eastAsia="MS Mincho" w:hAnsi="Times New Roman"/>
                <w:sz w:val="20"/>
                <w:iCs/>
                <w:color w:val="0000FF" w:themeColor="hyperlink"/>
                <w:u w:val="single"/>
              </w:rPr>
              <w:t>V1-44</w:t>
            </w:r>
          </w:fldSimple>
          <w:r>
            <w:rPr>
              <w:rFonts w:ascii="Times New Roman" w:eastAsia="MS Mincho" w:hAnsi="Times New Roman"/>
              <w:sz w:val="20"/>
              <w:iCs/>
            </w:rPr>
            <w:t>,
2021-04-19,
paskelbta TAR 2021-04-19, i. k. 2021-08056                </w:t>
          </w:r>
        </w:p>
        <w:p>
          <w:pPr>
            <w:jc w:val="both"/>
            <w:rPr>
              <w:rFonts w:ascii="Times New Roman" w:hAnsi="Times New Roman"/>
            </w:rPr>
          </w:pPr>
          <w:r>
            <w:rPr>
              <w:rFonts w:ascii="Times New Roman" w:hAnsi="Times New Roman"/>
              <w:sz w:val="20"/>
            </w:rPr>
            <w:t>Dėl Žuvininkystės tarnybos prie Lietuvos Respublikos žemės ūkio ministerijos direktoriaus 2011 m. gruodžio 2 d. įsakymo Nr. V1-140 „Dėl Palydovinės Lietuvos Respublikos žvejybos laivų stebėjimo sistemos valdymo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f582b1ed6111f09cfce49e7aeb76fe">
            <w:r w:rsidRPr="00532B9F">
              <w:rPr>
                <w:rFonts w:ascii="Times New Roman" w:eastAsia="MS Mincho" w:hAnsi="Times New Roman"/>
                <w:sz w:val="20"/>
                <w:iCs/>
                <w:color w:val="0000FF" w:themeColor="hyperlink"/>
                <w:u w:val="single"/>
              </w:rPr>
              <w:t>V1-3</w:t>
            </w:r>
          </w:fldSimple>
          <w:r>
            <w:rPr>
              <w:rFonts w:ascii="Times New Roman" w:eastAsia="MS Mincho" w:hAnsi="Times New Roman"/>
              <w:sz w:val="20"/>
              <w:iCs/>
            </w:rPr>
            <w:t>,
2026-01-09,
paskelbta TAR 2026-01-09, i. k. 2026-00297                </w:t>
          </w:r>
        </w:p>
        <w:p>
          <w:pPr>
            <w:jc w:val="both"/>
            <w:rPr>
              <w:rFonts w:ascii="Times New Roman" w:hAnsi="Times New Roman"/>
            </w:rPr>
          </w:pPr>
          <w:r>
            <w:rPr>
              <w:rFonts w:ascii="Times New Roman" w:hAnsi="Times New Roman"/>
              <w:sz w:val="20"/>
            </w:rPr>
            <w:t>Dėl Žuvininkystės tarnybos prie Lietuvos Respublikos žemės ūkio ministerijos direktoriaus 2011 m. gruodžio 2 d. įsakymo Nr. V1-140 „Dėl Palydovinio ryšio Lietuvos Respublikos žvejybos laivų stebėjimo sistemos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EUAlbertina">
    <w:altName w:val="Times New Roman"/>
    <w:charset w:val="00"/>
    <w:family w:val="swiss"/>
    <w:pitch w:val="default"/>
    <w:sig w:usb0="00000007"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F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9DA99BAF-D311-49FB-9187-755108162CA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hyperlink" TargetMode="External" Target="https://www.e-tar.lt/portal/lt/legalAct/TAR.0238AFC84097"/>
  <Relationship Id="rId17" Type="http://schemas.openxmlformats.org/officeDocument/2006/relationships/hyperlink" TargetMode="External" Target="https://www.e-tar.lt/portal/lt/legalAct/TAR.D22016A0EC70"/>
  <Relationship Id="rId18" Type="http://schemas.microsoft.com/office/2011/relationships/people" Target="people.xml"/>
  <Relationship Id="rId19" Type="http://schemas.openxmlformats.org/officeDocument/2006/relationships/settings" Target="settings.xml"/>
  <Relationship Id="rId2" Type="http://schemas.openxmlformats.org/officeDocument/2006/relationships/header" Target="header17.xml"/>
  <Relationship Id="rId20" Type="http://schemas.openxmlformats.org/officeDocument/2006/relationships/styles" Target="style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image" Target="media/image5.wmf"/>
  <Relationship Id="rId24" Type="http://schemas.openxmlformats.org/officeDocument/2006/relationships/control" Target="activeX/activeX5.xml"/>
  <Relationship Id="rId25" Type="http://schemas.openxmlformats.org/officeDocument/2006/relationships/hyperlink" TargetMode="External" Target="https://www.e-tar.lt/portal/lt/legalAct/TAR.24860269F450"/>
  <Relationship Id="rId26" Type="http://schemas.openxmlformats.org/officeDocument/2006/relationships/hyperlink" TargetMode="External" Target="https://www.e-tar.lt/portal/lt/legalAct/TAR.61F07FE194B6"/>
  <Relationship Id="rId27" Type="http://schemas.openxmlformats.org/officeDocument/2006/relationships/hyperlink" TargetMode="External" Target="https://www.e-tar.lt/portal/lt/legalAct/TAR.6B98DD3DFA79"/>
  <Relationship Id="rId28" Type="http://schemas.openxmlformats.org/officeDocument/2006/relationships/header" Target="header19.xml"/>
  <Relationship Id="rId29" Type="http://schemas.openxmlformats.org/officeDocument/2006/relationships/header" Target="header20.xml"/>
  <Relationship Id="rId3" Type="http://schemas.openxmlformats.org/officeDocument/2006/relationships/footer" Target="footer16.xml"/>
  <Relationship Id="rId30" Type="http://schemas.openxmlformats.org/officeDocument/2006/relationships/footer" Target="footer19.xml"/>
  <Relationship Id="rId31" Type="http://schemas.openxmlformats.org/officeDocument/2006/relationships/footer" Target="footer20.xml"/>
  <Relationship Id="rId32" Type="http://schemas.openxmlformats.org/officeDocument/2006/relationships/header" Target="header21.xml"/>
  <Relationship Id="rId33" Type="http://schemas.openxmlformats.org/officeDocument/2006/relationships/footer" Target="footer21.xml"/>
  <Relationship Id="rId34" Type="http://schemas.openxmlformats.org/officeDocument/2006/relationships/hyperlink" TargetMode="External" Target="http://eur-lex.europa.eu/legal-content/LIT/TXT/?uri=CELEX:32009R1224&amp;locale=lt"/>
  <Relationship Id="rId35" Type="http://schemas.openxmlformats.org/officeDocument/2006/relationships/hyperlink" TargetMode="External" Target="http://eur-lex.europa.eu/legal-content/LIT/TXT/?uri=CELEX:31996R0847&amp;locale=lt"/>
  <Relationship Id="rId36" Type="http://schemas.openxmlformats.org/officeDocument/2006/relationships/hyperlink" TargetMode="External" Target="http://eur-lex.europa.eu/legal-content/LIT/TXT/?uri=CELEX:32002R2371&amp;locale=lt"/>
  <Relationship Id="rId37" Type="http://schemas.openxmlformats.org/officeDocument/2006/relationships/hyperlink" TargetMode="External" Target="http://eur-lex.europa.eu/legal-content/LIT/TXT/?uri=CELEX:32004R0811&amp;locale=lt"/>
  <Relationship Id="rId38" Type="http://schemas.openxmlformats.org/officeDocument/2006/relationships/hyperlink" TargetMode="External" Target="http://eur-lex.europa.eu/legal-content/LIT/TXT/?uri=CELEX:32005R0768&amp;locale=lt"/>
  <Relationship Id="rId39" Type="http://schemas.openxmlformats.org/officeDocument/2006/relationships/hyperlink" TargetMode="External" Target="http://eur-lex.europa.eu/legal-content/LIT/TXT/?uri=CELEX:32005R2115&amp;locale=lt"/>
  <Relationship Id="rId4" Type="http://schemas.openxmlformats.org/officeDocument/2006/relationships/footer" Target="footer17.xml"/>
  <Relationship Id="rId40" Type="http://schemas.openxmlformats.org/officeDocument/2006/relationships/hyperlink" TargetMode="External" Target="http://eur-lex.europa.eu/legal-content/LIT/TXT/?uri=CELEX:32005R2166&amp;locale=lt"/>
  <Relationship Id="rId41" Type="http://schemas.openxmlformats.org/officeDocument/2006/relationships/hyperlink" TargetMode="External" Target="http://eur-lex.europa.eu/legal-content/LIT/TXT/?uri=CELEX:32006R0388&amp;locale=lt"/>
  <Relationship Id="rId42" Type="http://schemas.openxmlformats.org/officeDocument/2006/relationships/hyperlink" TargetMode="External" Target="http://eur-lex.europa.eu/legal-content/LIT/TXT/?uri=CELEX:32007R0509&amp;locale=lt"/>
  <Relationship Id="rId43" Type="http://schemas.openxmlformats.org/officeDocument/2006/relationships/hyperlink" TargetMode="External" Target="http://eur-lex.europa.eu/legal-content/LIT/TXT/?uri=CELEX:32007R0676&amp;locale=lt"/>
  <Relationship Id="rId44" Type="http://schemas.openxmlformats.org/officeDocument/2006/relationships/hyperlink" TargetMode="External" Target="http://eur-lex.europa.eu/legal-content/LIT/TXT/?uri=CELEX:32007R1098&amp;locale=lt"/>
  <Relationship Id="rId45" Type="http://schemas.openxmlformats.org/officeDocument/2006/relationships/hyperlink" TargetMode="External" Target="http://eur-lex.europa.eu/legal-content/LIT/TXT/?uri=CELEX:32008R1300&amp;locale=lt"/>
  <Relationship Id="rId46" Type="http://schemas.openxmlformats.org/officeDocument/2006/relationships/hyperlink" TargetMode="External" Target="http://eur-lex.europa.eu/legal-content/LIT/TXT/?uri=CELEX:32008R1342&amp;locale=lt"/>
  <Relationship Id="rId47" Type="http://schemas.openxmlformats.org/officeDocument/2006/relationships/hyperlink" TargetMode="External" Target="http://eur-lex.europa.eu/legal-content/LIT/TXT/?uri=CELEX:31993R2847&amp;locale=lt"/>
  <Relationship Id="rId48" Type="http://schemas.openxmlformats.org/officeDocument/2006/relationships/hyperlink" TargetMode="External" Target="http://eur-lex.europa.eu/legal-content/LIT/TXT/?uri=CELEX:31994R1627&amp;locale=lt"/>
  <Relationship Id="rId49" Type="http://schemas.openxmlformats.org/officeDocument/2006/relationships/hyperlink" TargetMode="External" Target="http://eur-lex.europa.eu/legal-content/LIT/TXT/?uri=CELEX:32006R1966&amp;locale=lt"/>
  <Relationship Id="rId5" Type="http://schemas.openxmlformats.org/officeDocument/2006/relationships/header" Target="header18.xml"/>
  <Relationship Id="rId50" Type="http://schemas.openxmlformats.org/officeDocument/2006/relationships/hyperlink" TargetMode="External" Target="http://eur-lex.europa.eu/legal-content/LIT/TXT/?uri=CELEX:32011R0404&amp;locale=lt"/>
  <Relationship Id="rId51" Type="http://schemas.openxmlformats.org/officeDocument/2006/relationships/hyperlink" TargetMode="External" Target="http://eur-lex.europa.eu/legal-content/LIT/TXT/?uri=CELEX:32009R1224&amp;locale=lt"/>
  <Relationship Id="rId52" Type="http://schemas.openxmlformats.org/officeDocument/2006/relationships/hyperlink" TargetMode="External" Target="http://eur-lex.europa.eu/legal-content/LIT/TXT/?uri=CELEX:32025R1766&amp;locale=lt"/>
  <Relationship Id="rId53" Type="http://schemas.openxmlformats.org/officeDocument/2006/relationships/hyperlink" TargetMode="External" Target="http://eur-lex.europa.eu/legal-content/LIT/TXT/?uri=CELEX:32009R1224&amp;locale=lt"/>
  <Relationship Id="rId54" Type="http://schemas.openxmlformats.org/officeDocument/2006/relationships/hyperlink" TargetMode="External" Target="http://eur-lex.europa.eu/legal-content/LIT/TXT/?uri=CELEX:32009R1224&amp;locale=lt"/>
  <Relationship Id="rId55" Type="http://schemas.openxmlformats.org/officeDocument/2006/relationships/hyperlink" TargetMode="External" Target="http://eur-lex.europa.eu/legal-content/LIT/TXT/?uri=CELEX:32196R2025&amp;locale=lt"/>
  <Relationship Id="rId56" Type="http://schemas.openxmlformats.org/officeDocument/2006/relationships/hyperlink" TargetMode="External" Target="http://eur-lex.europa.eu/legal-content/LIT/TXT/?uri=CELEX:32009R1224&amp;locale=lt"/>
  <Relationship Id="rId57" Type="http://schemas.openxmlformats.org/officeDocument/2006/relationships/hyperlink" TargetMode="External" Target="http://eur-lex.europa.eu/legal-content/LIT/TXT/?uri=CELEX:32011R0404&amp;locale=lt"/>
  <Relationship Id="rId58" Type="http://schemas.openxmlformats.org/officeDocument/2006/relationships/hyperlink" TargetMode="External" Target="http://eur-lex.europa.eu/legal-content/LIT/TXT/?uri=CELEX:33224R2009&amp;locale=lt"/>
  <Relationship Id="rId59" Type="http://schemas.openxmlformats.org/officeDocument/2006/relationships/hyperlink" TargetMode="External" Target="http://eur-lex.europa.eu/legal-content/LIT/TXT/?uri=CELEX:32025R2196&amp;locale=lt"/>
  <Relationship Id="rId6" Type="http://schemas.openxmlformats.org/officeDocument/2006/relationships/footer" Target="footer18.xml"/>
  <Relationship Id="rId60" Type="http://schemas.openxmlformats.org/officeDocument/2006/relationships/hyperlink" TargetMode="External" Target="http://eur-lex.europa.eu/legal-content/LIT/TXT/?uri=CELEX:32025R2196&amp;locale=lt"/>
  <Relationship Id="rId61" Type="http://schemas.openxmlformats.org/officeDocument/2006/relationships/hyperlink" TargetMode="External" Target="http://eur-lex.europa.eu/legal-content/LIT/TXT/?uri=CELEX:32025R2196&amp;locale=lt"/>
  <Relationship Id="rId62" Type="http://schemas.openxmlformats.org/officeDocument/2006/relationships/hyperlink" TargetMode="External" Target="http://eur-lex.europa.eu/legal-content/LIT/TXT/?uri=CELEX:33224R2009&amp;locale=lt"/>
  <Relationship Id="rId63" Type="http://schemas.openxmlformats.org/officeDocument/2006/relationships/hyperlink" TargetMode="External" Target="http://eur-lex.europa.eu/legal-content/LIT/TXT/?uri=CELEX:32025R1766&amp;locale=lt"/>
  <Relationship Id="rId64" Type="http://schemas.openxmlformats.org/officeDocument/2006/relationships/hyperlink" TargetMode="External" Target="http://eur-lex.europa.eu/legal-content/LIT/TXT/?uri=CELEX:33224R2009&amp;locale=lt"/>
  <Relationship Id="rId65"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RESPUBLIKOS ŽVEJYBOS LAIVŲ STEBĖJIMO SISTEMOS TVARKOS APRAŠO PATVIRTINIMO“." DocPartId="52024de67feb4a80ab2cfb4358041989" PartId="ab7099fadf74403c97aab70954c4e5f5">
    <Part Type="preambule" DocPartId="aa18dd44abac4f7286f189de42b2967b" PartId="4d7ae8dc2a064d92af934ba57aad83d7"/>
    <Part Type="punktas" Nr="1" Abbr="1 p." DocPartId="4231ac6b05e54625bdca398d13d2dd1c" PartId="1c0e4c4bed5240ae97c058d27484b988"/>
    <Part Type="punktas" Nr="2" Abbr="2 p." DocPartId="20a3883b7088454a918773acb98066e8" PartId="97641bb1647445a88191ff9aa2abc3a3">
      <Part Type="punktas" Nr="2.1" Abbr="2.1 p." DocPartId="e5e0c3d705a542a08a2396f65f92b04f" PartId="20bcd60e23c44c048d5b363663d7c1d1"/>
      <Part Type="punktas" Nr="2.2" Abbr="2.2 p." DocPartId="37902582e11141a99dc822027817d439" PartId="49469f9d1949440c853de48455e0a095"/>
      <Part Type="punktas" Nr="2.3" Abbr="2.3 p." DocPartId="b37797109c774b69a1d5ef20ec99376b" PartId="5cdec5cd17a14efb8287de8200abd336"/>
    </Part>
    <Part Type="signatura" DocPartId="831e1682f3b64067a4a1c2e5886d2a0d" PartId="98736aa58afe4e67b1030577c0721450"/>
  </Part>
  <Part Type="patvirtinta" Title="LIETUVOS RESPUBLIKOS ŽVEJYBOS LAIVŲ STEBĖJIMO SISTEMOS TVARKOS APRAŠAS" DocPartId="3e5bb1bfedf145b3847abfa3b0adfd65" PartId="1ba284d4c69840f8ac206487bf104403">
    <Part Type="skyrius" Nr="1" Title="BENDROSIOS NUOSTATOS" DocPartId="40233f5cc13f4e67a23be3495e2f0dac" PartId="cdff047b11b44b80a3f1e77088784e8c">
      <Part Type="punktas" Nr="1" Abbr="1 p." DocPartId="47d67ba1315b4ba1b095eecbbc414d8b" PartId="97ebbf9df90f4e57a71bf22145fab413"/>
      <Part Type="punktas" Nr="2" Abbr="2 p." DocPartId="2b92c39fe60f4cbc93f628b217fdd7ee" PartId="edfd1e53b8c348af97d9e69d78f062a5"/>
      <Part Type="punktas" Nr="3" Abbr="3 p." DocPartId="4db9219b63c943ab823165d92e6d19b8" PartId="39b7e5fb766b405098ba0afd27f76691"/>
    </Part>
    <Part Type="skyrius" Nr="2" Title="ŽVEJYBOS LAIVŲ STEBĖJIMO SISTEMOS NAUDOJIMAS" DocPartId="31defe7d3c6d4af7a734b20fa2b962f0" PartId="48b4aa8d4a914ab59c6ce6c0c1b6e206">
      <Part Type="punktas" Nr="4" Abbr="4 p." DocPartId="9553ef0e892d4fa9bd2b370b1f71a071" PartId="3ca212c016b64e85863ebc5672ea2e2f"/>
      <Part Type="punktas" Nr="5" Abbr="5 p." DocPartId="f2207651d249428a8e5fcfe0b377ac39" PartId="1726c8827a344243a56576a7bd3ce2ee"/>
      <Part Type="punktas" Nr="6" Abbr="6 p." DocPartId="5f7e8d17a8084a419db127f67fa44d9f" PartId="2e58b57c430e4450b6a33a57b4ddaeeb"/>
    </Part>
    <Part Type="skyrius" Nr="3" Title="PALYDOVINIO RYŠIO SIŲSTUVŲ AKTYVINIMO IR DEAKTYVINIMO TVARKA" DocPartId="eaf5ca20837142028f9cc6eb5da0239d" PartId="e16340cff9b54efb8d45e7645b775996">
      <Part Type="punktas" Nr="7" Abbr="7 p." DocPartId="5c7fc69d0b61462c8866267c1cfbbb0a" PartId="6ab1a2a642e341128310a532c3688984"/>
      <Part Type="punktas" Nr="8" Abbr="8 p." DocPartId="af87a6677e724017aecd1df1eb266ba8" PartId="33000c94452d425bbe0c813b9f32f255"/>
      <Part Type="punktas" Nr="9" Abbr="9 p." DocPartId="4f4dd0270e184210b83419bc8dc0246e" PartId="c57da09139fc40e5837de0e934e6ce2a"/>
      <Part Type="punktas" Nr="10" Abbr="10 p." DocPartId="5444f0ee05a245b9a621457c50333fa1" PartId="64cb921c9ff94f7ba67460ba9e68c4e0"/>
      <Part Type="punktas" Nr="11" Abbr="11 p." DocPartId="8459976e49c2447a9cfd0f412df9368e" PartId="b95bdd5df4c04b5187787cc084b955d7"/>
      <Part Type="punktas" Nr="12" Abbr="12 p." DocPartId="c231c898e8134ad280b6aeff0d978697" PartId="8b66f51dd67f4cb7a24854cca7711f98"/>
      <Part Type="punktas" Nr="13" Abbr="13 p." DocPartId="c6847ea9726945fa948e3e6df77a516e" PartId="6f67cfcfe0824b3f9dee4701046d1d7a"/>
      <Part Type="punktas" Nr="14" Abbr="14 p." DocPartId="c191b018179d4943a5a0581b165ef2b2" PartId="68e7148b26534b91b396b572405c4059"/>
    </Part>
    <Part Type="skyrius" Nr="4" Title="REIKALAVIMAI ŽVEJYBOS LAIVAMS SU ĮRENGTAIS LAIVO STEBĖJIMO ĮTAISAIS" DocPartId="53cd43b62aa64184a8aa2664287810b3" PartId="fb5f833daf194c1db53583e50d789538">
      <Part Type="punktas" Nr="15" Abbr="15 p." DocPartId="98f71608d16a46c3a9091d3cb064b9c0" PartId="368bdd801ea1417d823d1768ecd28f2c"/>
      <Part Type="punktas" Nr="16" Abbr="16 p." DocPartId="cdb04c9c20f1476c910afd175d0b95bf" PartId="4776cfd1f8a64a7f8df8b978327943b1"/>
      <Part Type="punktas" Nr="17" Abbr="17 p." DocPartId="07822ac9792548408a31950c5a0a2c44" PartId="ec834a7930e94933932644540dc19a31"/>
      <Part Type="punktas" Nr="18" Abbr="18 p." DocPartId="236e81e5c7f84550b7b01b512ec81df4" PartId="87a6a7346a2040f99cb104d60edf2c68"/>
      <Part Type="punktas" Nr="19" Abbr="19 p." DocPartId="f3bbe64bd0c4434397a0f5ebc125555e" PartId="27f8cc0dca484f2998d69acfea0f2191"/>
      <Part Type="punktas" Nr="20" Abbr="20 p." DocPartId="332619d3b54249dcb6988731eae0bebf" PartId="2277c283bfee44caa97fe74adcc83916"/>
      <Part Type="punktas" Nr="21" Abbr="21 p." DocPartId="ff34ba6c619548b685845e8fd2f0224d" PartId="88ccc3b471c74d0682d01cdeef4e9118"/>
      <Part Type="punktas" Nr="22" Abbr="22 p." DocPartId="0f8a6074910140da87f11f979a7746cf" PartId="a7eb4bd1aae54f4795475f723463ac77"/>
      <Part Type="punktas" Nr="23" Abbr="23 p." DocPartId="d014274ffcb2469185bfa6520504d06e" PartId="87403a2e2f1f450593f85fb5851acf62"/>
      <Part Type="punktas" Nr="24" Abbr="24 p." DocPartId="8b048710f0b742cc8d7cb3f191014aea" PartId="5a8e4bcb7a5e4ec6adc51c301311386e">
        <Part Type="papunktis" Nr="24.1" Abbr="24.1 pp." DocPartId="d6bb606000c14c53a09842f8197a3720" PartId="44bcdc91c3204cb6907055656b2d82f3"/>
        <Part Type="papunktis" Nr="24.2" Abbr="24.2 pp." DocPartId="833b1f2ccc6b411bb9b5092e3262213f" PartId="8772977882164c14a7a1d41c77a23689"/>
      </Part>
    </Part>
    <Part Type="skyrius" Nr="5" Title="BAIGIAMOSIOS NUOSTATOS" DocPartId="b5bb588b82a74d9ab05100bb4c553d6c" PartId="9a85f21d6ae945a58b8913c49198e43c">
      <Part Type="punktas" Nr="25" Abbr="25 p." DocPartId="367700899dd04ee6b1d003c687c3203b" PartId="cbae3304ebd14bd39e9383e2d73a1f22"/>
      <Part Type="punktas" Nr="26" Abbr="26 p." DocPartId="1f16283567b0454e9270847f31df8053" PartId="6e9d165a87d043819ab7318babb867a1"/>
    </Part>
    <Part Type="pabaiga" DocPartId="d2a0004e543f4d5d916fa96eb9a736b7" PartId="5b688539431c4fb8955401fdaef7a403"/>
  </Part>
  <Part Type="priedas" Nr="1" Abbr="1 pr." Title="AKTYVUOTI PALYDOVINIO RYŠIO ĮTAISĄ" DocPartId="752b35e5bef147699d77ee7601118e2f" PartId="cb13bdf147684a7aad9c8a4108d18f7c">
    <Part Type="pabaiga" DocPartId="f1478f19233040699c8cb239789f68b8" PartId="3eb16bccd57f4c42810e4239cb8058b2"/>
  </Part>
  <Part Type="priedas" Nr="2" Abbr="2 pr." Title="DEAKTYVUOTI PALYDOVINIO RYŠIO SISTEMĄ" DocPartId="5871e9f3467f4266aa09960ee9811332" PartId="e0657bada339431aad23ae8cc74903d8">
    <Part Type="pabaiga" DocPartId="521d4f0eea8a4b0195a99f87b212a7dc" PartId="f3671bcd33734adc97206cf2868dedb2"/>
  </Part>
</Parts>
</file>

<file path=customXml/itemProps1.xml><?xml version="1.0" encoding="utf-8"?>
<ds:datastoreItem xmlns:ds="http://schemas.openxmlformats.org/officeDocument/2006/customXml" ds:itemID="{4D72F3EB-86B7-49DE-897E-3513798CAA45}">
  <ds:schemaRefs>
    <ds:schemaRef ds:uri="http://lrs.lt/TAIS/DocParts"/>
  </ds:schemaRefs>
</ds:datastoreItem>
</file>

<file path=docProps/app.xml><?xml version="1.0" encoding="utf-8"?>
<Properties xmlns="http://schemas.openxmlformats.org/officeDocument/2006/extended-properties">
  <Template>Normal.dotm</Template>
  <TotalTime>14</TotalTime>
  <Pages>12</Pages>
  <Words>18785</Words>
  <Characters>10709</Characters>
  <Application>Microsoft Office Word</Application>
  <DocSecurity>0</DocSecurity>
  <Lines>89</Lines>
  <Paragraphs>58</Paragraphs>
  <ScaleCrop>false</ScaleCrop>
  <Company>Teisines informacijos centras</Company>
  <LinksUpToDate>false</LinksUpToDate>
  <CharactersWithSpaces>29436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2015-09-14T04:17:00Z</dcterms:created>
  <dc:creator>Sandra</dc:creator>
  <lastModifiedBy>JŪRĖNIENĖ Jolanta</lastModifiedBy>
  <dcterms:modified xsi:type="dcterms:W3CDTF">2026-01-13T08:06:00Z</dcterms:modified>
  <revision>14</revision>
  <dc:title>ŽUVININKYSTĖS TARNYBOS</dc:title>
</coreProperties>
</file>