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body>
    <w:sdt>
      <w:sdtPr>
        <w:alias w:val="pagrindine"/>
        <w:tag w:val="part_1f14c2dabef1476cabc86b4c83fc1874"/>
        <w:lock w:val="sdtLocked"/>
        <w:richText/>
      </w:sdtPr>
      <w:sdtContent>
        <w:p>
          <w:pPr>
            <w:rPr>
              <w:rFonts w:ascii="Times New Roman" w:hAnsi="Times New Roman"/>
              <w:b/>
              <w:i/>
            </w:rPr>
          </w:pPr>
          <w:r>
            <w:rPr>
              <w:rFonts w:ascii="Times New Roman" w:hAnsi="Times New Roman"/>
              <w:b/>
              <w:i/>
            </w:rPr>
            <w:t>Nutarimas netenka galios 2025-03-29:</w:t>
          </w:r>
        </w:p>
        <w:p>
          <w:pPr>
            <w:jc w:val="both"/>
            <w:rPr>
              <w:rFonts w:ascii="Times New Roman" w:hAnsi="Times New Roman"/>
              <w:i/>
            </w:rPr>
          </w:pPr>
          <w:r>
            <w:rPr>
              <w:rFonts w:ascii="Times New Roman" w:hAnsi="Times New Roman"/>
              <w:sz w:val="20"/>
              <w:i/>
            </w:rPr>
            <w:t>
                    Valstybinė energetikos reguliavimo taryba, Nutarimas
                </w:t>
          </w:r>
        </w:p>
        <w:p>
          <w:pPr>
            <w:jc w:val="both"/>
            <w:rPr>
              <w:rFonts w:ascii="Times New Roman" w:hAnsi="Times New Roman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c796e8240bb411f08e9f87c0d053bf0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O3E-394</w:t>
            </w:r>
          </w:fldSimple>
          <w:r>
            <w:rPr>
              <w:rFonts w:ascii="Times New Roman" w:eastAsia="MS Mincho" w:hAnsi="Times New Roman"/>
              <w:sz w:val="20"/>
              <w:iCs/>
              <w:i/>
            </w:rPr>
            <w:t>,
2025-03-28,
paskelbta TAR 2025-03-28, i. k. 2025-05325                </w:t>
          </w:r>
        </w:p>
        <w:p>
          <w:pPr>
            <w:jc w:val="both"/>
            <w:rPr>
              <w:rFonts w:ascii="Times New Roman" w:hAnsi="Times New Roman"/>
              <w:i/>
            </w:rPr>
          </w:pPr>
          <w:r>
            <w:rPr>
              <w:rFonts w:ascii="Times New Roman" w:hAnsi="Times New Roman"/>
              <w:sz w:val="20"/>
              <w:i/>
            </w:rPr>
            <w:t>Dėl Prašymo išduoti, pakeisti, patikslinti licenciją, išduoti licencijos dublikatą, sustabdyti licencijos galiojimą, panaikinti licencijos galiojimą, panaikinti licencijos galiojimo sustabdymą formos patvirtinimo</w:t>
          </w:r>
        </w:p>
        <w:p>
          <w:pPr>
            <w:jc w:val="both"/>
            <w:rPr>
              <w:rFonts w:ascii="Times New Roman" w:hAnsi="Times New Roman"/>
              <w:sz w:val="20"/>
              <w:i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2013-09-01 iki 2025-03-28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Nutarimas paskelbtas: Žin. 2011, Nr. </w:t>
          </w:r>
          <w:fldSimple w:instr="HYPERLINK https://www.e-tar.lt/portal/legalAct.html?documentId=TAR.2AC20F00BC7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149-7030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111106ANUTA00O3-400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 w14:anchorId="2F1DAA5F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15" o:title=""/>
              </v:shape>
              <w:control r:id="rId16" w:name="Control 2" w:shapeid="_x0000_s1026"/>
            </w:pict>
          </w:r>
          <w:r>
            <w:rPr>
              <w:color w:val="000000"/>
            </w:rPr>
            <w:t>VALSTYBINĖS KAINŲ IR ENERGETIKOS KONTROLĖS KOMISIJOS</w:t>
          </w:r>
        </w:p>
        <w:p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NUTARIMAS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PRAŠYMO Išduoti, pakeisti, patikslinti licenciją, išduoti licencijos dublikatą, sustabdyti licencijos galiojimą, panaikinti licencijos galiojimą, panaikinti licencijos galiojimo sustabdymą FORMOS PATVIRTINIMO</w:t>
          </w:r>
        </w:p>
        <w:p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lapkričio 30 d. Nr. O3-400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reambule"/>
            <w:tag w:val="part_c05ae6412dbb4c74af326827c7c7a783"/>
            <w:lock w:val="sdtLocked"/>
            <w:richText/>
          </w:sdtPr>
          <w:sdtContent>
            <w:p>
              <w:pPr>
                <w:widowControl w:val="0"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 Lietuvos Respublikos gamtinių dujų įstatymo (Žin., 2000, Nr. </w:t>
              </w:r>
              <w:hyperlink r:id="rId17" w:tgtFrame="_blank" w:history="1">
                <w:r>
                  <w:rPr>
                    <w:color w:val="0000FF" w:themeColor="hyperlink"/>
                    <w:u w:val="single"/>
                  </w:rPr>
                  <w:t>89-2743</w:t>
                </w:r>
              </w:hyperlink>
              <w:r>
                <w:rPr>
                  <w:color w:val="000000"/>
                </w:rPr>
                <w:t xml:space="preserve">; 2011, Nr. </w:t>
              </w:r>
              <w:hyperlink r:id="rId18" w:tgtFrame="_blank" w:history="1">
                <w:r>
                  <w:rPr>
                    <w:color w:val="0000FF" w:themeColor="hyperlink"/>
                    <w:u w:val="single"/>
                  </w:rPr>
                  <w:t>87-4186</w:t>
                </w:r>
              </w:hyperlink>
              <w:r>
                <w:rPr>
                  <w:color w:val="000000"/>
                </w:rPr>
                <w:t xml:space="preserve">; 2012, Nr. </w:t>
              </w:r>
              <w:hyperlink r:id="rId19" w:tgtFrame="_blank" w:history="1">
                <w:r>
                  <w:rPr>
                    <w:color w:val="0000FF" w:themeColor="hyperlink"/>
                    <w:u w:val="single"/>
                  </w:rPr>
                  <w:t>68-3467</w:t>
                </w:r>
              </w:hyperlink>
              <w:r>
                <w:rPr>
                  <w:color w:val="000000"/>
                </w:rPr>
                <w:t xml:space="preserve">) 20 ir 28 straipsniais, Lietuvos Respublikos elektros energetikos įstatymo (Žin., 2000, Nr. </w:t>
              </w:r>
              <w:hyperlink r:id="rId20" w:tgtFrame="_blank" w:history="1">
                <w:r>
                  <w:rPr>
                    <w:color w:val="0000FF" w:themeColor="hyperlink"/>
                    <w:u w:val="single"/>
                  </w:rPr>
                  <w:t>66-1984</w:t>
                </w:r>
              </w:hyperlink>
              <w:r>
                <w:rPr>
                  <w:color w:val="000000"/>
                </w:rPr>
                <w:t xml:space="preserve">; 2012, Nr. </w:t>
              </w:r>
              <w:hyperlink r:id="rId21" w:tgtFrame="_blank" w:history="1">
                <w:r>
                  <w:rPr>
                    <w:color w:val="0000FF" w:themeColor="hyperlink"/>
                    <w:u w:val="single"/>
                  </w:rPr>
                  <w:t>17-752</w:t>
                </w:r>
              </w:hyperlink>
              <w:r>
                <w:rPr>
                  <w:color w:val="000000"/>
                </w:rPr>
                <w:t xml:space="preserve">) 15 straipsniu, Lietuvos Respublikos šilumos ūkio įstatymo (Žin., 2003, Nr. </w:t>
              </w:r>
              <w:hyperlink r:id="rId22" w:tgtFrame="_blank" w:history="1">
                <w:r>
                  <w:rPr>
                    <w:color w:val="0000FF" w:themeColor="hyperlink"/>
                    <w:u w:val="single"/>
                  </w:rPr>
                  <w:t>51-2254</w:t>
                </w:r>
              </w:hyperlink>
              <w:r>
                <w:rPr>
                  <w:color w:val="000000"/>
                </w:rPr>
                <w:t xml:space="preserve">; 2007, Nr. </w:t>
              </w:r>
              <w:hyperlink r:id="rId23" w:tgtFrame="_blank" w:history="1">
                <w:r>
                  <w:rPr>
                    <w:color w:val="0000FF" w:themeColor="hyperlink"/>
                    <w:u w:val="single"/>
                  </w:rPr>
                  <w:t>130-5259</w:t>
                </w:r>
              </w:hyperlink>
              <w:r>
                <w:rPr>
                  <w:color w:val="000000"/>
                </w:rPr>
                <w:t xml:space="preserve">; 2010, Nr. </w:t>
              </w:r>
              <w:hyperlink r:id="rId24" w:tgtFrame="_blank" w:history="1">
                <w:r>
                  <w:rPr>
                    <w:color w:val="0000FF" w:themeColor="hyperlink"/>
                    <w:u w:val="single"/>
                  </w:rPr>
                  <w:t>1-6</w:t>
                </w:r>
              </w:hyperlink>
              <w:r>
                <w:rPr>
                  <w:color w:val="000000"/>
                </w:rPr>
                <w:t xml:space="preserve">) 30 straipsniu, Lietuvos Respublikos geriamojo vandens tiekimo ir nuotekų tvarkymo įstatymo (Žin., 2006, Nr. </w:t>
              </w:r>
              <w:hyperlink r:id="rId25" w:tgtFrame="_blank" w:history="1">
                <w:r>
                  <w:rPr>
                    <w:color w:val="0000FF" w:themeColor="hyperlink"/>
                    <w:u w:val="single"/>
                  </w:rPr>
                  <w:t>82-3260</w:t>
                </w:r>
              </w:hyperlink>
              <w:r>
                <w:rPr>
                  <w:color w:val="000000"/>
                </w:rPr>
                <w:t xml:space="preserve">) 19 straipsniu, Lietuvos Respublikos energijos išteklių rinkos įstatymo (Žin., 2012, Nr. </w:t>
              </w:r>
              <w:hyperlink r:id="rId26" w:tgtFrame="_blank" w:history="1">
                <w:r>
                  <w:rPr>
                    <w:color w:val="0000FF" w:themeColor="hyperlink"/>
                    <w:u w:val="single"/>
                  </w:rPr>
                  <w:t>63-3164</w:t>
                </w:r>
              </w:hyperlink>
              <w:r>
                <w:rPr>
                  <w:color w:val="000000"/>
                </w:rPr>
                <w:t xml:space="preserve">) 11 straipsnio 8 dalimi bei Gamtinių dujų perdavimo, skirstymo, laikymo, skystinimo, tiekimo ir rinkos operatoriaus licencijavimo taisyklių, patvirtintų Lietuvos Respublikos Vyriausybės 2011 m. spalio 27 d. nutarimu Nr. 1246 (Žin., 2011, Nr. </w:t>
              </w:r>
              <w:hyperlink r:id="rId27" w:tgtFrame="_blank" w:history="1">
                <w:r>
                  <w:rPr>
                    <w:color w:val="0000FF" w:themeColor="hyperlink"/>
                    <w:u w:val="single"/>
                  </w:rPr>
                  <w:t>131-6227</w:t>
                </w:r>
              </w:hyperlink>
              <w:r>
                <w:rPr>
                  <w:color w:val="000000"/>
                </w:rPr>
                <w:t xml:space="preserve">), 7.1 punktu, Veiklos elektros energetikos sektoriuje licencijavimo taisyklių, patvirtintų Lietuvos Respublikos Vyriausybės 2012 m. birželio 20 d. nutarimu Nr. 723 (Žin., 2012, Nr. </w:t>
              </w:r>
              <w:hyperlink r:id="rId28" w:tgtFrame="_blank" w:history="1">
                <w:r>
                  <w:rPr>
                    <w:color w:val="0000FF" w:themeColor="hyperlink"/>
                    <w:u w:val="single"/>
                  </w:rPr>
                  <w:t>71-3660</w:t>
                </w:r>
              </w:hyperlink>
              <w:r>
                <w:rPr>
                  <w:color w:val="000000"/>
                </w:rPr>
                <w:t xml:space="preserve">), 10.1 punktu, Šilumos tiekimo licencijavimo taisyklių, patvirtintų Lietuvos Respublikos Vyriausybės 2003 m. liepos 25 d. nutarimu Nr. 982 (Žin., 2003, Nr. </w:t>
              </w:r>
              <w:hyperlink r:id="rId29" w:tgtFrame="_blank" w:history="1">
                <w:r>
                  <w:rPr>
                    <w:color w:val="0000FF" w:themeColor="hyperlink"/>
                    <w:u w:val="single"/>
                  </w:rPr>
                  <w:t>75-3481</w:t>
                </w:r>
              </w:hyperlink>
              <w:r>
                <w:rPr>
                  <w:color w:val="000000"/>
                </w:rPr>
                <w:t xml:space="preserve">; 2010, Nr. </w:t>
              </w:r>
              <w:hyperlink r:id="rId30" w:tgtFrame="_blank" w:history="1">
                <w:r>
                  <w:rPr>
                    <w:color w:val="0000FF" w:themeColor="hyperlink"/>
                    <w:u w:val="single"/>
                  </w:rPr>
                  <w:t>33-1556</w:t>
                </w:r>
              </w:hyperlink>
              <w:r>
                <w:rPr>
                  <w:color w:val="000000"/>
                </w:rPr>
                <w:t xml:space="preserve">), 8.1 punktu ir Viešojo vandens tiekimo licencijavimo taisyklių, patvirtintų Lietuvos Respublikos Vyriausybės nutarimu Nr. 89 (Žin., 2007, Nr. </w:t>
              </w:r>
              <w:hyperlink r:id="rId31" w:tgtFrame="_blank" w:history="1">
                <w:r>
                  <w:rPr>
                    <w:color w:val="0000FF" w:themeColor="hyperlink"/>
                    <w:u w:val="single"/>
                  </w:rPr>
                  <w:t>15-533</w:t>
                </w:r>
              </w:hyperlink>
              <w:r>
                <w:rPr>
                  <w:color w:val="000000"/>
                </w:rPr>
                <w:t xml:space="preserve">), 6.3 punktu bei atsižvelgdama į Valstybinės kainų ir energetikos kontrolės komisijos (toliau – Komisija) Teisės skyriaus 2012 m. rugpjūčio 30 d. pažymą Nr. O5-187 „Dėl Valstybinės kainų ir energetikos kontrolės komisijos 2011 m. lapkričio 30 d. nutarimo Nr. O3-400 „Dėl prašymo išduoti, pakeisti, patikslinti licenciją, išduoti licencijos dublikatą, sustabdyti licencijos galiojimą, panaikinti licencijos galiojimą, panaikinti licencijos galiojimo sustabdymą formos patvirtinimo“ pakeitimo projekto“, Komisija </w:t>
              </w:r>
              <w:r>
                <w:rPr>
                  <w:color w:val="000000"/>
                  <w:spacing w:val="50"/>
                </w:rPr>
                <w:t>nutari</w:t>
              </w:r>
              <w:r>
                <w:rPr>
                  <w:color w:val="000000"/>
                  <w:spacing w:val="17"/>
                </w:rPr>
                <w:t>a: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Preambulės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49F5ACE5FE8B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O3-220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2012-09-07,
Žin., 2012, Nr.
107-5458 (2012-09-14), i. k. 112106ANUTA00O3-220            </w:t>
              </w:r>
            </w:p>
            <w:p/>
          </w:sdtContent>
        </w:sdt>
        <w:sdt>
          <w:sdtPr>
            <w:alias w:val="1 p."/>
            <w:tag w:val="part_36dc7387edaf441f81fcbaa2d1181009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36dc7387edaf441f81fcbaa2d1181009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Patvirtinti prašymo išduoti, pakeisti, patikslinti licenciją, išduoti licencijos dublikatą, sustabdyti licencijos galiojimą, panaikinti licencijos galiojimą, panaikinti licencijos galiojimo sustabdymą formą (pridedama).</w:t>
              </w:r>
            </w:p>
          </w:sdtContent>
        </w:sdt>
        <w:sdt>
          <w:sdtPr>
            <w:alias w:val="2 p."/>
            <w:tag w:val="part_85fcbaeba3d84b99a80e8722cd016b39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aps/>
                  <w:color w:val="000000"/>
                </w:rPr>
              </w:pPr>
              <w:sdt>
                <w:sdtPr>
                  <w:alias w:val="Numeris"/>
                  <w:tag w:val="nr_85fcbaeba3d84b99a80e8722cd016b39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Pripažinti netekusiu galios Komisijos 2008 m. sausio 29 d. nutarimą Nr. O3-8 „Dėl prašymo išduoti arba pakeisti licenciją formos patvirtinimo“ (Žin., 2008, Nr. </w:t>
              </w:r>
              <w:hyperlink r:id="rId32" w:tgtFrame="_blank" w:history="1">
                <w:r>
                  <w:rPr>
                    <w:color w:val="0000FF" w:themeColor="hyperlink"/>
                    <w:u w:val="single"/>
                  </w:rPr>
                  <w:t>14-505</w:t>
                </w:r>
              </w:hyperlink>
              <w:r>
                <w:rPr>
                  <w:color w:val="000000"/>
                </w:rPr>
                <w:t xml:space="preserve">; 2011, Nr. </w:t>
              </w:r>
              <w:hyperlink r:id="rId33" w:tgtFrame="_blank" w:history="1">
                <w:r>
                  <w:rPr>
                    <w:color w:val="0000FF" w:themeColor="hyperlink"/>
                    <w:u w:val="single"/>
                  </w:rPr>
                  <w:t>39-1914</w:t>
                </w:r>
              </w:hyperlink>
              <w:r>
                <w:rPr>
                  <w:color w:val="000000"/>
                </w:rPr>
                <w:t>).</w:t>
              </w:r>
            </w:p>
          </w:sdtContent>
        </w:sdt>
        <w:sdt>
          <w:sdtPr>
            <w:alias w:val="signatura"/>
            <w:tag w:val="part_012b1313cf354bb9a6fd8443217d6325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Komisijos pirmininkė </w:t>
                <w:tab/>
                <w:t>Diana Korsakaitė</w:t>
              </w:r>
            </w:p>
            <w:p>
              <w:pPr>
                <w:widowControl w:val="0"/>
                <w:suppressAutoHyphens/>
                <w:rPr>
                  <w:caps/>
                  <w:color w:val="000000"/>
                </w:rPr>
              </w:pPr>
            </w:p>
          </w:sdtContent>
        </w:sdt>
      </w:sdtContent>
    </w:sdt>
    <w:sdt>
      <w:sdtPr>
        <w:alias w:val="frm."/>
        <w:tag w:val="part_cd7f5f0618a74f86b4bd56095f17a8c2"/>
        <w:lock w:val="sdtLocked"/>
        <w:richText/>
      </w:sdtPr>
      <w:sdtContent>
        <w:p>
          <w:pPr>
            <w:widowControl w:val="0"/>
            <w:ind w:left="4535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br w:type="page"/>
          </w:r>
          <w:r>
            <w:rPr>
              <w:szCs w:val="24"/>
              <w:lang w:eastAsia="lt-LT"/>
            </w:rPr>
            <w:t>Forma patvirtinta</w:t>
          </w:r>
        </w:p>
        <w:p>
          <w:pPr>
            <w:widowControl w:val="0"/>
            <w:ind w:left="4535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Valstybinės kainų ir energetikos kontrolės komisijos 2011 m. lapkričio 30 d. nutarimu Nr. O3-400 </w:t>
          </w:r>
        </w:p>
        <w:p>
          <w:pPr>
            <w:widowControl w:val="0"/>
            <w:ind w:left="4535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(Valstybinės kainų ir energetikos kontrolės komisijos 2013 m. rugpjūčio 27 d. nutarimo Nr. O3-342 </w:t>
          </w:r>
        </w:p>
        <w:p>
          <w:pPr>
            <w:widowControl w:val="0"/>
            <w:ind w:left="4535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redakcija)</w:t>
          </w:r>
        </w:p>
        <w:p>
          <w:pPr>
            <w:ind w:left="4535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(ūkio subjekto pavadinimas (fizinio asmens – vardas, pavardė; juridinio asmens – įmonės pavadinimas), kodas (fizinio asmens – asmens kodas, jei asmens kodo neturima, tiksli gimimo data; juridinio asmens – įmonės kodas), fizinio asmens adresas arba juridinio asmens buveinės adresas; telefono ir fakso numeriai, elektroninio pašto adresas, jeigu tokie yra)</w:t>
          </w:r>
        </w:p>
        <w:p>
          <w:pPr>
            <w:ind w:firstLine="720"/>
            <w:jc w:val="both"/>
            <w:rPr>
              <w:szCs w:val="24"/>
              <w:lang w:eastAsia="lt-LT"/>
            </w:rPr>
          </w:pPr>
        </w:p>
        <w:p>
          <w:pPr>
            <w:widowControl w:val="0"/>
            <w:ind w:firstLine="72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Valstybinei kainų ir energetikos </w:t>
          </w:r>
        </w:p>
        <w:p>
          <w:pPr>
            <w:widowControl w:val="0"/>
            <w:ind w:firstLine="72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kontrolės komisijai </w:t>
          </w:r>
        </w:p>
        <w:p>
          <w:pPr>
            <w:widowControl w:val="0"/>
            <w:ind w:firstLine="72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Verkių g. 25C</w:t>
          </w:r>
        </w:p>
        <w:p>
          <w:pPr>
            <w:widowControl w:val="0"/>
            <w:ind w:firstLine="72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LT-08223 Vilnius</w:t>
          </w:r>
        </w:p>
        <w:p>
          <w:pPr>
            <w:widowControl w:val="0"/>
            <w:ind w:firstLine="720"/>
            <w:jc w:val="both"/>
            <w:rPr>
              <w:spacing w:val="50"/>
              <w:szCs w:val="24"/>
              <w:lang w:eastAsia="lt-LT"/>
            </w:rPr>
          </w:pPr>
        </w:p>
        <w:p>
          <w:pPr>
            <w:widowControl w:val="0"/>
            <w:jc w:val="center"/>
            <w:rPr>
              <w:b/>
              <w:spacing w:val="60"/>
              <w:szCs w:val="24"/>
              <w:lang w:eastAsia="lt-LT"/>
            </w:rPr>
          </w:pPr>
          <w:r>
            <w:rPr>
              <w:b/>
              <w:spacing w:val="60"/>
              <w:szCs w:val="24"/>
              <w:lang w:eastAsia="lt-LT"/>
            </w:rPr>
            <w:t>PRAŠYMAS</w:t>
          </w:r>
        </w:p>
        <w:p>
          <w:pPr>
            <w:widowControl w:val="0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IŠDUOTI, PAKEISTI, PATIKSLINTI LICENCIJĄ, IŠDUOTI LICENCIJOS DUBLIKATĄ, SUSTABDYTI LICENCIJOS GALIOJIMĄ, PRATĘSTI LICENCIJOS GALIOJIMĄ, PANAIKINTI LICENCIJOS GALIOJIMĄ, PANAIKINTI LICENCIJOS GALIOJIMO SUSTABDYMĄ</w:t>
          </w:r>
        </w:p>
        <w:p>
          <w:pPr>
            <w:widowControl w:val="0"/>
            <w:ind w:firstLine="720"/>
            <w:jc w:val="both"/>
            <w:rPr>
              <w:sz w:val="20"/>
              <w:szCs w:val="24"/>
              <w:lang w:eastAsia="lt-LT"/>
            </w:rPr>
          </w:pPr>
        </w:p>
        <w:p>
          <w:pPr>
            <w:widowControl w:val="0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</w:t>
          </w:r>
        </w:p>
        <w:p>
          <w:pPr>
            <w:widowControl w:val="0"/>
            <w:jc w:val="center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(data)</w:t>
          </w:r>
        </w:p>
        <w:p>
          <w:pPr>
            <w:widowControl w:val="0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</w:t>
          </w:r>
        </w:p>
        <w:p>
          <w:pPr>
            <w:widowControl w:val="0"/>
            <w:jc w:val="center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(vieta)</w:t>
          </w:r>
        </w:p>
        <w:p>
          <w:pPr>
            <w:widowControl w:val="0"/>
            <w:tabs>
              <w:tab w:val="right" w:leader="underscore" w:pos="9072"/>
            </w:tabs>
            <w:ind w:firstLine="720"/>
            <w:jc w:val="both"/>
            <w:rPr>
              <w:sz w:val="20"/>
              <w:szCs w:val="24"/>
              <w:lang w:eastAsia="lt-LT"/>
            </w:rPr>
          </w:pPr>
        </w:p>
        <w:p>
          <w:pPr>
            <w:widowControl w:val="0"/>
            <w:tabs>
              <w:tab w:val="right" w:leader="underscore" w:pos="9072"/>
            </w:tabs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</w:t>
            <w:tab/>
          </w:r>
        </w:p>
        <w:p>
          <w:pPr>
            <w:widowControl w:val="0"/>
            <w:tabs>
              <w:tab w:val="right" w:leader="underscore" w:pos="9072"/>
            </w:tabs>
            <w:jc w:val="center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(ūkio subjekto pavadinimas (fizinio asmens – vardas, pavardė; juridinio asmens – įmonės pavadinimas)</w:t>
          </w:r>
        </w:p>
        <w:p>
          <w:pPr>
            <w:widowControl w:val="0"/>
            <w:tabs>
              <w:tab w:val="right" w:leader="underscore" w:pos="9072"/>
            </w:tabs>
            <w:ind w:firstLine="567"/>
            <w:jc w:val="both"/>
            <w:rPr>
              <w:sz w:val="20"/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Prašo </w:t>
          </w:r>
          <w:r>
            <w:rPr>
              <w:sz w:val="20"/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 xml:space="preserve"> licenciją.</w:t>
          </w:r>
        </w:p>
        <w:p>
          <w:pPr>
            <w:widowControl w:val="0"/>
            <w:tabs>
              <w:tab w:val="right" w:leader="underscore" w:pos="9072"/>
            </w:tabs>
            <w:jc w:val="center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(išduoti, pakeisti, patikslinti licenciją, išduoti licencijos dublikatą, sustabdyti licencijos galiojimą, pratęsti licencijos galiojimą, panaikinti licencijos galiojimą, panaikinti licencijos galiojimo sustabdymą)</w:t>
          </w:r>
          <w:r>
            <w:rPr>
              <w:sz w:val="20"/>
              <w:szCs w:val="24"/>
              <w:vertAlign w:val="superscript"/>
              <w:lang w:eastAsia="lt-LT"/>
            </w:rPr>
            <w:t>1</w:t>
          </w:r>
        </w:p>
        <w:p>
          <w:pPr>
            <w:widowControl w:val="0"/>
            <w:tabs>
              <w:tab w:val="right" w:leader="underscore" w:pos="9072"/>
            </w:tabs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</w:t>
            <w:tab/>
          </w:r>
        </w:p>
        <w:p>
          <w:pPr>
            <w:widowControl w:val="0"/>
            <w:tabs>
              <w:tab w:val="right" w:leader="underscore" w:pos="9072"/>
            </w:tabs>
            <w:jc w:val="center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(licencijuojamos veiklos pavadinimas)</w:t>
          </w:r>
        </w:p>
        <w:p>
          <w:pPr>
            <w:widowControl w:val="0"/>
            <w:tabs>
              <w:tab w:val="right" w:leader="underscore" w:pos="9072"/>
            </w:tabs>
            <w:ind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Licencijos išdavimo data ir numeris: </w:t>
            <w:tab/>
          </w:r>
        </w:p>
        <w:p>
          <w:pPr>
            <w:widowControl w:val="0"/>
            <w:tabs>
              <w:tab w:val="right" w:leader="underscore" w:pos="9072"/>
            </w:tabs>
            <w:ind w:left="4320"/>
            <w:jc w:val="center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(nurodyti visais atvejais, išskyrus prašant išduoti licenciją)</w:t>
          </w:r>
        </w:p>
        <w:p>
          <w:pPr>
            <w:widowControl w:val="0"/>
            <w:tabs>
              <w:tab w:val="right" w:leader="underscore" w:pos="9072"/>
            </w:tabs>
            <w:ind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Veiklos teritorija </w:t>
            <w:tab/>
          </w:r>
        </w:p>
        <w:p>
          <w:pPr>
            <w:widowControl w:val="0"/>
            <w:tabs>
              <w:tab w:val="right" w:leader="underscore" w:pos="9072"/>
            </w:tabs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</w:t>
            <w:tab/>
            <w:t>.</w:t>
          </w:r>
        </w:p>
        <w:p>
          <w:pPr>
            <w:widowControl w:val="0"/>
            <w:tabs>
              <w:tab w:val="right" w:leader="underscore" w:pos="9072"/>
            </w:tabs>
            <w:ind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Licencijos galiojimo terminas </w:t>
            <w:tab/>
            <w:t>.</w:t>
          </w:r>
        </w:p>
        <w:p>
          <w:pPr>
            <w:widowControl w:val="0"/>
            <w:tabs>
              <w:tab w:val="right" w:leader="underscore" w:pos="9072"/>
            </w:tabs>
            <w:ind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Ūkio subjekto vadovas</w:t>
          </w:r>
          <w:r>
            <w:rPr>
              <w:szCs w:val="24"/>
              <w:vertAlign w:val="superscript"/>
              <w:lang w:eastAsia="lt-LT"/>
            </w:rPr>
            <w:t>2</w:t>
          </w:r>
          <w:r>
            <w:rPr>
              <w:szCs w:val="24"/>
              <w:lang w:eastAsia="lt-LT"/>
            </w:rPr>
            <w:t xml:space="preserve"> </w:t>
            <w:tab/>
          </w:r>
        </w:p>
        <w:p>
          <w:pPr>
            <w:widowControl w:val="0"/>
            <w:tabs>
              <w:tab w:val="right" w:leader="underscore" w:pos="9072"/>
            </w:tabs>
            <w:ind w:left="3000"/>
            <w:jc w:val="center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(pareigų pavadinimas, vardas ir pavardė, telefono numeris, elektroninio pašto adresas)</w:t>
          </w:r>
        </w:p>
        <w:p>
          <w:pPr>
            <w:widowControl w:val="0"/>
            <w:tabs>
              <w:tab w:val="right" w:leader="underscore" w:pos="9072"/>
            </w:tabs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</w:t>
            <w:tab/>
          </w:r>
        </w:p>
        <w:p>
          <w:pPr>
            <w:widowControl w:val="0"/>
            <w:tabs>
              <w:tab w:val="right" w:leader="underscore" w:pos="9072"/>
            </w:tabs>
            <w:ind w:firstLine="720"/>
            <w:jc w:val="both"/>
            <w:rPr>
              <w:szCs w:val="24"/>
              <w:lang w:eastAsia="lt-LT"/>
            </w:rPr>
          </w:pPr>
        </w:p>
        <w:p>
          <w:pPr>
            <w:widowControl w:val="0"/>
            <w:ind w:firstLine="72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PRIDEDAMA:</w:t>
          </w:r>
        </w:p>
        <w:p>
          <w:pPr>
            <w:widowControl w:val="0"/>
            <w:tabs>
              <w:tab w:val="left" w:pos="2850"/>
            </w:tabs>
            <w:ind w:firstLine="72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1. Dokumentai,                      lapai (-ų).</w:t>
          </w:r>
        </w:p>
        <w:p>
          <w:pPr>
            <w:widowControl w:val="0"/>
            <w:ind w:firstLine="720"/>
            <w:jc w:val="both"/>
            <w:rPr>
              <w:szCs w:val="24"/>
              <w:lang w:eastAsia="lt-LT"/>
            </w:rPr>
          </w:pPr>
        </w:p>
        <w:tbl>
          <w:tblPr>
            <w:tblW w:w="9070" w:type="dxa"/>
            <w:tblLook w:val="01E0" w:firstRow="1" w:lastRow="1" w:firstColumn="1" w:lastColumn="1" w:noHBand="0" w:noVBand="0"/>
          </w:tblPr>
          <w:tblGrid>
            <w:gridCol w:w="3828"/>
            <w:gridCol w:w="1680"/>
            <w:gridCol w:w="3562"/>
          </w:tblGrid>
          <w:tr>
            <w:tc>
              <w:tcPr>
                <w:tcW w:w="3828" w:type="dxa"/>
              </w:tcPr>
              <w:p>
                <w:pPr>
                  <w:widowControl w:val="0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(Pareigų pavadinimas)</w:t>
                </w:r>
                <w:r>
                  <w:rPr>
                    <w:szCs w:val="24"/>
                    <w:vertAlign w:val="superscript"/>
                    <w:lang w:eastAsia="lt-LT"/>
                  </w:rPr>
                  <w:t>3</w:t>
                </w:r>
              </w:p>
            </w:tc>
            <w:tc>
              <w:tcPr>
                <w:tcW w:w="1680" w:type="dxa"/>
              </w:tcPr>
              <w:p>
                <w:pPr>
                  <w:widowControl w:val="0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(Parašas)</w:t>
                </w:r>
              </w:p>
            </w:tc>
            <w:tc>
              <w:tcPr>
                <w:tcW w:w="3562" w:type="dxa"/>
              </w:tcPr>
              <w:p>
                <w:pPr>
                  <w:widowControl w:val="0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(Vardas ir pavardė)</w:t>
                </w:r>
              </w:p>
            </w:tc>
          </w:tr>
        </w:tbl>
        <w:p>
          <w:pPr>
            <w:widowControl w:val="0"/>
            <w:ind w:firstLine="567"/>
            <w:jc w:val="both"/>
            <w:rPr>
              <w:color w:val="000000"/>
              <w:szCs w:val="24"/>
              <w:lang w:eastAsia="lt-LT"/>
            </w:rPr>
          </w:pPr>
        </w:p>
        <w:p>
          <w:pPr>
            <w:widowControl w:val="0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__________________</w:t>
          </w:r>
        </w:p>
        <w:p>
          <w:pPr>
            <w:ind w:firstLine="567"/>
            <w:jc w:val="both"/>
            <w:rPr>
              <w:sz w:val="18"/>
              <w:szCs w:val="18"/>
            </w:rPr>
          </w:pPr>
          <w:r>
            <w:rPr>
              <w:sz w:val="18"/>
              <w:szCs w:val="18"/>
              <w:vertAlign w:val="superscript"/>
            </w:rPr>
            <w:t>1</w:t>
          </w:r>
          <w:r>
            <w:rPr>
              <w:sz w:val="18"/>
              <w:szCs w:val="18"/>
            </w:rPr>
            <w:t xml:space="preserve"> Reikiamą žodį įrašyti.</w:t>
          </w:r>
        </w:p>
        <w:p>
          <w:pPr>
            <w:ind w:firstLine="567"/>
            <w:jc w:val="both"/>
            <w:rPr>
              <w:sz w:val="18"/>
              <w:szCs w:val="18"/>
            </w:rPr>
          </w:pPr>
          <w:r>
            <w:rPr>
              <w:sz w:val="18"/>
              <w:szCs w:val="18"/>
              <w:vertAlign w:val="superscript"/>
            </w:rPr>
            <w:t>2</w:t>
          </w:r>
          <w:r>
            <w:rPr>
              <w:sz w:val="18"/>
              <w:szCs w:val="18"/>
            </w:rPr>
            <w:t xml:space="preserve"> Jei ūkio subjektas yra fizinis asmuo, šios eilutės pildyti nereikia.</w:t>
          </w:r>
        </w:p>
        <w:p>
          <w:pPr>
            <w:ind w:firstLine="567"/>
            <w:jc w:val="both"/>
            <w:rPr>
              <w:sz w:val="18"/>
              <w:szCs w:val="18"/>
            </w:rPr>
          </w:pPr>
          <w:r>
            <w:rPr>
              <w:sz w:val="18"/>
              <w:szCs w:val="18"/>
              <w:vertAlign w:val="superscript"/>
            </w:rPr>
            <w:t>3</w:t>
          </w:r>
          <w:r>
            <w:rPr>
              <w:sz w:val="18"/>
              <w:szCs w:val="18"/>
            </w:rPr>
            <w:t xml:space="preserve"> Jei ūkio subjektas yra fizinis asmuo, šios eilutės pildyti nereikia.</w:t>
          </w:r>
        </w:p>
        <w:p>
          <w:pPr>
            <w:widowControl w:val="0"/>
            <w:ind w:firstLine="567"/>
            <w:jc w:val="both"/>
            <w:rPr>
              <w:color w:val="000000"/>
              <w:szCs w:val="24"/>
              <w:lang w:eastAsia="lt-LT"/>
            </w:rPr>
          </w:pPr>
        </w:p>
        <w:sdt>
          <w:sdtPr>
            <w:alias w:val="pabaiga"/>
            <w:tag w:val="part_2c69298bb8044bb8ba3eea1230e8bca5"/>
            <w:lock w:val="sdtLocked"/>
            <w:richText/>
          </w:sdtPr>
          <w:sdtContent>
            <w:p>
              <w:pPr>
                <w:widowControl w:val="0"/>
                <w:jc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</w:t>
              </w:r>
            </w:p>
            <w:p>
              <w:pPr>
                <w:widowControl w:val="0"/>
                <w:ind w:firstLine="567"/>
                <w:jc w:val="both"/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Valstybinė kainų ir energetikos kontrolės komisija,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49F5ACE5FE8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O3-220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2012-09-07,
Žin., 2012, Nr.
107-5458 (2012-09-14), i. k. 112106ANUTA00O3-220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Valstybinės kainų ir energetikos kontrolės komisijos 2011 m. lapkričio 30 d. nutarimo Nr. O3-400 "Dėl prašymo išduoti, pakeisti, patikslinti licenciją, išduoti licencijos dublikatą, sustabdyti licencijos galiojimą, pratęsti licencijos galiojimą, panaikinti licencijos galiojimą, panaikinti licencijos galiojimo sustabdymą formos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Valstybinė kainų ir energetikos kontrolės komisija,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8AE036DFCEB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O3-342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2013-08-27,
Žin., 2013, Nr.
92-4638 (2013-08-31), i. k. 113106ANUTA00O3-342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Valstybinės kainų ir energetikos kontrolės komisijos 2011 m. lapkričio 30 d. nutarimo Nr. O3-400 "Dėl Prašymo išduoti, pakeisti, patikslinti licenciją, išduoti licencijos dublikatą, sustabdyti licencijos galiojimą, pratęsti licencijos galiojimą, panaikinti licencijos galiojimą, panaikinti licencijos galiojimo sustabdymą formos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7" w:h="16840" w:code="9"/>
      <w:pgMar w:top="1134" w:right="1134" w:bottom="1134" w:left="1701" w:header="709" w:footer="709" w:gutter="0"/>
      <w:cols w:space="708"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5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3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F2C51D5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wmf"/>
  <Relationship Id="rId16" Type="http://schemas.openxmlformats.org/officeDocument/2006/relationships/control" Target="activeX/activeX1.xml"/>
  <Relationship Id="rId17" Type="http://schemas.openxmlformats.org/officeDocument/2006/relationships/hyperlink" TargetMode="External" Target="https://www.e-tar.lt/portal/lt/legalAct/TAR.0C5C33AA865C"/>
  <Relationship Id="rId18" Type="http://schemas.openxmlformats.org/officeDocument/2006/relationships/hyperlink" TargetMode="External" Target="https://www.e-tar.lt/portal/lt/legalAct/TAR.7866845DACE5"/>
  <Relationship Id="rId19" Type="http://schemas.openxmlformats.org/officeDocument/2006/relationships/hyperlink" TargetMode="External" Target="https://www.e-tar.lt/portal/lt/legalAct/TAR.726A21B257D2"/>
  <Relationship Id="rId2" Type="http://schemas.openxmlformats.org/officeDocument/2006/relationships/header" Target="header2.xml"/>
  <Relationship Id="rId20" Type="http://schemas.openxmlformats.org/officeDocument/2006/relationships/hyperlink" TargetMode="External" Target="https://www.e-tar.lt/portal/lt/legalAct/TAR.F57794B7899F"/>
  <Relationship Id="rId21" Type="http://schemas.openxmlformats.org/officeDocument/2006/relationships/hyperlink" TargetMode="External" Target="https://www.e-tar.lt/portal/lt/legalAct/TAR.EC08E3DADC14"/>
  <Relationship Id="rId22" Type="http://schemas.openxmlformats.org/officeDocument/2006/relationships/hyperlink" TargetMode="External" Target="https://www.e-tar.lt/portal/lt/legalAct/TAR.F62AD965997D"/>
  <Relationship Id="rId23" Type="http://schemas.openxmlformats.org/officeDocument/2006/relationships/hyperlink" TargetMode="External" Target="https://www.e-tar.lt/portal/lt/legalAct/TAR.A601A252F765"/>
  <Relationship Id="rId24" Type="http://schemas.openxmlformats.org/officeDocument/2006/relationships/hyperlink" TargetMode="External" Target="https://www.e-tar.lt/portal/lt/legalAct/TAR.A1311C5AC5DA"/>
  <Relationship Id="rId25" Type="http://schemas.openxmlformats.org/officeDocument/2006/relationships/hyperlink" TargetMode="External" Target="https://www.e-tar.lt/portal/lt/legalAct/TAR.0AE0464E0EDE"/>
  <Relationship Id="rId26" Type="http://schemas.openxmlformats.org/officeDocument/2006/relationships/hyperlink" TargetMode="External" Target="https://www.e-tar.lt/portal/lt/legalAct/TAR.A516DE6B7EC2"/>
  <Relationship Id="rId27" Type="http://schemas.openxmlformats.org/officeDocument/2006/relationships/hyperlink" TargetMode="External" Target="https://www.e-tar.lt/portal/lt/legalAct/TAR.82205415D430"/>
  <Relationship Id="rId28" Type="http://schemas.openxmlformats.org/officeDocument/2006/relationships/hyperlink" TargetMode="External" Target="https://www.e-tar.lt/portal/lt/legalAct/TAR.C8AC1C628C5D"/>
  <Relationship Id="rId29" Type="http://schemas.openxmlformats.org/officeDocument/2006/relationships/hyperlink" TargetMode="External" Target="https://www.e-tar.lt/portal/lt/legalAct/TAR.3F4B33788C2A"/>
  <Relationship Id="rId3" Type="http://schemas.openxmlformats.org/officeDocument/2006/relationships/footer" Target="footer1.xml"/>
  <Relationship Id="rId30" Type="http://schemas.openxmlformats.org/officeDocument/2006/relationships/hyperlink" TargetMode="External" Target="https://www.e-tar.lt/portal/lt/legalAct/TAR.F7B38B5B4295"/>
  <Relationship Id="rId31" Type="http://schemas.openxmlformats.org/officeDocument/2006/relationships/hyperlink" TargetMode="External" Target="https://www.e-tar.lt/portal/lt/legalAct/TAR.A972BA0A147F"/>
  <Relationship Id="rId32" Type="http://schemas.openxmlformats.org/officeDocument/2006/relationships/hyperlink" TargetMode="External" Target="https://www.e-tar.lt/portal/lt/legalAct/TAR.4217209995E9"/>
  <Relationship Id="rId33" Type="http://schemas.openxmlformats.org/officeDocument/2006/relationships/hyperlink" TargetMode="External" Target="https://www.e-tar.lt/portal/lt/legalAct/TAR.7A49FABF7AB8"/>
  <Relationship Id="rId34" Type="http://schemas.openxmlformats.org/officeDocument/2006/relationships/customXml" Target="../customXml/item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ff21fb4c3e64e87bac0b865d2de0ca2" PartId="1f14c2dabef1476cabc86b4c83fc1874">
    <Part Type="preambule" DocPartId="6c9f1beb23994dbd9123e370de65ad5e" PartId="c05ae6412dbb4c74af326827c7c7a783"/>
    <Part Type="punktas" Nr="1" Abbr="1 p." DocPartId="571a202887a8427b829b5a2d4fe5b99b" PartId="36dc7387edaf441f81fcbaa2d1181009"/>
    <Part Type="punktas" Nr="2" Abbr="2 p." DocPartId="53f65627a7b04af38adb93d52ba9c5a7" PartId="85fcbaeba3d84b99a80e8722cd016b39"/>
    <Part Type="signatura" DocPartId="52b178f516f045639319b40e5191d8a1" PartId="012b1313cf354bb9a6fd8443217d6325"/>
  </Part>
  <Part Type="forma" Abbr="frm." DocPartId="e35d510b22d343a6bdd254b3fccf81a9" PartId="cd7f5f0618a74f86b4bd56095f17a8c2">
    <Part Type="pabaiga" DocPartId="5b738a5ee23c420b8116872f59f1ba72" PartId="2c69298bb8044bb8ba3eea1230e8bca5"/>
  </Part>
</Parts>
</file>

<file path=customXml/itemProps1.xml><?xml version="1.0" encoding="utf-8"?>
<ds:datastoreItem xmlns:ds="http://schemas.openxmlformats.org/officeDocument/2006/customXml" ds:itemID="{5ECCA6DD-BC46-4FA5-9207-6E7B2DE5416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5</Pages>
  <Words>4935</Words>
  <Characters>2813</Characters>
  <Application>Microsoft Office Word</Application>
  <DocSecurity>0</DocSecurity>
  <Lines>23</Lines>
  <Paragraphs>15</Paragraphs>
  <ScaleCrop>false</ScaleCrop>
  <Company>Teisines informacijos centras</Company>
  <LinksUpToDate>false</LinksUpToDate>
  <CharactersWithSpaces>7733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2015-09-19T19:16:00Z</dcterms:created>
  <dc:creator>Sandra</dc:creator>
  <lastModifiedBy>DRAZDAUSKIENĖ Nijolė</lastModifiedBy>
  <dcterms:modified xsi:type="dcterms:W3CDTF">2016-03-01T09:16:00Z</dcterms:modified>
  <revision>6</revision>
  <dc:title>VALSTYBINĖS KAINŲ IR ENERGETIKOS KONTROLĖS KOMISIJOS</dc:title>
</coreProperties>
</file>