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548d384c46c443bd8902c07bbaf1cf0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5d5457d5937d4a9abda25318a8047c0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e8ef3e3ceff740789bc5ae1611558703"/>
                    <w:lock w:val="sdtLocked"/>
                    <w:richText/>
                  </w:sdtPr>
                  <w:sdtContent>
                    <w:p>
                      <w:pPr>
                        <w:spacing w:line="360" w:lineRule="auto"/>
                        <w:ind w:firstLine="720"/>
                        <w:jc w:val="both"/>
                        <w:rPr>
                          <w:bCs/>
                          <w:szCs w:val="24"/>
                        </w:rPr>
                      </w:pPr>
                      <w:sdt>
                        <w:sdtPr>
                          <w:alias w:val="Numeris"/>
                          <w:tag w:val="nr_e8ef3e3ceff740789bc5ae1611558703"/>
                          <w:lock w:val="sdtLocked"/>
                          <w:richText/>
                        </w:sdtPr>
                        <w:sdtContent>
                          <w:r>
                            <w:rPr>
                              <w:szCs w:val="24"/>
                            </w:rPr>
                            <w:t>4</w:t>
                          </w:r>
                        </w:sdtContent>
                      </w:sdt>
                      <w:r>
                        <w:rPr>
                          <w:szCs w:val="24"/>
                        </w:rPr>
                        <w:t xml:space="preserve">. </w:t>
                      </w:r>
                      <w:r>
                        <w:rPr>
                          <w:b/>
                          <w:szCs w:val="24"/>
                        </w:rPr>
                        <w:t>Europos priežiūros institucijos</w:t>
                      </w:r>
                      <w:r>
                        <w:rPr>
                          <w:szCs w:val="24"/>
                        </w:rPr>
                        <w:t xml:space="preserve"> – Europos bankininkystės institucija, įsteigta 2010 m. lapkričio 24 d. Europos Parlamento ir Tarybos reglamentu </w:t>
                      </w:r>
                      <w:hyperlink r:id="rId32" w:tgtFrame="_blank" w:history="1">
                        <w:r>
                          <w:rPr>
                            <w:color w:val="0000FF" w:themeColor="hyperlink"/>
                            <w:szCs w:val="24"/>
                            <w:u w:val="single"/>
                          </w:rPr>
                          <w:t>(ES) Nr. 1093/2010</w:t>
                        </w:r>
                      </w:hyperlink>
                      <w:r>
                        <w:rPr>
                          <w:szCs w:val="24"/>
                        </w:rPr>
                        <w:t xml:space="preserve">, kuriuo įsteigiama Europos priežiūros institucija (Europos bankininkystės institucija), iš dalies keičiamas Sprendimas </w:t>
                      </w:r>
                      <w:hyperlink r:id="rId33" w:tgtFrame="_blank" w:history="1">
                        <w:r>
                          <w:rPr>
                            <w:color w:val="0000FF" w:themeColor="hyperlink"/>
                            <w:szCs w:val="24"/>
                            <w:u w:val="single"/>
                          </w:rPr>
                          <w:t>Nr. 716/2009/EB</w:t>
                        </w:r>
                      </w:hyperlink>
                      <w:r>
                        <w:rPr>
                          <w:szCs w:val="24"/>
                        </w:rPr>
                        <w:t xml:space="preserve"> ir panaikinamas Komisijos sprendimas </w:t>
                      </w:r>
                      <w:hyperlink r:id="rId34" w:tgtFrame="_blank" w:history="1">
                        <w:r>
                          <w:rPr>
                            <w:color w:val="0000FF" w:themeColor="hyperlink"/>
                            <w:szCs w:val="24"/>
                            <w:u w:val="single"/>
                          </w:rPr>
                          <w:t>2009/78/EB</w:t>
                        </w:r>
                      </w:hyperlink>
                      <w:r>
                        <w:rPr>
                          <w:szCs w:val="24"/>
                        </w:rPr>
                        <w:t xml:space="preserve">, su visais pakeitimais, Europos draudimo ir profesinių pensijų institucija, įsteigta 2010 m. lapkričio 24 d. Europos Parlamento ir Tarybos reglamentu </w:t>
                      </w:r>
                      <w:hyperlink r:id="rId35" w:tgtFrame="_blank" w:history="1">
                        <w:r>
                          <w:rPr>
                            <w:color w:val="0000FF" w:themeColor="hyperlink"/>
                            <w:szCs w:val="24"/>
                            <w:u w:val="single"/>
                          </w:rPr>
                          <w:t>(ES) Nr. 1094/2010</w:t>
                        </w:r>
                      </w:hyperlink>
                      <w:r>
                        <w:rPr>
                          <w:szCs w:val="24"/>
                        </w:rPr>
                        <w:t xml:space="preserve">, kuriuo įsteigiama Europos priežiūros institucija (Europos draudimo ir profesinių pensijų institucija), iš dalies keičiamas Sprendimas </w:t>
                      </w:r>
                      <w:hyperlink r:id="rId36" w:tgtFrame="_blank" w:history="1">
                        <w:r>
                          <w:rPr>
                            <w:color w:val="0000FF" w:themeColor="hyperlink"/>
                            <w:szCs w:val="24"/>
                            <w:u w:val="single"/>
                          </w:rPr>
                          <w:t>Nr. 716/2009/EB</w:t>
                        </w:r>
                      </w:hyperlink>
                      <w:r>
                        <w:rPr>
                          <w:szCs w:val="24"/>
                        </w:rPr>
                        <w:t xml:space="preserve"> ir panaikinamas Komisijos sprendimas </w:t>
                      </w:r>
                      <w:hyperlink r:id="rId37" w:tgtFrame="_blank" w:history="1">
                        <w:r>
                          <w:rPr>
                            <w:color w:val="0000FF" w:themeColor="hyperlink"/>
                            <w:szCs w:val="24"/>
                            <w:u w:val="single"/>
                          </w:rPr>
                          <w:t>2009/79/EB</w:t>
                        </w:r>
                      </w:hyperlink>
                      <w:r>
                        <w:rPr>
                          <w:szCs w:val="24"/>
                        </w:rPr>
                        <w:t xml:space="preserve">, su visais pakeitimais, Europos vertybinių popierių ir rinkų institucija, įsteigta 2010 m. lapkričio 24 d. Europos Parlamento ir Tarybos reglamentu </w:t>
                      </w:r>
                      <w:hyperlink r:id="rId38" w:tgtFrame="_blank" w:history="1">
                        <w:r>
                          <w:rPr>
                            <w:color w:val="0000FF" w:themeColor="hyperlink"/>
                            <w:szCs w:val="24"/>
                            <w:u w:val="single"/>
                          </w:rPr>
                          <w:t>(ES) Nr. 1095/2010</w:t>
                        </w:r>
                      </w:hyperlink>
                      <w:r>
                        <w:rPr>
                          <w:szCs w:val="24"/>
                        </w:rPr>
                        <w:t xml:space="preserve">, kuriuo įsteigiama Europos priežiūros institucija (Europos vertybinių popierių ir rinkų institucija) ir iš dalies keičiamas Sprendimas </w:t>
                      </w:r>
                      <w:hyperlink r:id="rId39" w:tgtFrame="_blank" w:history="1">
                        <w:r>
                          <w:rPr>
                            <w:color w:val="0000FF" w:themeColor="hyperlink"/>
                            <w:szCs w:val="24"/>
                            <w:u w:val="single"/>
                          </w:rPr>
                          <w:t>Nr. 716/2009/EB</w:t>
                        </w:r>
                      </w:hyperlink>
                      <w:r>
                        <w:rPr>
                          <w:szCs w:val="24"/>
                        </w:rPr>
                        <w:t xml:space="preserve"> bei panaikinamas Komisijos sprendimas </w:t>
                      </w:r>
                      <w:hyperlink r:id="rId40" w:tgtFrame="_blank" w:history="1">
                        <w:r>
                          <w:rPr>
                            <w:color w:val="0000FF" w:themeColor="hyperlink"/>
                            <w:szCs w:val="24"/>
                            <w:u w:val="single"/>
                          </w:rPr>
                          <w:t>2009/77/EB</w:t>
                        </w:r>
                      </w:hyperlink>
                      <w:r>
                        <w:rPr>
                          <w:szCs w:val="24"/>
                        </w:rPr>
                        <w:t xml:space="preserve">, su visais pakeitimais, ir Europos Sąjungos Kovos su pinigų plovimu ir teroristų finansavimu institucija, įsteigta </w:t>
                      </w:r>
                      <w:r>
                        <w:rPr>
                          <w:szCs w:val="24"/>
                          <w:lang w:eastAsia="lt-LT"/>
                        </w:rPr>
                        <w:t xml:space="preserve">2024 m. gegužės 31 d. </w:t>
                      </w:r>
                      <w:r>
                        <w:rPr>
                          <w:szCs w:val="24"/>
                        </w:rPr>
                        <w:t xml:space="preserve">Europos Parlamento ir Tarybos reglamentu </w:t>
                      </w:r>
                      <w:hyperlink r:id="rId41"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42" w:tgtFrame="_blank" w:history="1">
                        <w:r>
                          <w:rPr>
                            <w:color w:val="0000FF" w:themeColor="hyperlink"/>
                            <w:szCs w:val="24"/>
                            <w:u w:val="single"/>
                          </w:rPr>
                          <w:t>(ES) Nr. 1093/2010</w:t>
                        </w:r>
                      </w:hyperlink>
                      <w:r>
                        <w:rPr>
                          <w:szCs w:val="24"/>
                        </w:rPr>
                        <w:t xml:space="preserve">, </w:t>
                      </w:r>
                      <w:hyperlink r:id="rId43" w:tgtFrame="_blank" w:history="1">
                        <w:r>
                          <w:rPr>
                            <w:color w:val="0000FF" w:themeColor="hyperlink"/>
                            <w:szCs w:val="24"/>
                            <w:u w:val="single"/>
                          </w:rPr>
                          <w:t>(ES) Nr. 1094/2010</w:t>
                        </w:r>
                      </w:hyperlink>
                      <w:r>
                        <w:rPr>
                          <w:szCs w:val="24"/>
                        </w:rPr>
                        <w:t xml:space="preserve"> ir </w:t>
                      </w:r>
                      <w:hyperlink r:id="rId44" w:tgtFrame="_blank" w:history="1">
                        <w:r>
                          <w:rPr>
                            <w:color w:val="0000FF" w:themeColor="hyperlink"/>
                            <w:szCs w:val="24"/>
                            <w:u w:val="single"/>
                          </w:rPr>
                          <w:t>(ES) Nr. 1095/2010</w:t>
                        </w:r>
                      </w:hyperlink>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46f0438ad74d424c9ca43a29f52030d4"/>
                    <w:lock w:val="sdtLocked"/>
                    <w:richText/>
                  </w:sdtPr>
                  <w:sdtContent>
                    <w:p>
                      <w:pPr>
                        <w:spacing w:line="360" w:lineRule="auto"/>
                        <w:ind w:firstLine="720"/>
                        <w:jc w:val="both"/>
                        <w:rPr>
                          <w:szCs w:val="24"/>
                        </w:rPr>
                      </w:pPr>
                      <w:sdt>
                        <w:sdtPr>
                          <w:alias w:val="Numeris"/>
                          <w:tag w:val="nr_46f0438ad74d424c9ca43a29f52030d4"/>
                          <w:lock w:val="sdtLocked"/>
                          <w:richText/>
                        </w:sdtPr>
                        <w:sdtContent>
                          <w:r>
                            <w:rPr>
                              <w:rFonts w:eastAsia="Calibri"/>
                              <w:szCs w:val="24"/>
                              <w:lang w:eastAsia="lt-LT"/>
                            </w:rPr>
                            <w:t>7</w:t>
                          </w:r>
                        </w:sdtContent>
                      </w:sdt>
                      <w:r>
                        <w:rPr>
                          <w:rFonts w:eastAsia="Calibri"/>
                          <w:szCs w:val="24"/>
                          <w:lang w:eastAsia="lt-LT"/>
                        </w:rPr>
                        <w:t xml:space="preserve">. </w:t>
                      </w:r>
                      <w:r>
                        <w:rPr>
                          <w:rFonts w:eastAsia="Calibri"/>
                          <w:b/>
                          <w:szCs w:val="24"/>
                          <w:lang w:eastAsia="lt-LT"/>
                        </w:rPr>
                        <w:t>Finansų įstaigos</w:t>
                      </w:r>
                      <w:r>
                        <w:rPr>
                          <w:rFonts w:eastAsia="Calibri"/>
                          <w:szCs w:val="24"/>
                          <w:lang w:eastAsia="lt-LT"/>
                        </w:rPr>
                        <w:t xml:space="preserve"> – Lietuvos Respublikos finansų įstaigų įstatyme apibrėžtos kredito įstaigos ir finansų įmonės, </w:t>
                      </w:r>
                      <w:r>
                        <w:rPr>
                          <w:kern w:val="2"/>
                          <w:szCs w:val="24"/>
                        </w:rPr>
                        <w:t>Lietuvos Respublikos nacionalinio plėtros banko įstatyme apibrėžtas</w:t>
                      </w:r>
                      <w:r>
                        <w:rPr>
                          <w:rFonts w:eastAsia="Calibri"/>
                          <w:szCs w:val="24"/>
                          <w:lang w:eastAsia="lt-LT"/>
                        </w:rPr>
                        <w:t xml:space="preserve"> nacionalinis plėtros bankas,</w:t>
                      </w:r>
                      <w:r>
                        <w:rPr>
                          <w:rFonts w:eastAsia="Calibri"/>
                          <w:bCs/>
                          <w:szCs w:val="24"/>
                          <w:lang w:eastAsia="lt-LT"/>
                        </w:rPr>
                        <w:t xml:space="preserve"> </w:t>
                      </w:r>
                      <w:r>
                        <w:rPr>
                          <w:rFonts w:eastAsia="Calibri"/>
                          <w:szCs w:val="24"/>
                          <w:lang w:eastAsia="lt-LT"/>
                        </w:rPr>
                        <w:t xml:space="preserve">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45" w:tgtFrame="_blank" w:history="1">
                        <w:r>
                          <w:rPr>
                            <w:rFonts w:eastAsia="Calibri"/>
                            <w:color w:val="0000FF" w:themeColor="hyperlink"/>
                            <w:szCs w:val="24"/>
                            <w:u w:val="single"/>
                            <w:lang w:eastAsia="lt-LT"/>
                          </w:rPr>
                          <w:t>(ES) 2020/1503</w:t>
                        </w:r>
                      </w:hyperlink>
                      <w:r>
                        <w:rPr>
                          <w:rFonts w:eastAsia="Calibri"/>
                          <w:szCs w:val="24"/>
                          <w:lang w:eastAsia="lt-LT"/>
                        </w:rPr>
                        <w:t xml:space="preserve"> dėl Europos sutelktinio finansavimo paslaugų verslui teikėjų, kuriuo iš dalies keičiamas Reglamentas </w:t>
                      </w:r>
                      <w:hyperlink r:id="rId46" w:tgtFrame="_blank" w:history="1">
                        <w:r>
                          <w:rPr>
                            <w:rFonts w:eastAsia="Calibri"/>
                            <w:color w:val="0000FF" w:themeColor="hyperlink"/>
                            <w:szCs w:val="24"/>
                            <w:u w:val="single"/>
                            <w:lang w:eastAsia="lt-LT"/>
                          </w:rPr>
                          <w:t>(ES) 2017/1129</w:t>
                        </w:r>
                      </w:hyperlink>
                      <w:r>
                        <w:rPr>
                          <w:rFonts w:eastAsia="Calibri"/>
                          <w:szCs w:val="24"/>
                          <w:lang w:eastAsia="lt-LT"/>
                        </w:rPr>
                        <w:t xml:space="preserve"> ir Direktyva </w:t>
                      </w:r>
                      <w:hyperlink r:id="rId47" w:tgtFrame="_blank" w:history="1">
                        <w:r>
                          <w:rPr>
                            <w:rFonts w:eastAsia="Calibri"/>
                            <w:color w:val="0000FF" w:themeColor="hyperlink"/>
                            <w:szCs w:val="24"/>
                            <w:u w:val="single"/>
                            <w:lang w:eastAsia="lt-LT"/>
                          </w:rPr>
                          <w:t>(ES) 2019/1937</w:t>
                        </w:r>
                      </w:hyperlink>
                      <w:r>
                        <w:rPr>
                          <w:rFonts w:eastAsia="Calibri"/>
                          <w:szCs w:val="24"/>
                          <w:lang w:eastAsia="lt-LT"/>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b75d10750911f1b53dfa020e517810">
                        <w:r w:rsidRPr="00532B9F">
                          <w:rPr>
                            <w:rFonts w:ascii="Times New Roman" w:eastAsia="MS Mincho" w:hAnsi="Times New Roman"/>
                            <w:sz w:val="20"/>
                            <w:i/>
                            <w:iCs/>
                            <w:color w:val="0000FF" w:themeColor="hyperlink"/>
                            <w:u w:val="single"/>
                          </w:rPr>
                          <w:t>XV-1039</w:t>
                        </w:r>
                      </w:fldSimple>
                      <w:r>
                        <w:rPr>
                          <w:rFonts w:ascii="Times New Roman" w:eastAsia="MS Mincho" w:hAnsi="Times New Roman"/>
                          <w:sz w:val="20"/>
                          <w:i/>
                          <w:iCs/>
                        </w:rPr>
                        <w:t>,
2026-06-18,
paskelbta TAR 2026-07-01, i. k. 2026-11354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60e69a27b2fc43b08cf873dc2899f6f8"/>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1 p."/>
                        <w:tag w:val="part_3955e27a9b1b4daba954e463dfaf3b8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55" w:tgtFrame="_blank" w:history="1">
                        <w:r>
                          <w:rPr>
                            <w:color w:val="0000FF" w:themeColor="hyperlink"/>
                            <w:szCs w:val="24"/>
                            <w:u w:val="single"/>
                          </w:rPr>
                          <w:t>(ES) 2023/1114</w:t>
                        </w:r>
                      </w:hyperlink>
                      <w:r>
                        <w:rPr>
                          <w:szCs w:val="24"/>
                        </w:rPr>
                        <w:t xml:space="preserve"> dėl kriptoturto rinkų, kuriuo iš dalies keičiami reglamentai </w:t>
                      </w:r>
                      <w:hyperlink r:id="rId56" w:tgtFrame="_blank" w:history="1">
                        <w:r>
                          <w:rPr>
                            <w:color w:val="0000FF" w:themeColor="hyperlink"/>
                            <w:szCs w:val="24"/>
                            <w:u w:val="single"/>
                          </w:rPr>
                          <w:t>(ES) Nr. 1093/2010</w:t>
                        </w:r>
                      </w:hyperlink>
                      <w:r>
                        <w:rPr>
                          <w:szCs w:val="24"/>
                        </w:rPr>
                        <w:t xml:space="preserve"> bei </w:t>
                      </w:r>
                      <w:hyperlink r:id="rId57" w:tgtFrame="_blank" w:history="1">
                        <w:r>
                          <w:rPr>
                            <w:color w:val="0000FF" w:themeColor="hyperlink"/>
                            <w:szCs w:val="24"/>
                            <w:u w:val="single"/>
                          </w:rPr>
                          <w:t>(ES) Nr. 1095/2010</w:t>
                        </w:r>
                      </w:hyperlink>
                      <w:r>
                        <w:rPr>
                          <w:szCs w:val="24"/>
                        </w:rPr>
                        <w:t xml:space="preserve"> ir direktyvos </w:t>
                      </w:r>
                      <w:hyperlink r:id="rId58" w:tgtFrame="_blank" w:history="1">
                        <w:r>
                          <w:rPr>
                            <w:color w:val="0000FF" w:themeColor="hyperlink"/>
                            <w:szCs w:val="24"/>
                            <w:u w:val="single"/>
                          </w:rPr>
                          <w:t>2013/36/ES</w:t>
                        </w:r>
                      </w:hyperlink>
                      <w:r>
                        <w:rPr>
                          <w:szCs w:val="24"/>
                        </w:rPr>
                        <w:t xml:space="preserve"> bei </w:t>
                      </w:r>
                      <w:hyperlink r:id="rId59"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60"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61"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62"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63"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64"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0a6700cc2ae549c9800eadc1c49c784d"/>
                        <w:lock w:val="sdtLocked"/>
                        <w:richText/>
                      </w:sdtPr>
                      <w:sdtContent>
                        <w:p>
                          <w:pPr>
                            <w:spacing w:line="360" w:lineRule="auto"/>
                            <w:ind w:firstLine="720"/>
                            <w:jc w:val="both"/>
                            <w:rPr>
                              <w:szCs w:val="24"/>
                            </w:rPr>
                          </w:pPr>
                          <w:sdt>
                            <w:sdtPr>
                              <w:alias w:val="Numeris"/>
                              <w:tag w:val="nr_0a6700cc2ae549c9800eadc1c49c784d"/>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ir įmonių grupių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54e578805084462c875b7f1a4f987c9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9af9aad608bb4fb39e994f1a19ccc41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1471019b70bf41e9a42b7b8e2489493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35ac680f07e442488b07487eee0cec08"/>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54ba947fe85548b7b6e5edbf42415e61"/>
                    <w:lock w:val="sdtLocked"/>
                    <w:richText/>
                  </w:sdtPr>
                  <w:sdtContent>
                    <w:p>
                      <w:pPr>
                        <w:spacing w:line="360" w:lineRule="auto"/>
                        <w:ind w:firstLine="720"/>
                        <w:jc w:val="both"/>
                        <w:rPr>
                          <w:szCs w:val="24"/>
                        </w:rPr>
                      </w:pPr>
                      <w:sdt>
                        <w:sdtPr>
                          <w:alias w:val="Numeris"/>
                          <w:tag w:val="nr_54ba947fe85548b7b6e5edbf42415e61"/>
                          <w:lock w:val="sdtLocked"/>
                          <w:richText/>
                        </w:sdtPr>
                        <w:sdtContent>
                          <w:r>
                            <w:rPr>
                              <w:szCs w:val="24"/>
                            </w:rPr>
                            <w:t>1</w:t>
                          </w:r>
                        </w:sdtContent>
                      </w:sdt>
                      <w:r>
                        <w:rPr>
                          <w:szCs w:val="24"/>
                        </w:rPr>
                        <w:t xml:space="preserve">. Lietuvos bankas nustato kredito įstaigoms, </w:t>
                      </w:r>
                      <w:r>
                        <w:rPr>
                          <w:rFonts w:eastAsia="Calibri"/>
                          <w:szCs w:val="24"/>
                          <w:lang w:eastAsia="lt-LT"/>
                        </w:rPr>
                        <w:t>nacionaliniam plėtros bankui,</w:t>
                      </w:r>
                      <w:r>
                        <w:rPr>
                          <w:szCs w:val="24"/>
                        </w:rPr>
                        <w:t xml:space="preserve">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išskyrus atvejus, kai pagal Reglamentą </w:t>
                      </w:r>
                      <w:hyperlink r:id="rId48" w:tgtFrame="_blank" w:history="1">
                        <w:r>
                          <w:rPr>
                            <w:color w:val="0000FF" w:themeColor="hyperlink"/>
                            <w:szCs w:val="24"/>
                            <w:u w:val="single"/>
                          </w:rPr>
                          <w:t>(ES) 2024/1620</w:t>
                        </w:r>
                      </w:hyperlink>
                      <w:r>
                        <w:rPr>
                          <w:szCs w:val="24"/>
                        </w:rPr>
                        <w:t xml:space="preserve"> priežiūrą atlieka Europos Sąjungos Kovos su pinigų plovimu ir teroristų finansavimu institucija (toliau – Kovos su pinigų plovimu ir teroristų finansavimu institucija), konsultuoja šiuos subjektus šioje dalyje nurodytų nurodymų įgyvendinimo klausimais. Kriptoturto paslaugų teikėjams skirti nurodymai nustatomi suderinus su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b75d10750911f1b53dfa020e517810">
                        <w:r w:rsidRPr="00532B9F">
                          <w:rPr>
                            <w:rFonts w:ascii="Times New Roman" w:eastAsia="MS Mincho" w:hAnsi="Times New Roman"/>
                            <w:sz w:val="20"/>
                            <w:i/>
                            <w:iCs/>
                            <w:color w:val="0000FF" w:themeColor="hyperlink"/>
                            <w:u w:val="single"/>
                          </w:rPr>
                          <w:t>XV-1039</w:t>
                        </w:r>
                      </w:fldSimple>
                      <w:r>
                        <w:rPr>
                          <w:rFonts w:ascii="Times New Roman" w:eastAsia="MS Mincho" w:hAnsi="Times New Roman"/>
                          <w:sz w:val="20"/>
                          <w:i/>
                          <w:iCs/>
                        </w:rPr>
                        <w:t>,
2026-06-18,
paskelbta TAR 2026-07-01, i. k. 2026-11354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72a694750aac4e829394febbbeec8a2d"/>
                    <w:lock w:val="sdtLocked"/>
                    <w:richText/>
                  </w:sdtPr>
                  <w:sdtContent>
                    <w:p>
                      <w:pPr>
                        <w:spacing w:line="360" w:lineRule="auto"/>
                        <w:ind w:firstLine="720"/>
                        <w:jc w:val="both"/>
                        <w:rPr>
                          <w:bCs/>
                          <w:szCs w:val="24"/>
                        </w:rPr>
                      </w:pPr>
                      <w:sdt>
                        <w:sdtPr>
                          <w:alias w:val="Numeris"/>
                          <w:tag w:val="nr_72a694750aac4e829394febbbeec8a2d"/>
                          <w:lock w:val="sdtLocked"/>
                          <w:richText/>
                        </w:sdtPr>
                        <w:sdtContent>
                          <w:r>
                            <w:rPr>
                              <w:szCs w:val="24"/>
                            </w:rPr>
                            <w:t>9</w:t>
                          </w:r>
                        </w:sdtContent>
                      </w:sdt>
                      <w:r>
                        <w:rPr>
                          <w:szCs w:val="24"/>
                        </w:rPr>
                        <w:t xml:space="preserve">. Finansinių nusikaltimų tyrimo tarnyba </w:t>
                      </w:r>
                      <w:r>
                        <w:rPr>
                          <w:bCs/>
                          <w:szCs w:val="24"/>
                        </w:rPr>
                        <w:t xml:space="preserve">nustato </w:t>
                      </w:r>
                      <w:r>
                        <w:rPr>
                          <w:szCs w:val="24"/>
                        </w:rPr>
                        <w:t>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10 d."/>
                    <w:tag w:val="part_e945e755c0da4399969a6f43dbaa707b"/>
                    <w:lock w:val="sdtLocked"/>
                    <w:richText/>
                  </w:sdtPr>
                  <w:sdtContent>
                    <w:p>
                      <w:pPr>
                        <w:spacing w:line="360" w:lineRule="auto"/>
                        <w:ind w:firstLine="720"/>
                        <w:jc w:val="both"/>
                        <w:rPr>
                          <w:bCs/>
                          <w:szCs w:val="24"/>
                        </w:rPr>
                      </w:pPr>
                      <w:sdt>
                        <w:sdtPr>
                          <w:alias w:val="Numeris"/>
                          <w:tag w:val="nr_e945e755c0da4399969a6f43dbaa707b"/>
                          <w:lock w:val="sdtLocked"/>
                          <w:richText/>
                        </w:sdtPr>
                        <w:sdtContent>
                          <w:r>
                            <w:rPr>
                              <w:szCs w:val="24"/>
                            </w:rPr>
                            <w:t>10</w:t>
                          </w:r>
                        </w:sdtContent>
                      </w:sdt>
                      <w:r>
                        <w:rPr>
                          <w:szCs w:val="24"/>
                        </w:rPr>
                        <w:t>. Šio straipsnio 1–8 dalyse nurodytos institucijos, išskyrus Kovos su pinigų plovimu ir teroristų finansavimu instituciją, privalo paskirti vadovaujančius darbuotojus, kurie organizuotų šiame įstatyme nustatytų pinigų plovimo ir (ar) teroristų finansavimo prevencijos priemonių įgyvendinimą ir palaikytų ryšius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6 d."/>
                    <w:tag w:val="part_cc3a04bf9d0449cfa1d9f5b825e109ba"/>
                    <w:lock w:val="sdtLocked"/>
                    <w:richText/>
                  </w:sdtPr>
                  <w:sdtContent>
                    <w:p>
                      <w:pPr>
                        <w:spacing w:line="360" w:lineRule="auto"/>
                        <w:ind w:firstLine="720"/>
                        <w:jc w:val="both"/>
                        <w:rPr>
                          <w:b/>
                          <w:bCs/>
                          <w:szCs w:val="24"/>
                        </w:rPr>
                      </w:pPr>
                      <w:sdt>
                        <w:sdtPr>
                          <w:alias w:val="Numeris"/>
                          <w:tag w:val="nr_cc3a04bf9d0449cfa1d9f5b825e109ba"/>
                          <w:lock w:val="sdtLocked"/>
                          <w:richText/>
                        </w:sdtPr>
                        <w:sdtContent>
                          <w:r>
                            <w:rPr>
                              <w:szCs w:val="24"/>
                            </w:rPr>
                            <w:t>16</w:t>
                          </w:r>
                        </w:sdtContent>
                      </w:sdt>
                      <w:r>
                        <w:rPr>
                          <w:szCs w:val="24"/>
                        </w:rPr>
                        <w:t>. Šio straipsnio 1–9 dalyse nurodytos institucijos, išskyrus Kovos su pinigų plovimu ir teroristų finansavimu instituciją, privalo įdiegti informaciją teikiančio asmens konfidencialumą užtikrinančias priemones, kuriomis naudodamiesi asmenys saugiais kanalais praneštų nurodytoms institucijoms apie šio įstatymo pažeidimus.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8a56b175d7542d5b3b2b66f9b50fcfe"/>
                        <w:lock w:val="sdtLocked"/>
                        <w:richText/>
                      </w:sdtPr>
                      <w:sdtContent>
                        <w:p>
                          <w:pPr>
                            <w:spacing w:line="360" w:lineRule="auto"/>
                            <w:ind w:firstLine="720"/>
                            <w:jc w:val="both"/>
                          </w:pPr>
                          <w:sdt>
                            <w:sdtPr>
                              <w:alias w:val="Numeris"/>
                              <w:tag w:val="nr_f8a56b175d7542d5b3b2b66f9b50fcfe"/>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11 p."/>
                        <w:tag w:val="part_621510f77a594a9aacc09ca36659887e"/>
                        <w:lock w:val="sdtLocked"/>
                        <w:richText/>
                      </w:sdtPr>
                      <w:sdtContent>
                        <w:p>
                          <w:pPr>
                            <w:spacing w:line="360" w:lineRule="auto"/>
                            <w:ind w:firstLine="720"/>
                            <w:jc w:val="both"/>
                            <w:rPr>
                              <w:szCs w:val="24"/>
                            </w:rPr>
                          </w:pPr>
                          <w:sdt>
                            <w:sdtPr>
                              <w:alias w:val="Numeris"/>
                              <w:tag w:val="nr_621510f77a594a9aacc09ca36659887e"/>
                              <w:lock w:val="sdtLocked"/>
                              <w:richText/>
                            </w:sdtPr>
                            <w:sdtContent>
                              <w:r>
                                <w:rPr>
                                  <w:szCs w:val="24"/>
                                  <w:lang w:eastAsia="lt-LT"/>
                                </w:rPr>
                                <w:t>11</w:t>
                              </w:r>
                            </w:sdtContent>
                          </w:sdt>
                          <w:r>
                            <w:rPr>
                              <w:szCs w:val="24"/>
                              <w:lang w:eastAsia="lt-LT"/>
                            </w:rPr>
                            <w:t xml:space="preserve">) pagal Reglamentą </w:t>
                          </w:r>
                          <w:hyperlink r:id="rId73" w:tgtFrame="_blank" w:history="1">
                            <w:r>
                              <w:rPr>
                                <w:color w:val="0000FF" w:themeColor="hyperlink"/>
                                <w:szCs w:val="24"/>
                                <w:u w:val="single"/>
                                <w:lang w:eastAsia="lt-LT"/>
                              </w:rPr>
                              <w:t>(ES) 2024/1620</w:t>
                            </w:r>
                          </w:hyperlink>
                          <w:r>
                            <w:rPr>
                              <w:szCs w:val="24"/>
                              <w:lang w:eastAsia="lt-LT"/>
                            </w:rPr>
                            <w:t xml:space="preserve"> bendradarbiauja su </w:t>
                          </w:r>
                          <w:r>
                            <w:rPr>
                              <w:szCs w:val="24"/>
                            </w:rPr>
                            <w:t xml:space="preserve">Kovos su pinigų plovimu ir teroristų finansavimu institucija </w:t>
                          </w:r>
                          <w:r>
                            <w:rPr>
                              <w:szCs w:val="24"/>
                              <w:lang w:eastAsia="lt-LT"/>
                            </w:rPr>
                            <w:t>ir teikia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e9534217a82f4ebe8ef1c0b661ad9d5e"/>
                        <w:lock w:val="sdtLocked"/>
                        <w:richText/>
                      </w:sdtPr>
                      <w:sdtContent>
                        <w:p>
                          <w:pPr>
                            <w:widowControl w:val="0"/>
                            <w:spacing w:line="360" w:lineRule="auto"/>
                            <w:ind w:firstLine="720"/>
                            <w:jc w:val="both"/>
                            <w:rPr>
                              <w:szCs w:val="24"/>
                            </w:rPr>
                          </w:pPr>
                          <w:sdt>
                            <w:sdtPr>
                              <w:alias w:val="Numeris"/>
                              <w:tag w:val="nr_e9534217a82f4ebe8ef1c0b661ad9d5e"/>
                              <w:lock w:val="sdtLocked"/>
                              <w:richText/>
                            </w:sdtPr>
                            <w:sdtContent>
                              <w:r>
                                <w:rPr>
                                  <w:szCs w:val="24"/>
                                </w:rPr>
                                <w:t>1</w:t>
                              </w:r>
                            </w:sdtContent>
                          </w:sdt>
                          <w:r>
                            <w:rPr>
                              <w:szCs w:val="24"/>
                            </w:rPr>
                            <w:t>) neatlygintinai gauti iš šio įstatymo 4 straipsnio 1 dalyje nurodytų institucijų, išskyrus Kovos su pinigų plovimu ir teroristų finansavimu instituciją,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54275ee45e94455db13b4429062f4529"/>
                        <w:lock w:val="sdtLocked"/>
                        <w:richText/>
                      </w:sdtPr>
                      <w:sdtContent>
                        <w:p>
                          <w:pPr>
                            <w:widowControl w:val="0"/>
                            <w:spacing w:line="360" w:lineRule="auto"/>
                            <w:ind w:firstLine="720"/>
                            <w:jc w:val="both"/>
                            <w:rPr>
                              <w:bCs/>
                              <w:szCs w:val="24"/>
                            </w:rPr>
                          </w:pPr>
                          <w:sdt>
                            <w:sdtPr>
                              <w:alias w:val="Numeris"/>
                              <w:tag w:val="nr_54275ee45e94455db13b4429062f4529"/>
                              <w:lock w:val="sdtLocked"/>
                              <w:richText/>
                            </w:sdtPr>
                            <w:sdtContent>
                              <w:r>
                                <w:rPr>
                                  <w:szCs w:val="24"/>
                                  <w:lang w:eastAsia="lt-LT"/>
                                </w:rPr>
                                <w:t>1</w:t>
                              </w:r>
                            </w:sdtContent>
                          </w:sdt>
                          <w:r>
                            <w:rPr>
                              <w:szCs w:val="24"/>
                              <w:lang w:eastAsia="lt-LT"/>
                            </w:rPr>
                            <w:t>) gauti iš šio įstatymo 4 straipsnio 1–8 dalyse nurodytų institucijų</w:t>
                          </w:r>
                          <w:r>
                            <w:rPr>
                              <w:szCs w:val="24"/>
                            </w:rPr>
                            <w:t>, išskyrus Kovos su pinigų plovimu ir teroristų finansavimu instituciją</w:t>
                          </w:r>
                          <w:r>
                            <w:rPr>
                              <w:szCs w:val="24"/>
                              <w:lang w:eastAsia="lt-LT"/>
                            </w:rPr>
                            <w:t>,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c2102a37f4ac477aa275c98d34995eff"/>
                <w:lock w:val="sdtLocked"/>
                <w:richText/>
              </w:sdtPr>
              <w:sdtContent>
                <w:p>
                  <w:pPr>
                    <w:spacing w:line="400" w:lineRule="atLeast"/>
                    <w:ind w:left="2268" w:hanging="1548"/>
                    <w:jc w:val="both"/>
                    <w:rPr>
                      <w:szCs w:val="24"/>
                    </w:rPr>
                  </w:pPr>
                  <w:sdt>
                    <w:sdtPr>
                      <w:alias w:val="Numeris"/>
                      <w:tag w:val="nr_c2102a37f4ac477aa275c98d34995eff"/>
                      <w:lock w:val="sdtLocked"/>
                      <w:richText/>
                    </w:sdtPr>
                    <w:sdtContent>
                      <w:r>
                        <w:rPr>
                          <w:b/>
                          <w:szCs w:val="24"/>
                        </w:rPr>
                        <w:t>8</w:t>
                      </w:r>
                    </w:sdtContent>
                  </w:sdt>
                  <w:r>
                    <w:rPr>
                      <w:b/>
                      <w:szCs w:val="24"/>
                    </w:rPr>
                    <w:t xml:space="preserve"> straipsnis. </w:t>
                  </w:r>
                  <w:sdt>
                    <w:sdtPr>
                      <w:alias w:val="Pavadinimas"/>
                      <w:tag w:val="title_c2102a37f4ac477aa275c98d34995eff"/>
                      <w:lock w:val="sdtLocked"/>
                      <w:richText/>
                    </w:sdtPr>
                    <w:sdtContent>
                      <w:r>
                        <w:rPr>
                          <w:b/>
                          <w:szCs w:val="24"/>
                        </w:rPr>
                        <w:t xml:space="preserve">Valstybės institucijų bendradarbiavimas bei valstybės institucijų, užsienio valstybių ir Europos Sąjungos institucijų bendradarbiavimas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11726f4109b6401cbbbe2a42a08b7d2a"/>
                    <w:lock w:val="sdtLocked"/>
                    <w:richText/>
                  </w:sdtPr>
                  <w:sdtContent>
                    <w:p>
                      <w:pPr>
                        <w:widowControl w:val="0"/>
                        <w:spacing w:line="360" w:lineRule="auto"/>
                        <w:ind w:firstLine="720"/>
                        <w:jc w:val="both"/>
                        <w:rPr>
                          <w:szCs w:val="24"/>
                        </w:rPr>
                      </w:pPr>
                      <w:sdt>
                        <w:sdtPr>
                          <w:alias w:val="Numeris"/>
                          <w:tag w:val="nr_11726f4109b6401cbbbe2a42a08b7d2a"/>
                          <w:lock w:val="sdtLocked"/>
                          <w:richText/>
                        </w:sdtPr>
                        <w:sdtContent>
                          <w:r>
                            <w:rPr>
                              <w:bCs/>
                              <w:szCs w:val="24"/>
                            </w:rPr>
                            <w:t>2</w:t>
                          </w:r>
                        </w:sdtContent>
                      </w:sdt>
                      <w:r>
                        <w:rPr>
                          <w:bCs/>
                          <w:szCs w:val="24"/>
                        </w:rPr>
                        <w:t xml:space="preserve">. Šio įstatymo 4 straipsnio 1–8 dalyse nurodytos institucijos bendradarbiauja ir keičiasi informacija su užsienio valstybių ir Europos Sąjungos institucijomis, įgyvendinančiomis pinigų plovimo ir (ar) teroristų finansavimo prevencijos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49"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c17811996f2d4127abca1f632ae4cf5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822f5ccffc964ad6a81e4cce43b7770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dba0466f3ea243e1a4740c70e8d5e55c"/>
                    <w:lock w:val="sdtLocked"/>
                    <w:richText/>
                  </w:sdtPr>
                  <w:sdtContent>
                    <w:p>
                      <w:pPr>
                        <w:widowControl w:val="0"/>
                        <w:spacing w:line="360" w:lineRule="auto"/>
                        <w:ind w:firstLine="720"/>
                        <w:jc w:val="both"/>
                        <w:rPr>
                          <w:szCs w:val="24"/>
                        </w:rPr>
                      </w:pPr>
                      <w:sdt>
                        <w:sdtPr>
                          <w:alias w:val="Numeris"/>
                          <w:tag w:val="nr_dba0466f3ea243e1a4740c70e8d5e55c"/>
                          <w:lock w:val="sdtLocked"/>
                          <w:richText/>
                        </w:sdtPr>
                        <w:sdtContent>
                          <w:r>
                            <w:rPr>
                              <w:szCs w:val="24"/>
                              <w:lang w:eastAsia="lt-LT"/>
                            </w:rPr>
                            <w:t>13</w:t>
                          </w:r>
                        </w:sdtContent>
                      </w:sdt>
                      <w:r>
                        <w:rPr>
                          <w:szCs w:val="24"/>
                          <w:lang w:eastAsia="lt-LT"/>
                        </w:rPr>
                        <w:t>. Finansų įstaigos ir kiti įpareigotieji subjektai kliento ir naudos gavėjo tapatybės nustatymo metu imasi pagrįstų priemonių, kad suprastų kliento, kuris yra juridinis asmuo, nuosavybės ir kontrolės struktūrą ir veiklos pobūdį.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74fa99437873427383fa7d6cfadefe01"/>
                    <w:lock w:val="sdtLocked"/>
                    <w:richText/>
                  </w:sdtPr>
                  <w:sdtContent>
                    <w:p>
                      <w:pPr>
                        <w:spacing w:line="360" w:lineRule="auto"/>
                        <w:ind w:firstLine="720"/>
                        <w:jc w:val="both"/>
                        <w:rPr>
                          <w:szCs w:val="24"/>
                        </w:rPr>
                      </w:pPr>
                      <w:sdt>
                        <w:sdtPr>
                          <w:alias w:val="Numeris"/>
                          <w:tag w:val="nr_74fa99437873427383fa7d6cfadefe01"/>
                          <w:lock w:val="sdtLocked"/>
                          <w:richText/>
                        </w:sdtPr>
                        <w:sdtContent>
                          <w:r>
                            <w:rPr>
                              <w:szCs w:val="24"/>
                            </w:rPr>
                            <w:t>21</w:t>
                          </w:r>
                          <w:r>
                            <w:rPr>
                              <w:szCs w:val="24"/>
                              <w:vertAlign w:val="superscript"/>
                            </w:rPr>
                            <w:t>1</w:t>
                          </w:r>
                        </w:sdtContent>
                      </w:sdt>
                      <w:r>
                        <w:rPr>
                          <w:szCs w:val="24"/>
                        </w:rPr>
                        <w:t xml:space="preserve">. </w:t>
                      </w:r>
                      <w:r>
                        <w:rPr>
                          <w:bCs/>
                          <w:szCs w:val="24"/>
                        </w:rPr>
                        <w:t xml:space="preserve">Kriptoturto </w:t>
                      </w:r>
                      <w:r>
                        <w:rPr>
                          <w:szCs w:val="24"/>
                        </w:rPr>
                        <w:t>paslaugų teikėjui draudžiama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838a03d6285a4bcb9418b588b4a74e8d"/>
                    <w:lock w:val="sdtLocked"/>
                    <w:richText/>
                  </w:sdtPr>
                  <w:sdtContent>
                    <w:p>
                      <w:pPr>
                        <w:widowControl w:val="0"/>
                        <w:spacing w:line="360" w:lineRule="auto"/>
                        <w:ind w:firstLine="720"/>
                        <w:jc w:val="both"/>
                        <w:rPr>
                          <w:szCs w:val="24"/>
                          <w:lang w:eastAsia="lt-LT"/>
                        </w:rPr>
                      </w:pPr>
                      <w:sdt>
                        <w:sdtPr>
                          <w:alias w:val="Numeris"/>
                          <w:tag w:val="nr_838a03d6285a4bcb9418b588b4a74e8d"/>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iš Lietuvos Respublikos ir (ar) kitų valstybių informacinių sistemų ar registrų, o tais atvejais, kai Europos Sąjungos valstybėje narėje atitinkami dokumentai, duomenys ar informacija nėra kaupiami valstybės informacinėse sistemose ar registruose, – ir iš kitų patikimų ir nepriklausomų duomenų bazių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arba kitų patikimų ir nepriklausomų duomenų bazių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Cs/>
                          <w:szCs w:val="24"/>
                        </w:rPr>
                        <w:t xml:space="preserve"> </w:t>
                      </w:r>
                      <w:r>
                        <w:rPr>
                          <w:szCs w:val="24"/>
                        </w:rPr>
                        <w:t>ir (ar) kitų Europos Sąjungos valstybių narių informacinių sistemų ir (ar) registrų, o tais atvejais, kai Europos Sąjungos valstybėje narėje atitinkami dokumentai, duomenys ar informacija nėra kaupiami valstybės informacinėse sistemose ar registruose, – ir iš kitų patikimų ir nepriklausomų duomenų bazių ar registrų.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0 str. 5 d."/>
                    <w:tag w:val="part_dbff1c85bc0e4f3cbff26a32a9ce0712"/>
                    <w:lock w:val="sdtLocked"/>
                    <w:richText/>
                  </w:sdtPr>
                  <w:sdtContent>
                    <w:p>
                      <w:pPr>
                        <w:widowControl w:val="0"/>
                        <w:spacing w:line="360" w:lineRule="auto"/>
                        <w:ind w:firstLine="720"/>
                        <w:jc w:val="both"/>
                        <w:rPr>
                          <w:szCs w:val="24"/>
                        </w:rPr>
                      </w:pPr>
                      <w:sdt>
                        <w:sdtPr>
                          <w:alias w:val="Numeris"/>
                          <w:tag w:val="nr_dbff1c85bc0e4f3cbff26a32a9ce0712"/>
                          <w:lock w:val="sdtLocked"/>
                          <w:richText/>
                        </w:sdtPr>
                        <w:sdtContent>
                          <w:r>
                            <w:rPr>
                              <w:szCs w:val="24"/>
                              <w:lang w:eastAsia="lt-LT"/>
                            </w:rPr>
                            <w:t>5</w:t>
                          </w:r>
                        </w:sdtContent>
                      </w:sdt>
                      <w:r>
                        <w:rPr>
                          <w:szCs w:val="24"/>
                          <w:lang w:eastAsia="lt-LT"/>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w:t>
                      </w:r>
                      <w:r>
                        <w:rPr>
                          <w:bCs/>
                          <w:szCs w:val="24"/>
                          <w:lang w:eastAsia="lt-LT"/>
                        </w:rPr>
                        <w:t>)</w:t>
                      </w:r>
                      <w:r>
                        <w:rPr>
                          <w:szCs w:val="24"/>
                          <w:lang w:eastAsia="lt-LT"/>
                        </w:rPr>
                        <w:t>. Užsienyje išduotas įgaliojimas turi būti legalizuotas arba patvirtintas dokumentų tvirtinimo pažyma (</w:t>
                      </w:r>
                      <w:r>
                        <w:rPr>
                          <w:i/>
                          <w:iCs/>
                          <w:szCs w:val="24"/>
                          <w:lang w:eastAsia="lt-LT"/>
                        </w:rPr>
                        <w:t>apostille</w:t>
                      </w:r>
                      <w:r>
                        <w:rPr>
                          <w:szCs w:val="24"/>
                          <w:lang w:eastAsia="lt-LT"/>
                        </w:rPr>
                        <w:t>), išskyrus įgaliojimus, išduotus Europos Sąjungos valstybėse narėse.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65"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66"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67"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68"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b533c090bebc43b3a1fcc60f55fb8a38"/>
                <w:lock w:val="sdtLocked"/>
                <w:richText/>
              </w:sdtPr>
              <w:sdtContent>
                <w:p>
                  <w:pPr>
                    <w:widowControl w:val="0"/>
                    <w:spacing w:line="360" w:lineRule="auto"/>
                    <w:ind w:firstLine="720"/>
                    <w:jc w:val="both"/>
                    <w:rPr>
                      <w:szCs w:val="24"/>
                    </w:rPr>
                  </w:pPr>
                  <w:sdt>
                    <w:sdtPr>
                      <w:alias w:val="Numeris"/>
                      <w:tag w:val="nr_b533c090bebc43b3a1fcc60f55fb8a38"/>
                      <w:lock w:val="sdtLocked"/>
                      <w:richText/>
                    </w:sdtPr>
                    <w:sdtContent>
                      <w:r>
                        <w:rPr>
                          <w:b/>
                          <w:bCs/>
                          <w:szCs w:val="24"/>
                        </w:rPr>
                        <w:t>15</w:t>
                      </w:r>
                    </w:sdtContent>
                  </w:sdt>
                  <w:r>
                    <w:rPr>
                      <w:b/>
                      <w:bCs/>
                      <w:szCs w:val="24"/>
                    </w:rPr>
                    <w:t xml:space="preserve"> straipsnis. </w:t>
                  </w:r>
                  <w:sdt>
                    <w:sdtPr>
                      <w:alias w:val="Pavadinimas"/>
                      <w:tag w:val="title_b533c090bebc43b3a1fcc60f55fb8a38"/>
                      <w:lock w:val="sdtLocked"/>
                      <w:richText/>
                    </w:sdtPr>
                    <w:sdtContent>
                      <w:r>
                        <w:rPr>
                          <w:b/>
                          <w:bCs/>
                          <w:szCs w:val="24"/>
                        </w:rPr>
                        <w:t>Supaprastintas kliento tapatybės nustatymas</w:t>
                      </w:r>
                    </w:sdtContent>
                  </w:sdt>
                </w:p>
                <w:sdt>
                  <w:sdtPr>
                    <w:alias w:val="15 str. 1 d."/>
                    <w:tag w:val="part_9e6762b9527945fca57bcad491050657"/>
                    <w:lock w:val="sdtLocked"/>
                    <w:richText/>
                  </w:sdtPr>
                  <w:sdtContent>
                    <w:p>
                      <w:pPr>
                        <w:widowControl w:val="0"/>
                        <w:spacing w:line="360" w:lineRule="auto"/>
                        <w:ind w:firstLine="720"/>
                        <w:jc w:val="both"/>
                        <w:rPr>
                          <w:szCs w:val="24"/>
                        </w:rPr>
                      </w:pPr>
                      <w:sdt>
                        <w:sdtPr>
                          <w:alias w:val="Numeris"/>
                          <w:tag w:val="nr_9e6762b9527945fca57bcad491050657"/>
                          <w:lock w:val="sdtLocked"/>
                          <w:richText/>
                        </w:sdtPr>
                        <w:sdtContent>
                          <w:r>
                            <w:rPr>
                              <w:szCs w:val="24"/>
                            </w:rPr>
                            <w:t>1</w:t>
                          </w:r>
                        </w:sdtContent>
                      </w:sdt>
                      <w:r>
                        <w:rPr>
                          <w:szCs w:val="24"/>
                        </w:rPr>
                        <w:t>. Tais atvejais, kai pagal finansų įstaigų nustatytas rizikos vertinimo ir valdymo procedūras nustatoma maža pinigų plovimo ir (ar) teroristų finansavimo rizika, finansų įstaiga gali taikyti supaprastinto kliento tapatybės nustatymo priemones. Vertindamos, ar dalykiniai santykiai arba sandoris kelia mažą pinigų plovimo ir teroristų finansavimo riziką, finansų įstaigos atsižvelgia į toliau pateikiamus galimai mažesnės rizikos veiksnius:</w:t>
                      </w:r>
                    </w:p>
                    <w:sdt>
                      <w:sdtPr>
                        <w:alias w:val="15 str. 1 d. 1 p."/>
                        <w:tag w:val="part_31b1b42e33ed485ea1ebb44b78eb0d35"/>
                        <w:lock w:val="sdtLocked"/>
                        <w:richText/>
                      </w:sdtPr>
                      <w:sdtContent>
                        <w:p>
                          <w:pPr>
                            <w:widowControl w:val="0"/>
                            <w:spacing w:line="360" w:lineRule="auto"/>
                            <w:ind w:firstLine="720"/>
                            <w:jc w:val="both"/>
                            <w:rPr>
                              <w:szCs w:val="24"/>
                            </w:rPr>
                          </w:pPr>
                          <w:sdt>
                            <w:sdtPr>
                              <w:alias w:val="Numeris"/>
                              <w:tag w:val="nr_31b1b42e33ed485ea1ebb44b78eb0d35"/>
                              <w:lock w:val="sdtLocked"/>
                              <w:richText/>
                            </w:sdtPr>
                            <w:sdtContent>
                              <w:r>
                                <w:rPr>
                                  <w:szCs w:val="24"/>
                                </w:rPr>
                                <w:t>1</w:t>
                              </w:r>
                            </w:sdtContent>
                          </w:sdt>
                          <w:r>
                            <w:rPr>
                              <w:szCs w:val="24"/>
                            </w:rPr>
                            <w:t>) su klientu susijusios rizikos veiksniai:</w:t>
                          </w:r>
                        </w:p>
                        <w:sdt>
                          <w:sdtPr>
                            <w:alias w:val="15 str. 1 d. 1 p. a pp."/>
                            <w:tag w:val="part_286cb0a343134c7abe069412c6e3e611"/>
                            <w:lock w:val="sdtLocked"/>
                            <w:richText/>
                          </w:sdtPr>
                          <w:sdtContent>
                            <w:p>
                              <w:pPr>
                                <w:widowControl w:val="0"/>
                                <w:spacing w:line="360" w:lineRule="auto"/>
                                <w:ind w:firstLine="720"/>
                                <w:jc w:val="both"/>
                                <w:rPr>
                                  <w:szCs w:val="24"/>
                                </w:rPr>
                              </w:pPr>
                              <w:sdt>
                                <w:sdtPr>
                                  <w:alias w:val="Numeris"/>
                                  <w:tag w:val="nr_286cb0a343134c7abe069412c6e3e611"/>
                                  <w:lock w:val="sdtLocked"/>
                                  <w:richText/>
                                </w:sdtPr>
                                <w:sdtContent>
                                  <w:r>
                                    <w:rPr>
                                      <w:szCs w:val="24"/>
                                    </w:rPr>
                                    <w:t>a</w:t>
                                  </w:r>
                                </w:sdtContent>
                              </w:sdt>
                              <w:r>
                                <w:rPr>
                                  <w:szCs w:val="24"/>
                                </w:rPr>
                                <w:t>) bendrovės, kurių vertybiniais popieriais leista prekiauti vienos ar kelių Europos Sąjungos valstybių narių reguliuojamose rinkose, ir kitos užsienio valstybių bendrovės, kurių vertybiniais popieriais prekiaujama reguliuojamoje rinkoje ir kurioms yra taikomi Europos Sąjungos teisės aktus atitinkantys reikalavimai atskleisti informaciją apie savo veiklą;</w:t>
                              </w:r>
                            </w:p>
                          </w:sdtContent>
                        </w:sdt>
                        <w:sdt>
                          <w:sdtPr>
                            <w:alias w:val="15 str. 1 d. 1 p. b pp."/>
                            <w:tag w:val="part_bdb8946228584ef0a07e89cad09f7ac7"/>
                            <w:lock w:val="sdtLocked"/>
                            <w:richText/>
                          </w:sdtPr>
                          <w:sdtContent>
                            <w:p>
                              <w:pPr>
                                <w:widowControl w:val="0"/>
                                <w:spacing w:line="360" w:lineRule="auto"/>
                                <w:ind w:firstLine="720"/>
                                <w:jc w:val="both"/>
                                <w:rPr>
                                  <w:szCs w:val="24"/>
                                </w:rPr>
                              </w:pPr>
                              <w:sdt>
                                <w:sdtPr>
                                  <w:alias w:val="Numeris"/>
                                  <w:tag w:val="nr_bdb8946228584ef0a07e89cad09f7ac7"/>
                                  <w:lock w:val="sdtLocked"/>
                                  <w:richText/>
                                </w:sdtPr>
                                <w:sdtContent>
                                  <w:r>
                                    <w:rPr>
                                      <w:szCs w:val="24"/>
                                    </w:rPr>
                                    <w:t>b</w:t>
                                  </w:r>
                                </w:sdtContent>
                              </w:sdt>
                              <w:r>
                                <w:rPr>
                                  <w:szCs w:val="24"/>
                                </w:rPr>
                                <w:t>) valstybės ir savivaldybių institucijos ir įstaigos, kaip jos apibrėžtos Lietuvos Respublikos valstybės tarnybos įstatyme, Lietuvos bankas;</w:t>
                              </w:r>
                            </w:p>
                          </w:sdtContent>
                        </w:sdt>
                        <w:sdt>
                          <w:sdtPr>
                            <w:alias w:val="15 str. 1 d. 1 p. c pp."/>
                            <w:tag w:val="part_f3e52e77be4445aaae4b8fed81f40336"/>
                            <w:lock w:val="sdtLocked"/>
                            <w:richText/>
                          </w:sdtPr>
                          <w:sdtContent>
                            <w:p>
                              <w:pPr>
                                <w:widowControl w:val="0"/>
                                <w:spacing w:line="360" w:lineRule="auto"/>
                                <w:ind w:firstLine="720"/>
                                <w:jc w:val="both"/>
                                <w:rPr>
                                  <w:szCs w:val="24"/>
                                </w:rPr>
                              </w:pPr>
                              <w:sdt>
                                <w:sdtPr>
                                  <w:alias w:val="Numeris"/>
                                  <w:tag w:val="nr_f3e52e77be4445aaae4b8fed81f40336"/>
                                  <w:lock w:val="sdtLocked"/>
                                  <w:richText/>
                                </w:sdtPr>
                                <w:sdtContent>
                                  <w:r>
                                    <w:rPr>
                                      <w:szCs w:val="24"/>
                                    </w:rPr>
                                    <w:t>c</w:t>
                                  </w:r>
                                </w:sdtContent>
                              </w:sdt>
                              <w:r>
                                <w:rPr>
                                  <w:szCs w:val="24"/>
                                </w:rPr>
                                <w:t>) klientai, kurie reziduoja mažesnės rizikos geografinėse teritorijose, kaip nustatyta šio straipsnio 1 dalies 3 punkte;</w:t>
                              </w:r>
                            </w:p>
                          </w:sdtContent>
                        </w:sdt>
                      </w:sdtContent>
                    </w:sdt>
                    <w:sdt>
                      <w:sdtPr>
                        <w:alias w:val="15 str. 1 d. 2 p."/>
                        <w:tag w:val="part_a6bb23db7f9e4a9986d96935d6681e96"/>
                        <w:lock w:val="sdtLocked"/>
                        <w:richText/>
                      </w:sdtPr>
                      <w:sdtContent>
                        <w:p>
                          <w:pPr>
                            <w:widowControl w:val="0"/>
                            <w:spacing w:line="360" w:lineRule="auto"/>
                            <w:ind w:firstLine="720"/>
                            <w:jc w:val="both"/>
                            <w:rPr>
                              <w:szCs w:val="24"/>
                            </w:rPr>
                          </w:pPr>
                          <w:sdt>
                            <w:sdtPr>
                              <w:alias w:val="Numeris"/>
                              <w:tag w:val="nr_a6bb23db7f9e4a9986d96935d6681e96"/>
                              <w:lock w:val="sdtLocked"/>
                              <w:richText/>
                            </w:sdtPr>
                            <w:sdtContent>
                              <w:r>
                                <w:rPr>
                                  <w:szCs w:val="24"/>
                                </w:rPr>
                                <w:t>2</w:t>
                              </w:r>
                            </w:sdtContent>
                          </w:sdt>
                          <w:r>
                            <w:rPr>
                              <w:szCs w:val="24"/>
                            </w:rPr>
                            <w:t>) su produktu, paslauga, sandoriu ar paslaugų teikimo kanalu susijusios rizikos veiksniai:</w:t>
                          </w:r>
                        </w:p>
                        <w:sdt>
                          <w:sdtPr>
                            <w:alias w:val="15 str. 1 d. 2 p. a pp."/>
                            <w:tag w:val="part_f4676623f2fa4fcb99041be58585d47b"/>
                            <w:lock w:val="sdtLocked"/>
                            <w:richText/>
                          </w:sdtPr>
                          <w:sdtContent>
                            <w:p>
                              <w:pPr>
                                <w:widowControl w:val="0"/>
                                <w:spacing w:line="360" w:lineRule="auto"/>
                                <w:ind w:firstLine="720"/>
                                <w:jc w:val="both"/>
                                <w:rPr>
                                  <w:szCs w:val="24"/>
                                </w:rPr>
                              </w:pPr>
                              <w:sdt>
                                <w:sdtPr>
                                  <w:alias w:val="Numeris"/>
                                  <w:tag w:val="nr_f4676623f2fa4fcb99041be58585d47b"/>
                                  <w:lock w:val="sdtLocked"/>
                                  <w:richText/>
                                </w:sdtPr>
                                <w:sdtContent>
                                  <w:r>
                                    <w:rPr>
                                      <w:szCs w:val="24"/>
                                    </w:rPr>
                                    <w:t>a</w:t>
                                  </w:r>
                                </w:sdtContent>
                              </w:sdt>
                              <w:r>
                                <w:rPr>
                                  <w:szCs w:val="24"/>
                                </w:rPr>
                                <w:t xml:space="preserve">) gyvybės draudimo sutartys arba papildomo savanoriško pensijų kaupimo sutartys, kai metinė draudimo įmoka arba įmoka į pensijų fondą yra nedidelė arba vienkartinė draudimo įmoka arba įmoka į pensijų fondą yra nedidelė;  </w:t>
                              </w:r>
                            </w:p>
                          </w:sdtContent>
                        </w:sdt>
                        <w:sdt>
                          <w:sdtPr>
                            <w:alias w:val="15 str. 1 d. 2 p. b pp."/>
                            <w:tag w:val="part_f456542b30af4360960843eb78268baa"/>
                            <w:lock w:val="sdtLocked"/>
                            <w:richText/>
                          </w:sdtPr>
                          <w:sdtContent>
                            <w:p>
                              <w:pPr>
                                <w:widowControl w:val="0"/>
                                <w:spacing w:line="360" w:lineRule="auto"/>
                                <w:ind w:firstLine="720"/>
                                <w:jc w:val="both"/>
                                <w:rPr>
                                  <w:szCs w:val="24"/>
                                </w:rPr>
                              </w:pPr>
                              <w:sdt>
                                <w:sdtPr>
                                  <w:alias w:val="Numeris"/>
                                  <w:tag w:val="nr_f456542b30af4360960843eb78268baa"/>
                                  <w:lock w:val="sdtLocked"/>
                                  <w:richText/>
                                </w:sdtPr>
                                <w:sdtContent>
                                  <w:r>
                                    <w:rPr>
                                      <w:szCs w:val="24"/>
                                    </w:rPr>
                                    <w:t>b</w:t>
                                  </w:r>
                                </w:sdtContent>
                              </w:sdt>
                              <w:r>
                                <w:rPr>
                                  <w:szCs w:val="24"/>
                                </w:rPr>
                                <w:t>) pensijų programų draudimo liudijimai, jeigu juose nėra nuostatos dėl jų išankstinio nutraukimo ir jeigu draudimo liudijimai negali būti naudojami kaip įkeitimo objektai;</w:t>
                              </w:r>
                            </w:p>
                          </w:sdtContent>
                        </w:sdt>
                        <w:sdt>
                          <w:sdtPr>
                            <w:alias w:val="15 str. 1 d. 2 p. c pp."/>
                            <w:tag w:val="part_f30eebb6c04d49a3a0304e0b1118972f"/>
                            <w:lock w:val="sdtLocked"/>
                            <w:richText/>
                          </w:sdtPr>
                          <w:sdtContent>
                            <w:p>
                              <w:pPr>
                                <w:widowControl w:val="0"/>
                                <w:spacing w:line="360" w:lineRule="auto"/>
                                <w:ind w:firstLine="720"/>
                                <w:jc w:val="both"/>
                                <w:rPr>
                                  <w:szCs w:val="24"/>
                                </w:rPr>
                              </w:pPr>
                              <w:sdt>
                                <w:sdtPr>
                                  <w:alias w:val="Numeris"/>
                                  <w:tag w:val="nr_f30eebb6c04d49a3a0304e0b1118972f"/>
                                  <w:lock w:val="sdtLocked"/>
                                  <w:richText/>
                                </w:sdtPr>
                                <w:sdtContent>
                                  <w:r>
                                    <w:rPr>
                                      <w:szCs w:val="24"/>
                                    </w:rPr>
                                    <w:t>c</w:t>
                                  </w:r>
                                </w:sdtContent>
                              </w:sdt>
                              <w:r>
                                <w:rPr>
                                  <w:szCs w:val="24"/>
                                </w:rPr>
                                <w:t>) pensijos, kaupiamos pagal Lietuvos Respublikos pensijų kaupimo įstatymą, kitos pensijos, senatvės pensijos ar kitos sistemos, kurios numato pensijas darbuotojams, kai įmokos yra išskaičiuojamos iš darbo užmokesčio, o šių sistemų veiklą reglamentuojantys teisės aktai neleidžia kitam asmeniui perduoti tokios sistemos nario dalies;</w:t>
                              </w:r>
                            </w:p>
                          </w:sdtContent>
                        </w:sdt>
                        <w:sdt>
                          <w:sdtPr>
                            <w:alias w:val="15 str. 1 d. 2 p. d pp."/>
                            <w:tag w:val="part_25a97b1f645544c8bc4e277c1caa2cf1"/>
                            <w:lock w:val="sdtLocked"/>
                            <w:richText/>
                          </w:sdtPr>
                          <w:sdtContent>
                            <w:p>
                              <w:pPr>
                                <w:widowControl w:val="0"/>
                                <w:spacing w:line="360" w:lineRule="auto"/>
                                <w:ind w:firstLine="720"/>
                                <w:jc w:val="both"/>
                                <w:rPr>
                                  <w:szCs w:val="24"/>
                                </w:rPr>
                              </w:pPr>
                              <w:sdt>
                                <w:sdtPr>
                                  <w:alias w:val="Numeris"/>
                                  <w:tag w:val="nr_25a97b1f645544c8bc4e277c1caa2cf1"/>
                                  <w:lock w:val="sdtLocked"/>
                                  <w:richText/>
                                </w:sdtPr>
                                <w:sdtContent>
                                  <w:r>
                                    <w:rPr>
                                      <w:szCs w:val="24"/>
                                    </w:rPr>
                                    <w:t>d</w:t>
                                  </w:r>
                                </w:sdtContent>
                              </w:sdt>
                              <w:r>
                                <w:rPr>
                                  <w:szCs w:val="24"/>
                                </w:rPr>
                                <w:t xml:space="preserve">) finansinės paslaugos, kai tam tikrų rūšių klientams teikiamos tinkamai apibrėžtos ir ribotos paslaugos, kad būtų didinamos galimybės jas gauti finansinės įtraukties tikslais; </w:t>
                              </w:r>
                            </w:p>
                          </w:sdtContent>
                        </w:sdt>
                        <w:sdt>
                          <w:sdtPr>
                            <w:alias w:val="15 str. 1 d. 2 p. e pp."/>
                            <w:tag w:val="part_549d2fe274f84845896c17e35c5b8f74"/>
                            <w:lock w:val="sdtLocked"/>
                            <w:richText/>
                          </w:sdtPr>
                          <w:sdtContent>
                            <w:p>
                              <w:pPr>
                                <w:widowControl w:val="0"/>
                                <w:spacing w:line="360" w:lineRule="auto"/>
                                <w:ind w:firstLine="720"/>
                                <w:jc w:val="both"/>
                                <w:rPr>
                                  <w:szCs w:val="24"/>
                                </w:rPr>
                              </w:pPr>
                              <w:sdt>
                                <w:sdtPr>
                                  <w:alias w:val="Numeris"/>
                                  <w:tag w:val="nr_549d2fe274f84845896c17e35c5b8f74"/>
                                  <w:lock w:val="sdtLocked"/>
                                  <w:richText/>
                                </w:sdtPr>
                                <w:sdtContent>
                                  <w:r>
                                    <w:rPr>
                                      <w:szCs w:val="24"/>
                                    </w:rPr>
                                    <w:t>e</w:t>
                                  </w:r>
                                </w:sdtContent>
                              </w:sdt>
                              <w:r>
                                <w:rPr>
                                  <w:szCs w:val="24"/>
                                </w:rPr>
                                <w:t>) paslaugos ir produktai, kai pinigų plovimo ir teroristų finansavimo rizika valdoma kitais būdais, įskaitant finansines paslaugas, teikiamas pagal Lietuvos Respublikos valstybės paramos daugiabučiams namams atnaujinti (modernizuoti) įstatymą;</w:t>
                              </w:r>
                            </w:p>
                          </w:sdtContent>
                        </w:sdt>
                      </w:sdtContent>
                    </w:sdt>
                    <w:sdt>
                      <w:sdtPr>
                        <w:alias w:val="15 str. 1 d. 3 p."/>
                        <w:tag w:val="part_220a0e2703f04ec0883b5a0cf78529d9"/>
                        <w:lock w:val="sdtLocked"/>
                        <w:richText/>
                      </w:sdtPr>
                      <w:sdtContent>
                        <w:p>
                          <w:pPr>
                            <w:widowControl w:val="0"/>
                            <w:spacing w:line="360" w:lineRule="auto"/>
                            <w:ind w:firstLine="720"/>
                            <w:jc w:val="both"/>
                            <w:rPr>
                              <w:szCs w:val="24"/>
                            </w:rPr>
                          </w:pPr>
                          <w:sdt>
                            <w:sdtPr>
                              <w:alias w:val="Numeris"/>
                              <w:tag w:val="nr_220a0e2703f04ec0883b5a0cf78529d9"/>
                              <w:lock w:val="sdtLocked"/>
                              <w:richText/>
                            </w:sdtPr>
                            <w:sdtContent>
                              <w:r>
                                <w:rPr>
                                  <w:szCs w:val="24"/>
                                </w:rPr>
                                <w:t>3</w:t>
                              </w:r>
                            </w:sdtContent>
                          </w:sdt>
                          <w:r>
                            <w:rPr>
                              <w:szCs w:val="24"/>
                            </w:rPr>
                            <w:t>) su kliento registracijos, steigimo ar gyvenamąja vieta susiję geografinės rizikos veiksniai:</w:t>
                          </w:r>
                        </w:p>
                        <w:sdt>
                          <w:sdtPr>
                            <w:alias w:val="15 str. 1 d. 3 p. a pp."/>
                            <w:tag w:val="part_1a70cb5b3b4248beac80faf24195035a"/>
                            <w:lock w:val="sdtLocked"/>
                            <w:richText/>
                          </w:sdtPr>
                          <w:sdtContent>
                            <w:p>
                              <w:pPr>
                                <w:widowControl w:val="0"/>
                                <w:spacing w:line="360" w:lineRule="auto"/>
                                <w:ind w:firstLine="720"/>
                                <w:jc w:val="both"/>
                                <w:rPr>
                                  <w:szCs w:val="24"/>
                                </w:rPr>
                              </w:pPr>
                              <w:sdt>
                                <w:sdtPr>
                                  <w:alias w:val="Numeris"/>
                                  <w:tag w:val="nr_1a70cb5b3b4248beac80faf24195035a"/>
                                  <w:lock w:val="sdtLocked"/>
                                  <w:richText/>
                                </w:sdtPr>
                                <w:sdtContent>
                                  <w:r>
                                    <w:rPr>
                                      <w:szCs w:val="24"/>
                                    </w:rPr>
                                    <w:t>a</w:t>
                                  </w:r>
                                </w:sdtContent>
                              </w:sdt>
                              <w:r>
                                <w:rPr>
                                  <w:szCs w:val="24"/>
                                </w:rPr>
                                <w:t>) Europos Sąjungos valstybės narės;</w:t>
                              </w:r>
                            </w:p>
                          </w:sdtContent>
                        </w:sdt>
                        <w:sdt>
                          <w:sdtPr>
                            <w:alias w:val="15 str. 1 d. 3 p. b pp."/>
                            <w:tag w:val="part_503a4c18afcf44f7b7e05cccccf96130"/>
                            <w:lock w:val="sdtLocked"/>
                            <w:richText/>
                          </w:sdtPr>
                          <w:sdtContent>
                            <w:p>
                              <w:pPr>
                                <w:widowControl w:val="0"/>
                                <w:spacing w:line="360" w:lineRule="auto"/>
                                <w:ind w:firstLine="720"/>
                                <w:jc w:val="both"/>
                                <w:rPr>
                                  <w:szCs w:val="24"/>
                                </w:rPr>
                              </w:pPr>
                              <w:sdt>
                                <w:sdtPr>
                                  <w:alias w:val="Numeris"/>
                                  <w:tag w:val="nr_503a4c18afcf44f7b7e05cccccf96130"/>
                                  <w:lock w:val="sdtLocked"/>
                                  <w:richText/>
                                </w:sdtPr>
                                <w:sdtContent>
                                  <w:r>
                                    <w:rPr>
                                      <w:szCs w:val="24"/>
                                    </w:rPr>
                                    <w:t>b</w:t>
                                  </w:r>
                                </w:sdtContent>
                              </w:sdt>
                              <w:r>
                                <w:rPr>
                                  <w:szCs w:val="24"/>
                                </w:rPr>
                                <w:t>) trečiosios valstybės, nustačiusios šio įstatymo reikalavimams lygiaverčius reikalavimus;</w:t>
                              </w:r>
                            </w:p>
                          </w:sdtContent>
                        </w:sdt>
                        <w:sdt>
                          <w:sdtPr>
                            <w:alias w:val="15 str. 1 d. 3 p. c pp."/>
                            <w:tag w:val="part_2a46466e717e4dfda7765be9f7e35576"/>
                            <w:lock w:val="sdtLocked"/>
                            <w:richText/>
                          </w:sdtPr>
                          <w:sdtContent>
                            <w:p>
                              <w:pPr>
                                <w:spacing w:line="360" w:lineRule="auto"/>
                                <w:ind w:firstLine="720"/>
                                <w:jc w:val="both"/>
                                <w:rPr>
                                  <w:szCs w:val="24"/>
                                </w:rPr>
                              </w:pPr>
                              <w:sdt>
                                <w:sdtPr>
                                  <w:alias w:val="Numeris"/>
                                  <w:tag w:val="nr_2a46466e717e4dfda7765be9f7e35576"/>
                                  <w:lock w:val="sdtLocked"/>
                                  <w:richText/>
                                </w:sdtPr>
                                <w:sdtContent>
                                  <w:r>
                                    <w:rPr>
                                      <w:szCs w:val="24"/>
                                    </w:rPr>
                                    <w:t>c</w:t>
                                  </w:r>
                                </w:sdtContent>
                              </w:sdt>
                              <w:r>
                                <w:rPr>
                                  <w:szCs w:val="24"/>
                                </w:rPr>
                                <w:t>) remiantis vyriausybinių ir visuotinai pripažintų nevyriausybinių organizacijų, stebinčių ir vertinančių korupcijos lygį, duomenimis, valstybėje nustatytas mažas korupcijos ar kitos nusikalstamos veiklos lygis;</w:t>
                              </w:r>
                            </w:p>
                          </w:sdtContent>
                        </w:sdt>
                        <w:sdt>
                          <w:sdtPr>
                            <w:alias w:val="15 str. 1 d. 3 p. d pp."/>
                            <w:tag w:val="part_dc7a3d2750cc4f92b4dc12688424816e"/>
                            <w:lock w:val="sdtLocked"/>
                            <w:richText/>
                          </w:sdtPr>
                          <w:sdtContent>
                            <w:p>
                              <w:pPr>
                                <w:spacing w:line="360" w:lineRule="auto"/>
                                <w:ind w:firstLine="720"/>
                                <w:jc w:val="both"/>
                                <w:rPr>
                                  <w:szCs w:val="24"/>
                                </w:rPr>
                              </w:pPr>
                              <w:sdt>
                                <w:sdtPr>
                                  <w:alias w:val="Numeris"/>
                                  <w:tag w:val="nr_dc7a3d2750cc4f92b4dc12688424816e"/>
                                  <w:lock w:val="sdtLocked"/>
                                  <w:richText/>
                                </w:sdtPr>
                                <w:sdtContent>
                                  <w:r>
                                    <w:rPr>
                                      <w:szCs w:val="24"/>
                                    </w:rPr>
                                    <w:t>d</w:t>
                                  </w:r>
                                </w:sdtContent>
                              </w:sdt>
                              <w:r>
                                <w:rPr>
                                  <w:szCs w:val="24"/>
                                </w:rPr>
                                <w:t>) remiantis Finansinių veiksmų darbo grupės kovai su pinigų plovimu ir teroristų finansavimu arba panašaus pobūdžio regioninės organizacijos ataskaitų ar panašių dokumentų duomenimis, valstybėje taikomi kovos su pinigų plovimu ir teroristų finansavimu reikalavimai, atitinkantys Finansinių veiksmų darbo grupės kovai su pinigų plovimu ir teroristų finansavimu rekomendacijas, ir valstybė veiksmingai tuos reikalavimus įgyvendina.</w:t>
                              </w:r>
                            </w:p>
                          </w:sdtContent>
                        </w:sdt>
                      </w:sdtContent>
                    </w:sdt>
                  </w:sdtContent>
                </w:sdt>
                <w:sdt>
                  <w:sdtPr>
                    <w:alias w:val="15 str. 2 d."/>
                    <w:tag w:val="part_0866d40ffb1c4707a103d3d8873cc219"/>
                    <w:lock w:val="sdtLocked"/>
                    <w:richText/>
                  </w:sdtPr>
                  <w:sdtContent>
                    <w:p>
                      <w:pPr>
                        <w:spacing w:line="360" w:lineRule="auto"/>
                        <w:ind w:firstLine="720"/>
                        <w:jc w:val="both"/>
                        <w:rPr>
                          <w:szCs w:val="24"/>
                        </w:rPr>
                      </w:pPr>
                      <w:sdt>
                        <w:sdtPr>
                          <w:alias w:val="Numeris"/>
                          <w:tag w:val="nr_0866d40ffb1c4707a103d3d8873cc219"/>
                          <w:lock w:val="sdtLocked"/>
                          <w:richText/>
                        </w:sdtPr>
                        <w:sdtContent>
                          <w:r>
                            <w:rPr>
                              <w:szCs w:val="24"/>
                            </w:rPr>
                            <w:t>2</w:t>
                          </w:r>
                        </w:sdtContent>
                      </w:sdt>
                      <w:r>
                        <w:rPr>
                          <w:szCs w:val="24"/>
                        </w:rPr>
                        <w:t xml:space="preserve">. Finansų įstaigos, nustatydamos ir taikydamos supaprastinto kliento tapatybės nustatymo priemones, vadovaujasi Europos bankininkystės institucijos 2021 m. kovo 1 d. gairėmis EBA/GL/2021/02 pagal Direktyvos </w:t>
                      </w:r>
                      <w:hyperlink r:id="rId74" w:tgtFrame="_blank" w:history="1">
                        <w:r>
                          <w:rPr>
                            <w:color w:val="0000FF" w:themeColor="hyperlink"/>
                            <w:szCs w:val="24"/>
                            <w:u w:val="single"/>
                          </w:rPr>
                          <w:t>(ES) 2015/849</w:t>
                        </w:r>
                      </w:hyperlink>
                      <w:r>
                        <w:rPr>
                          <w:szCs w:val="24"/>
                        </w:rPr>
                        <w:t xml:space="preserve"> 17 straipsnį ir 18 straipsnio 4 dalį dėl deramo klientų tikrinimo ir veiksnių, į kuriuos kredito ir finansų įstaigos turėtų atsižvelgti vertindamos su atskirais dalykiniais santykiais ir vienkartiniais sandoriais ir (arba) operacijomis susijusią pinigų plovimo ir teroristų finansavimo riziką (PP / TF rizikos veiksnių gairėmis), su visais pakeitimais.</w:t>
                      </w:r>
                    </w:p>
                  </w:sdtContent>
                </w:sdt>
                <w:sdt>
                  <w:sdtPr>
                    <w:alias w:val="15 str. 3 d."/>
                    <w:tag w:val="part_f6727dc011544106bb777244c71b8b60"/>
                    <w:lock w:val="sdtLocked"/>
                    <w:richText/>
                  </w:sdtPr>
                  <w:sdtContent>
                    <w:p>
                      <w:pPr>
                        <w:spacing w:line="360" w:lineRule="auto"/>
                        <w:ind w:firstLine="720"/>
                        <w:jc w:val="both"/>
                        <w:rPr>
                          <w:szCs w:val="24"/>
                        </w:rPr>
                      </w:pPr>
                      <w:sdt>
                        <w:sdtPr>
                          <w:alias w:val="Numeris"/>
                          <w:tag w:val="nr_f6727dc011544106bb777244c71b8b60"/>
                          <w:lock w:val="sdtLocked"/>
                          <w:richText/>
                        </w:sdtPr>
                        <w:sdtContent>
                          <w:r>
                            <w:rPr>
                              <w:szCs w:val="24"/>
                            </w:rPr>
                            <w:t>3</w:t>
                          </w:r>
                        </w:sdtContent>
                      </w:sdt>
                      <w:r>
                        <w:rPr>
                          <w:szCs w:val="24"/>
                        </w:rPr>
                        <w:t>. Supaprastintas kliento tapatybės nustatymas gali būti atliekamas, jeigu pagal kitų įpareigotųjų subjektų nustatytas rizikos vertinimo ir valdymo procedūras nustatoma maža pinigų plovimo ir (ar) teroristų finansavimo rizika:</w:t>
                      </w:r>
                    </w:p>
                    <w:sdt>
                      <w:sdtPr>
                        <w:alias w:val="15 str. 3 d. 1 p."/>
                        <w:tag w:val="part_12dd4f1a2ed94875a689487e01ce50e5"/>
                        <w:lock w:val="sdtLocked"/>
                        <w:richText/>
                      </w:sdtPr>
                      <w:sdtContent>
                        <w:p>
                          <w:pPr>
                            <w:spacing w:line="360" w:lineRule="auto"/>
                            <w:ind w:firstLine="720"/>
                            <w:jc w:val="both"/>
                            <w:rPr>
                              <w:szCs w:val="24"/>
                            </w:rPr>
                          </w:pPr>
                          <w:sdt>
                            <w:sdtPr>
                              <w:alias w:val="Numeris"/>
                              <w:tag w:val="nr_12dd4f1a2ed94875a689487e01ce50e5"/>
                              <w:lock w:val="sdtLocked"/>
                              <w:richText/>
                            </w:sdtPr>
                            <w:sdtContent>
                              <w:r>
                                <w:rPr>
                                  <w:szCs w:val="24"/>
                                </w:rPr>
                                <w:t>1</w:t>
                              </w:r>
                            </w:sdtContent>
                          </w:sdt>
                          <w:r>
                            <w:rPr>
                              <w:szCs w:val="24"/>
                            </w:rPr>
                            <w:t>) bendrovėms, kurių vertybiniais popieriais leista prekiauti vienos ar kelių Europos Sąjungos valstybių narių reguliuojamose rinkose, ir kitoms užsienio valstybių bendrovėms, kurių vertybiniais popieriais prekiaujama reguliuojamoje rinkoje ir kurioms yra taikomi Europos Sąjungos teisės aktus atitinkantys reikalavimai atskleisti informaciją apie savo veiklą;</w:t>
                          </w:r>
                        </w:p>
                      </w:sdtContent>
                    </w:sdt>
                    <w:sdt>
                      <w:sdtPr>
                        <w:alias w:val="15 str. 3 d. 2 p."/>
                        <w:tag w:val="part_a5db9c49d63849fd9a7ff070ec83025f"/>
                        <w:lock w:val="sdtLocked"/>
                        <w:richText/>
                      </w:sdtPr>
                      <w:sdtContent>
                        <w:p>
                          <w:pPr>
                            <w:spacing w:line="360" w:lineRule="auto"/>
                            <w:ind w:firstLine="720"/>
                            <w:jc w:val="both"/>
                            <w:rPr>
                              <w:szCs w:val="24"/>
                            </w:rPr>
                          </w:pPr>
                          <w:sdt>
                            <w:sdtPr>
                              <w:alias w:val="Numeris"/>
                              <w:tag w:val="nr_a5db9c49d63849fd9a7ff070ec83025f"/>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sdtContent>
                    </w:sdt>
                    <w:sdt>
                      <w:sdtPr>
                        <w:alias w:val="15 str. 3 d. 3 p."/>
                        <w:tag w:val="part_8a72fd9cce9e43e7a997a5a37dbcb8ee"/>
                        <w:lock w:val="sdtLocked"/>
                        <w:richText/>
                      </w:sdtPr>
                      <w:sdtContent>
                        <w:p>
                          <w:pPr>
                            <w:spacing w:line="360" w:lineRule="auto"/>
                            <w:ind w:firstLine="720"/>
                            <w:jc w:val="both"/>
                            <w:rPr>
                              <w:szCs w:val="24"/>
                            </w:rPr>
                          </w:pPr>
                          <w:sdt>
                            <w:sdtPr>
                              <w:alias w:val="Numeris"/>
                              <w:tag w:val="nr_8a72fd9cce9e43e7a997a5a37dbcb8ee"/>
                              <w:lock w:val="sdtLocked"/>
                              <w:richText/>
                            </w:sdtPr>
                            <w:sdtContent>
                              <w:r>
                                <w:rPr>
                                  <w:szCs w:val="24"/>
                                </w:rPr>
                                <w:t>3</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Content>
                </w:sdt>
                <w:sdt>
                  <w:sdtPr>
                    <w:alias w:val="15 str. 4 d."/>
                    <w:tag w:val="part_838208fe122f4eb2b96eba1ea4faac91"/>
                    <w:lock w:val="sdtLocked"/>
                    <w:richText/>
                  </w:sdtPr>
                  <w:sdtContent>
                    <w:p>
                      <w:pPr>
                        <w:spacing w:line="360" w:lineRule="auto"/>
                        <w:ind w:firstLine="720"/>
                        <w:jc w:val="both"/>
                        <w:rPr>
                          <w:szCs w:val="24"/>
                        </w:rPr>
                      </w:pPr>
                      <w:sdt>
                        <w:sdtPr>
                          <w:alias w:val="Numeris"/>
                          <w:tag w:val="nr_838208fe122f4eb2b96eba1ea4faac91"/>
                          <w:lock w:val="sdtLocked"/>
                          <w:richText/>
                        </w:sdtPr>
                        <w:sdtContent>
                          <w:r>
                            <w:rPr>
                              <w:szCs w:val="24"/>
                            </w:rPr>
                            <w:t>4</w:t>
                          </w:r>
                        </w:sdtContent>
                      </w:sdt>
                      <w:r>
                        <w:rPr>
                          <w:szCs w:val="24"/>
                        </w:rPr>
                        <w:t>. Taikydami supaprastintą kliento tapatybės nustatymą, išskyrus šio straipsnio 5 dalyje nustatytą atvejį, kiti įpareigotieji subjektai, nustatydami kliento ir naudos gavėjo tapatybę, gali nukrypti nuo šio įstatymo 9 straipsnio 12, 13, 14 dalyse, 10 straipsnyje, 11 straipsnio 3 dalyje ir 12 straipsnyje nurodytų nuostatų ir privalo tik gauti šio įstatymo 10 straipsnio 1 dalies 1, 2, 3 punktuose ir 10 straipsnio 2 dalies 1, 2, 3 punktuose nurodytus duomenis.</w:t>
                      </w:r>
                    </w:p>
                  </w:sdtContent>
                </w:sdt>
                <w:sdt>
                  <w:sdtPr>
                    <w:alias w:val="15 str. 5 d."/>
                    <w:tag w:val="part_16269431279f4ccdb5dbccfb0ac6a90b"/>
                    <w:lock w:val="sdtLocked"/>
                    <w:richText/>
                  </w:sdtPr>
                  <w:sdtContent>
                    <w:p>
                      <w:pPr>
                        <w:spacing w:line="360" w:lineRule="auto"/>
                        <w:ind w:firstLine="720"/>
                        <w:jc w:val="both"/>
                        <w:rPr>
                          <w:szCs w:val="24"/>
                        </w:rPr>
                      </w:pPr>
                      <w:sdt>
                        <w:sdtPr>
                          <w:alias w:val="Numeris"/>
                          <w:tag w:val="nr_16269431279f4ccdb5dbccfb0ac6a90b"/>
                          <w:lock w:val="sdtLocked"/>
                          <w:richText/>
                        </w:sdtPr>
                        <w:sdtContent>
                          <w:r>
                            <w:rPr>
                              <w:szCs w:val="24"/>
                            </w:rPr>
                            <w:t>5</w:t>
                          </w:r>
                        </w:sdtContent>
                      </w:sdt>
                      <w:r>
                        <w:rPr>
                          <w:szCs w:val="24"/>
                        </w:rPr>
                        <w:t>. Taikydami supaprastintą kliento tapatybės nustatymą šio straipsnio 3 dalies 2 punkte nustatytais atvejais,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sdtContent>
                </w:sdt>
                <w:sdt>
                  <w:sdtPr>
                    <w:alias w:val="15 str. 6 d."/>
                    <w:tag w:val="part_3d0836510a7a47379900b0ca27cc15b2"/>
                    <w:lock w:val="sdtLocked"/>
                    <w:richText/>
                  </w:sdtPr>
                  <w:sdtContent>
                    <w:p>
                      <w:pPr>
                        <w:spacing w:line="360" w:lineRule="auto"/>
                        <w:ind w:firstLine="720"/>
                        <w:jc w:val="both"/>
                        <w:rPr>
                          <w:szCs w:val="24"/>
                        </w:rPr>
                      </w:pPr>
                      <w:sdt>
                        <w:sdtPr>
                          <w:alias w:val="Numeris"/>
                          <w:tag w:val="nr_3d0836510a7a47379900b0ca27cc15b2"/>
                          <w:lock w:val="sdtLocked"/>
                          <w:richText/>
                        </w:sdtPr>
                        <w:sdtContent>
                          <w:r>
                            <w:rPr>
                              <w:szCs w:val="24"/>
                            </w:rPr>
                            <w:t>6</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p>
                  </w:sdtContent>
                </w:sdt>
                <w:sdt>
                  <w:sdtPr>
                    <w:alias w:val="15 str. 7 d."/>
                    <w:tag w:val="part_f002fdaff9b84d0992c5969008e3594d"/>
                    <w:lock w:val="sdtLocked"/>
                    <w:richText/>
                  </w:sdtPr>
                  <w:sdtContent>
                    <w:p>
                      <w:pPr>
                        <w:spacing w:line="360" w:lineRule="auto"/>
                        <w:ind w:firstLine="720"/>
                        <w:jc w:val="both"/>
                        <w:rPr>
                          <w:szCs w:val="24"/>
                        </w:rPr>
                      </w:pPr>
                      <w:sdt>
                        <w:sdtPr>
                          <w:alias w:val="Numeris"/>
                          <w:tag w:val="nr_f002fdaff9b84d0992c5969008e3594d"/>
                          <w:lock w:val="sdtLocked"/>
                          <w:richText/>
                        </w:sdtPr>
                        <w:sdtContent>
                          <w:r>
                            <w:rPr>
                              <w:szCs w:val="24"/>
                            </w:rPr>
                            <w:t>7</w:t>
                          </w:r>
                        </w:sdtContent>
                      </w:sdt>
                      <w:r>
                        <w:rPr>
                          <w:szCs w:val="24"/>
                        </w:rPr>
                        <w:t>. Supaprastintas kliento tapatybės nustatymas negalimas, jeigu yra šio įstatymo 14 straipsnio 1 dalyje nurodytos aplinkybės, kai būtina atlikti sustiprintą kliento tapatybės nustatymą ir (arba) finansų įstaiga ar kitas įpareigotasis subjektas nustato didesnės pinigų plovimo ir (ar) teroristų finansavimo rizikos veiksnius, nurodytus šio įstatymo 14 straipsnio 10 dalyje. Ši nuostata netaikoma pensijų fondų, veikiančių pagal Lietuvos Respublikos pensijų kaupimo įstatymą, klientams, valstybės ir savivaldybių institucijoms ir įstaigoms, Lietuvos bankui.</w:t>
                      </w:r>
                    </w:p>
                  </w:sdtContent>
                </w:sdt>
                <w:sdt>
                  <w:sdtPr>
                    <w:alias w:val="15 str. 8 d."/>
                    <w:tag w:val="part_21ac9ac1961244b3a6525a9a5444976d"/>
                    <w:lock w:val="sdtLocked"/>
                    <w:richText/>
                  </w:sdtPr>
                  <w:sdtContent>
                    <w:p>
                      <w:pPr>
                        <w:spacing w:line="360" w:lineRule="auto"/>
                        <w:ind w:firstLine="720"/>
                        <w:jc w:val="both"/>
                        <w:rPr>
                          <w:b/>
                          <w:szCs w:val="24"/>
                        </w:rPr>
                      </w:pPr>
                      <w:sdt>
                        <w:sdtPr>
                          <w:alias w:val="Numeris"/>
                          <w:tag w:val="nr_21ac9ac1961244b3a6525a9a5444976d"/>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7d0d0f5ac8394120a0ad3d7873167519"/>
                    <w:lock w:val="sdtLocked"/>
                    <w:richText/>
                  </w:sdtPr>
                  <w:sdtContent>
                    <w:p>
                      <w:pPr>
                        <w:spacing w:line="360" w:lineRule="auto"/>
                        <w:ind w:firstLine="720"/>
                        <w:jc w:val="both"/>
                        <w:rPr>
                          <w:szCs w:val="24"/>
                        </w:rPr>
                      </w:pPr>
                      <w:sdt>
                        <w:sdtPr>
                          <w:alias w:val="Numeris"/>
                          <w:tag w:val="nr_7d0d0f5ac8394120a0ad3d7873167519"/>
                          <w:lock w:val="sdtLocked"/>
                          <w:richText/>
                        </w:sdtPr>
                        <w:sdtContent>
                          <w:r>
                            <w:rPr>
                              <w:bCs/>
                              <w:szCs w:val="24"/>
                            </w:rPr>
                            <w:t>7</w:t>
                          </w:r>
                        </w:sdtContent>
                      </w:sdt>
                      <w:r>
                        <w:rPr>
                          <w:bCs/>
                          <w:szCs w:val="24"/>
                        </w:rPr>
                        <w:t>. Kriptoturto</w:t>
                      </w:r>
                      <w:r>
                        <w:rPr>
                          <w:b/>
                          <w:szCs w:val="24"/>
                        </w:rPr>
                        <w:t xml:space="preserve"> </w:t>
                      </w:r>
                      <w:r>
                        <w:rPr>
                          <w:szCs w:val="24"/>
                        </w:rPr>
                        <w:t>paslaugų teikėjai privalo pildyti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11b56ad9e9d847288a64da3afdf6762e"/>
                    <w:lock w:val="sdtLocked"/>
                    <w:richText/>
                  </w:sdtPr>
                  <w:sdtContent>
                    <w:p>
                      <w:pPr>
                        <w:spacing w:line="360" w:lineRule="auto"/>
                        <w:ind w:firstLine="720"/>
                        <w:jc w:val="both"/>
                        <w:rPr>
                          <w:bCs/>
                          <w:szCs w:val="24"/>
                        </w:rPr>
                      </w:pPr>
                      <w:sdt>
                        <w:sdtPr>
                          <w:alias w:val="Numeris"/>
                          <w:tag w:val="nr_11b56ad9e9d847288a64da3afdf6762e"/>
                          <w:lock w:val="sdtLocked"/>
                          <w:richText/>
                        </w:sdtPr>
                        <w:sdtContent>
                          <w:r>
                            <w:rPr>
                              <w:szCs w:val="24"/>
                            </w:rPr>
                            <w:t>15</w:t>
                          </w:r>
                        </w:sdtContent>
                      </w:sdt>
                      <w:r>
                        <w:rPr>
                          <w:szCs w:val="24"/>
                        </w:rPr>
                        <w:t xml:space="preserve">. </w:t>
                      </w:r>
                      <w:r>
                        <w:rPr>
                          <w:bCs/>
                          <w:szCs w:val="24"/>
                        </w:rPr>
                        <w:t>Kriptoturto</w:t>
                      </w:r>
                      <w:r>
                        <w:rPr>
                          <w:szCs w:val="24"/>
                        </w:rPr>
                        <w:t xml:space="preserve"> paslaugų teikėjai informaciją, pagal kurią kriptoturto adresą galima susieti su kriptoturto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91b89a16cc98433c8c176a57d6d92e4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537455b3e7ae4f9b9069200203e6856c"/>
                    <w:lock w:val="sdtLocked"/>
                    <w:richText/>
                  </w:sdtPr>
                  <w:sdtContent>
                    <w:p>
                      <w:pPr>
                        <w:spacing w:line="360" w:lineRule="auto"/>
                        <w:ind w:firstLine="720"/>
                        <w:jc w:val="both"/>
                        <w:rPr>
                          <w:bCs/>
                          <w:szCs w:val="24"/>
                        </w:rPr>
                      </w:pPr>
                      <w:sdt>
                        <w:sdtPr>
                          <w:alias w:val="Numeris"/>
                          <w:tag w:val="nr_537455b3e7ae4f9b9069200203e6856c"/>
                          <w:lock w:val="sdtLocked"/>
                          <w:richText/>
                        </w:sdtPr>
                        <w:sdtContent>
                          <w:r>
                            <w:rPr>
                              <w:szCs w:val="24"/>
                            </w:rPr>
                            <w:t>5</w:t>
                          </w:r>
                        </w:sdtContent>
                      </w:sdt>
                      <w:r>
                        <w:rPr>
                          <w:szCs w:val="24"/>
                        </w:rPr>
                        <w:t>. Šio straipsnio 1, 2 ir 3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9e8f1b6653c94afa96c469969bba8358"/>
                    <w:lock w:val="sdtLocked"/>
                    <w:richText/>
                  </w:sdtPr>
                  <w:sdtContent>
                    <w:p>
                      <w:pPr>
                        <w:spacing w:line="360" w:lineRule="auto"/>
                        <w:ind w:firstLine="720"/>
                        <w:jc w:val="both"/>
                        <w:rPr>
                          <w:bCs/>
                          <w:szCs w:val="24"/>
                        </w:rPr>
                      </w:pPr>
                      <w:sdt>
                        <w:sdtPr>
                          <w:alias w:val="Numeris"/>
                          <w:tag w:val="nr_9e8f1b6653c94afa96c469969bba8358"/>
                          <w:lock w:val="sdtLocked"/>
                          <w:richText/>
                        </w:sdtPr>
                        <w:sdtContent>
                          <w:r>
                            <w:rPr>
                              <w:szCs w:val="24"/>
                            </w:rPr>
                            <w:t>9</w:t>
                          </w:r>
                        </w:sdtContent>
                      </w:sdt>
                      <w:r>
                        <w:rPr>
                          <w:szCs w:val="24"/>
                        </w:rPr>
                        <w:t>. Šio straipsnio 1, 2 ir 3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d."/>
                    <w:tag w:val="part_e3e409b5649e4403a3890d34aef383b0"/>
                    <w:lock w:val="sdtLocked"/>
                    <w:richText/>
                  </w:sdtPr>
                  <w:sdtContent>
                    <w:p>
                      <w:pPr>
                        <w:spacing w:line="360" w:lineRule="auto"/>
                        <w:ind w:firstLine="720"/>
                        <w:jc w:val="both"/>
                        <w:rPr>
                          <w:szCs w:val="24"/>
                        </w:rPr>
                      </w:pPr>
                      <w:sdt>
                        <w:sdtPr>
                          <w:alias w:val="Numeris"/>
                          <w:tag w:val="nr_e3e409b5649e4403a3890d34aef383b0"/>
                          <w:lock w:val="sdtLocked"/>
                          <w:richText/>
                        </w:sdtPr>
                        <w:sdtContent>
                          <w:r>
                            <w:rPr>
                              <w:szCs w:val="24"/>
                              <w:lang w:eastAsia="lt-LT"/>
                            </w:rPr>
                            <w:t>8</w:t>
                          </w:r>
                        </w:sdtContent>
                      </w:sdt>
                      <w:r>
                        <w:rPr>
                          <w:szCs w:val="24"/>
                          <w:lang w:eastAsia="lt-LT"/>
                        </w:rPr>
                        <w:t xml:space="preserve">. Finansų įstaigos, nurodytos Reglamento </w:t>
                      </w:r>
                      <w:hyperlink r:id="rId75" w:tgtFrame="_blank" w:history="1">
                        <w:r>
                          <w:rPr>
                            <w:color w:val="0000FF" w:themeColor="hyperlink"/>
                            <w:szCs w:val="24"/>
                            <w:u w:val="single"/>
                            <w:lang w:eastAsia="lt-LT"/>
                          </w:rPr>
                          <w:t>(ES) 2024/1620</w:t>
                        </w:r>
                      </w:hyperlink>
                      <w:r>
                        <w:rPr>
                          <w:szCs w:val="24"/>
                          <w:lang w:eastAsia="lt-LT"/>
                        </w:rPr>
                        <w:t xml:space="preserve"> 77 straipsnyje, privalo mokėti metinį priežiūros mokestį </w:t>
                      </w:r>
                      <w:r>
                        <w:rPr>
                          <w:szCs w:val="24"/>
                        </w:rPr>
                        <w:t>Kovos su pinigų plovimu ir teroristų finansavimu institucijai</w:t>
                      </w:r>
                      <w:r>
                        <w:rPr>
                          <w:szCs w:val="24"/>
                          <w:lang w:eastAsia="lt-LT"/>
                        </w:rPr>
                        <w:t xml:space="preserve">. Už praleistą metinio priežiūros mokesčio sumokėjimo terminą finansų įstaigos privalo mokėti delspinigius – 0,05 procento nuo nesumokėtos sumos už kiekvieną dieną. Delspinigių sumokėjimas neatleidžia nuo pareigos sumokėti visą uždelstą sumą. Nesumokėtas metinis priežiūros mokestis ir delspinigiai </w:t>
                      </w:r>
                      <w:r>
                        <w:rPr>
                          <w:szCs w:val="24"/>
                        </w:rPr>
                        <w:t>Kovos su pinigų plovimu ir teroristų finansavimu institucijos</w:t>
                      </w:r>
                      <w:r>
                        <w:rPr>
                          <w:szCs w:val="24"/>
                          <w:lang w:eastAsia="lt-LT"/>
                        </w:rPr>
                        <w:t xml:space="preserve"> sprendimu gali būti išieškomi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c08d4c81586b4d0d9526b68d57db72da"/>
                    <w:lock w:val="sdtLocked"/>
                    <w:richText/>
                  </w:sdtPr>
                  <w:sdtContent>
                    <w:p>
                      <w:pPr>
                        <w:spacing w:line="360" w:lineRule="auto"/>
                        <w:ind w:firstLine="720"/>
                        <w:jc w:val="both"/>
                        <w:rPr>
                          <w:szCs w:val="24"/>
                        </w:rPr>
                      </w:pPr>
                      <w:sdt>
                        <w:sdtPr>
                          <w:alias w:val="Numeris"/>
                          <w:tag w:val="nr_c08d4c81586b4d0d9526b68d57db72da"/>
                          <w:lock w:val="sdtLocked"/>
                          <w:richText/>
                        </w:sdtPr>
                        <w:sdtContent>
                          <w:r>
                            <w:rPr>
                              <w:szCs w:val="24"/>
                            </w:rPr>
                            <w:t>3</w:t>
                          </w:r>
                        </w:sdtContent>
                      </w:sdt>
                      <w:r>
                        <w:rPr>
                          <w:szCs w:val="24"/>
                        </w:rPr>
                        <w:t>. Šio įstatymo 4 straipsnio 1–8 dalyse nurodytoms institucijoms, išskyrus Kovos su pinigų plovimu ir teroristų finansavimu instituciją,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notaro atstovams ar asmenims, turintiems teisę atlikti notarinius veiksmus, advokatams ir advokatų padėjėjams ir antstoliams ar antstolio atstovams, kai jie siekia įtikinti klientą neužsiimti neteisėta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dd94703979b7499082fc46355d86d236"/>
                <w:lock w:val="sdtLocked"/>
                <w:richText/>
              </w:sdtPr>
              <w:sdtContent>
                <w:p>
                  <w:pPr>
                    <w:spacing w:line="360" w:lineRule="auto"/>
                    <w:ind w:left="2410" w:hanging="1690"/>
                    <w:jc w:val="both"/>
                    <w:rPr>
                      <w:b/>
                      <w:bCs/>
                      <w:szCs w:val="24"/>
                    </w:rPr>
                  </w:pPr>
                  <w:sdt>
                    <w:sdtPr>
                      <w:alias w:val="Numeris"/>
                      <w:tag w:val="nr_dd94703979b7499082fc46355d86d236"/>
                      <w:lock w:val="sdtLocked"/>
                      <w:richText/>
                    </w:sdtPr>
                    <w:sdtContent>
                      <w:r>
                        <w:rPr>
                          <w:b/>
                          <w:bCs/>
                          <w:szCs w:val="24"/>
                        </w:rPr>
                        <w:t>25</w:t>
                      </w:r>
                    </w:sdtContent>
                  </w:sdt>
                  <w:r>
                    <w:rPr>
                      <w:b/>
                      <w:bCs/>
                      <w:szCs w:val="24"/>
                    </w:rPr>
                    <w:t xml:space="preserve"> straipsnis. </w:t>
                  </w:r>
                  <w:sdt>
                    <w:sdtPr>
                      <w:alias w:val="Pavadinimas"/>
                      <w:tag w:val="title_dd94703979b7499082fc46355d86d236"/>
                      <w:lock w:val="sdtLocked"/>
                      <w:richText/>
                    </w:sdtPr>
                    <w:sdtContent>
                      <w:r>
                        <w:rPr>
                          <w:b/>
                          <w:bCs/>
                          <w:szCs w:val="24"/>
                        </w:rPr>
                        <w:t>Reikalavimai juridiniams asmenims ir asmenims, susijusiems su patikos ar bendrovių, mokesčių konsultavimo paslaugų teikėjais ir nekilnojamojo turto agentais (brokeriais)</w:t>
                      </w:r>
                    </w:sdtContent>
                  </w:sdt>
                </w:p>
                <w:sdt>
                  <w:sdtPr>
                    <w:alias w:val="25 str. 1 d."/>
                    <w:tag w:val="part_6fb4ee7b6e4546b290230a5b0015f592"/>
                    <w:lock w:val="sdtLocked"/>
                    <w:richText/>
                  </w:sdtPr>
                  <w:sdtContent>
                    <w:p>
                      <w:pPr>
                        <w:spacing w:line="360" w:lineRule="auto"/>
                        <w:ind w:firstLine="709"/>
                        <w:jc w:val="both"/>
                        <w:rPr>
                          <w:szCs w:val="24"/>
                        </w:rPr>
                      </w:pPr>
                      <w:sdt>
                        <w:sdtPr>
                          <w:alias w:val="Numeris"/>
                          <w:tag w:val="nr_6fb4ee7b6e4546b290230a5b0015f592"/>
                          <w:lock w:val="sdtLocked"/>
                          <w:richText/>
                        </w:sdtPr>
                        <w:sdtContent>
                          <w:r>
                            <w:rPr>
                              <w:szCs w:val="24"/>
                            </w:rPr>
                            <w:t>1</w:t>
                          </w:r>
                        </w:sdtContent>
                      </w:sdt>
                      <w:r>
                        <w:rPr>
                          <w:szCs w:val="24"/>
                        </w:rPr>
                        <w:t>. Visi Lietuvos Respublikoje įsteigti juridiniai asmenys, išskyrus juridinius asmenis, kurių vienintelė dalyvė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p>
                  </w:sdtContent>
                </w:sdt>
                <w:sdt>
                  <w:sdtPr>
                    <w:alias w:val="25 str. 2 d."/>
                    <w:tag w:val="part_b489252039c747bc83186571430e39d5"/>
                    <w:lock w:val="sdtLocked"/>
                    <w:richText/>
                  </w:sdtPr>
                  <w:sdtContent>
                    <w:p>
                      <w:pPr>
                        <w:spacing w:line="360" w:lineRule="auto"/>
                        <w:ind w:firstLine="709"/>
                        <w:jc w:val="both"/>
                        <w:rPr>
                          <w:bCs/>
                          <w:szCs w:val="24"/>
                        </w:rPr>
                      </w:pPr>
                      <w:sdt>
                        <w:sdtPr>
                          <w:alias w:val="Numeris"/>
                          <w:tag w:val="nr_b489252039c747bc83186571430e39d5"/>
                          <w:lock w:val="sdtLocked"/>
                          <w:richText/>
                        </w:sdtPr>
                        <w:sdtContent>
                          <w:r>
                            <w:rPr>
                              <w:bCs/>
                              <w:szCs w:val="24"/>
                            </w:rPr>
                            <w:t>2</w:t>
                          </w:r>
                        </w:sdtContent>
                      </w:sdt>
                      <w:r>
                        <w:rPr>
                          <w:bCs/>
                          <w:szCs w:val="24"/>
                        </w:rPr>
                        <w:t>. Naudos gavėjai privalo atskleisti šio straipsnio 1 dalyje nustatytą informaciją apie save juridinio asmens atstovui, vykdančiam šio straipsnio 1 dalyje nustatytą įpareigojimą.</w:t>
                      </w:r>
                    </w:p>
                  </w:sdtContent>
                </w:sdt>
                <w:sdt>
                  <w:sdtPr>
                    <w:alias w:val="25 str. 3 d."/>
                    <w:tag w:val="part_c956010991794d4fa9cfd487421f3a71"/>
                    <w:lock w:val="sdtLocked"/>
                    <w:richText/>
                  </w:sdtPr>
                  <w:sdtContent>
                    <w:p>
                      <w:pPr>
                        <w:spacing w:line="360" w:lineRule="auto"/>
                        <w:ind w:firstLine="709"/>
                        <w:jc w:val="both"/>
                        <w:rPr>
                          <w:szCs w:val="24"/>
                        </w:rPr>
                      </w:pPr>
                      <w:sdt>
                        <w:sdtPr>
                          <w:alias w:val="Numeris"/>
                          <w:tag w:val="nr_c956010991794d4fa9cfd487421f3a71"/>
                          <w:lock w:val="sdtLocked"/>
                          <w:richText/>
                        </w:sdtPr>
                        <w:sdtContent>
                          <w:r>
                            <w:rPr>
                              <w:bCs/>
                              <w:szCs w:val="24"/>
                            </w:rPr>
                            <w:t>3</w:t>
                          </w:r>
                        </w:sdtContent>
                      </w:sdt>
                      <w:r>
                        <w:rPr>
                          <w:bCs/>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w:t>
                      </w:r>
                      <w:r>
                        <w:rPr>
                          <w:b/>
                          <w:bCs/>
                          <w:szCs w:val="24"/>
                        </w:rPr>
                        <w:t xml:space="preserve"> </w:t>
                      </w:r>
                      <w:r>
                        <w:rPr>
                          <w:szCs w:val="24"/>
                        </w:rPr>
                        <w:t>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plovimą ir teroristų finansavimo prevenciją reglamentuojančiais teisės aktais ir atitinka jų reikalavimus.</w:t>
                      </w:r>
                    </w:p>
                  </w:sdtContent>
                </w:sdt>
                <w:sdt>
                  <w:sdtPr>
                    <w:alias w:val="25 str. 4 d."/>
                    <w:tag w:val="part_ef2d8ccf2c7d489eb788f8ba2a34116f"/>
                    <w:lock w:val="sdtLocked"/>
                    <w:richText/>
                  </w:sdtPr>
                  <w:sdtContent>
                    <w:p>
                      <w:pPr>
                        <w:spacing w:line="360" w:lineRule="auto"/>
                        <w:ind w:firstLine="567"/>
                        <w:jc w:val="both"/>
                        <w:rPr>
                          <w:bCs/>
                          <w:szCs w:val="24"/>
                        </w:rPr>
                      </w:pPr>
                      <w:sdt>
                        <w:sdtPr>
                          <w:alias w:val="Numeris"/>
                          <w:tag w:val="nr_ef2d8ccf2c7d489eb788f8ba2a34116f"/>
                          <w:lock w:val="sdtLocked"/>
                          <w:richText/>
                        </w:sdtPr>
                        <w:sdtContent>
                          <w:r>
                            <w:rPr>
                              <w:bCs/>
                              <w:szCs w:val="24"/>
                            </w:rPr>
                            <w:t>4</w:t>
                          </w:r>
                        </w:sdtContent>
                      </w:sdt>
                      <w:r>
                        <w:rPr>
                          <w:bCs/>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(brokerio) veiklą, valdymo ar priežiūros organų nariu arba tokių asmenų naudos gavėju negali būti fizinis asmuo, kuris yra: </w:t>
                      </w:r>
                    </w:p>
                    <w:sdt>
                      <w:sdtPr>
                        <w:alias w:val="25 str. 4 d. 1 p."/>
                        <w:tag w:val="part_16d276a38fb04d1bb837fa67bccfb4d7"/>
                        <w:lock w:val="sdtLocked"/>
                        <w:richText/>
                      </w:sdtPr>
                      <w:sdtContent>
                        <w:p>
                          <w:pPr>
                            <w:spacing w:line="360" w:lineRule="auto"/>
                            <w:ind w:firstLine="709"/>
                            <w:jc w:val="both"/>
                            <w:rPr>
                              <w:szCs w:val="24"/>
                            </w:rPr>
                          </w:pPr>
                          <w:sdt>
                            <w:sdtPr>
                              <w:alias w:val="Numeris"/>
                              <w:tag w:val="nr_16d276a38fb04d1bb837fa67bccfb4d7"/>
                              <w:lock w:val="sdtLocked"/>
                              <w:richText/>
                            </w:sdtPr>
                            <w:sdtContent>
                              <w:r>
                                <w:rPr>
                                  <w:szCs w:val="24"/>
                                </w:rPr>
                                <w:t>1</w:t>
                              </w:r>
                            </w:sdtContent>
                          </w:sdt>
                          <w:r>
                            <w:rPr>
                              <w:szCs w:val="24"/>
                            </w:rPr>
                            <w:t>) pripažintas kaltu padaręs Lietuvos Respublikos baudžiamajame kodekse numatytą sunkų arba labai sunkų nusikaltimą ar bet kurį iš šių nusikaltimų atitinkančią nusikalstamą veiką pagal kitų valstybių baudžiamuosius įstatymus</w:t>
                          </w:r>
                          <w:r>
                            <w:rPr>
                              <w:szCs w:val="24"/>
                              <w:lang w:eastAsia="lt-LT"/>
                            </w:rPr>
                            <w:t xml:space="preserve"> ir po asmens teistumo išnykimo arba panaikinimo nepraėjo 8 metai</w:t>
                          </w:r>
                          <w:r>
                            <w:rPr>
                              <w:szCs w:val="24"/>
                            </w:rPr>
                            <w:t>;</w:t>
                          </w:r>
                        </w:p>
                      </w:sdtContent>
                    </w:sdt>
                    <w:sdt>
                      <w:sdtPr>
                        <w:alias w:val="25 str. 4 d. 2 p."/>
                        <w:tag w:val="part_a6af3f8e0d00416a88e51f2f275935c6"/>
                        <w:lock w:val="sdtLocked"/>
                        <w:richText/>
                      </w:sdtPr>
                      <w:sdtContent>
                        <w:p>
                          <w:pPr>
                            <w:spacing w:line="360" w:lineRule="auto"/>
                            <w:ind w:firstLine="709"/>
                            <w:jc w:val="both"/>
                            <w:rPr>
                              <w:szCs w:val="24"/>
                              <w:lang w:eastAsia="lt-LT"/>
                            </w:rPr>
                          </w:pPr>
                          <w:sdt>
                            <w:sdtPr>
                              <w:alias w:val="Numeris"/>
                              <w:tag w:val="nr_a6af3f8e0d00416a88e51f2f275935c6"/>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25 str. 4 d. 3 p."/>
                        <w:tag w:val="part_662e4d2b20fb4921bfd9a33ce58a6da0"/>
                        <w:lock w:val="sdtLocked"/>
                        <w:richText/>
                      </w:sdtPr>
                      <w:sdtContent>
                        <w:p>
                          <w:pPr>
                            <w:spacing w:line="360" w:lineRule="auto"/>
                            <w:ind w:firstLine="709"/>
                            <w:jc w:val="both"/>
                            <w:rPr>
                              <w:szCs w:val="24"/>
                            </w:rPr>
                          </w:pPr>
                          <w:sdt>
                            <w:sdtPr>
                              <w:alias w:val="Numeris"/>
                              <w:tag w:val="nr_662e4d2b20fb4921bfd9a33ce58a6da0"/>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dd07ab2a0b1e43de8f929ff6d0904c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24971a27a5c64a63b745180bcbcd4c70"/>
                    <w:lock w:val="sdtLocked"/>
                    <w:richText/>
                  </w:sdtPr>
                  <w:sdtContent>
                    <w:p>
                      <w:pPr>
                        <w:spacing w:line="360" w:lineRule="auto"/>
                        <w:ind w:firstLine="720"/>
                        <w:jc w:val="both"/>
                      </w:pPr>
                      <w:sdt>
                        <w:sdtPr>
                          <w:alias w:val="Numeris"/>
                          <w:tag w:val="nr_24971a27a5c64a63b745180bcbcd4c70"/>
                          <w:lock w:val="sdtLocked"/>
                          <w:richText/>
                        </w:sdtPr>
                        <w:sdtContent>
                          <w:r>
                            <w:rPr>
                              <w:szCs w:val="24"/>
                              <w:lang w:eastAsia="lt-LT"/>
                            </w:rPr>
                            <w:t>3</w:t>
                          </w:r>
                        </w:sdtContent>
                      </w:sdt>
                      <w:r>
                        <w:rPr>
                          <w:szCs w:val="24"/>
                          <w:lang w:eastAsia="lt-LT"/>
                        </w:rPr>
                        <w:t>. Į Nacionalinio pinigų plovimo ir teroristų finansavimo rizikos vertinimo rezultatus privalo atsižvelgti šio įstatymo 4 straipsnio 1–9 dalyse nurodytos institucijos</w:t>
                      </w:r>
                      <w:r>
                        <w:rPr>
                          <w:szCs w:val="24"/>
                        </w:rPr>
                        <w:t>, išskyrus Kovos su pinigų plovimu ir teroristų finansavimu instituciją</w:t>
                      </w:r>
                      <w:r>
                        <w:rPr>
                          <w:szCs w:val="24"/>
                          <w:lang w:eastAsia="lt-LT"/>
                        </w:rPr>
                        <w:t>, rengdamos finansų įstaigoms ir kitiems įpareigotiesiems subjektams skirtus nurodymus, kuriais siekiama užkirsti kelią pinigų plovimui ir (ar) teroristų finansavimui.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00bb69f951604a388eb91f0ee579f7a3"/>
                    <w:lock w:val="sdtLocked"/>
                    <w:richText/>
                  </w:sdtPr>
                  <w:sdtContent>
                    <w:p>
                      <w:pPr>
                        <w:spacing w:line="360" w:lineRule="auto"/>
                        <w:ind w:firstLine="720"/>
                        <w:jc w:val="both"/>
                        <w:rPr>
                          <w:b/>
                          <w:szCs w:val="24"/>
                        </w:rPr>
                      </w:pPr>
                      <w:sdt>
                        <w:sdtPr>
                          <w:alias w:val="Numeris"/>
                          <w:tag w:val="nr_00bb69f951604a388eb91f0ee579f7a3"/>
                          <w:lock w:val="sdtLocked"/>
                          <w:richText/>
                        </w:sdtPr>
                        <w:sdtContent>
                          <w:r>
                            <w:rPr>
                              <w:szCs w:val="24"/>
                              <w:lang w:eastAsia="lt-LT"/>
                            </w:rPr>
                            <w:t>2</w:t>
                          </w:r>
                        </w:sdtContent>
                      </w:sdt>
                      <w:r>
                        <w:rPr>
                          <w:szCs w:val="24"/>
                          <w:lang w:eastAsia="lt-LT"/>
                        </w:rPr>
                        <w:t>. Nacionaliniame pinigų plovimo ir teroristų finansavimo rizikos vertinime dalyvauja visos šio įstatymo 4 straipsnio 1–8 dalyse nurodytos institucijos</w:t>
                      </w:r>
                      <w:r>
                        <w:rPr>
                          <w:szCs w:val="24"/>
                        </w:rPr>
                        <w:t>, išskyrus Kovos su pinigų plovimu ir teroristų finansavimu instituciją,</w:t>
                      </w:r>
                      <w:r>
                        <w:rPr>
                          <w:szCs w:val="24"/>
                          <w:lang w:eastAsia="lt-LT"/>
                        </w:rPr>
                        <w:t xml:space="preserve"> ir pagal poreikį gali būti pasitelkiamos kitos valstybės ar užsienio valstybės institucijos, įstaigos, organizacijos, ekspertai, specialistai ir kiti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2ec1eedc78734cb2996556fefb3a2d28"/>
                    <w:lock w:val="sdtLocked"/>
                    <w:richText/>
                  </w:sdtPr>
                  <w:sdtContent>
                    <w:p>
                      <w:pPr>
                        <w:spacing w:line="360" w:lineRule="auto"/>
                        <w:ind w:firstLine="720"/>
                        <w:jc w:val="both"/>
                        <w:rPr>
                          <w:szCs w:val="24"/>
                        </w:rPr>
                      </w:pPr>
                      <w:sdt>
                        <w:sdtPr>
                          <w:alias w:val="Numeris"/>
                          <w:tag w:val="nr_2ec1eedc78734cb2996556fefb3a2d28"/>
                          <w:lock w:val="sdtLocked"/>
                          <w:richText/>
                        </w:sdtPr>
                        <w:sdtContent>
                          <w:r>
                            <w:rPr>
                              <w:szCs w:val="24"/>
                              <w:lang w:eastAsia="lt-LT"/>
                            </w:rPr>
                            <w:t>3</w:t>
                          </w:r>
                        </w:sdtContent>
                      </w:sdt>
                      <w:r>
                        <w:rPr>
                          <w:szCs w:val="24"/>
                          <w:lang w:eastAsia="lt-LT"/>
                        </w:rPr>
                        <w:t>. Nacionalinis pinigų plovimo ir teroristų finansavimo rizikos vertinimas atliekamas prieš tai šio įstatymo 4 straipsnio 1–8 dalyse nurodytoms institucijoms</w:t>
                      </w:r>
                      <w:r>
                        <w:rPr>
                          <w:szCs w:val="24"/>
                        </w:rPr>
                        <w:t>, išskyrus Kovos su pinigų plovimu ir teroristų finansavimu instituciją,</w:t>
                      </w:r>
                      <w:r>
                        <w:rPr>
                          <w:szCs w:val="24"/>
                          <w:lang w:eastAsia="lt-LT"/>
                        </w:rPr>
                        <w:t xml:space="preserve"> atlikus pinigų plovimo ir (ar) teroristų finansavimo rizikos atskiruose sektoriuose vertinimus.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4 d."/>
                    <w:tag w:val="part_4a615c671ed64fdbb7eefa3f7d50a294"/>
                    <w:lock w:val="sdtLocked"/>
                    <w:richText/>
                  </w:sdtPr>
                  <w:sdtContent>
                    <w:p>
                      <w:pPr>
                        <w:spacing w:line="360" w:lineRule="auto"/>
                        <w:ind w:firstLine="720"/>
                        <w:jc w:val="both"/>
                        <w:rPr>
                          <w:szCs w:val="24"/>
                        </w:rPr>
                      </w:pPr>
                      <w:sdt>
                        <w:sdtPr>
                          <w:alias w:val="Numeris"/>
                          <w:tag w:val="nr_4a615c671ed64fdbb7eefa3f7d50a294"/>
                          <w:lock w:val="sdtLocked"/>
                          <w:richText/>
                        </w:sdtPr>
                        <w:sdtContent>
                          <w:r>
                            <w:rPr>
                              <w:szCs w:val="24"/>
                              <w:lang w:eastAsia="lt-LT"/>
                            </w:rPr>
                            <w:t>4</w:t>
                          </w:r>
                        </w:sdtContent>
                      </w:sdt>
                      <w:r>
                        <w:rPr>
                          <w:szCs w:val="24"/>
                          <w:lang w:eastAsia="lt-LT"/>
                        </w:rPr>
                        <w:t>. Šio įstatymo 4 straipsnio 1–8 dalyse nurodytos institucijos</w:t>
                      </w:r>
                      <w:r>
                        <w:rPr>
                          <w:szCs w:val="24"/>
                        </w:rPr>
                        <w:t xml:space="preserve">, išskyrus Kovos su pinigų plovimu ir teroristų finansavimu instituciją, </w:t>
                      </w:r>
                      <w:r>
                        <w:rPr>
                          <w:szCs w:val="24"/>
                          <w:lang w:eastAsia="lt-LT"/>
                        </w:rPr>
                        <w:t>sektoriaus pinigų plovimo ir (ar) teroristų finansavimo rizikos vertinimą atlieka per 8 mėnesius nuo Finansinių nusikaltimų tyrimo tarnybos pranešimo apie numatomą nacionalinį pinigų plovimo ir teroristų finansavimo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5 d."/>
                    <w:tag w:val="part_df7339f258be407fb33c1b2bcca0e222"/>
                    <w:lock w:val="sdtLocked"/>
                    <w:richText/>
                  </w:sdtPr>
                  <w:sdtContent>
                    <w:p>
                      <w:pPr>
                        <w:spacing w:line="360" w:lineRule="auto"/>
                        <w:ind w:firstLine="720"/>
                        <w:jc w:val="both"/>
                        <w:rPr>
                          <w:szCs w:val="24"/>
                        </w:rPr>
                      </w:pPr>
                      <w:sdt>
                        <w:sdtPr>
                          <w:alias w:val="Numeris"/>
                          <w:tag w:val="nr_df7339f258be407fb33c1b2bcca0e222"/>
                          <w:lock w:val="sdtLocked"/>
                          <w:richText/>
                        </w:sdtPr>
                        <w:sdtContent>
                          <w:r>
                            <w:rPr>
                              <w:szCs w:val="24"/>
                              <w:lang w:eastAsia="lt-LT"/>
                            </w:rPr>
                            <w:t>5</w:t>
                          </w:r>
                        </w:sdtContent>
                      </w:sdt>
                      <w:r>
                        <w:rPr>
                          <w:szCs w:val="24"/>
                          <w:lang w:eastAsia="lt-LT"/>
                        </w:rPr>
                        <w:t>. Šio įstatymo 4 straipsnio 1–8 dalyse nurodytos institucijos</w:t>
                      </w:r>
                      <w:r>
                        <w:rPr>
                          <w:szCs w:val="24"/>
                        </w:rPr>
                        <w:t>, išskyrus Kovos su pinigų plovimu ir teroristų finansavimu instituciją,</w:t>
                      </w:r>
                      <w:r>
                        <w:rPr>
                          <w:szCs w:val="24"/>
                          <w:lang w:eastAsia="lt-LT"/>
                        </w:rPr>
                        <w:t xml:space="preserve"> šio straipsnio 3 dalyje nurodytu tikslu kaupia išsamią statistinę informaciją, susijusią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626bdaed8d494736b2d916a68e49a47f"/>
                        <w:lock w:val="sdtLocked"/>
                        <w:richText/>
                      </w:sdtPr>
                      <w:sdtContent>
                        <w:p>
                          <w:pPr>
                            <w:spacing w:line="360" w:lineRule="auto"/>
                            <w:ind w:firstLine="720"/>
                            <w:jc w:val="both"/>
                            <w:rPr>
                              <w:szCs w:val="24"/>
                            </w:rPr>
                          </w:pPr>
                          <w:sdt>
                            <w:sdtPr>
                              <w:alias w:val="Numeris"/>
                              <w:tag w:val="nr_626bdaed8d494736b2d916a68e49a47f"/>
                              <w:lock w:val="sdtLocked"/>
                              <w:richText/>
                            </w:sdtPr>
                            <w:sdtContent>
                              <w:r>
                                <w:rPr>
                                  <w:szCs w:val="24"/>
                                  <w:lang w:eastAsia="lt-LT"/>
                                </w:rPr>
                                <w:t>2</w:t>
                              </w:r>
                            </w:sdtContent>
                          </w:sdt>
                          <w:r>
                            <w:rPr>
                              <w:szCs w:val="24"/>
                              <w:lang w:eastAsia="lt-LT"/>
                            </w:rPr>
                            <w:t xml:space="preserve">) šio įstatymo 4 straipsnio 1–9 dalyse nurodytų institucijų, </w:t>
                          </w:r>
                          <w:r>
                            <w:rPr>
                              <w:szCs w:val="24"/>
                            </w:rPr>
                            <w:t>išskyrus Kovos su pinigų plovimu ir teroristų finansavimu instituciją,</w:t>
                          </w:r>
                          <w:r>
                            <w:rPr>
                              <w:szCs w:val="24"/>
                              <w:lang w:eastAsia="lt-LT"/>
                            </w:rPr>
                            <w:t xml:space="preserve"> patvirtintus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6acd8d7a3be1431b91a79e9ef64efd4f"/>
                    <w:lock w:val="sdtLocked"/>
                    <w:richText/>
                  </w:sdtPr>
                  <w:sdtContent>
                    <w:p>
                      <w:pPr>
                        <w:spacing w:line="360" w:lineRule="auto"/>
                        <w:ind w:firstLine="720"/>
                        <w:jc w:val="both"/>
                        <w:rPr>
                          <w:szCs w:val="24"/>
                        </w:rPr>
                      </w:pPr>
                      <w:sdt>
                        <w:sdtPr>
                          <w:alias w:val="Numeris"/>
                          <w:tag w:val="nr_6acd8d7a3be1431b91a79e9ef64efd4f"/>
                          <w:lock w:val="sdtLocked"/>
                          <w:richText/>
                        </w:sdtPr>
                        <w:sdtContent>
                          <w:r>
                            <w:rPr>
                              <w:szCs w:val="24"/>
                              <w:lang w:eastAsia="lt-LT"/>
                            </w:rPr>
                            <w:t>6</w:t>
                          </w:r>
                        </w:sdtContent>
                      </w:sdt>
                      <w:r>
                        <w:rPr>
                          <w:szCs w:val="24"/>
                          <w:lang w:eastAsia="lt-LT"/>
                        </w:rPr>
                        <w:t>. Šio įstatymo 4 straipsnio 1–9 dalyse nurodytos institucijos</w:t>
                      </w:r>
                      <w:r>
                        <w:rPr>
                          <w:szCs w:val="24"/>
                        </w:rPr>
                        <w:t xml:space="preserve">, išskyrus Kovos su pinigų plovimu ir teroristų finansavimu instituciją, </w:t>
                      </w:r>
                      <w:r>
                        <w:rPr>
                          <w:szCs w:val="24"/>
                          <w:lang w:eastAsia="lt-LT"/>
                        </w:rPr>
                        <w:t>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2-1 str."/>
                <w:tag w:val="part_d6f4e857744b4f68a48911c6f2c6dbfd"/>
                <w:lock w:val="sdtLocked"/>
                <w:richText/>
              </w:sdtPr>
              <w:sdtContent>
                <w:p>
                  <w:pPr>
                    <w:spacing w:line="360" w:lineRule="auto"/>
                    <w:ind w:left="2552" w:hanging="1832"/>
                    <w:jc w:val="both"/>
                    <w:rPr>
                      <w:b/>
                      <w:bCs/>
                      <w:szCs w:val="24"/>
                    </w:rPr>
                  </w:pPr>
                  <w:sdt>
                    <w:sdtPr>
                      <w:alias w:val="Numeris"/>
                      <w:tag w:val="nr_d6f4e857744b4f68a48911c6f2c6dbfd"/>
                      <w:lock w:val="sdtLocked"/>
                      <w:richText/>
                    </w:sdtPr>
                    <w:sdtContent>
                      <w:r>
                        <w:rPr>
                          <w:b/>
                          <w:bCs/>
                          <w:szCs w:val="24"/>
                        </w:rPr>
                        <w:t>32</w:t>
                      </w:r>
                      <w:r>
                        <w:rPr>
                          <w:b/>
                          <w:bCs/>
                          <w:szCs w:val="24"/>
                          <w:vertAlign w:val="superscript"/>
                        </w:rPr>
                        <w:t>1</w:t>
                      </w:r>
                    </w:sdtContent>
                  </w:sdt>
                  <w:r>
                    <w:rPr>
                      <w:b/>
                      <w:bCs/>
                      <w:szCs w:val="24"/>
                    </w:rPr>
                    <w:t xml:space="preserve"> straipsnis. </w:t>
                  </w:r>
                  <w:sdt>
                    <w:sdtPr>
                      <w:alias w:val="Pavadinimas"/>
                      <w:tag w:val="title_d6f4e857744b4f68a48911c6f2c6dbfd"/>
                      <w:lock w:val="sdtLocked"/>
                      <w:richText/>
                    </w:sdtPr>
                    <w:sdtContent>
                      <w:r>
                        <w:rPr>
                          <w:b/>
                          <w:bCs/>
                          <w:szCs w:val="24"/>
                        </w:rPr>
                        <w:t>Kovos su pinigų plovimu ir teroristų finansavimu institucijos rengiami patikrinimai</w:t>
                      </w:r>
                    </w:sdtContent>
                  </w:sdt>
                </w:p>
                <w:sdt>
                  <w:sdtPr>
                    <w:alias w:val="32-1 str. 1 d."/>
                    <w:tag w:val="part_5e76d3a499e94f6c8ce5bd161728e813"/>
                    <w:lock w:val="sdtLocked"/>
                    <w:richText/>
                  </w:sdtPr>
                  <w:sdtContent>
                    <w:p>
                      <w:pPr>
                        <w:spacing w:line="360" w:lineRule="auto"/>
                        <w:ind w:firstLine="720"/>
                        <w:jc w:val="both"/>
                        <w:rPr>
                          <w:szCs w:val="24"/>
                        </w:rPr>
                      </w:pPr>
                      <w:sdt>
                        <w:sdtPr>
                          <w:alias w:val="Numeris"/>
                          <w:tag w:val="nr_5e76d3a499e94f6c8ce5bd161728e813"/>
                          <w:lock w:val="sdtLocked"/>
                          <w:richText/>
                        </w:sdtPr>
                        <w:sdtContent>
                          <w:r>
                            <w:rPr>
                              <w:szCs w:val="24"/>
                            </w:rPr>
                            <w:t>1</w:t>
                          </w:r>
                        </w:sdtContent>
                      </w:sdt>
                      <w:r>
                        <w:rPr>
                          <w:szCs w:val="24"/>
                        </w:rPr>
                        <w:t xml:space="preserve">. Kovos su pinigų plovimu ir teroristų finansavimu institucijai priėmus sprendimą dėl patikrinimo vietoje, Reglamento </w:t>
                      </w:r>
                      <w:hyperlink r:id="rId76" w:tgtFrame="_blank" w:history="1">
                        <w:r>
                          <w:rPr>
                            <w:color w:val="0000FF" w:themeColor="hyperlink"/>
                            <w:szCs w:val="24"/>
                            <w:u w:val="single"/>
                          </w:rPr>
                          <w:t>(ES) 2024/1620</w:t>
                        </w:r>
                      </w:hyperlink>
                      <w:r>
                        <w:rPr>
                          <w:szCs w:val="24"/>
                        </w:rPr>
                        <w:t xml:space="preserve"> 19 straipsnyje numatytais atvejais Kovos su pinigų plovimu ir teroristų finansavimu institucijos įgaliotas atstovas pateikia pirmosios instancijos administraciniam teismui prašymą dėl teismo leidimo atlikti patikrinimą vietoje išdavimo. Prašyme turi būti nurodytas tikrintino fizinio asmens (fizinių asmenų) vardas ir pavardė (vardai ir pavardės), statinio ir (ar) patalpų adresas, patikrinimo tikslai ir apimtis ir numatomi tyrimo veiksmai. </w:t>
                      </w:r>
                    </w:p>
                  </w:sdtContent>
                </w:sdt>
                <w:sdt>
                  <w:sdtPr>
                    <w:alias w:val="32-1 str. 2 d."/>
                    <w:tag w:val="part_95c1db1bf7614b119cb161bbcab60643"/>
                    <w:lock w:val="sdtLocked"/>
                    <w:richText/>
                  </w:sdtPr>
                  <w:sdtContent>
                    <w:p>
                      <w:pPr>
                        <w:spacing w:line="360" w:lineRule="auto"/>
                        <w:ind w:firstLine="720"/>
                        <w:jc w:val="both"/>
                        <w:rPr>
                          <w:b/>
                          <w:szCs w:val="24"/>
                        </w:rPr>
                      </w:pPr>
                      <w:sdt>
                        <w:sdtPr>
                          <w:alias w:val="Numeris"/>
                          <w:tag w:val="nr_95c1db1bf7614b119cb161bbcab60643"/>
                          <w:lock w:val="sdtLocked"/>
                          <w:richText/>
                        </w:sdtPr>
                        <w:sdtContent>
                          <w:r>
                            <w:rPr>
                              <w:szCs w:val="24"/>
                            </w:rPr>
                            <w:t>2</w:t>
                          </w:r>
                        </w:sdtContent>
                      </w:sdt>
                      <w:r>
                        <w:rPr>
                          <w:szCs w:val="24"/>
                        </w:rPr>
                        <w:t>. Prašymą dėl teismo leidimo atlikti patikrinimą vietoje išdavimo rašytinio proceso tvarka, išskyrus atvejus, kai teismas nusprendžia prašymą nagrinėti žodinio proceso tvarka, nagrinėja pirmosios instancijos administracinis teismas ir priima motyvuotą nutartį prašymą patenkinti arba atmesti. Prašymas dėl teismo leidimo atlikti patikrinimą vietoje turi būti išnagrinėtas ir priimta nutartis ne vėliau kaip per 72 valandas nuo prašymo pateikimo momento. Jeigu Kovos su pinigų plovimu ir teroristų finansavimu institucija nesutinka su pirmosios instancijos administracinio teismo nutartimi atmesti prašymą, ji turi teisę per 7 dienas nuo nutarties, kuria atmestas jos prašymas dėl teismo leidimo atlikti patikrinimą vietoje, priėmimo šią nutartį apskųsti Lietuvos vyriausiajam administraciniam teismui. Lietuvos vyriausiasis administracinis teismas turi išnagrinėti skundą dėl pirmosios instancijos administracinio teismo nutarties ne vėliau kaip per 7 dienas. Kovos su pinigų plovimu ir teroristų finansavimu institucijos atstovas turi teisę dalyvauti nagrinėjant skundą. Teismai, nagrinėdami prašymus ir skundus dėl teismo leidimo atlikti patikrinimą vietoje išdavimo, privalo užtikrinti pateiktos informacijos ir planuojamų veiksmų slaptumą.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f18a31232ee442f4b8902c0d88db1e2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18482d75482c43b885a0e61e4e998291"/>
                    <w:lock w:val="sdtLocked"/>
                    <w:richText/>
                  </w:sdtPr>
                  <w:sdtContent>
                    <w:p>
                      <w:pPr>
                        <w:spacing w:line="360" w:lineRule="auto"/>
                        <w:ind w:firstLine="720"/>
                        <w:jc w:val="both"/>
                        <w:rPr>
                          <w:szCs w:val="24"/>
                        </w:rPr>
                      </w:pPr>
                      <w:sdt>
                        <w:sdtPr>
                          <w:alias w:val="Numeris"/>
                          <w:tag w:val="nr_18482d75482c43b885a0e61e4e998291"/>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69"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70"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4e866627f5be400abec5a950fd949bfa"/>
                    <w:lock w:val="sdtLocked"/>
                    <w:richText/>
                  </w:sdtPr>
                  <w:sdtContent>
                    <w:p>
                      <w:pPr>
                        <w:spacing w:line="360" w:lineRule="auto"/>
                        <w:ind w:firstLine="720"/>
                        <w:jc w:val="both"/>
                        <w:rPr>
                          <w:szCs w:val="24"/>
                        </w:rPr>
                      </w:pPr>
                      <w:sdt>
                        <w:sdtPr>
                          <w:alias w:val="Numeris"/>
                          <w:tag w:val="nr_4e866627f5be400abec5a950fd949bfa"/>
                          <w:lock w:val="sdtLocked"/>
                          <w:richText/>
                        </w:sdtPr>
                        <w:sdtContent>
                          <w:r>
                            <w:rPr>
                              <w:bCs/>
                              <w:szCs w:val="24"/>
                            </w:rPr>
                            <w:t>3</w:t>
                          </w:r>
                        </w:sdtContent>
                      </w:sdt>
                      <w:r>
                        <w:rPr>
                          <w:bCs/>
                          <w:szCs w:val="24"/>
                        </w:rPr>
                        <w:t>. Jeigu finansų įstaiga ar užsienio finansų įstaigos filialas yra patronuojančioji įstaiga arba priklauso patronuojančiajai grupės įstaigai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efec7214edae492c9aa63ac1523915da"/>
                    <w:lock w:val="sdtLocked"/>
                    <w:richText/>
                  </w:sdtPr>
                  <w:sdtContent>
                    <w:p>
                      <w:pPr>
                        <w:spacing w:line="360" w:lineRule="auto"/>
                        <w:ind w:firstLine="720"/>
                        <w:jc w:val="both"/>
                        <w:rPr>
                          <w:szCs w:val="24"/>
                        </w:rPr>
                      </w:pPr>
                      <w:sdt>
                        <w:sdtPr>
                          <w:alias w:val="Numeris"/>
                          <w:tag w:val="nr_efec7214edae492c9aa63ac1523915da"/>
                          <w:lock w:val="sdtLocked"/>
                          <w:richText/>
                        </w:sdtPr>
                        <w:sdtContent>
                          <w:r>
                            <w:rPr>
                              <w:szCs w:val="24"/>
                            </w:rPr>
                            <w:t>3</w:t>
                          </w:r>
                        </w:sdtContent>
                      </w:sdt>
                      <w:r>
                        <w:rPr>
                          <w:szCs w:val="24"/>
                        </w:rPr>
                        <w:t>. Jeigu kiti įpareigotieji subjektai yra patronuojančioji įmonė arba priklauso patronuojančiajai grupės įmonei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c983b9dfcbfb49de858b23cac26fe984"/>
                    <w:lock w:val="sdtLocked"/>
                    <w:richText/>
                  </w:sdtPr>
                  <w:sdtContent>
                    <w:p>
                      <w:pPr>
                        <w:spacing w:line="360" w:lineRule="auto"/>
                        <w:ind w:firstLine="720"/>
                        <w:jc w:val="both"/>
                        <w:rPr>
                          <w:szCs w:val="24"/>
                        </w:rPr>
                      </w:pPr>
                      <w:sdt>
                        <w:sdtPr>
                          <w:alias w:val="Numeris"/>
                          <w:tag w:val="nr_c983b9dfcbfb49de858b23cac26fe984"/>
                          <w:lock w:val="sdtLocked"/>
                          <w:richText/>
                        </w:sdtPr>
                        <w:sdtContent>
                          <w:r>
                            <w:rPr>
                              <w:rFonts w:eastAsia="Calibri"/>
                              <w:bCs/>
                              <w:szCs w:val="24"/>
                            </w:rPr>
                            <w:t>3</w:t>
                          </w:r>
                        </w:sdtContent>
                      </w:sdt>
                      <w:r>
                        <w:rPr>
                          <w:rFonts w:eastAsia="Calibri"/>
                          <w:bCs/>
                          <w:szCs w:val="24"/>
                        </w:rPr>
                        <w:t xml:space="preserve">. Priežiūros institucijos sprendimas skirti baudą yra vykdomasis dokumentas, vykdomas </w:t>
                      </w:r>
                      <w:r>
                        <w:rPr>
                          <w:bCs/>
                          <w:szCs w:val="24"/>
                        </w:rPr>
                        <w:t>Lietuvos Respublikos mokesčių administravimo įstatyme ir</w:t>
                      </w:r>
                      <w:r>
                        <w:rPr>
                          <w:rFonts w:eastAsia="Calibri"/>
                          <w:bCs/>
                          <w:szCs w:val="24"/>
                        </w:rPr>
                        <w:t xml:space="preserve"> Lietuvos Respublikos civilinio proceso kodekse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1f5b2503011f180c9c618618421ed">
                        <w:r w:rsidRPr="00532B9F">
                          <w:rPr>
                            <w:rFonts w:ascii="Times New Roman" w:eastAsia="MS Mincho" w:hAnsi="Times New Roman"/>
                            <w:sz w:val="20"/>
                            <w:i/>
                            <w:iCs/>
                            <w:color w:val="0000FF" w:themeColor="hyperlink"/>
                            <w:u w:val="single"/>
                          </w:rPr>
                          <w:t>XV-914</w:t>
                        </w:r>
                      </w:fldSimple>
                      <w:r>
                        <w:rPr>
                          <w:rFonts w:ascii="Times New Roman" w:eastAsia="MS Mincho" w:hAnsi="Times New Roman"/>
                          <w:sz w:val="20"/>
                          <w:i/>
                          <w:iCs/>
                        </w:rPr>
                        <w:t>,
2026-05-12,
paskelbta TAR 2026-05-15, i. k. 2026-08246            </w:t>
                      </w:r>
                    </w:p>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c8659d16888b4727960a9cc77f1d26ae"/>
                <w:lock w:val="sdtLocked"/>
                <w:richText/>
              </w:sdtPr>
              <w:sdtContent>
                <w:p>
                  <w:pPr>
                    <w:spacing w:line="360" w:lineRule="auto"/>
                    <w:ind w:firstLine="720"/>
                    <w:jc w:val="both"/>
                    <w:rPr>
                      <w:bCs/>
                      <w:szCs w:val="24"/>
                    </w:rPr>
                  </w:pPr>
                  <w:sdt>
                    <w:sdtPr>
                      <w:alias w:val="Numeris"/>
                      <w:tag w:val="nr_c8659d16888b4727960a9cc77f1d26ae"/>
                      <w:lock w:val="sdtLocked"/>
                      <w:richText/>
                    </w:sdtPr>
                    <w:sdtContent>
                      <w:r>
                        <w:rPr>
                          <w:b/>
                          <w:szCs w:val="24"/>
                        </w:rPr>
                        <w:t>49</w:t>
                      </w:r>
                    </w:sdtContent>
                  </w:sdt>
                  <w:r>
                    <w:rPr>
                      <w:b/>
                      <w:szCs w:val="24"/>
                    </w:rPr>
                    <w:t xml:space="preserve"> straipsnis. </w:t>
                  </w:r>
                  <w:sdt>
                    <w:sdtPr>
                      <w:alias w:val="Pavadinimas"/>
                      <w:tag w:val="title_c8659d16888b4727960a9cc77f1d26ae"/>
                      <w:lock w:val="sdtLocked"/>
                      <w:richText/>
                    </w:sdtPr>
                    <w:sdtContent>
                      <w:r>
                        <w:rPr>
                          <w:b/>
                          <w:szCs w:val="24"/>
                        </w:rPr>
                        <w:t>Penktojo skirsnio nuostatų taikymas</w:t>
                      </w:r>
                    </w:sdtContent>
                  </w:sdt>
                </w:p>
                <w:sdt>
                  <w:sdtPr>
                    <w:alias w:val="49 str. 1 d."/>
                    <w:tag w:val="part_f60a0a37bab848d7a8b42d198df8eb52"/>
                    <w:lock w:val="sdtLocked"/>
                    <w:richText/>
                  </w:sdtPr>
                  <w:sdtContent>
                    <w:p>
                      <w:pPr>
                        <w:spacing w:line="360" w:lineRule="auto"/>
                        <w:ind w:firstLine="720"/>
                        <w:jc w:val="both"/>
                        <w:rPr>
                          <w:b/>
                          <w:szCs w:val="24"/>
                        </w:rPr>
                      </w:pPr>
                      <w:r>
                        <w:rPr>
                          <w:bCs/>
                          <w:szCs w:val="24"/>
                        </w:rPr>
                        <w:t>Grynųjų pinigų deklaravimui, muitinės įstaigų veiklai ir šio įstatymo 25 straipsnio 1, 2 ir 3 dalyse, 25</w:t>
                      </w:r>
                      <w:r>
                        <w:rPr>
                          <w:bCs/>
                          <w:szCs w:val="24"/>
                          <w:vertAlign w:val="superscript"/>
                        </w:rPr>
                        <w:t>2</w:t>
                      </w:r>
                      <w:r>
                        <w:rPr>
                          <w:bCs/>
                          <w:szCs w:val="24"/>
                        </w:rPr>
                        <w:t xml:space="preserve"> straipsnyje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50"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51" w:tgtFrame="_blank" w:history="1">
                <w:r>
                  <w:rPr>
                    <w:bCs/>
                    <w:color w:val="0000FF" w:themeColor="hyperlink"/>
                    <w:szCs w:val="24"/>
                    <w:u w:val="single"/>
                  </w:rPr>
                  <w:t>(ES) Nr. 648/2012</w:t>
                </w:r>
              </w:hyperlink>
              <w:r>
                <w:rPr>
                  <w:szCs w:val="24"/>
                </w:rPr>
                <w:t xml:space="preserve"> ir panaikinama Europos Parlamento ir Tarybos direktyva </w:t>
              </w:r>
              <w:hyperlink r:id="rId52" w:tgtFrame="_blank" w:history="1">
                <w:r>
                  <w:rPr>
                    <w:bCs/>
                    <w:color w:val="0000FF" w:themeColor="hyperlink"/>
                    <w:szCs w:val="24"/>
                    <w:u w:val="single"/>
                  </w:rPr>
                  <w:t>2005/60/EB</w:t>
                </w:r>
              </w:hyperlink>
              <w:r>
                <w:rPr>
                  <w:szCs w:val="24"/>
                </w:rPr>
                <w:t xml:space="preserve"> bei Komisijos direktyva </w:t>
              </w:r>
              <w:hyperlink r:id="rId53"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54"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71"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72"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8 p."/>
            <w:tag w:val="part_43df60ab39e54835bea6cd3dd2dc6189"/>
            <w:lock w:val="sdtLocked"/>
            <w:richText/>
          </w:sdtPr>
          <w:sdtContent>
            <w:p>
              <w:pPr>
                <w:spacing w:line="360" w:lineRule="auto"/>
                <w:ind w:firstLine="720"/>
                <w:jc w:val="both"/>
                <w:rPr>
                  <w:szCs w:val="24"/>
                </w:rPr>
              </w:pPr>
              <w:sdt>
                <w:sdtPr>
                  <w:alias w:val="Numeris"/>
                  <w:tag w:val="nr_43df60ab39e54835bea6cd3dd2dc6189"/>
                  <w:lock w:val="sdtLocked"/>
                  <w:richText/>
                </w:sdtPr>
                <w:sdtContent>
                  <w:r>
                    <w:rPr>
                      <w:szCs w:val="24"/>
                    </w:rPr>
                    <w:t>8</w:t>
                  </w:r>
                </w:sdtContent>
              </w:sdt>
              <w:r>
                <w:rPr>
                  <w:szCs w:val="24"/>
                </w:rPr>
                <w:t xml:space="preserve">. 2024 m. gegužės 31 d. Europos Parlamento ir Tarybos reglamentas </w:t>
              </w:r>
              <w:hyperlink r:id="rId77"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78" w:tgtFrame="_blank" w:history="1">
                <w:r>
                  <w:rPr>
                    <w:color w:val="0000FF" w:themeColor="hyperlink"/>
                    <w:szCs w:val="24"/>
                    <w:u w:val="single"/>
                  </w:rPr>
                  <w:t>(ES) Nr. 1093/2010</w:t>
                </w:r>
              </w:hyperlink>
              <w:r>
                <w:rPr>
                  <w:szCs w:val="24"/>
                </w:rPr>
                <w:t xml:space="preserve">, </w:t>
              </w:r>
              <w:hyperlink r:id="rId79" w:tgtFrame="_blank" w:history="1">
                <w:r>
                  <w:rPr>
                    <w:color w:val="0000FF" w:themeColor="hyperlink"/>
                    <w:szCs w:val="24"/>
                    <w:u w:val="single"/>
                  </w:rPr>
                  <w:t>(ES) Nr. 1094/2010</w:t>
                </w:r>
              </w:hyperlink>
              <w:r>
                <w:rPr>
                  <w:szCs w:val="24"/>
                </w:rPr>
                <w:t xml:space="preserve"> ir </w:t>
              </w:r>
              <w:hyperlink r:id="rId80" w:tgtFrame="_blank" w:history="1">
                <w:r>
                  <w:rPr>
                    <w:color w:val="0000FF" w:themeColor="hyperlink"/>
                    <w:szCs w:val="24"/>
                    <w:u w:val="single"/>
                  </w:rPr>
                  <w:t>(ES) Nr. 1095/2010</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1"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2"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3"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4"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5"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6"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7" w:history="1">
                <w:r>
                  <w:rPr>
                    <w:color w:val="0000FF"/>
                    <w:u w:val="single"/>
                  </w:rPr>
                  <w:t>89-2741</w:t>
                </w:r>
              </w:hyperlink>
              <w:r>
                <w:t xml:space="preserve">) ir Lietuvos Respublikos baudžiamojo proceso kodeksu (Žin., 2002, Nr. </w:t>
              </w:r>
              <w:hyperlink r:id="rId18"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9"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0"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31"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5af85255cc11f0b070ee7f1ceefc75">
            <w:r w:rsidRPr="00532B9F">
              <w:rPr>
                <w:rFonts w:ascii="Times New Roman" w:eastAsia="MS Mincho" w:hAnsi="Times New Roman"/>
                <w:sz w:val="20"/>
                <w:iCs/>
                <w:color w:val="0000FF" w:themeColor="hyperlink"/>
                <w:u w:val="single"/>
              </w:rPr>
              <w:t>XV-326</w:t>
            </w:r>
          </w:fldSimple>
          <w:r>
            <w:rPr>
              <w:rFonts w:ascii="Times New Roman" w:eastAsia="MS Mincho" w:hAnsi="Times New Roman"/>
              <w:sz w:val="20"/>
              <w:iCs/>
            </w:rPr>
            <w:t>,
2025-06-25,
paskelbta TAR 2025-06-30, i. k. 2025-12014                </w:t>
          </w:r>
        </w:p>
        <w:p>
          <w:pPr>
            <w:jc w:val="both"/>
            <w:rPr>
              <w:rFonts w:ascii="Times New Roman" w:hAnsi="Times New Roman"/>
            </w:rPr>
          </w:pPr>
          <w:r>
            <w:rPr>
              <w:rFonts w:ascii="Times New Roman" w:hAnsi="Times New Roman"/>
              <w:sz w:val="20"/>
            </w:rPr>
            <w:t>Lietuvos Respublikos pinigų plovimo ir teroristų finansavimo prevencijos įstatymo Nr. VIII-275 2, 4, 5, 6, 7, 8, 9, 10, 15, 22, 23, 26, 27, 28, 29, 39, 40, 42 straipsnių ir priedo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21f5b2503011f180c9c618618421ed">
            <w:r w:rsidRPr="00532B9F">
              <w:rPr>
                <w:rFonts w:ascii="Times New Roman" w:eastAsia="MS Mincho" w:hAnsi="Times New Roman"/>
                <w:sz w:val="20"/>
                <w:iCs/>
                <w:color w:val="0000FF" w:themeColor="hyperlink"/>
                <w:u w:val="single"/>
              </w:rPr>
              <w:t>XV-914</w:t>
            </w:r>
          </w:fldSimple>
          <w:r>
            <w:rPr>
              <w:rFonts w:ascii="Times New Roman" w:eastAsia="MS Mincho" w:hAnsi="Times New Roman"/>
              <w:sz w:val="20"/>
              <w:iCs/>
            </w:rPr>
            <w:t>,
2026-05-12,
paskelbta TAR 2026-05-15, i. k. 2026-08246                </w:t>
          </w:r>
        </w:p>
        <w:p>
          <w:pPr>
            <w:jc w:val="both"/>
            <w:rPr>
              <w:rFonts w:ascii="Times New Roman" w:hAnsi="Times New Roman"/>
            </w:rPr>
          </w:pPr>
          <w:r>
            <w:rPr>
              <w:rFonts w:ascii="Times New Roman" w:hAnsi="Times New Roman"/>
              <w:sz w:val="20"/>
            </w:rPr>
            <w:t>Lietuvos Respublikos pinigų plovimo ir teroristų finansavimo prevencijos įstatymo Nr. VIII-275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b75d10750911f1b53dfa020e517810">
            <w:r w:rsidRPr="00532B9F">
              <w:rPr>
                <w:rFonts w:ascii="Times New Roman" w:eastAsia="MS Mincho" w:hAnsi="Times New Roman"/>
                <w:sz w:val="20"/>
                <w:iCs/>
                <w:color w:val="0000FF" w:themeColor="hyperlink"/>
                <w:u w:val="single"/>
              </w:rPr>
              <w:t>XV-1039</w:t>
            </w:r>
          </w:fldSimple>
          <w:r>
            <w:rPr>
              <w:rFonts w:ascii="Times New Roman" w:eastAsia="MS Mincho" w:hAnsi="Times New Roman"/>
              <w:sz w:val="20"/>
              <w:iCs/>
            </w:rPr>
            <w:t>,
2026-06-18,
paskelbta TAR 2026-07-01, i. k. 2026-11354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EBCF0B8"/>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yperlink" TargetMode="External" Target="http://www3.lrs.lt/cgi-bin/preps2?a=65769&amp;b="/>
  <Relationship Id="rId12" Type="http://schemas.openxmlformats.org/officeDocument/2006/relationships/hyperlink" TargetMode="External" Target="http://www3.lrs.lt/cgi-bin/preps2?a=90474&amp;b="/>
  <Relationship Id="rId13" Type="http://schemas.openxmlformats.org/officeDocument/2006/relationships/hyperlink" TargetMode="External" Target="http://www3.lrs.lt/cgi-bin/preps2?a=136143&amp;b="/>
  <Relationship Id="rId14" Type="http://schemas.openxmlformats.org/officeDocument/2006/relationships/hyperlink" TargetMode="External" Target="http://www3.lrs.lt/cgi-bin/preps2?a=157357&amp;b="/>
  <Relationship Id="rId15" Type="http://schemas.openxmlformats.org/officeDocument/2006/relationships/hyperlink" TargetMode="External" Target="http://www3.lrs.lt/cgi-bin/preps2?a=163331&amp;b="/>
  <Relationship Id="rId16" Type="http://schemas.openxmlformats.org/officeDocument/2006/relationships/hyperlink" TargetMode="External" Target="http://www3.lrs.lt/cgi-bin/preps2?a=209683&amp;b="/>
  <Relationship Id="rId17" Type="http://schemas.openxmlformats.org/officeDocument/2006/relationships/hyperlink" TargetMode="External" Target="http://www3.lrs.lt/cgi-bin/preps2?a=111555&amp;b="/>
  <Relationship Id="rId18" Type="http://schemas.openxmlformats.org/officeDocument/2006/relationships/hyperlink" TargetMode="External" Target="http://www3.lrs.lt/cgi-bin/preps2?a=163482&amp;b="/>
  <Relationship Id="rId19" Type="http://schemas.openxmlformats.org/officeDocument/2006/relationships/hyperlink" TargetMode="External" Target="http://www3.lrs.lt/cgi-bin/preps2?a=215773&amp;b="/>
  <Relationship Id="rId2" Type="http://schemas.openxmlformats.org/officeDocument/2006/relationships/fontTable" Target="fontTable.xml"/>
  <Relationship Id="rId20" Type="http://schemas.openxmlformats.org/officeDocument/2006/relationships/hyperlink" TargetMode="External" Target="http://www3.lrs.lt/cgi-bin/preps2?a=223449&amp;b="/>
  <Relationship Id="rId21" Type="http://schemas.openxmlformats.org/officeDocument/2006/relationships/hyperlink" TargetMode="External" Target="http://www3.lrs.lt/cgi-bin/preps2?a=232356&amp;b="/>
  <Relationship Id="rId22" Type="http://schemas.openxmlformats.org/officeDocument/2006/relationships/hyperlink" TargetMode="External" Target="http://www3.lrs.lt/cgi-bin/preps2?a=297415&amp;b="/>
  <Relationship Id="rId23" Type="http://schemas.openxmlformats.org/officeDocument/2006/relationships/hyperlink" TargetMode="External" Target="http://www3.lrs.lt/cgi-bin/preps2?a=313223&amp;b="/>
  <Relationship Id="rId24" Type="http://schemas.openxmlformats.org/officeDocument/2006/relationships/hyperlink" TargetMode="External" Target="http://www3.lrs.lt/cgi-bin/preps2?a=361208&amp;b="/>
  <Relationship Id="rId25" Type="http://schemas.openxmlformats.org/officeDocument/2006/relationships/hyperlink" TargetMode="External" Target="http://www3.lrs.lt/cgi-bin/preps2?a=397229&amp;b="/>
  <Relationship Id="rId26" Type="http://schemas.openxmlformats.org/officeDocument/2006/relationships/hyperlink" TargetMode="External" Target="http://www3.lrs.lt/cgi-bin/preps2?a=397405&amp;b="/>
  <Relationship Id="rId27" Type="http://schemas.openxmlformats.org/officeDocument/2006/relationships/hyperlink" TargetMode="External" Target="http://www3.lrs.lt/cgi-bin/preps2?a=399632&amp;b="/>
  <Relationship Id="rId28" Type="http://schemas.openxmlformats.org/officeDocument/2006/relationships/hyperlink" TargetMode="External" Target="http://www3.lrs.lt/cgi-bin/preps2?a=412359&amp;b="/>
  <Relationship Id="rId29" Type="http://schemas.openxmlformats.org/officeDocument/2006/relationships/hyperlink" TargetMode="External" Target="http://www3.lrs.lt/cgi-bin/preps2?a=415765&amp;b="/>
  <Relationship Id="rId3" Type="http://schemas.openxmlformats.org/officeDocument/2006/relationships/hyperlink" TargetMode="External" Target="http://eur-lex.europa.eu/legal-content/LIT/TXT/?uri=CELEX:32017R1129&amp;locale=lt"/>
  <Relationship Id="rId30" Type="http://schemas.openxmlformats.org/officeDocument/2006/relationships/hyperlink" TargetMode="External" Target="http://www3.lrs.lt/cgi-bin/preps2?a=415775&amp;b="/>
  <Relationship Id="rId31" Type="http://schemas.openxmlformats.org/officeDocument/2006/relationships/hyperlink" TargetMode="External" Target="http://www3.lrs.lt/cgi-bin/preps2?a=471525&amp;b="/>
  <Relationship Id="rId32" Type="http://schemas.openxmlformats.org/officeDocument/2006/relationships/hyperlink" TargetMode="External" Target="http://eur-lex.europa.eu/legal-content/LIT/TXT/?uri=CELEX:32010R1093&amp;locale=lt"/>
  <Relationship Id="rId33" Type="http://schemas.openxmlformats.org/officeDocument/2006/relationships/hyperlink" TargetMode="External" Target="http://eur-lex.europa.eu/legal-content/LIT/TXT/?uri=CELEX:32009D0716&amp;locale=lt"/>
  <Relationship Id="rId34" Type="http://schemas.openxmlformats.org/officeDocument/2006/relationships/hyperlink" TargetMode="External" Target="http://eur-lex.europa.eu/legal-content/LIT/TXT/?uri=CELEX:32009D0078&amp;locale=lt"/>
  <Relationship Id="rId35" Type="http://schemas.openxmlformats.org/officeDocument/2006/relationships/hyperlink" TargetMode="External" Target="http://eur-lex.europa.eu/legal-content/LIT/TXT/?uri=CELEX:32010R1094&amp;locale=lt"/>
  <Relationship Id="rId36" Type="http://schemas.openxmlformats.org/officeDocument/2006/relationships/hyperlink" TargetMode="External" Target="http://eur-lex.europa.eu/legal-content/LIT/TXT/?uri=CELEX:32009D0716&amp;locale=lt"/>
  <Relationship Id="rId37" Type="http://schemas.openxmlformats.org/officeDocument/2006/relationships/hyperlink" TargetMode="External" Target="http://eur-lex.europa.eu/legal-content/LIT/TXT/?uri=CELEX:32009D0079&amp;locale=lt"/>
  <Relationship Id="rId38" Type="http://schemas.openxmlformats.org/officeDocument/2006/relationships/hyperlink" TargetMode="External" Target="http://eur-lex.europa.eu/legal-content/LIT/TXT/?uri=CELEX:32010R1095&amp;locale=lt"/>
  <Relationship Id="rId39" Type="http://schemas.openxmlformats.org/officeDocument/2006/relationships/hyperlink" TargetMode="External" Target="http://eur-lex.europa.eu/legal-content/LIT/TXT/?uri=CELEX:32009D0716&amp;locale=lt"/>
  <Relationship Id="rId4" Type="http://schemas.openxmlformats.org/officeDocument/2006/relationships/hyperlink" TargetMode="External" Target="http://eur-lex.europa.eu/legal-content/LIT/TXT/?uri=CELEX:32019L1937&amp;locale=lt"/>
  <Relationship Id="rId40" Type="http://schemas.openxmlformats.org/officeDocument/2006/relationships/hyperlink" TargetMode="External" Target="http://eur-lex.europa.eu/legal-content/LIT/TXT/?uri=CELEX:32009D0077&amp;locale=lt"/>
  <Relationship Id="rId41" Type="http://schemas.openxmlformats.org/officeDocument/2006/relationships/hyperlink" TargetMode="External" Target="http://eur-lex.europa.eu/legal-content/LIT/TXT/?uri=CELEX:32024R1620&amp;locale=lt"/>
  <Relationship Id="rId42" Type="http://schemas.openxmlformats.org/officeDocument/2006/relationships/hyperlink" TargetMode="External" Target="http://eur-lex.europa.eu/legal-content/LIT/TXT/?uri=CELEX:32010R1093&amp;locale=lt"/>
  <Relationship Id="rId43" Type="http://schemas.openxmlformats.org/officeDocument/2006/relationships/hyperlink" TargetMode="External" Target="http://eur-lex.europa.eu/legal-content/LIT/TXT/?uri=CELEX:32010R1094&amp;locale=lt"/>
  <Relationship Id="rId44" Type="http://schemas.openxmlformats.org/officeDocument/2006/relationships/hyperlink" TargetMode="External" Target="http://eur-lex.europa.eu/legal-content/LIT/TXT/?uri=CELEX:32010R1095&amp;locale=lt"/>
  <Relationship Id="rId45" Type="http://schemas.openxmlformats.org/officeDocument/2006/relationships/hyperlink" TargetMode="External" Target="http://eur-lex.europa.eu/legal-content/LIT/TXT/?uri=CELEX:32020R1503&amp;locale=lt"/>
  <Relationship Id="rId46" Type="http://schemas.openxmlformats.org/officeDocument/2006/relationships/hyperlink" TargetMode="External" Target="http://eur-lex.europa.eu/legal-content/LIT/TXT/?uri=CELEX:32017R1129&amp;locale=lt"/>
  <Relationship Id="rId47" Type="http://schemas.openxmlformats.org/officeDocument/2006/relationships/hyperlink" TargetMode="External" Target="http://eur-lex.europa.eu/legal-content/LIT/TXT/?uri=CELEX:32019L1937&amp;locale=lt"/>
  <Relationship Id="rId48" Type="http://schemas.openxmlformats.org/officeDocument/2006/relationships/hyperlink" TargetMode="External" Target="http://eur-lex.europa.eu/legal-content/LIT/TXT/?uri=CELEX:32024R1620&amp;locale=lt"/>
  <Relationship Id="rId49" Type="http://schemas.openxmlformats.org/officeDocument/2006/relationships/hyperlink" TargetMode="External" Target="http://eur-lex.europa.eu/legal-content/LIT/TXT/?uri=CELEX:32023R1113&amp;locale=lt"/>
  <Relationship Id="rId5" Type="http://schemas.openxmlformats.org/officeDocument/2006/relationships/hyperlink" TargetMode="External" Target="http://eur-lex.europa.eu/legal-content/LIT/TXT/?uri=CELEX:32020R1503&amp;locale=lt"/>
  <Relationship Id="rId50" Type="http://schemas.openxmlformats.org/officeDocument/2006/relationships/hyperlink" TargetMode="External" Target="http://eur-lex.europa.eu/legal-content/LIT/TXT/?uri=CELEX:32015L0849&amp;locale=lt"/>
  <Relationship Id="rId51" Type="http://schemas.openxmlformats.org/officeDocument/2006/relationships/hyperlink" TargetMode="External" Target="http://eur-lex.europa.eu/legal-content/LIT/TXT/?uri=CELEX:32012R0648&amp;locale=lt"/>
  <Relationship Id="rId52" Type="http://schemas.openxmlformats.org/officeDocument/2006/relationships/hyperlink" TargetMode="External" Target="http://eur-lex.europa.eu/legal-content/LIT/TXT/?uri=CELEX:32005L0060&amp;locale=lt"/>
  <Relationship Id="rId53" Type="http://schemas.openxmlformats.org/officeDocument/2006/relationships/hyperlink" TargetMode="External" Target="http://eur-lex.europa.eu/legal-content/LIT/TXT/?uri=CELEX:32006L0070&amp;locale=lt"/>
  <Relationship Id="rId54" Type="http://schemas.openxmlformats.org/officeDocument/2006/relationships/hyperlink" TargetMode="External" Target="http://eur-lex.europa.eu/legal-content/LIT/TXT/?uri=CELEX:32023R1113&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10R1093&amp;locale=lt"/>
  <Relationship Id="rId57" Type="http://schemas.openxmlformats.org/officeDocument/2006/relationships/hyperlink" TargetMode="External" Target="http://eur-lex.europa.eu/legal-content/LIT/TXT/?uri=CELEX:32010R1095&amp;locale=lt"/>
  <Relationship Id="rId58" Type="http://schemas.openxmlformats.org/officeDocument/2006/relationships/hyperlink" TargetMode="External" Target="http://eur-lex.europa.eu/legal-content/LIT/TXT/?uri=CELEX:32013L0036&amp;locale=lt"/>
  <Relationship Id="rId59" Type="http://schemas.openxmlformats.org/officeDocument/2006/relationships/hyperlink" TargetMode="External" Target="http://eur-lex.europa.eu/legal-content/LIT/TXT/?uri=CELEX:32019L1937&amp;locale=lt"/>
  <Relationship Id="rId6" Type="http://schemas.openxmlformats.org/officeDocument/2006/relationships/hyperlink" TargetMode="External" Target="http://eur-lex.europa.eu/legal-content/LIT/TXT/?uri=CELEX:32024R1620&amp;locale=lt"/>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3&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3&amp;locale=lt"/>
  <Relationship Id="rId7" Type="http://schemas.openxmlformats.org/officeDocument/2006/relationships/settings" Target="settings.xml"/>
  <Relationship Id="rId70" Type="http://schemas.openxmlformats.org/officeDocument/2006/relationships/hyperlink" TargetMode="External" Target="http://eur-lex.europa.eu/legal-content/LIT/TXT/?uri=CELEX:32023R1113&amp;locale=lt"/>
  <Relationship Id="rId71" Type="http://schemas.openxmlformats.org/officeDocument/2006/relationships/hyperlink" TargetMode="External" Target="http://eur-lex.europa.eu/legal-content/LIT/TXT/?uri=CELEX:32023R1113&amp;locale=lt"/>
  <Relationship Id="rId72" Type="http://schemas.openxmlformats.org/officeDocument/2006/relationships/hyperlink" TargetMode="External" Target="http://eur-lex.europa.eu/legal-content/LIT/TXT/?uri=CELEX:32015L0849&amp;locale=lt"/>
  <Relationship Id="rId73" Type="http://schemas.openxmlformats.org/officeDocument/2006/relationships/hyperlink" TargetMode="External" Target="http://eur-lex.europa.eu/legal-content/LIT/TXT/?uri=CELEX:32024R1620&amp;locale=lt"/>
  <Relationship Id="rId74" Type="http://schemas.openxmlformats.org/officeDocument/2006/relationships/hyperlink" TargetMode="External" Target="http://eur-lex.europa.eu/legal-content/LIT/TXT/?uri=CELEX:32015L0849&amp;locale=lt"/>
  <Relationship Id="rId75" Type="http://schemas.openxmlformats.org/officeDocument/2006/relationships/hyperlink" TargetMode="External" Target="http://eur-lex.europa.eu/legal-content/LIT/TXT/?uri=CELEX:32024R1620&amp;locale=lt"/>
  <Relationship Id="rId76" Type="http://schemas.openxmlformats.org/officeDocument/2006/relationships/hyperlink" TargetMode="External" Target="http://eur-lex.europa.eu/legal-content/LIT/TXT/?uri=CELEX:32024R1620&amp;locale=lt"/>
  <Relationship Id="rId77" Type="http://schemas.openxmlformats.org/officeDocument/2006/relationships/hyperlink" TargetMode="External" Target="http://eur-lex.europa.eu/legal-content/LIT/TXT/?uri=CELEX:32024R1620&amp;locale=lt"/>
  <Relationship Id="rId78" Type="http://schemas.openxmlformats.org/officeDocument/2006/relationships/hyperlink" TargetMode="External" Target="http://eur-lex.europa.eu/legal-content/LIT/TXT/?uri=CELEX:32010R1093&amp;locale=lt"/>
  <Relationship Id="rId79" Type="http://schemas.openxmlformats.org/officeDocument/2006/relationships/hyperlink" TargetMode="External" Target="http://eur-lex.europa.eu/legal-content/LIT/TXT/?uri=CELEX:32010R1094&amp;locale=lt"/>
  <Relationship Id="rId8" Type="http://schemas.openxmlformats.org/officeDocument/2006/relationships/styles" Target="styles.xml"/>
  <Relationship Id="rId80" Type="http://schemas.openxmlformats.org/officeDocument/2006/relationships/hyperlink" TargetMode="External" Target="http://eur-lex.europa.eu/legal-content/LIT/TXT/?uri=CELEX:32010R1095&amp;locale=lt"/>
  <Relationship Id="rId81" Type="http://schemas.openxmlformats.org/officeDocument/2006/relationships/customXml" Target="../customXml/item2.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548d384c46c443bd8902c07bbaf1cf0c"/>
        <Part Type="strDalis" Nr="3-2" Abbr="3-2 d." DocPartId="7a50cc0dc4f1456c8ef31726171e6537" PartId="5d5457d5937d4a9abda25318a8047c02"/>
        <Part Type="strDalis" Nr="3-3" Abbr="3-3 d." DocPartId="de721ecd28044d9d9fcc2582540a0c1a" PartId="98dc7a75e0b7441ea36b43e05b657d9a"/>
        <Part Type="strDalis" Nr="4" Abbr="2 str. 4 d." DocPartId="9387379aa7154a039a0c2ecd8f6b5fdd" PartId="e8ef3e3ceff740789bc5ae1611558703"/>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46f0438ad74d424c9ca43a29f52030d4"/>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60e69a27b2fc43b08cf873dc2899f6f8"/>
          <Part Type="strPunktas" Nr="11" Abbr="2 str. 10 d. 11 p." DocPartId="4d1b09272222446dabdd5d025c5480d4" PartId="3955e27a9b1b4daba954e463dfaf3b87"/>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0a6700cc2ae549c9800eadc1c49c784d"/>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54e578805084462c875b7f1a4f987c93"/>
        <Part Type="strDalis" Nr="22-2" Abbr="2 str. 22-2 d." DocPartId="322094c4344144beb8ad1033ab3010d0" PartId="9af9aad608bb4fb39e994f1a19ccc413"/>
        <Part Type="strDalis" Nr="22-3" Abbr="22-3 d." DocPartId="fdaba301d8b24f6aa4c602c7b5c42ebf" PartId="1471019b70bf41e9a42b7b8e24894933"/>
        <Part Type="strDalis" Nr="22-4" Abbr="22-4 d." DocPartId="f3a79f763ac74806bb03ce9942c0db3f" PartId="35ac680f07e442488b07487eee0cec08"/>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54ba947fe85548b7b6e5edbf42415e61"/>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72a694750aac4e829394febbbeec8a2d"/>
        <Part Type="strDalis" Nr="10" Abbr="4 str. 10 d." DocPartId="975fa0b9d0ea4f5c82b6d7ea3a3397dc" PartId="e945e755c0da4399969a6f43dbaa707b"/>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4 str. 16 d." DocPartId="f031e2c0b0f4451fa979d30569b0c005" PartId="cc3a04bf9d0449cfa1d9f5b825e109ba"/>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8a56b175d7542d5b3b2b66f9b50fcfe"/>
          <Part Type="strPunktas" Nr="11" Abbr="11 p." DocPartId="1ea221f6ccdd4324850b3ad3cc192402" PartId="621510f77a594a9aacc09ca36659887e"/>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e9534217a82f4ebe8ef1c0b661ad9d5e"/>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54275ee45e94455db13b4429062f452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8 straipsnis. Valstybės institucijų bendradarbiavimas bei valstybės institucijų, užsienio valstybių ir Europos Sąjungos institucijų bendradarbiavimas“." DocPartId="3f8027435bd442b4af8fa10e93f703a7" PartId="c2102a37f4ac477aa275c98d34995eff">
        <Part Type="strDalis" Nr="1" Abbr="8 str. 1 d." DocPartId="f956333a4fb045298f427084530b3d8a" PartId="7852e0d38d73400ebcdc73c25354d2c0"/>
        <Part Type="strDalis" Nr="2" Abbr="8 str. 2 d." DocPartId="81cf9f5b03904940aa8d038ca0ed2f1c" PartId="11726f4109b6401cbbbe2a42a08b7d2a"/>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c17811996f2d4127abca1f632ae4cf55"/>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822f5ccffc964ad6a81e4cce43b77706"/>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dba0466f3ea243e1a4740c70e8d5e55c"/>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74fa99437873427383fa7d6cfadefe0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838a03d6285a4bcb9418b588b4a74e8d"/>
        <Part Type="strDalis" Nr="5" Abbr="10 str. 5 d." DocPartId="f6d1cfc6ef084237a963a8b232eedfba" PartId="dbff1c85bc0e4f3cbff26a32a9ce0712"/>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b533c090bebc43b3a1fcc60f55fb8a38">
        <Part Type="strDalis" Nr="1" Abbr="15 str. 1 d." DocPartId="e246794579874e87a91b954bb84677d8" PartId="9e6762b9527945fca57bcad491050657">
          <Part Type="strPunktas" Nr="1" Abbr="15 str. 1 d. 1 p." DocPartId="e651cfa6942e40f280d78999c7cd4403" PartId="31b1b42e33ed485ea1ebb44b78eb0d35">
            <Part Type="strPapunktis" Nr="a" Abbr="15 str. 1 d. 1 p. a pp." DocPartId="93cc73cd9cb94268997afd1ed59c3365" PartId="286cb0a343134c7abe069412c6e3e611"/>
            <Part Type="strPapunktis" Nr="b" Abbr="15 str. 1 d. 1 p. b pp." DocPartId="ab32e55591aa403cb33f5404d2554976" PartId="bdb8946228584ef0a07e89cad09f7ac7"/>
            <Part Type="strPapunktis" Nr="c" Abbr="15 str. 1 d. 1 p. c pp." DocPartId="25d36acf106d42ad874360247dd41897" PartId="f3e52e77be4445aaae4b8fed81f40336"/>
          </Part>
          <Part Type="strPunktas" Nr="2" Abbr="15 str. 1 d. 2 p." DocPartId="e5fd3626aa314bd495a593fa7a3d1f75" PartId="a6bb23db7f9e4a9986d96935d6681e96">
            <Part Type="strPapunktis" Nr="a" Abbr="15 str. 1 d. 2 p. a pp." DocPartId="0f5813c8f3754548a5cb67ea5222fca3" PartId="f4676623f2fa4fcb99041be58585d47b"/>
            <Part Type="strPapunktis" Nr="b" Abbr="15 str. 1 d. 2 p. b pp." DocPartId="65b7fe80024f470da22b77121b6998e0" PartId="f456542b30af4360960843eb78268baa"/>
            <Part Type="strPapunktis" Nr="c" Abbr="15 str. 1 d. 2 p. c pp." DocPartId="0978775bcef7407ea2ff75cc5c5198ae" PartId="f30eebb6c04d49a3a0304e0b1118972f"/>
            <Part Type="strPapunktis" Nr="d" Abbr="15 str. 1 d. 2 p. d pp." DocPartId="6452e2f22f8b482d837fec86a3ac7847" PartId="25a97b1f645544c8bc4e277c1caa2cf1"/>
            <Part Type="strPapunktis" Nr="e" Abbr="15 str. 1 d. 2 p. e pp." DocPartId="2f8a34f1881a4a1abf4b3267b694d8a8" PartId="549d2fe274f84845896c17e35c5b8f74"/>
          </Part>
          <Part Type="strPunktas" Nr="3" Abbr="15 str. 1 d. 3 p." DocPartId="f1182da78dbe4522b17928b75daf3d7a" PartId="220a0e2703f04ec0883b5a0cf78529d9">
            <Part Type="strPapunktis" Nr="a" Abbr="15 str. 1 d. 3 p. a pp." DocPartId="0ff19f8ff4b04b4ea1614becbeff69d3" PartId="1a70cb5b3b4248beac80faf24195035a"/>
            <Part Type="strPapunktis" Nr="b" Abbr="15 str. 1 d. 3 p. b pp." DocPartId="f321e7a70a9d4d72adbef6f594f765b1" PartId="503a4c18afcf44f7b7e05cccccf96130"/>
            <Part Type="strPapunktis" Nr="c" Abbr="15 str. 1 d. 3 p. c pp." DocPartId="2a823b5c7ecb4e639998d419f5a3aad4" PartId="2a46466e717e4dfda7765be9f7e35576"/>
            <Part Type="strPapunktis" Nr="d" Abbr="15 str. 1 d. 3 p. d pp." DocPartId="c9562d197e464a3495da454cf4639ec7" PartId="dc7a3d2750cc4f92b4dc12688424816e"/>
          </Part>
        </Part>
        <Part Type="strDalis" Nr="2" Abbr="15 str. 2 d." DocPartId="4ed3b36efab344d4ba25ad4f0a911762" PartId="0866d40ffb1c4707a103d3d8873cc219"/>
        <Part Type="strDalis" Nr="3" Abbr="15 str. 3 d." DocPartId="cc075e95aa2f49b095c212f654014386" PartId="f6727dc011544106bb777244c71b8b60">
          <Part Type="strPunktas" Nr="1" Abbr="15 str. 3 d. 1 p." DocPartId="d51b903df8274138ae67fc2321f68c2c" PartId="12dd4f1a2ed94875a689487e01ce50e5"/>
          <Part Type="strPunktas" Nr="2" Abbr="15 str. 3 d. 2 p." DocPartId="69c1f06c6c4f48d3bd75f7c730e51885" PartId="a5db9c49d63849fd9a7ff070ec83025f"/>
          <Part Type="strPunktas" Nr="3" Abbr="15 str. 3 d. 3 p." DocPartId="c156727e84684860a230a45276a37888" PartId="8a72fd9cce9e43e7a997a5a37dbcb8ee"/>
        </Part>
        <Part Type="strDalis" Nr="4" Abbr="15 str. 4 d." DocPartId="dcfaada04f574d2f9722601d98608bcd" PartId="838208fe122f4eb2b96eba1ea4faac91"/>
        <Part Type="strDalis" Nr="5" Abbr="15 str. 5 d." DocPartId="18ec12e082f74129a4bb4d604622935e" PartId="16269431279f4ccdb5dbccfb0ac6a90b"/>
        <Part Type="strDalis" Nr="6" Abbr="15 str. 6 d." DocPartId="d046a1bd48fd48488943fd414a72c5c2" PartId="3d0836510a7a47379900b0ca27cc15b2"/>
        <Part Type="strDalis" Nr="7" Abbr="15 str. 7 d." DocPartId="3ea013379dea4149af2645683589472a" PartId="f002fdaff9b84d0992c5969008e3594d"/>
        <Part Type="strDalis" Nr="8" Abbr="15 str. 8 d." DocPartId="0d7eb2e2d72b4d019098555fea268ae8" PartId="21ac9ac1961244b3a6525a9a5444976d"/>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7d0d0f5ac8394120a0ad3d7873167519"/>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11b56ad9e9d847288a64da3afdf6762e"/>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91b89a16cc98433c8c176a57d6d92e42"/>
        <Part Type="strDalis" Nr="4" Abbr="20 str. 4 d." DocPartId="90d7ef09768446bd9c192a4bdfe17369" PartId="c39dc9d0085f47f49dbbb98133a01a2f"/>
        <Part Type="strDalis" Nr="5" Abbr="20 str. 5 d." DocPartId="7da9e999321c4f719900b0a6602090a9" PartId="537455b3e7ae4f9b9069200203e6856c"/>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9e8f1b6653c94afa96c469969bba8358"/>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Type="strDalis" Nr="8" Abbr="8 d." DocPartId="642470ed2f124a4b903f4155a996dd5e" PartId="e3e409b5649e4403a3890d34aef383b0"/>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c08d4c81586b4d0d9526b68d57db72da"/>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Reikalavimai juridiniams asmenims ir asmenims, susijusiems su patikos ar bendrovių, mokesčių konsultavimo paslaugų teikėjais ir nekilnojamojo turto agentais (brokeriais)" DocPartId="a940a501b91244799f9db00e6e1ac7fb" PartId="dd94703979b7499082fc46355d86d236">
        <Part Type="strDalis" Nr="1" Abbr="25 str. 1 d." DocPartId="5ca38b866d8148e1a13a8f62c139e6f3" PartId="6fb4ee7b6e4546b290230a5b0015f592"/>
        <Part Type="strDalis" Nr="2" Abbr="25 str. 2 d." DocPartId="35bb702b3fb844bea8b76d123f60fa14" PartId="b489252039c747bc83186571430e39d5"/>
        <Part Type="strDalis" Nr="3" Abbr="25 str. 3 d." DocPartId="07404d5e86f2444a85afdd8d71668c0b" PartId="c956010991794d4fa9cfd487421f3a71"/>
        <Part Type="strDalis" Nr="4" Abbr="25 str. 4 d." DocPartId="977b7e1706b64c80b98a6a4d2938f413" PartId="ef2d8ccf2c7d489eb788f8ba2a34116f">
          <Part Type="strPunktas" Nr="1" Abbr="25 str. 4 d. 1 p." DocPartId="56edd1c411f94168a9979a4fd28dd733" PartId="16d276a38fb04d1bb837fa67bccfb4d7"/>
          <Part Type="strPunktas" Nr="2" Abbr="25 str. 4 d. 2 p." DocPartId="a62d895919bb48978e1081cd072f82ad" PartId="a6af3f8e0d00416a88e51f2f275935c6"/>
          <Part Type="strPunktas" Nr="3" Abbr="25 str. 4 d. 3 p." DocPartId="e59f05ca1b274357b0f868fbe63b6d6d" PartId="662e4d2b20fb4921bfd9a33ce58a6da0"/>
        </Part>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dd07ab2a0b1e43de8f929ff6d0904cb1"/>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24971a27a5c64a63b745180bcbcd4c70"/>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00bb69f951604a388eb91f0ee579f7a3"/>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2ec1eedc78734cb2996556fefb3a2d28"/>
        <Part Type="strDalis" Nr="4" Abbr="28 str. 4 d." DocPartId="db1df10bb227441796c0130400738d52" PartId="4a615c671ed64fdbb7eefa3f7d50a294"/>
        <Part Type="strDalis" Nr="5" Abbr="28 str. 5 d." DocPartId="43366a51cc3e41e69aa7e9dea1c073b7" PartId="df7339f258be407fb33c1b2bcca0e222"/>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626bdaed8d494736b2d916a68e49a47f"/>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6acd8d7a3be1431b91a79e9ef64efd4f"/>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2-1" Abbr="32-1 str." Title="Kovos su pinigų plovimu ir teroristų finansavimu institucijos rengiami patikrinimai" DocPartId="7d6553d68c5e45bcae3c2eeedde320d4" PartId="d6f4e857744b4f68a48911c6f2c6dbfd">
        <Part Type="strDalis" Nr="1" Abbr="32-1 str. 1 d." DocPartId="5bbe8e2df1cb4c4f9cf77cf3b307e7e3" PartId="5e76d3a499e94f6c8ce5bd161728e813"/>
        <Part Type="strDalis" Nr="2" Abbr="32-1 str. 2 d." DocPartId="ea12579a53c146ecb3035c517b913c66" PartId="95c1db1bf7614b119cb161bbcab60643"/>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f18a31232ee442f4b8902c0d88db1e27"/>
        </Part>
        <Part Type="strDalis" Nr="2" Abbr="36 str. 2 d." DocPartId="13a6b36093324e909c15291fc698a2ce" PartId="18482d75482c43b885a0e61e4e998291"/>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4e866627f5be400abec5a950fd949bfa"/>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efec7214edae492c9aa63ac1523915da"/>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c983b9dfcbfb49de858b23cac26fe984"/>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c8659d16888b4727960a9cc77f1d26ae">
        <Part Type="strDalis" Nr="1" Abbr="49 str. 1 d." DocPartId="1d582a721d374a1985410de58e42f5a6" PartId="f60a0a37bab848d7a8b42d198df8eb52"/>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Type="punktas" Nr="8" Abbr="8 p." DocPartId="d2a9c263eb3c4f5f8023bbb5fd477b4d" PartId="43df60ab39e54835bea6cd3dd2dc6189"/>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customXml/itemProps2.xml><?xml version="1.0" encoding="utf-8"?>
<ds:datastoreItem xmlns:ds="http://schemas.openxmlformats.org/officeDocument/2006/customXml" ds:itemID="{6FFC8117-5A0E-4E29-BDBC-C8CA30ECB4C6}">
  <ds:schemaRefs>
    <ds:schemaRef ds:uri="http://lrs.lt/TAIS/DocParts"/>
  </ds:schemaRefs>
</ds:datastoreItem>
</file>

<file path=customXml/itemProps3.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233</TotalTime>
  <Pages>84</Pages>
  <Words>150594</Words>
  <Characters>85840</Characters>
  <Application>Microsoft Office Word</Application>
  <DocSecurity>0</DocSecurity>
  <Lines>715</Lines>
  <Paragraphs>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235963</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2026-07-03T08:36:00Z</dcterms:modified>
  <revision>86</revision>
  <dc:title>Redagavo: Ramunė Lūžaitė (1998</dc:title>
</coreProperties>
</file>