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2025-07-01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e8ef3e3ceff740789bc5ae1611558703"/>
                    <w:lock w:val="sdtLocked"/>
                    <w:richText/>
                  </w:sdtPr>
                  <w:sdtContent>
                    <w:p>
                      <w:pPr>
                        <w:spacing w:line="360" w:lineRule="auto"/>
                        <w:ind w:firstLine="720"/>
                        <w:jc w:val="both"/>
                        <w:rPr>
                          <w:bCs/>
                          <w:szCs w:val="24"/>
                        </w:rPr>
                      </w:pPr>
                      <w:sdt>
                        <w:sdtPr>
                          <w:alias w:val="Numeris"/>
                          <w:tag w:val="nr_e8ef3e3ceff740789bc5ae1611558703"/>
                          <w:lock w:val="sdtLocked"/>
                          <w:richText/>
                        </w:sdtPr>
                        <w:sdtContent>
                          <w:r>
                            <w:rPr>
                              <w:szCs w:val="24"/>
                            </w:rPr>
                            <w:t>4</w:t>
                          </w:r>
                        </w:sdtContent>
                      </w:sdt>
                      <w:r>
                        <w:rPr>
                          <w:szCs w:val="24"/>
                        </w:rPr>
                        <w:t xml:space="preserve">. </w:t>
                      </w:r>
                      <w:r>
                        <w:rPr>
                          <w:b/>
                          <w:szCs w:val="24"/>
                        </w:rPr>
                        <w:t>Europos priežiūros institucijos</w:t>
                      </w:r>
                      <w:r>
                        <w:rPr>
                          <w:szCs w:val="24"/>
                        </w:rPr>
                        <w:t xml:space="preserve"> – Europos bankininkystės institucija, įsteigta 2010 m. lapkričio 24 d. Europos Parlamento ir Tarybos reglamentu </w:t>
                      </w:r>
                      <w:hyperlink r:id="rId29" w:tgtFrame="_blank" w:history="1">
                        <w:r>
                          <w:rPr>
                            <w:color w:val="0000FF" w:themeColor="hyperlink"/>
                            <w:szCs w:val="24"/>
                            <w:u w:val="single"/>
                          </w:rPr>
                          <w:t>(ES) Nr. 1093/2010</w:t>
                        </w:r>
                      </w:hyperlink>
                      <w:r>
                        <w:rPr>
                          <w:szCs w:val="24"/>
                        </w:rPr>
                        <w:t xml:space="preserve">, kuriuo įsteigiama Europos priežiūros institucija (Europos bankininkystės institucija), iš dalies keičiamas Sprendimas </w:t>
                      </w:r>
                      <w:hyperlink r:id="rId30" w:tgtFrame="_blank" w:history="1">
                        <w:r>
                          <w:rPr>
                            <w:color w:val="0000FF" w:themeColor="hyperlink"/>
                            <w:szCs w:val="24"/>
                            <w:u w:val="single"/>
                          </w:rPr>
                          <w:t>Nr. 716/2009/EB</w:t>
                        </w:r>
                      </w:hyperlink>
                      <w:r>
                        <w:rPr>
                          <w:szCs w:val="24"/>
                        </w:rPr>
                        <w:t xml:space="preserve"> ir panaikinamas Komisijos sprendimas </w:t>
                      </w:r>
                      <w:hyperlink r:id="rId31" w:tgtFrame="_blank" w:history="1">
                        <w:r>
                          <w:rPr>
                            <w:color w:val="0000FF" w:themeColor="hyperlink"/>
                            <w:szCs w:val="24"/>
                            <w:u w:val="single"/>
                          </w:rPr>
                          <w:t>2009/78/EB</w:t>
                        </w:r>
                      </w:hyperlink>
                      <w:r>
                        <w:rPr>
                          <w:szCs w:val="24"/>
                        </w:rPr>
                        <w:t xml:space="preserve">, su visais pakeitimais, Europos draudimo ir profesinių pensijų institucija, įsteigta 2010 m. lapkričio 24 d. Europos Parlamento ir Tarybos reglamentu </w:t>
                      </w:r>
                      <w:hyperlink r:id="rId32" w:tgtFrame="_blank" w:history="1">
                        <w:r>
                          <w:rPr>
                            <w:color w:val="0000FF" w:themeColor="hyperlink"/>
                            <w:szCs w:val="24"/>
                            <w:u w:val="single"/>
                          </w:rPr>
                          <w:t>(ES) Nr. 1094/2010</w:t>
                        </w:r>
                      </w:hyperlink>
                      <w:r>
                        <w:rPr>
                          <w:szCs w:val="24"/>
                        </w:rPr>
                        <w:t xml:space="preserve">, kuriuo įsteigiama Europos priežiūros institucija (Europos draudimo ir profesinių pensijų institucija), iš dalies keičiamas Sprendimas </w:t>
                      </w:r>
                      <w:hyperlink r:id="rId33" w:tgtFrame="_blank" w:history="1">
                        <w:r>
                          <w:rPr>
                            <w:color w:val="0000FF" w:themeColor="hyperlink"/>
                            <w:szCs w:val="24"/>
                            <w:u w:val="single"/>
                          </w:rPr>
                          <w:t>Nr. 716/2009/EB</w:t>
                        </w:r>
                      </w:hyperlink>
                      <w:r>
                        <w:rPr>
                          <w:szCs w:val="24"/>
                        </w:rPr>
                        <w:t xml:space="preserve"> ir panaikinamas Komisijos sprendimas </w:t>
                      </w:r>
                      <w:hyperlink r:id="rId34" w:tgtFrame="_blank" w:history="1">
                        <w:r>
                          <w:rPr>
                            <w:color w:val="0000FF" w:themeColor="hyperlink"/>
                            <w:szCs w:val="24"/>
                            <w:u w:val="single"/>
                          </w:rPr>
                          <w:t>2009/79/EB</w:t>
                        </w:r>
                      </w:hyperlink>
                      <w:r>
                        <w:rPr>
                          <w:szCs w:val="24"/>
                        </w:rPr>
                        <w:t xml:space="preserve">, su visais pakeitimais, Europos vertybinių popierių ir rinkų institucija, įsteigta 2010 m. lapkričio 24 d. Europos Parlamento ir Tarybos reglamentu </w:t>
                      </w:r>
                      <w:hyperlink r:id="rId35" w:tgtFrame="_blank" w:history="1">
                        <w:r>
                          <w:rPr>
                            <w:color w:val="0000FF" w:themeColor="hyperlink"/>
                            <w:szCs w:val="24"/>
                            <w:u w:val="single"/>
                          </w:rPr>
                          <w:t>(ES) Nr. 1095/2010</w:t>
                        </w:r>
                      </w:hyperlink>
                      <w:r>
                        <w:rPr>
                          <w:szCs w:val="24"/>
                        </w:rPr>
                        <w:t xml:space="preserve">, kuriuo įsteigiama Europos priežiūros institucija (Europos vertybinių popierių ir rinkų institucija) ir iš dalies keičiamas Sprendimas </w:t>
                      </w:r>
                      <w:hyperlink r:id="rId36" w:tgtFrame="_blank" w:history="1">
                        <w:r>
                          <w:rPr>
                            <w:color w:val="0000FF" w:themeColor="hyperlink"/>
                            <w:szCs w:val="24"/>
                            <w:u w:val="single"/>
                          </w:rPr>
                          <w:t>Nr. 716/2009/EB</w:t>
                        </w:r>
                      </w:hyperlink>
                      <w:r>
                        <w:rPr>
                          <w:szCs w:val="24"/>
                        </w:rPr>
                        <w:t xml:space="preserve"> bei panaikinamas Komisijos sprendimas </w:t>
                      </w:r>
                      <w:hyperlink r:id="rId37" w:tgtFrame="_blank" w:history="1">
                        <w:r>
                          <w:rPr>
                            <w:color w:val="0000FF" w:themeColor="hyperlink"/>
                            <w:szCs w:val="24"/>
                            <w:u w:val="single"/>
                          </w:rPr>
                          <w:t>2009/77/EB</w:t>
                        </w:r>
                      </w:hyperlink>
                      <w:r>
                        <w:rPr>
                          <w:szCs w:val="24"/>
                        </w:rPr>
                        <w:t xml:space="preserve">, su visais pakeitimais, ir Europos Sąjungos Kovos su pinigų plovimu ir teroristų finansavimu institucija, įsteigta </w:t>
                      </w:r>
                      <w:r>
                        <w:rPr>
                          <w:szCs w:val="24"/>
                          <w:lang w:eastAsia="lt-LT"/>
                        </w:rPr>
                        <w:t xml:space="preserve">2024 m. gegužės 31 d. </w:t>
                      </w:r>
                      <w:r>
                        <w:rPr>
                          <w:szCs w:val="24"/>
                        </w:rPr>
                        <w:t xml:space="preserve">Europos Parlamento ir Tarybos reglamentu </w:t>
                      </w:r>
                      <w:hyperlink r:id="rId38" w:tgtFrame="_blank" w:history="1">
                        <w:r>
                          <w:rPr>
                            <w:color w:val="0000FF" w:themeColor="hyperlink"/>
                            <w:szCs w:val="24"/>
                            <w:u w:val="single"/>
                          </w:rPr>
                          <w:t>(ES) 2024/1620</w:t>
                        </w:r>
                      </w:hyperlink>
                      <w:r>
                        <w:rPr>
                          <w:szCs w:val="24"/>
                        </w:rPr>
                        <w:t xml:space="preserve">, kuriuo įsteigiama Kovos su pinigų plovimu ir teroristų finansavimu institucija ir iš dalies keičiami reglamentai </w:t>
                      </w:r>
                      <w:hyperlink r:id="rId39" w:tgtFrame="_blank" w:history="1">
                        <w:r>
                          <w:rPr>
                            <w:color w:val="0000FF" w:themeColor="hyperlink"/>
                            <w:szCs w:val="24"/>
                            <w:u w:val="single"/>
                          </w:rPr>
                          <w:t>(ES) Nr. 1093/2010</w:t>
                        </w:r>
                      </w:hyperlink>
                      <w:r>
                        <w:rPr>
                          <w:szCs w:val="24"/>
                        </w:rPr>
                        <w:t xml:space="preserve">, </w:t>
                      </w:r>
                      <w:hyperlink r:id="rId40" w:tgtFrame="_blank" w:history="1">
                        <w:r>
                          <w:rPr>
                            <w:color w:val="0000FF" w:themeColor="hyperlink"/>
                            <w:szCs w:val="24"/>
                            <w:u w:val="single"/>
                          </w:rPr>
                          <w:t>(ES) Nr. 1094/2010</w:t>
                        </w:r>
                      </w:hyperlink>
                      <w:r>
                        <w:rPr>
                          <w:szCs w:val="24"/>
                        </w:rPr>
                        <w:t xml:space="preserve"> ir </w:t>
                      </w:r>
                      <w:hyperlink r:id="rId41" w:tgtFrame="_blank" w:history="1">
                        <w:r>
                          <w:rPr>
                            <w:color w:val="0000FF" w:themeColor="hyperlink"/>
                            <w:szCs w:val="24"/>
                            <w:u w:val="single"/>
                          </w:rPr>
                          <w:t>(ES) Nr. 1095/2010</w:t>
                        </w:r>
                      </w:hyperlink>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210f1f0e6aa46ce992bfcd0b52f0c1f"/>
                    <w:lock w:val="sdtLocked"/>
                    <w:richText/>
                  </w:sdtPr>
                  <w:sdtContent>
                    <w:p>
                      <w:pPr>
                        <w:spacing w:line="360" w:lineRule="auto"/>
                        <w:ind w:firstLine="720"/>
                        <w:jc w:val="both"/>
                        <w:rPr>
                          <w:szCs w:val="24"/>
                        </w:rPr>
                      </w:pPr>
                      <w:sdt>
                        <w:sdtPr>
                          <w:alias w:val="Numeris"/>
                          <w:tag w:val="nr_a210f1f0e6aa46ce992bfcd0b52f0c1f"/>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hyperlink r:id="rId42" w:tgtFrame="_blank" w:history="1">
                        <w:r>
                          <w:rPr>
                            <w:color w:val="0000FF" w:themeColor="hyperlink"/>
                            <w:szCs w:val="24"/>
                            <w:u w:val="single"/>
                            <w:lang w:eastAsia="lt-LT"/>
                          </w:rPr>
                          <w:t>(ES) 2020/1503</w:t>
                        </w:r>
                      </w:hyperlink>
                      <w:r>
                        <w:rPr>
                          <w:szCs w:val="24"/>
                        </w:rPr>
                        <w:t xml:space="preserve"> dėl Europos sutelktinio finansavimo paslaugų verslui teikėjų, kuriuo iš dalies keičiamas Reglamentas </w:t>
                      </w:r>
                      <w:hyperlink r:id="rId43" w:tgtFrame="_blank" w:history="1">
                        <w:r>
                          <w:rPr>
                            <w:color w:val="0000FF" w:themeColor="hyperlink"/>
                            <w:szCs w:val="24"/>
                            <w:u w:val="single"/>
                            <w:lang w:eastAsia="lt-LT"/>
                          </w:rPr>
                          <w:t>(ES) 2017/1129</w:t>
                        </w:r>
                      </w:hyperlink>
                      <w:r>
                        <w:rPr>
                          <w:szCs w:val="24"/>
                        </w:rPr>
                        <w:t xml:space="preserve"> ir Direktyva </w:t>
                      </w:r>
                      <w:hyperlink r:id="rId44" w:tgtFrame="_blank" w:history="1">
                        <w:r>
                          <w:rPr>
                            <w:color w:val="0000FF" w:themeColor="hyperlink"/>
                            <w:szCs w:val="24"/>
                            <w:u w:val="single"/>
                          </w:rPr>
                          <w:t>(ES) 2019/1937</w:t>
                        </w:r>
                      </w:hyperlink>
                      <w:r>
                        <w:rPr>
                          <w:szCs w:val="24"/>
                        </w:rPr>
                        <w:t>,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ir kurios teikia paslaugas Lietuvos Respublikoje per tarpininkus, fizinius ar juridinius asmenis, taip pat kriptoturto paslaugų teikėjai.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4f1d1ed28d4b4a97ac4bd280950f396d"/>
                        <w:lock w:val="sdtLocked"/>
                        <w:richText/>
                      </w:sdtPr>
                      <w:sdtContent>
                        <w:p>
                          <w:pPr>
                            <w:spacing w:line="360" w:lineRule="auto"/>
                            <w:ind w:firstLine="720"/>
                            <w:jc w:val="both"/>
                          </w:pPr>
                          <w:sdt>
                            <w:sdtPr>
                              <w:alias w:val="Numeris"/>
                              <w:tag w:val="nr_4f1d1ed28d4b4a97ac4bd280950f396d"/>
                              <w:lock w:val="sdtLocked"/>
                              <w:richText/>
                            </w:sdtPr>
                            <w:sdtContent>
                              <w:r>
                                <w:rPr>
                                  <w:szCs w:val="24"/>
                                </w:rPr>
                                <w:t>2</w:t>
                              </w:r>
                            </w:sdtContent>
                          </w:sdt>
                          <w:r>
                            <w:rPr>
                              <w:szCs w:val="24"/>
                            </w:rPr>
                            <w:t>) finansų įstaigų tarpusavio santykiai, įskaitant atvejus, kai korespondento įstaiga teikia panašias paslaugas respondento įstaigai, ir santykius, užmegztus vertybinių popierių sandorių arba lėšų pervedimo tikslais, arba santykius, užmegztus kriptoturto operacijų ar kriptoturto pervedimų tikslu.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
                  <w:sdtPr>
                    <w:alias w:val="12-1 d."/>
                    <w:tag w:val="part_6701be3ca1db41e3953cd7acbf645965"/>
                    <w:lock w:val="sdtLocked"/>
                    <w:richText/>
                  </w:sdtPr>
                  <w:sdtContent>
                    <w:p>
                      <w:pPr>
                        <w:spacing w:line="360" w:lineRule="auto"/>
                        <w:ind w:firstLine="720"/>
                        <w:jc w:val="both"/>
                      </w:pPr>
                      <w:sdt>
                        <w:sdtPr>
                          <w:alias w:val="Numeris"/>
                          <w:tag w:val="nr_6701be3ca1db41e3953cd7acbf645965"/>
                          <w:lock w:val="sdtLocked"/>
                          <w:richText/>
                        </w:sdtPr>
                        <w:sdtContent>
                          <w:r>
                            <w:rPr>
                              <w:szCs w:val="24"/>
                            </w:rPr>
                            <w:t>12</w:t>
                          </w:r>
                          <w:r>
                            <w:rPr>
                              <w:szCs w:val="24"/>
                              <w:vertAlign w:val="superscript"/>
                            </w:rPr>
                            <w:t>1</w:t>
                          </w:r>
                        </w:sdtContent>
                      </w:sdt>
                      <w:r>
                        <w:rPr>
                          <w:szCs w:val="24"/>
                        </w:rPr>
                        <w:t xml:space="preserve">. </w:t>
                      </w:r>
                      <w:r>
                        <w:rPr>
                          <w:b/>
                          <w:bCs/>
                          <w:szCs w:val="24"/>
                        </w:rPr>
                        <w:t>Kriptoturtas</w:t>
                      </w:r>
                      <w:r>
                        <w:rPr>
                          <w:szCs w:val="24"/>
                        </w:rPr>
                        <w:t xml:space="preserve"> – kaip apibrėžta 2023 m. gegužės 31 d. Europos Parlamento ir Tarybos reglamento </w:t>
                      </w:r>
                      <w:hyperlink r:id="rId52" w:tgtFrame="_blank" w:history="1">
                        <w:r>
                          <w:rPr>
                            <w:color w:val="0000FF" w:themeColor="hyperlink"/>
                            <w:szCs w:val="24"/>
                            <w:u w:val="single"/>
                          </w:rPr>
                          <w:t>(ES) 2023/1114</w:t>
                        </w:r>
                      </w:hyperlink>
                      <w:r>
                        <w:rPr>
                          <w:szCs w:val="24"/>
                        </w:rPr>
                        <w:t xml:space="preserve"> dėl kriptoturto rinkų, kuriuo iš dalies keičiami reglamentai </w:t>
                      </w:r>
                      <w:hyperlink r:id="rId53" w:tgtFrame="_blank" w:history="1">
                        <w:r>
                          <w:rPr>
                            <w:color w:val="0000FF" w:themeColor="hyperlink"/>
                            <w:szCs w:val="24"/>
                            <w:u w:val="single"/>
                          </w:rPr>
                          <w:t>(ES) Nr. 1093/2010</w:t>
                        </w:r>
                      </w:hyperlink>
                      <w:r>
                        <w:rPr>
                          <w:szCs w:val="24"/>
                        </w:rPr>
                        <w:t xml:space="preserve"> bei </w:t>
                      </w:r>
                      <w:hyperlink r:id="rId54" w:tgtFrame="_blank" w:history="1">
                        <w:r>
                          <w:rPr>
                            <w:color w:val="0000FF" w:themeColor="hyperlink"/>
                            <w:szCs w:val="24"/>
                            <w:u w:val="single"/>
                          </w:rPr>
                          <w:t>(ES) Nr. 1095/2010</w:t>
                        </w:r>
                      </w:hyperlink>
                      <w:r>
                        <w:rPr>
                          <w:szCs w:val="24"/>
                        </w:rPr>
                        <w:t xml:space="preserve"> ir direktyvos </w:t>
                      </w:r>
                      <w:hyperlink r:id="rId55" w:tgtFrame="_blank" w:history="1">
                        <w:r>
                          <w:rPr>
                            <w:color w:val="0000FF" w:themeColor="hyperlink"/>
                            <w:szCs w:val="24"/>
                            <w:u w:val="single"/>
                          </w:rPr>
                          <w:t>2013/36/ES</w:t>
                        </w:r>
                      </w:hyperlink>
                      <w:r>
                        <w:rPr>
                          <w:szCs w:val="24"/>
                        </w:rPr>
                        <w:t xml:space="preserve"> bei </w:t>
                      </w:r>
                      <w:hyperlink r:id="rId56" w:tgtFrame="_blank" w:history="1">
                        <w:r>
                          <w:rPr>
                            <w:color w:val="0000FF" w:themeColor="hyperlink"/>
                            <w:szCs w:val="24"/>
                            <w:u w:val="single"/>
                          </w:rPr>
                          <w:t>(ES) 2019/1937</w:t>
                        </w:r>
                      </w:hyperlink>
                      <w:r>
                        <w:rPr>
                          <w:szCs w:val="24"/>
                        </w:rPr>
                        <w:t xml:space="preserve">, 3 straipsnio 1 dalies 5 punkte, išskyrus kriptoturtą, priskiriamą prie Reglamento </w:t>
                      </w:r>
                      <w:hyperlink r:id="rId57" w:tgtFrame="_blank" w:history="1">
                        <w:r>
                          <w:rPr>
                            <w:color w:val="0000FF" w:themeColor="hyperlink"/>
                            <w:szCs w:val="24"/>
                            <w:u w:val="single"/>
                          </w:rPr>
                          <w:t>(ES) 2023/1114</w:t>
                        </w:r>
                      </w:hyperlink>
                      <w:r>
                        <w:rPr>
                          <w:szCs w:val="24"/>
                        </w:rPr>
                        <w:t xml:space="preserve"> 2 straipsnio 2–4 dalyse nurodytų kategorijų arba pagal kitus kriterijus laikomą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2 d."/>
                    <w:tag w:val="part_d74f0731f7b84cddbf3226dcb8fdce56"/>
                    <w:lock w:val="sdtLocked"/>
                    <w:richText/>
                  </w:sdtPr>
                  <w:sdtContent>
                    <w:p>
                      <w:pPr>
                        <w:spacing w:line="360" w:lineRule="auto"/>
                        <w:ind w:firstLine="720"/>
                        <w:jc w:val="both"/>
                      </w:pPr>
                      <w:sdt>
                        <w:sdtPr>
                          <w:alias w:val="Numeris"/>
                          <w:tag w:val="nr_d74f0731f7b84cddbf3226dcb8fdce56"/>
                          <w:lock w:val="sdtLocked"/>
                          <w:richText/>
                        </w:sdtPr>
                        <w:sdtContent>
                          <w:r>
                            <w:rPr>
                              <w:szCs w:val="24"/>
                            </w:rPr>
                            <w:t>12</w:t>
                          </w:r>
                          <w:r>
                            <w:rPr>
                              <w:szCs w:val="24"/>
                              <w:vertAlign w:val="superscript"/>
                            </w:rPr>
                            <w:t>2</w:t>
                          </w:r>
                        </w:sdtContent>
                      </w:sdt>
                      <w:r>
                        <w:rPr>
                          <w:szCs w:val="24"/>
                        </w:rPr>
                        <w:t xml:space="preserve">. </w:t>
                      </w:r>
                      <w:r>
                        <w:rPr>
                          <w:b/>
                          <w:bCs/>
                          <w:szCs w:val="24"/>
                        </w:rPr>
                        <w:t>Kriptoturto adresas</w:t>
                      </w:r>
                      <w:r>
                        <w:rPr>
                          <w:szCs w:val="24"/>
                        </w:rPr>
                        <w:t xml:space="preserve"> – viešuoju raktu iš raidžių, skaitmenų ir (ar) simbolių blokų grandinėje sugeneruojamas adresas (sąskaita), pagal kurį blokų grandinė priskiria kriptoturtą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2-3 d."/>
                    <w:tag w:val="part_2ea3ff26a0f6466aba95e9a9f21fa2c5"/>
                    <w:lock w:val="sdtLocked"/>
                    <w:richText/>
                  </w:sdtPr>
                  <w:sdtContent>
                    <w:p>
                      <w:pPr>
                        <w:spacing w:line="360" w:lineRule="auto"/>
                        <w:ind w:firstLine="720"/>
                        <w:jc w:val="both"/>
                        <w:rPr>
                          <w:bCs/>
                          <w:szCs w:val="24"/>
                        </w:rPr>
                      </w:pPr>
                      <w:sdt>
                        <w:sdtPr>
                          <w:alias w:val="Numeris"/>
                          <w:tag w:val="nr_2ea3ff26a0f6466aba95e9a9f21fa2c5"/>
                          <w:lock w:val="sdtLocked"/>
                          <w:richText/>
                        </w:sdtPr>
                        <w:sdtContent>
                          <w:r>
                            <w:rPr>
                              <w:szCs w:val="24"/>
                            </w:rPr>
                            <w:t>12</w:t>
                          </w:r>
                          <w:r>
                            <w:rPr>
                              <w:szCs w:val="24"/>
                              <w:vertAlign w:val="superscript"/>
                            </w:rPr>
                            <w:t>3</w:t>
                          </w:r>
                        </w:sdtContent>
                      </w:sdt>
                      <w:r>
                        <w:rPr>
                          <w:szCs w:val="24"/>
                        </w:rPr>
                        <w:t xml:space="preserve">. </w:t>
                      </w:r>
                      <w:r>
                        <w:rPr>
                          <w:b/>
                          <w:bCs/>
                          <w:szCs w:val="24"/>
                        </w:rPr>
                        <w:t>Kriptoturto paslaugų teikėjas</w:t>
                      </w:r>
                      <w:r>
                        <w:rPr>
                          <w:szCs w:val="24"/>
                        </w:rPr>
                        <w:t xml:space="preserve"> – Reglamento </w:t>
                      </w:r>
                      <w:hyperlink r:id="rId58" w:tgtFrame="_blank" w:history="1">
                        <w:r>
                          <w:rPr>
                            <w:color w:val="0000FF" w:themeColor="hyperlink"/>
                            <w:szCs w:val="24"/>
                            <w:u w:val="single"/>
                          </w:rPr>
                          <w:t>(ES) 2023/1114</w:t>
                        </w:r>
                      </w:hyperlink>
                      <w:r>
                        <w:rPr>
                          <w:szCs w:val="24"/>
                        </w:rPr>
                        <w:t xml:space="preserve"> 3 straipsnio 1 dalies 15 punkte apibrėžtas subjektas, teikiantis vieną ar daugiau kriptoturto paslaugų, kaip jos apibrėžtos Reglamento </w:t>
                      </w:r>
                      <w:hyperlink r:id="rId59" w:tgtFrame="_blank" w:history="1">
                        <w:r>
                          <w:rPr>
                            <w:color w:val="0000FF" w:themeColor="hyperlink"/>
                            <w:szCs w:val="24"/>
                            <w:u w:val="single"/>
                          </w:rPr>
                          <w:t>(ES) 2023/1114</w:t>
                        </w:r>
                      </w:hyperlink>
                      <w:r>
                        <w:rPr>
                          <w:szCs w:val="24"/>
                        </w:rPr>
                        <w:t xml:space="preserve"> 3 straipsnio 1 dalies 16 punkte, išskyrus konsultacijų dėl kriptoturto teikimą, kaip nurodyta Reglamento </w:t>
                      </w:r>
                      <w:hyperlink r:id="rId60" w:tgtFrame="_blank" w:history="1">
                        <w:r>
                          <w:rPr>
                            <w:color w:val="0000FF" w:themeColor="hyperlink"/>
                            <w:szCs w:val="24"/>
                            <w:u w:val="single"/>
                          </w:rPr>
                          <w:t>(ES) 2023/1114</w:t>
                        </w:r>
                      </w:hyperlink>
                      <w:r>
                        <w:rPr>
                          <w:szCs w:val="24"/>
                        </w:rPr>
                        <w:t xml:space="preserve"> 3 straipsnio 1 dalies 16 punkto h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91c8d49f8d24d9abe3e6b4a5b7d1a51"/>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8-1 d."/>
                    <w:tag w:val="part_814952c27bb34dd1bcb43422377ad7e2"/>
                    <w:lock w:val="sdtLocked"/>
                    <w:richText/>
                  </w:sdtPr>
                  <w:sdtContent>
                    <w:p>
                      <w:pPr>
                        <w:spacing w:line="360" w:lineRule="auto"/>
                        <w:ind w:firstLine="720"/>
                        <w:jc w:val="both"/>
                        <w:rPr>
                          <w:szCs w:val="24"/>
                        </w:rPr>
                      </w:pPr>
                      <w:sdt>
                        <w:sdtPr>
                          <w:alias w:val="Numeris"/>
                          <w:tag w:val="nr_814952c27bb34dd1bcb43422377ad7e2"/>
                          <w:lock w:val="sdtLocked"/>
                          <w:richText/>
                        </w:sdtPr>
                        <w:sdtContent>
                          <w:r>
                            <w:rPr>
                              <w:szCs w:val="24"/>
                            </w:rPr>
                            <w:t>18</w:t>
                          </w:r>
                          <w:r>
                            <w:rPr>
                              <w:szCs w:val="24"/>
                              <w:vertAlign w:val="superscript"/>
                            </w:rPr>
                            <w:t>1</w:t>
                          </w:r>
                        </w:sdtContent>
                      </w:sdt>
                      <w:r>
                        <w:rPr>
                          <w:szCs w:val="24"/>
                        </w:rPr>
                        <w:t xml:space="preserve">. </w:t>
                      </w:r>
                      <w:r>
                        <w:rPr>
                          <w:b/>
                          <w:bCs/>
                          <w:szCs w:val="24"/>
                        </w:rPr>
                        <w:t>Saviprieglobis adresas</w:t>
                      </w:r>
                      <w:r>
                        <w:rPr>
                          <w:szCs w:val="24"/>
                        </w:rPr>
                        <w:t xml:space="preserve"> – kaip apibrėžta Reglamento </w:t>
                      </w:r>
                      <w:hyperlink r:id="rId61" w:tgtFrame="_blank" w:history="1">
                        <w:r>
                          <w:rPr>
                            <w:color w:val="0000FF" w:themeColor="hyperlink"/>
                            <w:szCs w:val="24"/>
                            <w:u w:val="single"/>
                          </w:rPr>
                          <w:t>(ES) 2023/1113</w:t>
                        </w:r>
                      </w:hyperlink>
                      <w:r>
                        <w:rPr>
                          <w:szCs w:val="24"/>
                        </w:rPr>
                        <w:t xml:space="preserve"> 3 straipsnio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0a6700cc2ae549c9800eadc1c49c784d"/>
                        <w:lock w:val="sdtLocked"/>
                        <w:richText/>
                      </w:sdtPr>
                      <w:sdtContent>
                        <w:p>
                          <w:pPr>
                            <w:spacing w:line="360" w:lineRule="auto"/>
                            <w:ind w:firstLine="720"/>
                            <w:jc w:val="both"/>
                            <w:rPr>
                              <w:szCs w:val="24"/>
                            </w:rPr>
                          </w:pPr>
                          <w:sdt>
                            <w:sdtPr>
                              <w:alias w:val="Numeris"/>
                              <w:tag w:val="nr_0a6700cc2ae549c9800eadc1c49c784d"/>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ir įmonių grupių atskaitomybės įstatymą, valdymo ar priežiūros organo narys;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d9edb41157684ee785385fc70d4bfe77"/>
                    <w:lock w:val="sdtLocked"/>
                    <w:richText/>
                  </w:sdtPr>
                  <w:sdtContent>
                    <w:p>
                      <w:pPr>
                        <w:spacing w:line="360" w:lineRule="auto"/>
                        <w:ind w:firstLine="720"/>
                        <w:jc w:val="both"/>
                        <w:rPr>
                          <w:szCs w:val="24"/>
                        </w:rPr>
                      </w:pPr>
                      <w:sdt>
                        <w:sdtPr>
                          <w:alias w:val="Numeris"/>
                          <w:tag w:val="nr_d9edb41157684ee785385fc70d4bfe77"/>
                          <w:lock w:val="sdtLocked"/>
                          <w:richText/>
                        </w:sdtPr>
                        <w:sdtContent>
                          <w:r>
                            <w:rPr>
                              <w:szCs w:val="24"/>
                            </w:rPr>
                            <w:t>1</w:t>
                          </w:r>
                        </w:sdtContent>
                      </w:sdt>
                      <w:r>
                        <w:rPr>
                          <w:szCs w:val="24"/>
                        </w:rPr>
                        <w:t xml:space="preserve">. Lietuvos bankas nustato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ir kurios teikia paslaugas Lietuvos Respublikoje per tarpininkus, fizinius ar juridinius asmenis, kriptoturto paslaugų teikėjams skirtus nurodymus, kuriais siekiama užkirsti kelią pinigų plovimui ir (ar) teroristų finansavimui, prižiūri šių subjektų veiklą, susijusią su pinigų plovimo ir (ar) teroristų finansavimo prevencijos priemonių įgyvendinimu, išskyrus atvejus, kai pagal Reglamentą </w:t>
                      </w:r>
                      <w:hyperlink r:id="rId45" w:tgtFrame="_blank" w:history="1">
                        <w:r>
                          <w:rPr>
                            <w:color w:val="0000FF" w:themeColor="hyperlink"/>
                            <w:szCs w:val="24"/>
                            <w:u w:val="single"/>
                          </w:rPr>
                          <w:t>(ES) 2024/1620</w:t>
                        </w:r>
                      </w:hyperlink>
                      <w:r>
                        <w:rPr>
                          <w:szCs w:val="24"/>
                        </w:rPr>
                        <w:t xml:space="preserve"> priežiūrą atlieka Europos Sąjungos Kovos su pinigų plovimu ir teroristų finansavimu institucija (toliau – Kovos su pinigų plovimu ir teroristų finansavimu institucija), konsultuoja šiuos subjektus šioje dalyje nurodytų nurodymų įgyvendinimo klausimais. Kriptoturto paslaugų teikėjams skirti nurodymai nustatomi suderinus su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str. 2 d."/>
                    <w:tag w:val="part_828550a37e3f4e4c810144fa10d2d565"/>
                    <w:lock w:val="sdtLocked"/>
                    <w:richText/>
                  </w:sdtPr>
                  <w:sdtContent>
                    <w:p>
                      <w:pPr>
                        <w:spacing w:line="360" w:lineRule="auto"/>
                        <w:ind w:firstLine="720"/>
                        <w:jc w:val="both"/>
                        <w:rPr>
                          <w:bCs/>
                          <w:szCs w:val="24"/>
                        </w:rPr>
                      </w:pPr>
                      <w:sdt>
                        <w:sdtPr>
                          <w:alias w:val="Numeris"/>
                          <w:tag w:val="nr_828550a37e3f4e4c810144fa10d2d565"/>
                          <w:lock w:val="sdtLocked"/>
                          <w:richText/>
                        </w:sdtPr>
                        <w:sdtContent>
                          <w:r>
                            <w:rPr>
                              <w:szCs w:val="24"/>
                            </w:rPr>
                            <w:t>2</w:t>
                          </w:r>
                        </w:sdtContent>
                      </w:sdt>
                      <w:r>
                        <w:rPr>
                          <w:szCs w:val="24"/>
                        </w:rPr>
                        <w:t>. Kultūros paveldo departamentas nustato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6c0026f28a8945b3909ac06ab8d58586"/>
                    <w:lock w:val="sdtLocked"/>
                    <w:richText/>
                  </w:sdtPr>
                  <w:sdtContent>
                    <w:p>
                      <w:pPr>
                        <w:spacing w:line="360" w:lineRule="auto"/>
                        <w:ind w:firstLine="720"/>
                        <w:jc w:val="both"/>
                        <w:rPr>
                          <w:bCs/>
                          <w:szCs w:val="24"/>
                        </w:rPr>
                      </w:pPr>
                      <w:sdt>
                        <w:sdtPr>
                          <w:alias w:val="Numeris"/>
                          <w:tag w:val="nr_6c0026f28a8945b3909ac06ab8d58586"/>
                          <w:lock w:val="sdtLocked"/>
                          <w:richText/>
                        </w:sdtPr>
                        <w:sdtContent>
                          <w:r>
                            <w:rPr>
                              <w:szCs w:val="24"/>
                            </w:rPr>
                            <w:t>4</w:t>
                          </w:r>
                        </w:sdtContent>
                      </w:sdt>
                      <w:r>
                        <w:rPr>
                          <w:szCs w:val="24"/>
                        </w:rPr>
                        <w:t>. Lietuvos advokatūra nustato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5 d."/>
                    <w:tag w:val="part_f6a5dd2b5cdf4abb87949f74fc8a2d4b"/>
                    <w:lock w:val="sdtLocked"/>
                    <w:richText/>
                  </w:sdtPr>
                  <w:sdtContent>
                    <w:p>
                      <w:pPr>
                        <w:spacing w:line="360" w:lineRule="auto"/>
                        <w:ind w:firstLine="720"/>
                        <w:jc w:val="both"/>
                        <w:rPr>
                          <w:bCs/>
                          <w:szCs w:val="24"/>
                        </w:rPr>
                      </w:pPr>
                      <w:sdt>
                        <w:sdtPr>
                          <w:alias w:val="Numeris"/>
                          <w:tag w:val="nr_f6a5dd2b5cdf4abb87949f74fc8a2d4b"/>
                          <w:lock w:val="sdtLocked"/>
                          <w:richText/>
                        </w:sdtPr>
                        <w:sdtContent>
                          <w:r>
                            <w:rPr>
                              <w:szCs w:val="24"/>
                            </w:rPr>
                            <w:t>5</w:t>
                          </w:r>
                        </w:sdtContent>
                      </w:sdt>
                      <w:r>
                        <w:rPr>
                          <w:szCs w:val="24"/>
                        </w:rPr>
                        <w:t>. Lietuvos notarų rūmai nustato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6 d."/>
                    <w:tag w:val="part_2368e81be76e4a508dbd1d6d3577c037"/>
                    <w:lock w:val="sdtLocked"/>
                    <w:richText/>
                  </w:sdtPr>
                  <w:sdtContent>
                    <w:p>
                      <w:pPr>
                        <w:spacing w:line="360" w:lineRule="auto"/>
                        <w:ind w:firstLine="720"/>
                        <w:jc w:val="both"/>
                        <w:rPr>
                          <w:bCs/>
                          <w:szCs w:val="24"/>
                        </w:rPr>
                      </w:pPr>
                      <w:sdt>
                        <w:sdtPr>
                          <w:alias w:val="Numeris"/>
                          <w:tag w:val="nr_2368e81be76e4a508dbd1d6d3577c037"/>
                          <w:lock w:val="sdtLocked"/>
                          <w:richText/>
                        </w:sdtPr>
                        <w:sdtContent>
                          <w:r>
                            <w:rPr>
                              <w:szCs w:val="24"/>
                            </w:rPr>
                            <w:t>6</w:t>
                          </w:r>
                        </w:sdtContent>
                      </w:sdt>
                      <w:r>
                        <w:rPr>
                          <w:szCs w:val="24"/>
                        </w:rPr>
                        <w:t xml:space="preserve">. Lietuvos auditorių rūmai </w:t>
                      </w:r>
                      <w:r>
                        <w:rPr>
                          <w:bCs/>
                          <w:szCs w:val="24"/>
                        </w:rPr>
                        <w:t>nustato auditoriams</w:t>
                      </w:r>
                      <w:r>
                        <w:rPr>
                          <w:szCs w:val="24"/>
                        </w:rPr>
                        <w:t xml:space="preserve"> skirtus nurodymus, kuriais siekiama užkirsti kelią pinigų plovimui ir (ar) teroristų finansavimui, prižiūri auditorių veiklą, susijusią su pinigų plovimo ir (ar) teroristų finansavimo prevencijos priemonių įgyvendinimu, konsultuoja auditorius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7 d."/>
                    <w:tag w:val="part_59080e964ee74df9ba8230cffc1110ff"/>
                    <w:lock w:val="sdtLocked"/>
                    <w:richText/>
                  </w:sdtPr>
                  <w:sdtContent>
                    <w:p>
                      <w:pPr>
                        <w:spacing w:line="360" w:lineRule="auto"/>
                        <w:ind w:firstLine="720"/>
                        <w:jc w:val="both"/>
                        <w:rPr>
                          <w:szCs w:val="24"/>
                        </w:rPr>
                      </w:pPr>
                      <w:sdt>
                        <w:sdtPr>
                          <w:alias w:val="Numeris"/>
                          <w:tag w:val="nr_59080e964ee74df9ba8230cffc1110ff"/>
                          <w:lock w:val="sdtLocked"/>
                          <w:richText/>
                        </w:sdtPr>
                        <w:sdtContent>
                          <w:r>
                            <w:rPr>
                              <w:szCs w:val="24"/>
                            </w:rPr>
                            <w:t>7</w:t>
                          </w:r>
                        </w:sdtContent>
                      </w:sdt>
                      <w:r>
                        <w:rPr>
                          <w:szCs w:val="24"/>
                        </w:rPr>
                        <w:t xml:space="preserve">. Lietuvos antstolių rūmai </w:t>
                      </w:r>
                      <w:r>
                        <w:rPr>
                          <w:bCs/>
                          <w:szCs w:val="24"/>
                        </w:rPr>
                        <w:t xml:space="preserve">nustato </w:t>
                      </w:r>
                      <w:r>
                        <w:rPr>
                          <w:szCs w:val="24"/>
                        </w:rPr>
                        <w:t>antstoliams ir antstolio atstovams skirtus nurodymus, kuriais siekiama užkirsti kelią pinigų plovimui ir (ar) teroristų finansavimui, prižiūri antstolių ir antstolio atstovų veiklą, susijusią su pinigų plovimo ir (ar) teroristų finansavimo prevencijos priemonių įgyvendinimu, konsultuoja antstolius ir antstolio atstovus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8 d."/>
                    <w:tag w:val="part_0ae163e27f84479f90ac671c40e37159"/>
                    <w:lock w:val="sdtLocked"/>
                    <w:richText/>
                  </w:sdtPr>
                  <w:sdtContent>
                    <w:p>
                      <w:pPr>
                        <w:spacing w:line="360" w:lineRule="auto"/>
                        <w:ind w:firstLine="720"/>
                        <w:jc w:val="both"/>
                        <w:rPr>
                          <w:bCs/>
                          <w:szCs w:val="24"/>
                        </w:rPr>
                      </w:pPr>
                      <w:sdt>
                        <w:sdtPr>
                          <w:alias w:val="Numeris"/>
                          <w:tag w:val="nr_0ae163e27f84479f90ac671c40e37159"/>
                          <w:lock w:val="sdtLocked"/>
                          <w:richText/>
                        </w:sdtPr>
                        <w:sdtContent>
                          <w:r>
                            <w:rPr>
                              <w:szCs w:val="24"/>
                            </w:rPr>
                            <w:t>8</w:t>
                          </w:r>
                        </w:sdtContent>
                      </w:sdt>
                      <w:r>
                        <w:rPr>
                          <w:szCs w:val="24"/>
                        </w:rPr>
                        <w:t xml:space="preserve">. Lietuvos prabavimo rūmai </w:t>
                      </w:r>
                      <w:r>
                        <w:rPr>
                          <w:bCs/>
                          <w:szCs w:val="24"/>
                        </w:rPr>
                        <w:t>nustato</w:t>
                      </w:r>
                      <w:r>
                        <w:rPr>
                          <w:b/>
                          <w:szCs w:val="24"/>
                        </w:rPr>
                        <w:t xml:space="preserve"> </w:t>
                      </w:r>
                      <w:r>
                        <w:rPr>
                          <w:szCs w:val="24"/>
                        </w:rPr>
                        <w:t>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e945e755c0da4399969a6f43dbaa707b"/>
                    <w:lock w:val="sdtLocked"/>
                    <w:richText/>
                  </w:sdtPr>
                  <w:sdtContent>
                    <w:p>
                      <w:pPr>
                        <w:spacing w:line="360" w:lineRule="auto"/>
                        <w:ind w:firstLine="720"/>
                        <w:jc w:val="both"/>
                        <w:rPr>
                          <w:bCs/>
                          <w:szCs w:val="24"/>
                        </w:rPr>
                      </w:pPr>
                      <w:sdt>
                        <w:sdtPr>
                          <w:alias w:val="Numeris"/>
                          <w:tag w:val="nr_e945e755c0da4399969a6f43dbaa707b"/>
                          <w:lock w:val="sdtLocked"/>
                          <w:richText/>
                        </w:sdtPr>
                        <w:sdtContent>
                          <w:r>
                            <w:rPr>
                              <w:szCs w:val="24"/>
                            </w:rPr>
                            <w:t>10</w:t>
                          </w:r>
                        </w:sdtContent>
                      </w:sdt>
                      <w:r>
                        <w:rPr>
                          <w:szCs w:val="24"/>
                        </w:rPr>
                        <w:t>. Šio straipsnio 1–8 dalyse nurodytos institucijos, išskyrus Kovos su pinigų plovimu ir teroristų finansavimu instituciją, privalo paskirti vadovaujančius darbuotojus, kurie organizuotų šiame įstatyme nustatytų pinigų plovimo ir (ar) teroristų finansavimo prevencijos priemonių įgyvendinimą ir palaikytų ryšius su Finansinių nusikaltimų tyrimo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6 d."/>
                    <w:tag w:val="part_cc3a04bf9d0449cfa1d9f5b825e109ba"/>
                    <w:lock w:val="sdtLocked"/>
                    <w:richText/>
                  </w:sdtPr>
                  <w:sdtContent>
                    <w:p>
                      <w:pPr>
                        <w:spacing w:line="360" w:lineRule="auto"/>
                        <w:ind w:firstLine="720"/>
                        <w:jc w:val="both"/>
                        <w:rPr>
                          <w:b/>
                          <w:bCs/>
                          <w:szCs w:val="24"/>
                        </w:rPr>
                      </w:pPr>
                      <w:sdt>
                        <w:sdtPr>
                          <w:alias w:val="Numeris"/>
                          <w:tag w:val="nr_cc3a04bf9d0449cfa1d9f5b825e109ba"/>
                          <w:lock w:val="sdtLocked"/>
                          <w:richText/>
                        </w:sdtPr>
                        <w:sdtContent>
                          <w:r>
                            <w:rPr>
                              <w:szCs w:val="24"/>
                            </w:rPr>
                            <w:t>16</w:t>
                          </w:r>
                        </w:sdtContent>
                      </w:sdt>
                      <w:r>
                        <w:rPr>
                          <w:szCs w:val="24"/>
                        </w:rPr>
                        <w:t>. Šio straipsnio 1–9 dalyse nurodytos institucijos, išskyrus Kovos su pinigų plovimu ir teroristų finansavimu instituciją, privalo įdiegti informaciją teikiančio asmens konfidencialumą užtikrinančias priemones, kuriomis naudodamiesi asmenys saugiais kanalais praneštų nurodytoms institucijoms apie šio įstatymo pažeidimus.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f8a56b175d7542d5b3b2b66f9b50fcfe"/>
                        <w:lock w:val="sdtLocked"/>
                        <w:richText/>
                      </w:sdtPr>
                      <w:sdtContent>
                        <w:p>
                          <w:pPr>
                            <w:spacing w:line="360" w:lineRule="auto"/>
                            <w:ind w:firstLine="720"/>
                            <w:jc w:val="both"/>
                          </w:pPr>
                          <w:sdt>
                            <w:sdtPr>
                              <w:alias w:val="Numeris"/>
                              <w:tag w:val="nr_f8a56b175d7542d5b3b2b66f9b50fcfe"/>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11 p."/>
                        <w:tag w:val="part_621510f77a594a9aacc09ca36659887e"/>
                        <w:lock w:val="sdtLocked"/>
                        <w:richText/>
                      </w:sdtPr>
                      <w:sdtContent>
                        <w:p>
                          <w:pPr>
                            <w:spacing w:line="360" w:lineRule="auto"/>
                            <w:ind w:firstLine="720"/>
                            <w:jc w:val="both"/>
                            <w:rPr>
                              <w:szCs w:val="24"/>
                            </w:rPr>
                          </w:pPr>
                          <w:sdt>
                            <w:sdtPr>
                              <w:alias w:val="Numeris"/>
                              <w:tag w:val="nr_621510f77a594a9aacc09ca36659887e"/>
                              <w:lock w:val="sdtLocked"/>
                              <w:richText/>
                            </w:sdtPr>
                            <w:sdtContent>
                              <w:r>
                                <w:rPr>
                                  <w:szCs w:val="24"/>
                                  <w:lang w:eastAsia="lt-LT"/>
                                </w:rPr>
                                <w:t>11</w:t>
                              </w:r>
                            </w:sdtContent>
                          </w:sdt>
                          <w:r>
                            <w:rPr>
                              <w:szCs w:val="24"/>
                              <w:lang w:eastAsia="lt-LT"/>
                            </w:rPr>
                            <w:t xml:space="preserve">) pagal Reglamentą </w:t>
                          </w:r>
                          <w:hyperlink r:id="rId70" w:tgtFrame="_blank" w:history="1">
                            <w:r>
                              <w:rPr>
                                <w:color w:val="0000FF" w:themeColor="hyperlink"/>
                                <w:szCs w:val="24"/>
                                <w:u w:val="single"/>
                                <w:lang w:eastAsia="lt-LT"/>
                              </w:rPr>
                              <w:t>(ES) 2024/1620</w:t>
                            </w:r>
                          </w:hyperlink>
                          <w:r>
                            <w:rPr>
                              <w:szCs w:val="24"/>
                              <w:lang w:eastAsia="lt-LT"/>
                            </w:rPr>
                            <w:t xml:space="preserve"> bendradarbiauja su </w:t>
                          </w:r>
                          <w:r>
                            <w:rPr>
                              <w:szCs w:val="24"/>
                            </w:rPr>
                            <w:t xml:space="preserve">Kovos su pinigų plovimu ir teroristų finansavimu institucija </w:t>
                          </w:r>
                          <w:r>
                            <w:rPr>
                              <w:szCs w:val="24"/>
                              <w:lang w:eastAsia="lt-LT"/>
                            </w:rPr>
                            <w:t>ir teikia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e9534217a82f4ebe8ef1c0b661ad9d5e"/>
                        <w:lock w:val="sdtLocked"/>
                        <w:richText/>
                      </w:sdtPr>
                      <w:sdtContent>
                        <w:p>
                          <w:pPr>
                            <w:widowControl w:val="0"/>
                            <w:spacing w:line="360" w:lineRule="auto"/>
                            <w:ind w:firstLine="720"/>
                            <w:jc w:val="both"/>
                            <w:rPr>
                              <w:szCs w:val="24"/>
                            </w:rPr>
                          </w:pPr>
                          <w:sdt>
                            <w:sdtPr>
                              <w:alias w:val="Numeris"/>
                              <w:tag w:val="nr_e9534217a82f4ebe8ef1c0b661ad9d5e"/>
                              <w:lock w:val="sdtLocked"/>
                              <w:richText/>
                            </w:sdtPr>
                            <w:sdtContent>
                              <w:r>
                                <w:rPr>
                                  <w:szCs w:val="24"/>
                                </w:rPr>
                                <w:t>1</w:t>
                              </w:r>
                            </w:sdtContent>
                          </w:sdt>
                          <w:r>
                            <w:rPr>
                              <w:szCs w:val="24"/>
                            </w:rPr>
                            <w:t>) neatlygintinai gauti iš šio įstatymo 4 straipsnio 1 dalyje nurodytų institucijų, išskyrus Kovos su pinigų plovimu ir teroristų finansavimu instituciją,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54275ee45e94455db13b4429062f4529"/>
                        <w:lock w:val="sdtLocked"/>
                        <w:richText/>
                      </w:sdtPr>
                      <w:sdtContent>
                        <w:p>
                          <w:pPr>
                            <w:widowControl w:val="0"/>
                            <w:spacing w:line="360" w:lineRule="auto"/>
                            <w:ind w:firstLine="720"/>
                            <w:jc w:val="both"/>
                            <w:rPr>
                              <w:bCs/>
                              <w:szCs w:val="24"/>
                            </w:rPr>
                          </w:pPr>
                          <w:sdt>
                            <w:sdtPr>
                              <w:alias w:val="Numeris"/>
                              <w:tag w:val="nr_54275ee45e94455db13b4429062f4529"/>
                              <w:lock w:val="sdtLocked"/>
                              <w:richText/>
                            </w:sdtPr>
                            <w:sdtContent>
                              <w:r>
                                <w:rPr>
                                  <w:szCs w:val="24"/>
                                  <w:lang w:eastAsia="lt-LT"/>
                                </w:rPr>
                                <w:t>1</w:t>
                              </w:r>
                            </w:sdtContent>
                          </w:sdt>
                          <w:r>
                            <w:rPr>
                              <w:szCs w:val="24"/>
                              <w:lang w:eastAsia="lt-LT"/>
                            </w:rPr>
                            <w:t>) gauti iš šio įstatymo 4 straipsnio 1–8 dalyse nurodytų institucijų</w:t>
                          </w:r>
                          <w:r>
                            <w:rPr>
                              <w:szCs w:val="24"/>
                            </w:rPr>
                            <w:t>, išskyrus Kovos su pinigų plovimu ir teroristų finansavimu instituciją</w:t>
                          </w:r>
                          <w:r>
                            <w:rPr>
                              <w:szCs w:val="24"/>
                              <w:lang w:eastAsia="lt-LT"/>
                            </w:rPr>
                            <w:t>,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sandorius arba kriptoturto operacijas ar sandorius arba operacijas virtualiąja valiuta ar sandorius, kitą informaciją, reikalingą šio įstatymo nustatytoms funkcijoms ir uždaviniams vykdyti;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c2102a37f4ac477aa275c98d34995eff"/>
                <w:lock w:val="sdtLocked"/>
                <w:richText/>
              </w:sdtPr>
              <w:sdtContent>
                <w:p>
                  <w:pPr>
                    <w:spacing w:line="400" w:lineRule="atLeast"/>
                    <w:ind w:left="2268" w:hanging="1548"/>
                    <w:jc w:val="both"/>
                    <w:rPr>
                      <w:szCs w:val="24"/>
                    </w:rPr>
                  </w:pPr>
                  <w:sdt>
                    <w:sdtPr>
                      <w:alias w:val="Numeris"/>
                      <w:tag w:val="nr_c2102a37f4ac477aa275c98d34995eff"/>
                      <w:lock w:val="sdtLocked"/>
                      <w:richText/>
                    </w:sdtPr>
                    <w:sdtContent>
                      <w:r>
                        <w:rPr>
                          <w:b/>
                          <w:szCs w:val="24"/>
                        </w:rPr>
                        <w:t>8</w:t>
                      </w:r>
                    </w:sdtContent>
                  </w:sdt>
                  <w:r>
                    <w:rPr>
                      <w:b/>
                      <w:szCs w:val="24"/>
                    </w:rPr>
                    <w:t xml:space="preserve"> straipsnis. </w:t>
                  </w:r>
                  <w:sdt>
                    <w:sdtPr>
                      <w:alias w:val="Pavadinimas"/>
                      <w:tag w:val="title_c2102a37f4ac477aa275c98d34995eff"/>
                      <w:lock w:val="sdtLocked"/>
                      <w:richText/>
                    </w:sdtPr>
                    <w:sdtContent>
                      <w:r>
                        <w:rPr>
                          <w:b/>
                          <w:szCs w:val="24"/>
                        </w:rPr>
                        <w:t xml:space="preserve">Valstybės institucijų bendradarbiavimas bei valstybės institucijų, užsienio valstybių ir Europos Sąjungos institucijų bendradarbiavimas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11726f4109b6401cbbbe2a42a08b7d2a"/>
                    <w:lock w:val="sdtLocked"/>
                    <w:richText/>
                  </w:sdtPr>
                  <w:sdtContent>
                    <w:p>
                      <w:pPr>
                        <w:widowControl w:val="0"/>
                        <w:spacing w:line="360" w:lineRule="auto"/>
                        <w:ind w:firstLine="720"/>
                        <w:jc w:val="both"/>
                        <w:rPr>
                          <w:szCs w:val="24"/>
                        </w:rPr>
                      </w:pPr>
                      <w:sdt>
                        <w:sdtPr>
                          <w:alias w:val="Numeris"/>
                          <w:tag w:val="nr_11726f4109b6401cbbbe2a42a08b7d2a"/>
                          <w:lock w:val="sdtLocked"/>
                          <w:richText/>
                        </w:sdtPr>
                        <w:sdtContent>
                          <w:r>
                            <w:rPr>
                              <w:bCs/>
                              <w:szCs w:val="24"/>
                            </w:rPr>
                            <w:t>2</w:t>
                          </w:r>
                        </w:sdtContent>
                      </w:sdt>
                      <w:r>
                        <w:rPr>
                          <w:bCs/>
                          <w:szCs w:val="24"/>
                        </w:rPr>
                        <w:t xml:space="preserve">. Šio įstatymo 4 straipsnio 1–8 dalyse nurodytos institucijos bendradarbiauja ir keičiasi informacija su užsienio valstybių ir Europos Sąjungos institucijomis, įgyvendinančiomis pinigų plovimo ir (ar) teroristų finansavimo prevencijos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bfd325aa896c424abfd42195c39d7e6c"/>
                        <w:lock w:val="sdtLocked"/>
                        <w:richText/>
                      </w:sdtPr>
                      <w:sdtContent>
                        <w:p>
                          <w:pPr>
                            <w:spacing w:line="360" w:lineRule="auto"/>
                            <w:ind w:firstLine="720"/>
                            <w:jc w:val="both"/>
                            <w:rPr>
                              <w:szCs w:val="24"/>
                            </w:rPr>
                          </w:pPr>
                          <w:sdt>
                            <w:sdtPr>
                              <w:alias w:val="Numeris"/>
                              <w:tag w:val="nr_bfd325aa896c424abfd42195c39d7e6c"/>
                              <w:lock w:val="sdtLocked"/>
                              <w:richText/>
                            </w:sdtPr>
                            <w:sdtContent>
                              <w:r>
                                <w:rPr>
                                  <w:szCs w:val="24"/>
                                </w:rPr>
                                <w:t>5</w:t>
                              </w:r>
                            </w:sdtContent>
                          </w:sdt>
                          <w:r>
                            <w:rPr>
                              <w:szCs w:val="24"/>
                            </w:rPr>
                            <w:t xml:space="preserve">) vykdydami ir priimdami pinigų pervedimus – vadovaudamiesi Reglamento </w:t>
                          </w:r>
                          <w:hyperlink r:id="rId46" w:tgtFrame="_blank" w:history="1">
                            <w:r>
                              <w:rPr>
                                <w:color w:val="0000FF" w:themeColor="hyperlink"/>
                                <w:szCs w:val="24"/>
                                <w:u w:val="single"/>
                              </w:rPr>
                              <w:t>(ES) 2023/1113</w:t>
                            </w:r>
                          </w:hyperlink>
                          <w:r>
                            <w:rPr>
                              <w:szCs w:val="24"/>
                            </w:rPr>
                            <w:t xml:space="preserve">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0 p."/>
                        <w:tag w:val="part_081bfb6154e84f4484d9b3bf417b4fab"/>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dba0466f3ea243e1a4740c70e8d5e55c"/>
                    <w:lock w:val="sdtLocked"/>
                    <w:richText/>
                  </w:sdtPr>
                  <w:sdtContent>
                    <w:p>
                      <w:pPr>
                        <w:widowControl w:val="0"/>
                        <w:spacing w:line="360" w:lineRule="auto"/>
                        <w:ind w:firstLine="720"/>
                        <w:jc w:val="both"/>
                        <w:rPr>
                          <w:szCs w:val="24"/>
                        </w:rPr>
                      </w:pPr>
                      <w:sdt>
                        <w:sdtPr>
                          <w:alias w:val="Numeris"/>
                          <w:tag w:val="nr_dba0466f3ea243e1a4740c70e8d5e55c"/>
                          <w:lock w:val="sdtLocked"/>
                          <w:richText/>
                        </w:sdtPr>
                        <w:sdtContent>
                          <w:r>
                            <w:rPr>
                              <w:szCs w:val="24"/>
                              <w:lang w:eastAsia="lt-LT"/>
                            </w:rPr>
                            <w:t>13</w:t>
                          </w:r>
                        </w:sdtContent>
                      </w:sdt>
                      <w:r>
                        <w:rPr>
                          <w:szCs w:val="24"/>
                          <w:lang w:eastAsia="lt-LT"/>
                        </w:rPr>
                        <w:t>. Finansų įstaigos ir kiti įpareigotieji subjektai kliento ir naudos gavėjo tapatybės nustatymo metu imasi pagrįstų priemonių, kad suprastų kliento, kuris yra juridinis asmuo, nuosavybės ir kontrolės struktūrą ir veiklos pobūdį.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c32ca494c4d84c1cacc4e41bfd4285a0"/>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sdtContent>
                </w:sdt>
                <w:sdt>
                  <w:sdtPr>
                    <w:alias w:val="16-2 d."/>
                    <w:tag w:val="part_0115bb6001e64c369505e3f67231684f"/>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3 d."/>
                    <w:tag w:val="part_05d38195fffc4b80891c417c4f7cba4b"/>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52f80499f11efbdaea558de59136c">
                        <w:r w:rsidRPr="00532B9F">
                          <w:rPr>
                            <w:rFonts w:ascii="Times New Roman" w:eastAsia="MS Mincho" w:hAnsi="Times New Roman"/>
                            <w:sz w:val="20"/>
                            <w:i/>
                            <w:iCs/>
                            <w:color w:val="0000FF" w:themeColor="hyperlink"/>
                            <w:u w:val="single"/>
                          </w:rPr>
                          <w:t>XIV-2884</w:t>
                        </w:r>
                      </w:fldSimple>
                      <w:r>
                        <w:rPr>
                          <w:rFonts w:ascii="Times New Roman" w:eastAsia="MS Mincho" w:hAnsi="Times New Roman"/>
                          <w:sz w:val="20"/>
                          <w:i/>
                          <w:iCs/>
                        </w:rPr>
                        <w:t>,
2024-07-11,
paskelbta TAR 2024-07-24, i. k. 2024-13493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2024-04-26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1-1 d."/>
                    <w:tag w:val="part_04fc4aacbee54b109c247ef1fe861d31"/>
                    <w:lock w:val="sdtLocked"/>
                    <w:richText/>
                  </w:sdtPr>
                  <w:sdtContent>
                    <w:p>
                      <w:pPr>
                        <w:spacing w:line="360" w:lineRule="auto"/>
                        <w:ind w:firstLine="720"/>
                        <w:jc w:val="both"/>
                        <w:rPr>
                          <w:szCs w:val="24"/>
                        </w:rPr>
                      </w:pPr>
                      <w:sdt>
                        <w:sdtPr>
                          <w:alias w:val="Numeris"/>
                          <w:tag w:val="nr_04fc4aacbee54b109c247ef1fe861d31"/>
                          <w:lock w:val="sdtLocked"/>
                          <w:richText/>
                        </w:sdtPr>
                        <w:sdtContent>
                          <w:r>
                            <w:rPr>
                              <w:szCs w:val="24"/>
                            </w:rPr>
                            <w:t>21</w:t>
                          </w:r>
                          <w:r>
                            <w:rPr>
                              <w:szCs w:val="24"/>
                              <w:vertAlign w:val="superscript"/>
                            </w:rPr>
                            <w:t>1</w:t>
                          </w:r>
                        </w:sdtContent>
                      </w:sdt>
                      <w:r>
                        <w:rPr>
                          <w:szCs w:val="24"/>
                        </w:rPr>
                        <w:t>. Virtualiųjų valiutų keityklos operatoriui, depozitinių virtualiųjų valiutų piniginių operatoriui</w:t>
                      </w:r>
                      <w:r>
                        <w:rPr>
                          <w:b/>
                          <w:szCs w:val="24"/>
                        </w:rPr>
                        <w:t xml:space="preserve"> </w:t>
                      </w:r>
                      <w:r>
                        <w:rPr>
                          <w:bCs/>
                          <w:szCs w:val="24"/>
                        </w:rPr>
                        <w:t>ir kriptoturto paslaugų teikėjui draudžiam</w:t>
                      </w:r>
                      <w:r>
                        <w:rPr>
                          <w:szCs w:val="24"/>
                        </w:rPr>
                        <w:t>a atidaryti anonimines sąskaitas ar sąskaitas akivaizdžiai fiktyviais vardais, taip pat atidaryti sąskaitas ar kitaip pradėti dalykinius santykius nepareikalavus kliento tapatybę patvirtinančių duomenų arba kilus pagrįstam įtarimui, kad kliento tapatybę patvirtinančiuose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838a03d6285a4bcb9418b588b4a74e8d"/>
                    <w:lock w:val="sdtLocked"/>
                    <w:richText/>
                  </w:sdtPr>
                  <w:sdtContent>
                    <w:p>
                      <w:pPr>
                        <w:widowControl w:val="0"/>
                        <w:spacing w:line="360" w:lineRule="auto"/>
                        <w:ind w:firstLine="720"/>
                        <w:jc w:val="both"/>
                        <w:rPr>
                          <w:szCs w:val="24"/>
                          <w:lang w:eastAsia="lt-LT"/>
                        </w:rPr>
                      </w:pPr>
                      <w:sdt>
                        <w:sdtPr>
                          <w:alias w:val="Numeris"/>
                          <w:tag w:val="nr_838a03d6285a4bcb9418b588b4a74e8d"/>
                          <w:lock w:val="sdtLocked"/>
                          <w:richText/>
                        </w:sdtPr>
                        <w:sdtContent>
                          <w:r>
                            <w:rPr>
                              <w:szCs w:val="24"/>
                            </w:rPr>
                            <w:t>4</w:t>
                          </w:r>
                        </w:sdtContent>
                      </w:sdt>
                      <w:r>
                        <w:rPr>
                          <w:szCs w:val="24"/>
                        </w:rPr>
                        <w:t>. Finansų įstaigos ir kiti įpareigotieji subjektai turi teisę gauti šiame įstatyme nurodytus kliento ar naudos gavėjo tapatybei nustatyti reikalingus dokumentus, duomenis ar informaciją iš Lietuvos Respublikos ir (ar) kitų valstybių informacinių sistemų ar registrų, o tais atvejais, kai Europos Sąjungos valstybėje narėje atitinkami dokumentai, duomenys ar informacija nėra kaupiami valstybės informacinėse sistemose ar registruose, – ir iš kitų patikimų ir nepriklausomų duomenų bazių ar registrų ir nereikalauti iš kliento, kad jis pats pateiktų šiuos dokumentus, duomenis ar informaciją, jeigu klientas finansų įstaigos ar kito įpareigotojo subjekto dokumentus, duomenis ar informaciją, gautus tiesiogiai iš valstybės informacinių sistemų ar registrų arba kitų patikimų ir nepriklausomų duomenų bazių ar registrų, patvirtina parašu (įskaitant pažangųjį elektroninį parašą arba kvalifikuotą elektroninį parašą). Finansų įstaigos ir kiti įpareigotieji subjektai turi teisę nereikalauti, kad klientas finansų įstaigos ar kito įpareigotojo subjekto tiesiogiai iš Lietuvos Respublikos ir (ar) kitų valstybių</w:t>
                      </w:r>
                      <w:r>
                        <w:rPr>
                          <w:bCs/>
                          <w:szCs w:val="24"/>
                        </w:rPr>
                        <w:t xml:space="preserve"> </w:t>
                      </w:r>
                      <w:r>
                        <w:rPr>
                          <w:szCs w:val="24"/>
                        </w:rPr>
                        <w:t>informacinių sistemų ar registrų gautus dokumentus, duomenis ar informaciją patvirtintų parašu, jeigu tokie dokumentai, duomenys ar informacija nesiskiria nuo anksčiau kliento parašu patvirtintų dokumentų, duomenų ar informacijos, taip pat jeigu tokie dokumentai, duomenys ar informacija gauti iš Lietuvos Respublikos</w:t>
                      </w:r>
                      <w:r>
                        <w:rPr>
                          <w:bCs/>
                          <w:szCs w:val="24"/>
                        </w:rPr>
                        <w:t xml:space="preserve"> </w:t>
                      </w:r>
                      <w:r>
                        <w:rPr>
                          <w:szCs w:val="24"/>
                        </w:rPr>
                        <w:t>ir (ar) kitų Europos Sąjungos valstybių narių informacinių sistemų ir (ar) registrų, o tais atvejais, kai Europos Sąjungos valstybėje narėje atitinkami dokumentai, duomenys ar informacija nėra kaupiami valstybės informacinėse sistemose ar registruose, – ir iš kitų patikimų ir nepriklausomų duomenų bazių ar registrų.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10 str. 5 d."/>
                    <w:tag w:val="part_dbff1c85bc0e4f3cbff26a32a9ce0712"/>
                    <w:lock w:val="sdtLocked"/>
                    <w:richText/>
                  </w:sdtPr>
                  <w:sdtContent>
                    <w:p>
                      <w:pPr>
                        <w:widowControl w:val="0"/>
                        <w:spacing w:line="360" w:lineRule="auto"/>
                        <w:ind w:firstLine="720"/>
                        <w:jc w:val="both"/>
                        <w:rPr>
                          <w:szCs w:val="24"/>
                        </w:rPr>
                      </w:pPr>
                      <w:sdt>
                        <w:sdtPr>
                          <w:alias w:val="Numeris"/>
                          <w:tag w:val="nr_dbff1c85bc0e4f3cbff26a32a9ce0712"/>
                          <w:lock w:val="sdtLocked"/>
                          <w:richText/>
                        </w:sdtPr>
                        <w:sdtContent>
                          <w:r>
                            <w:rPr>
                              <w:szCs w:val="24"/>
                              <w:lang w:eastAsia="lt-LT"/>
                            </w:rPr>
                            <w:t>5</w:t>
                          </w:r>
                        </w:sdtContent>
                      </w:sdt>
                      <w:r>
                        <w:rPr>
                          <w:szCs w:val="24"/>
                          <w:lang w:eastAsia="lt-LT"/>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w:t>
                      </w:r>
                      <w:r>
                        <w:rPr>
                          <w:bCs/>
                          <w:szCs w:val="24"/>
                          <w:lang w:eastAsia="lt-LT"/>
                        </w:rPr>
                        <w:t>)</w:t>
                      </w:r>
                      <w:r>
                        <w:rPr>
                          <w:szCs w:val="24"/>
                          <w:lang w:eastAsia="lt-LT"/>
                        </w:rPr>
                        <w:t>. Užsienyje išduotas įgaliojimas turi būti legalizuotas arba patvirtintas dokumentų tvirtinimo pažyma (</w:t>
                      </w:r>
                      <w:r>
                        <w:rPr>
                          <w:i/>
                          <w:iCs/>
                          <w:szCs w:val="24"/>
                          <w:lang w:eastAsia="lt-LT"/>
                        </w:rPr>
                        <w:t>apostille</w:t>
                      </w:r>
                      <w:r>
                        <w:rPr>
                          <w:szCs w:val="24"/>
                          <w:lang w:eastAsia="lt-LT"/>
                        </w:rPr>
                        <w:t>), išskyrus įgaliojimus, išduotus Europos Sąjungos valstybėse narėse.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0748f816d5964dd7bb411fd8299d7526"/>
                        <w:lock w:val="sdtLocked"/>
                        <w:richText/>
                      </w:sdtPr>
                      <w:sdtContent>
                        <w:p>
                          <w:pPr>
                            <w:spacing w:line="400" w:lineRule="atLeast"/>
                            <w:ind w:firstLine="720"/>
                            <w:jc w:val="both"/>
                          </w:pPr>
                          <w:sdt>
                            <w:sdtPr>
                              <w:alias w:val="Numeris"/>
                              <w:tag w:val="nr_0748f816d5964dd7bb411fd8299d7526"/>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p>
                      </w:sdtContent>
                    </w:sdt>
                    <w:sdt>
                      <w:sdtPr>
                        <w:alias w:val="6 p."/>
                        <w:tag w:val="part_762132b2611b43d8aa18a76c661a910d"/>
                        <w:lock w:val="sdtLocked"/>
                        <w:richText/>
                      </w:sdtPr>
                      <w:sdtContent>
                        <w:p>
                          <w:pPr>
                            <w:spacing w:line="360" w:lineRule="auto"/>
                            <w:ind w:firstLine="720"/>
                            <w:jc w:val="both"/>
                            <w:rPr>
                              <w:color w:val="000000"/>
                              <w:szCs w:val="24"/>
                            </w:rPr>
                          </w:pPr>
                          <w:sdt>
                            <w:sdtPr>
                              <w:alias w:val="Numeris"/>
                              <w:tag w:val="nr_762132b2611b43d8aa18a76c661a910d"/>
                              <w:lock w:val="sdtLocked"/>
                              <w:richText/>
                            </w:sdtPr>
                            <w:sdtContent>
                              <w:r>
                                <w:rPr>
                                  <w:szCs w:val="24"/>
                                </w:rPr>
                                <w:t>6</w:t>
                              </w:r>
                            </w:sdtContent>
                          </w:sdt>
                          <w:r>
                            <w:rPr>
                              <w:szCs w:val="24"/>
                            </w:rPr>
                            <w:t xml:space="preserve">) kai pradedami tarptautiniai korespondentiniai santykiai, apimantys kriptoturto paslaugas, kaip apibrėžta Reglamento </w:t>
                          </w:r>
                          <w:hyperlink r:id="rId62" w:tgtFrame="_blank" w:history="1">
                            <w:r>
                              <w:rPr>
                                <w:color w:val="0000FF" w:themeColor="hyperlink"/>
                                <w:szCs w:val="24"/>
                                <w:u w:val="single"/>
                              </w:rPr>
                              <w:t>(ES) 2023/1114</w:t>
                            </w:r>
                          </w:hyperlink>
                          <w:r>
                            <w:rPr>
                              <w:szCs w:val="24"/>
                            </w:rPr>
                            <w:t xml:space="preserve"> 3 straipsnio 1 dalies 16 punkte, išskyrus šio punkto h papunktyje nurodytą paslaugą, su Europos Sąjungoje neįsisteigusiu ir panašias paslaugas, įskaitant Reglamento </w:t>
                          </w:r>
                          <w:hyperlink r:id="rId63" w:tgtFrame="_blank" w:history="1">
                            <w:r>
                              <w:rPr>
                                <w:color w:val="0000FF" w:themeColor="hyperlink"/>
                                <w:szCs w:val="24"/>
                                <w:u w:val="single"/>
                              </w:rPr>
                              <w:t>(ES) 2023/1114</w:t>
                            </w:r>
                          </w:hyperlink>
                          <w:r>
                            <w:rPr>
                              <w:szCs w:val="24"/>
                            </w:rPr>
                            <w:t xml:space="preserve"> 3 straipsnio 1 dalies 16 punkto j papunktyje nurodytą paslaugą, teikiančiu subjektu respondentu.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 d."/>
                    <w:tag w:val="part_9b9deccdbf2d4fc19cb6bfa889af8c7f"/>
                    <w:lock w:val="sdtLocked"/>
                    <w:richText/>
                  </w:sdtPr>
                  <w:sdtContent>
                    <w:p>
                      <w:pPr>
                        <w:spacing w:line="360" w:lineRule="auto"/>
                        <w:ind w:firstLine="720"/>
                        <w:jc w:val="both"/>
                        <w:rPr>
                          <w:szCs w:val="24"/>
                        </w:rPr>
                      </w:pPr>
                      <w:sdt>
                        <w:sdtPr>
                          <w:alias w:val="Numeris"/>
                          <w:tag w:val="nr_9b9deccdbf2d4fc19cb6bfa889af8c7f"/>
                          <w:lock w:val="sdtLocked"/>
                          <w:richText/>
                        </w:sdtPr>
                        <w:sdtContent>
                          <w:r>
                            <w:rPr>
                              <w:szCs w:val="24"/>
                            </w:rPr>
                            <w:t>2</w:t>
                          </w:r>
                          <w:r>
                            <w:rPr>
                              <w:szCs w:val="24"/>
                              <w:vertAlign w:val="superscript"/>
                            </w:rPr>
                            <w:t>1</w:t>
                          </w:r>
                        </w:sdtContent>
                      </w:sdt>
                      <w:r>
                        <w:rPr>
                          <w:szCs w:val="24"/>
                        </w:rPr>
                        <w:t xml:space="preserve">. Jeigu tarptautiniai korespondentiniai santykiai apima kriptoturto paslaugas, kaip apibrėžta Reglamento </w:t>
                      </w:r>
                      <w:hyperlink r:id="rId64" w:tgtFrame="_blank" w:history="1">
                        <w:r>
                          <w:rPr>
                            <w:color w:val="0000FF" w:themeColor="hyperlink"/>
                            <w:szCs w:val="24"/>
                            <w:u w:val="single"/>
                            <w:lang w:eastAsia="lt-LT"/>
                          </w:rPr>
                          <w:t>(ES) 2023/1114</w:t>
                        </w:r>
                      </w:hyperlink>
                      <w:r>
                        <w:rPr>
                          <w:szCs w:val="24"/>
                        </w:rPr>
                        <w:t xml:space="preserve"> 3 straipsnio 1 dalies 16 punkte, išskyrus šio punkto h papunktyje nurodytą paslaugą, su Europos Sąjungoje neįsisteigusiu ir panašias paslaugas, įskaitant Reglamento </w:t>
                      </w:r>
                      <w:hyperlink r:id="rId65" w:tgtFrame="_blank" w:history="1">
                        <w:r>
                          <w:rPr>
                            <w:color w:val="0000FF" w:themeColor="hyperlink"/>
                            <w:szCs w:val="24"/>
                            <w:u w:val="single"/>
                            <w:lang w:eastAsia="lt-LT"/>
                          </w:rPr>
                          <w:t>(ES) 2023/1114</w:t>
                        </w:r>
                      </w:hyperlink>
                      <w:r>
                        <w:rPr>
                          <w:szCs w:val="24"/>
                        </w:rPr>
                        <w:t xml:space="preserve"> 3 straipsnio 1 dalies 16 punkto j papunktyje nurodytą paslaugą, teikiančiu subjektu respondentu, užmegzdami verslo santykius su tokiu subjektu, kriptoturto paslaugų teikėjai turi:</w:t>
                      </w:r>
                    </w:p>
                    <w:sdt>
                      <w:sdtPr>
                        <w:alias w:val="2-1 d. 1 p."/>
                        <w:tag w:val="part_2626fd05a5c946c18b19ded61bcb3cdd"/>
                        <w:lock w:val="sdtLocked"/>
                        <w:richText/>
                      </w:sdtPr>
                      <w:sdtContent>
                        <w:p>
                          <w:pPr>
                            <w:spacing w:line="360" w:lineRule="auto"/>
                            <w:ind w:firstLine="720"/>
                            <w:jc w:val="both"/>
                            <w:rPr>
                              <w:szCs w:val="24"/>
                            </w:rPr>
                          </w:pPr>
                          <w:sdt>
                            <w:sdtPr>
                              <w:alias w:val="Numeris"/>
                              <w:tag w:val="nr_2626fd05a5c946c18b19ded61bcb3cdd"/>
                              <w:lock w:val="sdtLocked"/>
                              <w:richText/>
                            </w:sdtPr>
                            <w:sdtContent>
                              <w:r>
                                <w:rPr>
                                  <w:szCs w:val="24"/>
                                </w:rPr>
                                <w:t>1</w:t>
                              </w:r>
                            </w:sdtContent>
                          </w:sdt>
                          <w:r>
                            <w:rPr>
                              <w:szCs w:val="24"/>
                            </w:rPr>
                            <w:t>) nustatyti, ar subjektas respondentas yra licencijuotas ar registruotas;</w:t>
                          </w:r>
                        </w:p>
                      </w:sdtContent>
                    </w:sdt>
                    <w:sdt>
                      <w:sdtPr>
                        <w:alias w:val="2-1 d. 2 p."/>
                        <w:tag w:val="part_cf0c51924274445fa209909a60e60c84"/>
                        <w:lock w:val="sdtLocked"/>
                        <w:richText/>
                      </w:sdtPr>
                      <w:sdtContent>
                        <w:p>
                          <w:pPr>
                            <w:spacing w:line="360" w:lineRule="auto"/>
                            <w:ind w:firstLine="720"/>
                            <w:jc w:val="both"/>
                            <w:rPr>
                              <w:szCs w:val="24"/>
                            </w:rPr>
                          </w:pPr>
                          <w:sdt>
                            <w:sdtPr>
                              <w:alias w:val="Numeris"/>
                              <w:tag w:val="nr_cf0c51924274445fa209909a60e60c84"/>
                              <w:lock w:val="sdtLocked"/>
                              <w:richText/>
                            </w:sdtPr>
                            <w:sdtContent>
                              <w:r>
                                <w:rPr>
                                  <w:szCs w:val="24"/>
                                </w:rPr>
                                <w:t>2</w:t>
                              </w:r>
                            </w:sdtContent>
                          </w:sdt>
                          <w:r>
                            <w:rPr>
                              <w:szCs w:val="24"/>
                            </w:rPr>
                            <w:t>) surinkti pakankamai informacijos apie subjektą respondentą, kad visiškai suprastų subjekto respondento veiklos pobūdį ir remdamiesi viešai prieinama informacija nustatytų subjekto respondento reputaciją bei priežiūros kokybę;</w:t>
                          </w:r>
                        </w:p>
                      </w:sdtContent>
                    </w:sdt>
                    <w:sdt>
                      <w:sdtPr>
                        <w:alias w:val="2-1 d. 3 p."/>
                        <w:tag w:val="part_49d43d89f372432086307179b3618b43"/>
                        <w:lock w:val="sdtLocked"/>
                        <w:richText/>
                      </w:sdtPr>
                      <w:sdtContent>
                        <w:p>
                          <w:pPr>
                            <w:spacing w:line="360" w:lineRule="auto"/>
                            <w:ind w:firstLine="720"/>
                            <w:jc w:val="both"/>
                            <w:rPr>
                              <w:szCs w:val="24"/>
                            </w:rPr>
                          </w:pPr>
                          <w:sdt>
                            <w:sdtPr>
                              <w:alias w:val="Numeris"/>
                              <w:tag w:val="nr_49d43d89f372432086307179b3618b43"/>
                              <w:lock w:val="sdtLocked"/>
                              <w:richText/>
                            </w:sdtPr>
                            <w:sdtContent>
                              <w:r>
                                <w:rPr>
                                  <w:szCs w:val="24"/>
                                </w:rPr>
                                <w:t>3</w:t>
                              </w:r>
                            </w:sdtContent>
                          </w:sdt>
                          <w:r>
                            <w:rPr>
                              <w:szCs w:val="24"/>
                            </w:rPr>
                            <w:t>) įvertinti subjekto respondento taikomus pinigų plovimo ir (ar) teroristų finansavimo prevencijos kontrolės mechanizmus;</w:t>
                          </w:r>
                        </w:p>
                      </w:sdtContent>
                    </w:sdt>
                    <w:sdt>
                      <w:sdtPr>
                        <w:alias w:val="2-1 d. 4 p."/>
                        <w:tag w:val="part_b3f28946d2dd4335901ba8748e11a4e1"/>
                        <w:lock w:val="sdtLocked"/>
                        <w:richText/>
                      </w:sdtPr>
                      <w:sdtContent>
                        <w:p>
                          <w:pPr>
                            <w:spacing w:line="360" w:lineRule="auto"/>
                            <w:ind w:firstLine="720"/>
                            <w:jc w:val="both"/>
                            <w:rPr>
                              <w:bCs/>
                              <w:szCs w:val="24"/>
                            </w:rPr>
                          </w:pPr>
                          <w:sdt>
                            <w:sdtPr>
                              <w:alias w:val="Numeris"/>
                              <w:tag w:val="nr_b3f28946d2dd4335901ba8748e11a4e1"/>
                              <w:lock w:val="sdtLocked"/>
                              <w:richText/>
                            </w:sdtPr>
                            <w:sdtContent>
                              <w:r>
                                <w:rPr>
                                  <w:bCs/>
                                  <w:szCs w:val="24"/>
                                </w:rPr>
                                <w:t>4</w:t>
                              </w:r>
                            </w:sdtContent>
                          </w:sdt>
                          <w:r>
                            <w:rPr>
                              <w:bCs/>
                              <w:szCs w:val="24"/>
                            </w:rPr>
                            <w:t>) prieš užmegzdami naujus tarptautinius korespondentinius santykius gauti vyresniojo vadovo pritarimą;</w:t>
                          </w:r>
                        </w:p>
                      </w:sdtContent>
                    </w:sdt>
                    <w:sdt>
                      <w:sdtPr>
                        <w:alias w:val="2-1 d. 5 p."/>
                        <w:tag w:val="part_2dfd5e2212034b41b7e81219e70da50f"/>
                        <w:lock w:val="sdtLocked"/>
                        <w:richText/>
                      </w:sdtPr>
                      <w:sdtContent>
                        <w:p>
                          <w:pPr>
                            <w:spacing w:line="360" w:lineRule="auto"/>
                            <w:ind w:firstLine="720"/>
                            <w:jc w:val="both"/>
                            <w:rPr>
                              <w:bCs/>
                              <w:szCs w:val="24"/>
                            </w:rPr>
                          </w:pPr>
                          <w:sdt>
                            <w:sdtPr>
                              <w:alias w:val="Numeris"/>
                              <w:tag w:val="nr_2dfd5e2212034b41b7e81219e70da50f"/>
                              <w:lock w:val="sdtLocked"/>
                              <w:richText/>
                            </w:sdtPr>
                            <w:sdtContent>
                              <w:r>
                                <w:rPr>
                                  <w:bCs/>
                                  <w:szCs w:val="24"/>
                                </w:rPr>
                                <w:t>5</w:t>
                              </w:r>
                            </w:sdtContent>
                          </w:sdt>
                          <w:r>
                            <w:rPr>
                              <w:bCs/>
                              <w:szCs w:val="24"/>
                            </w:rPr>
                            <w:t>) dokumentuoti kiekvienos tarptautinių korespondentinių santykių šalies pareigas;</w:t>
                          </w:r>
                        </w:p>
                      </w:sdtContent>
                    </w:sdt>
                    <w:sdt>
                      <w:sdtPr>
                        <w:alias w:val="2-1 d. 6 p."/>
                        <w:tag w:val="part_db72d854eb514299a9d076c7b469e67e"/>
                        <w:lock w:val="sdtLocked"/>
                        <w:richText/>
                      </w:sdtPr>
                      <w:sdtContent>
                        <w:p>
                          <w:pPr>
                            <w:spacing w:line="360" w:lineRule="auto"/>
                            <w:ind w:firstLine="720"/>
                            <w:jc w:val="both"/>
                            <w:rPr>
                              <w:bCs/>
                              <w:szCs w:val="24"/>
                            </w:rPr>
                          </w:pPr>
                          <w:sdt>
                            <w:sdtPr>
                              <w:alias w:val="Numeris"/>
                              <w:tag w:val="nr_db72d854eb514299a9d076c7b469e67e"/>
                              <w:lock w:val="sdtLocked"/>
                              <w:richText/>
                            </w:sdtPr>
                            <w:sdtContent>
                              <w:r>
                                <w:rPr>
                                  <w:bCs/>
                                  <w:szCs w:val="24"/>
                                </w:rPr>
                                <w:t>6</w:t>
                              </w:r>
                            </w:sdtContent>
                          </w:sdt>
                          <w:r>
                            <w:rPr>
                              <w:bCs/>
                              <w:szCs w:val="24"/>
                            </w:rPr>
                            <w:t>) kiek tai susiję su perleidžiamosiomis kriptoturto sąskaitomis, įsitikinti, kad subjektas respondentas tinkamai atliko kliento tapatybės nustatymo veiksmus (įskaitant tai, ar patikrino klientų, turinčių tiesioginę prieigą prie subjekto korespondento sąskaitų, tapatybę, atliko kitus kliento tapatybės nustatymo veiksmus) ir kad kriptoturto paslaugų teikėjas, gavęs subjekto korespondento prašymą, gali jam pateikti atitinkamus duomenis kliento tapatybei nustatyti;</w:t>
                          </w:r>
                        </w:p>
                      </w:sdtContent>
                    </w:sdt>
                    <w:sdt>
                      <w:sdtPr>
                        <w:alias w:val="2-1 d. 7 p."/>
                        <w:tag w:val="part_4d2b9f726ab74940ad039add90bca504"/>
                        <w:lock w:val="sdtLocked"/>
                        <w:richText/>
                      </w:sdtPr>
                      <w:sdtContent>
                        <w:p>
                          <w:pPr>
                            <w:spacing w:line="360" w:lineRule="auto"/>
                            <w:ind w:firstLine="720"/>
                            <w:jc w:val="both"/>
                          </w:pPr>
                          <w:sdt>
                            <w:sdtPr>
                              <w:alias w:val="Numeris"/>
                              <w:tag w:val="nr_4d2b9f726ab74940ad039add90bca504"/>
                              <w:lock w:val="sdtLocked"/>
                              <w:richText/>
                            </w:sdtPr>
                            <w:sdtContent>
                              <w:r>
                                <w:rPr>
                                  <w:bCs/>
                                  <w:szCs w:val="24"/>
                                </w:rPr>
                                <w:t>7</w:t>
                              </w:r>
                            </w:sdtContent>
                          </w:sdt>
                          <w:r>
                            <w:rPr>
                              <w:bCs/>
                              <w:szCs w:val="24"/>
                            </w:rPr>
                            <w:t>) atsižvelgdami į pagal šį straipsnį surinktą informaciją, taikyti papildomas priemones, nustatytas pagal kriptoturto paslaugų teikėjo vidaus politiką rizikai, susijusiai su subjektu respondentu, sumažinti.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d."/>
                    <w:tag w:val="part_0346f54ef05b41ae9dc418c66c5234ef"/>
                    <w:lock w:val="sdtLocked"/>
                    <w:richText/>
                  </w:sdtPr>
                  <w:sdtContent>
                    <w:p>
                      <w:pPr>
                        <w:spacing w:line="360" w:lineRule="auto"/>
                        <w:ind w:firstLine="720"/>
                        <w:jc w:val="both"/>
                        <w:rPr>
                          <w:szCs w:val="24"/>
                        </w:rPr>
                      </w:pPr>
                      <w:sdt>
                        <w:sdtPr>
                          <w:alias w:val="Numeris"/>
                          <w:tag w:val="nr_0346f54ef05b41ae9dc418c66c5234ef"/>
                          <w:lock w:val="sdtLocked"/>
                          <w:richText/>
                        </w:sdtPr>
                        <w:sdtContent>
                          <w:r>
                            <w:rPr>
                              <w:szCs w:val="24"/>
                            </w:rPr>
                            <w:t>2</w:t>
                          </w:r>
                          <w:r>
                            <w:rPr>
                              <w:szCs w:val="24"/>
                              <w:vertAlign w:val="superscript"/>
                            </w:rPr>
                            <w:t>2</w:t>
                          </w:r>
                        </w:sdtContent>
                      </w:sdt>
                      <w:r>
                        <w:rPr>
                          <w:szCs w:val="24"/>
                        </w:rPr>
                        <w:t>. Jeigu kriptoturto paslaugų teikėjai nusprendžia nutraukti tarptautinius korespondentinius santykius dėl priežasčių, susijusių su pinigų plovimo ir teroristų finansavimo prevencijos politika, savo sprendimą jie dokumentuoja ir registruoja.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b533c090bebc43b3a1fcc60f55fb8a38"/>
                <w:lock w:val="sdtLocked"/>
                <w:richText/>
              </w:sdtPr>
              <w:sdtContent>
                <w:p>
                  <w:pPr>
                    <w:widowControl w:val="0"/>
                    <w:spacing w:line="360" w:lineRule="auto"/>
                    <w:ind w:firstLine="720"/>
                    <w:jc w:val="both"/>
                    <w:rPr>
                      <w:szCs w:val="24"/>
                    </w:rPr>
                  </w:pPr>
                  <w:sdt>
                    <w:sdtPr>
                      <w:alias w:val="Numeris"/>
                      <w:tag w:val="nr_b533c090bebc43b3a1fcc60f55fb8a38"/>
                      <w:lock w:val="sdtLocked"/>
                      <w:richText/>
                    </w:sdtPr>
                    <w:sdtContent>
                      <w:r>
                        <w:rPr>
                          <w:b/>
                          <w:bCs/>
                          <w:szCs w:val="24"/>
                        </w:rPr>
                        <w:t>15</w:t>
                      </w:r>
                    </w:sdtContent>
                  </w:sdt>
                  <w:r>
                    <w:rPr>
                      <w:b/>
                      <w:bCs/>
                      <w:szCs w:val="24"/>
                    </w:rPr>
                    <w:t xml:space="preserve"> straipsnis. </w:t>
                  </w:r>
                  <w:sdt>
                    <w:sdtPr>
                      <w:alias w:val="Pavadinimas"/>
                      <w:tag w:val="title_b533c090bebc43b3a1fcc60f55fb8a38"/>
                      <w:lock w:val="sdtLocked"/>
                      <w:richText/>
                    </w:sdtPr>
                    <w:sdtContent>
                      <w:r>
                        <w:rPr>
                          <w:b/>
                          <w:bCs/>
                          <w:szCs w:val="24"/>
                        </w:rPr>
                        <w:t>Supaprastintas kliento tapatybės nustatymas</w:t>
                      </w:r>
                    </w:sdtContent>
                  </w:sdt>
                </w:p>
                <w:sdt>
                  <w:sdtPr>
                    <w:alias w:val="15 str. 1 d."/>
                    <w:tag w:val="part_9e6762b9527945fca57bcad491050657"/>
                    <w:lock w:val="sdtLocked"/>
                    <w:richText/>
                  </w:sdtPr>
                  <w:sdtContent>
                    <w:p>
                      <w:pPr>
                        <w:widowControl w:val="0"/>
                        <w:spacing w:line="360" w:lineRule="auto"/>
                        <w:ind w:firstLine="720"/>
                        <w:jc w:val="both"/>
                        <w:rPr>
                          <w:szCs w:val="24"/>
                        </w:rPr>
                      </w:pPr>
                      <w:sdt>
                        <w:sdtPr>
                          <w:alias w:val="Numeris"/>
                          <w:tag w:val="nr_9e6762b9527945fca57bcad491050657"/>
                          <w:lock w:val="sdtLocked"/>
                          <w:richText/>
                        </w:sdtPr>
                        <w:sdtContent>
                          <w:r>
                            <w:rPr>
                              <w:szCs w:val="24"/>
                            </w:rPr>
                            <w:t>1</w:t>
                          </w:r>
                        </w:sdtContent>
                      </w:sdt>
                      <w:r>
                        <w:rPr>
                          <w:szCs w:val="24"/>
                        </w:rPr>
                        <w:t>. Tais atvejais, kai pagal finansų įstaigų nustatytas rizikos vertinimo ir valdymo procedūras nustatoma maža pinigų plovimo ir (ar) teroristų finansavimo rizika, finansų įstaiga gali taikyti supaprastinto kliento tapatybės nustatymo priemones. Vertindamos, ar dalykiniai santykiai arba sandoris kelia mažą pinigų plovimo ir teroristų finansavimo riziką, finansų įstaigos atsižvelgia į toliau pateikiamus galimai mažesnės rizikos veiksnius:</w:t>
                      </w:r>
                    </w:p>
                    <w:sdt>
                      <w:sdtPr>
                        <w:alias w:val="15 str. 1 d. 1 p."/>
                        <w:tag w:val="part_31b1b42e33ed485ea1ebb44b78eb0d35"/>
                        <w:lock w:val="sdtLocked"/>
                        <w:richText/>
                      </w:sdtPr>
                      <w:sdtContent>
                        <w:p>
                          <w:pPr>
                            <w:widowControl w:val="0"/>
                            <w:spacing w:line="360" w:lineRule="auto"/>
                            <w:ind w:firstLine="720"/>
                            <w:jc w:val="both"/>
                            <w:rPr>
                              <w:szCs w:val="24"/>
                            </w:rPr>
                          </w:pPr>
                          <w:sdt>
                            <w:sdtPr>
                              <w:alias w:val="Numeris"/>
                              <w:tag w:val="nr_31b1b42e33ed485ea1ebb44b78eb0d35"/>
                              <w:lock w:val="sdtLocked"/>
                              <w:richText/>
                            </w:sdtPr>
                            <w:sdtContent>
                              <w:r>
                                <w:rPr>
                                  <w:szCs w:val="24"/>
                                </w:rPr>
                                <w:t>1</w:t>
                              </w:r>
                            </w:sdtContent>
                          </w:sdt>
                          <w:r>
                            <w:rPr>
                              <w:szCs w:val="24"/>
                            </w:rPr>
                            <w:t>) su klientu susijusios rizikos veiksniai:</w:t>
                          </w:r>
                        </w:p>
                        <w:sdt>
                          <w:sdtPr>
                            <w:alias w:val="15 str. 1 d. 1 p. a pp."/>
                            <w:tag w:val="part_286cb0a343134c7abe069412c6e3e611"/>
                            <w:lock w:val="sdtLocked"/>
                            <w:richText/>
                          </w:sdtPr>
                          <w:sdtContent>
                            <w:p>
                              <w:pPr>
                                <w:widowControl w:val="0"/>
                                <w:spacing w:line="360" w:lineRule="auto"/>
                                <w:ind w:firstLine="720"/>
                                <w:jc w:val="both"/>
                                <w:rPr>
                                  <w:szCs w:val="24"/>
                                </w:rPr>
                              </w:pPr>
                              <w:sdt>
                                <w:sdtPr>
                                  <w:alias w:val="Numeris"/>
                                  <w:tag w:val="nr_286cb0a343134c7abe069412c6e3e611"/>
                                  <w:lock w:val="sdtLocked"/>
                                  <w:richText/>
                                </w:sdtPr>
                                <w:sdtContent>
                                  <w:r>
                                    <w:rPr>
                                      <w:szCs w:val="24"/>
                                    </w:rPr>
                                    <w:t>a</w:t>
                                  </w:r>
                                </w:sdtContent>
                              </w:sdt>
                              <w:r>
                                <w:rPr>
                                  <w:szCs w:val="24"/>
                                </w:rPr>
                                <w:t>) bendrovės, kurių vertybiniais popieriais leista prekiauti vienos ar kelių Europos Sąjungos valstybių narių reguliuojamose rinkose, ir kitos užsienio valstybių bendrovės, kurių vertybiniais popieriais prekiaujama reguliuojamoje rinkoje ir kurioms yra taikomi Europos Sąjungos teisės aktus atitinkantys reikalavimai atskleisti informaciją apie savo veiklą;</w:t>
                              </w:r>
                            </w:p>
                          </w:sdtContent>
                        </w:sdt>
                        <w:sdt>
                          <w:sdtPr>
                            <w:alias w:val="15 str. 1 d. 1 p. b pp."/>
                            <w:tag w:val="part_bdb8946228584ef0a07e89cad09f7ac7"/>
                            <w:lock w:val="sdtLocked"/>
                            <w:richText/>
                          </w:sdtPr>
                          <w:sdtContent>
                            <w:p>
                              <w:pPr>
                                <w:widowControl w:val="0"/>
                                <w:spacing w:line="360" w:lineRule="auto"/>
                                <w:ind w:firstLine="720"/>
                                <w:jc w:val="both"/>
                                <w:rPr>
                                  <w:szCs w:val="24"/>
                                </w:rPr>
                              </w:pPr>
                              <w:sdt>
                                <w:sdtPr>
                                  <w:alias w:val="Numeris"/>
                                  <w:tag w:val="nr_bdb8946228584ef0a07e89cad09f7ac7"/>
                                  <w:lock w:val="sdtLocked"/>
                                  <w:richText/>
                                </w:sdtPr>
                                <w:sdtContent>
                                  <w:r>
                                    <w:rPr>
                                      <w:szCs w:val="24"/>
                                    </w:rPr>
                                    <w:t>b</w:t>
                                  </w:r>
                                </w:sdtContent>
                              </w:sdt>
                              <w:r>
                                <w:rPr>
                                  <w:szCs w:val="24"/>
                                </w:rPr>
                                <w:t>) valstybės ir savivaldybių institucijos ir įstaigos, kaip jos apibrėžtos Lietuvos Respublikos valstybės tarnybos įstatyme, Lietuvos bankas;</w:t>
                              </w:r>
                            </w:p>
                          </w:sdtContent>
                        </w:sdt>
                        <w:sdt>
                          <w:sdtPr>
                            <w:alias w:val="15 str. 1 d. 1 p. c pp."/>
                            <w:tag w:val="part_f3e52e77be4445aaae4b8fed81f40336"/>
                            <w:lock w:val="sdtLocked"/>
                            <w:richText/>
                          </w:sdtPr>
                          <w:sdtContent>
                            <w:p>
                              <w:pPr>
                                <w:widowControl w:val="0"/>
                                <w:spacing w:line="360" w:lineRule="auto"/>
                                <w:ind w:firstLine="720"/>
                                <w:jc w:val="both"/>
                                <w:rPr>
                                  <w:szCs w:val="24"/>
                                </w:rPr>
                              </w:pPr>
                              <w:sdt>
                                <w:sdtPr>
                                  <w:alias w:val="Numeris"/>
                                  <w:tag w:val="nr_f3e52e77be4445aaae4b8fed81f40336"/>
                                  <w:lock w:val="sdtLocked"/>
                                  <w:richText/>
                                </w:sdtPr>
                                <w:sdtContent>
                                  <w:r>
                                    <w:rPr>
                                      <w:szCs w:val="24"/>
                                    </w:rPr>
                                    <w:t>c</w:t>
                                  </w:r>
                                </w:sdtContent>
                              </w:sdt>
                              <w:r>
                                <w:rPr>
                                  <w:szCs w:val="24"/>
                                </w:rPr>
                                <w:t>) klientai, kurie reziduoja mažesnės rizikos geografinėse teritorijose, kaip nustatyta šio straipsnio 1 dalies 3 punkte;</w:t>
                              </w:r>
                            </w:p>
                          </w:sdtContent>
                        </w:sdt>
                      </w:sdtContent>
                    </w:sdt>
                    <w:sdt>
                      <w:sdtPr>
                        <w:alias w:val="15 str. 1 d. 2 p."/>
                        <w:tag w:val="part_a6bb23db7f9e4a9986d96935d6681e96"/>
                        <w:lock w:val="sdtLocked"/>
                        <w:richText/>
                      </w:sdtPr>
                      <w:sdtContent>
                        <w:p>
                          <w:pPr>
                            <w:widowControl w:val="0"/>
                            <w:spacing w:line="360" w:lineRule="auto"/>
                            <w:ind w:firstLine="720"/>
                            <w:jc w:val="both"/>
                            <w:rPr>
                              <w:szCs w:val="24"/>
                            </w:rPr>
                          </w:pPr>
                          <w:sdt>
                            <w:sdtPr>
                              <w:alias w:val="Numeris"/>
                              <w:tag w:val="nr_a6bb23db7f9e4a9986d96935d6681e96"/>
                              <w:lock w:val="sdtLocked"/>
                              <w:richText/>
                            </w:sdtPr>
                            <w:sdtContent>
                              <w:r>
                                <w:rPr>
                                  <w:szCs w:val="24"/>
                                </w:rPr>
                                <w:t>2</w:t>
                              </w:r>
                            </w:sdtContent>
                          </w:sdt>
                          <w:r>
                            <w:rPr>
                              <w:szCs w:val="24"/>
                            </w:rPr>
                            <w:t>) su produktu, paslauga, sandoriu ar paslaugų teikimo kanalu susijusios rizikos veiksniai:</w:t>
                          </w:r>
                        </w:p>
                        <w:sdt>
                          <w:sdtPr>
                            <w:alias w:val="15 str. 1 d. 2 p. a pp."/>
                            <w:tag w:val="part_f4676623f2fa4fcb99041be58585d47b"/>
                            <w:lock w:val="sdtLocked"/>
                            <w:richText/>
                          </w:sdtPr>
                          <w:sdtContent>
                            <w:p>
                              <w:pPr>
                                <w:widowControl w:val="0"/>
                                <w:spacing w:line="360" w:lineRule="auto"/>
                                <w:ind w:firstLine="720"/>
                                <w:jc w:val="both"/>
                                <w:rPr>
                                  <w:szCs w:val="24"/>
                                </w:rPr>
                              </w:pPr>
                              <w:sdt>
                                <w:sdtPr>
                                  <w:alias w:val="Numeris"/>
                                  <w:tag w:val="nr_f4676623f2fa4fcb99041be58585d47b"/>
                                  <w:lock w:val="sdtLocked"/>
                                  <w:richText/>
                                </w:sdtPr>
                                <w:sdtContent>
                                  <w:r>
                                    <w:rPr>
                                      <w:szCs w:val="24"/>
                                    </w:rPr>
                                    <w:t>a</w:t>
                                  </w:r>
                                </w:sdtContent>
                              </w:sdt>
                              <w:r>
                                <w:rPr>
                                  <w:szCs w:val="24"/>
                                </w:rPr>
                                <w:t xml:space="preserve">) gyvybės draudimo sutartys arba papildomo savanoriško pensijų kaupimo sutartys, kai metinė draudimo įmoka arba įmoka į pensijų fondą yra nedidelė arba vienkartinė draudimo įmoka arba įmoka į pensijų fondą yra nedidelė;  </w:t>
                              </w:r>
                            </w:p>
                          </w:sdtContent>
                        </w:sdt>
                        <w:sdt>
                          <w:sdtPr>
                            <w:alias w:val="15 str. 1 d. 2 p. b pp."/>
                            <w:tag w:val="part_f456542b30af4360960843eb78268baa"/>
                            <w:lock w:val="sdtLocked"/>
                            <w:richText/>
                          </w:sdtPr>
                          <w:sdtContent>
                            <w:p>
                              <w:pPr>
                                <w:widowControl w:val="0"/>
                                <w:spacing w:line="360" w:lineRule="auto"/>
                                <w:ind w:firstLine="720"/>
                                <w:jc w:val="both"/>
                                <w:rPr>
                                  <w:szCs w:val="24"/>
                                </w:rPr>
                              </w:pPr>
                              <w:sdt>
                                <w:sdtPr>
                                  <w:alias w:val="Numeris"/>
                                  <w:tag w:val="nr_f456542b30af4360960843eb78268baa"/>
                                  <w:lock w:val="sdtLocked"/>
                                  <w:richText/>
                                </w:sdtPr>
                                <w:sdtContent>
                                  <w:r>
                                    <w:rPr>
                                      <w:szCs w:val="24"/>
                                    </w:rPr>
                                    <w:t>b</w:t>
                                  </w:r>
                                </w:sdtContent>
                              </w:sdt>
                              <w:r>
                                <w:rPr>
                                  <w:szCs w:val="24"/>
                                </w:rPr>
                                <w:t>) pensijų programų draudimo liudijimai, jeigu juose nėra nuostatos dėl jų išankstinio nutraukimo ir jeigu draudimo liudijimai negali būti naudojami kaip įkeitimo objektai;</w:t>
                              </w:r>
                            </w:p>
                          </w:sdtContent>
                        </w:sdt>
                        <w:sdt>
                          <w:sdtPr>
                            <w:alias w:val="15 str. 1 d. 2 p. c pp."/>
                            <w:tag w:val="part_f30eebb6c04d49a3a0304e0b1118972f"/>
                            <w:lock w:val="sdtLocked"/>
                            <w:richText/>
                          </w:sdtPr>
                          <w:sdtContent>
                            <w:p>
                              <w:pPr>
                                <w:widowControl w:val="0"/>
                                <w:spacing w:line="360" w:lineRule="auto"/>
                                <w:ind w:firstLine="720"/>
                                <w:jc w:val="both"/>
                                <w:rPr>
                                  <w:szCs w:val="24"/>
                                </w:rPr>
                              </w:pPr>
                              <w:sdt>
                                <w:sdtPr>
                                  <w:alias w:val="Numeris"/>
                                  <w:tag w:val="nr_f30eebb6c04d49a3a0304e0b1118972f"/>
                                  <w:lock w:val="sdtLocked"/>
                                  <w:richText/>
                                </w:sdtPr>
                                <w:sdtContent>
                                  <w:r>
                                    <w:rPr>
                                      <w:szCs w:val="24"/>
                                    </w:rPr>
                                    <w:t>c</w:t>
                                  </w:r>
                                </w:sdtContent>
                              </w:sdt>
                              <w:r>
                                <w:rPr>
                                  <w:szCs w:val="24"/>
                                </w:rPr>
                                <w:t>) pensijos, kaupiamos pagal Lietuvos Respublikos pensijų kaupimo įstatymą, kitos pensijos, senatvės pensijos ar kitos sistemos, kurios numato pensijas darbuotojams, kai įmokos yra išskaičiuojamos iš darbo užmokesčio, o šių sistemų veiklą reglamentuojantys teisės aktai neleidžia kitam asmeniui perduoti tokios sistemos nario dalies;</w:t>
                              </w:r>
                            </w:p>
                          </w:sdtContent>
                        </w:sdt>
                        <w:sdt>
                          <w:sdtPr>
                            <w:alias w:val="15 str. 1 d. 2 p. d pp."/>
                            <w:tag w:val="part_25a97b1f645544c8bc4e277c1caa2cf1"/>
                            <w:lock w:val="sdtLocked"/>
                            <w:richText/>
                          </w:sdtPr>
                          <w:sdtContent>
                            <w:p>
                              <w:pPr>
                                <w:widowControl w:val="0"/>
                                <w:spacing w:line="360" w:lineRule="auto"/>
                                <w:ind w:firstLine="720"/>
                                <w:jc w:val="both"/>
                                <w:rPr>
                                  <w:szCs w:val="24"/>
                                </w:rPr>
                              </w:pPr>
                              <w:sdt>
                                <w:sdtPr>
                                  <w:alias w:val="Numeris"/>
                                  <w:tag w:val="nr_25a97b1f645544c8bc4e277c1caa2cf1"/>
                                  <w:lock w:val="sdtLocked"/>
                                  <w:richText/>
                                </w:sdtPr>
                                <w:sdtContent>
                                  <w:r>
                                    <w:rPr>
                                      <w:szCs w:val="24"/>
                                    </w:rPr>
                                    <w:t>d</w:t>
                                  </w:r>
                                </w:sdtContent>
                              </w:sdt>
                              <w:r>
                                <w:rPr>
                                  <w:szCs w:val="24"/>
                                </w:rPr>
                                <w:t xml:space="preserve">) finansinės paslaugos, kai tam tikrų rūšių klientams teikiamos tinkamai apibrėžtos ir ribotos paslaugos, kad būtų didinamos galimybės jas gauti finansinės įtraukties tikslais; </w:t>
                              </w:r>
                            </w:p>
                          </w:sdtContent>
                        </w:sdt>
                        <w:sdt>
                          <w:sdtPr>
                            <w:alias w:val="15 str. 1 d. 2 p. e pp."/>
                            <w:tag w:val="part_549d2fe274f84845896c17e35c5b8f74"/>
                            <w:lock w:val="sdtLocked"/>
                            <w:richText/>
                          </w:sdtPr>
                          <w:sdtContent>
                            <w:p>
                              <w:pPr>
                                <w:widowControl w:val="0"/>
                                <w:spacing w:line="360" w:lineRule="auto"/>
                                <w:ind w:firstLine="720"/>
                                <w:jc w:val="both"/>
                                <w:rPr>
                                  <w:szCs w:val="24"/>
                                </w:rPr>
                              </w:pPr>
                              <w:sdt>
                                <w:sdtPr>
                                  <w:alias w:val="Numeris"/>
                                  <w:tag w:val="nr_549d2fe274f84845896c17e35c5b8f74"/>
                                  <w:lock w:val="sdtLocked"/>
                                  <w:richText/>
                                </w:sdtPr>
                                <w:sdtContent>
                                  <w:r>
                                    <w:rPr>
                                      <w:szCs w:val="24"/>
                                    </w:rPr>
                                    <w:t>e</w:t>
                                  </w:r>
                                </w:sdtContent>
                              </w:sdt>
                              <w:r>
                                <w:rPr>
                                  <w:szCs w:val="24"/>
                                </w:rPr>
                                <w:t>) paslaugos ir produktai, kai pinigų plovimo ir teroristų finansavimo rizika valdoma kitais būdais, įskaitant finansines paslaugas, teikiamas pagal Lietuvos Respublikos valstybės paramos daugiabučiams namams atnaujinti (modernizuoti) įstatymą;</w:t>
                              </w:r>
                            </w:p>
                          </w:sdtContent>
                        </w:sdt>
                      </w:sdtContent>
                    </w:sdt>
                    <w:sdt>
                      <w:sdtPr>
                        <w:alias w:val="15 str. 1 d. 3 p."/>
                        <w:tag w:val="part_220a0e2703f04ec0883b5a0cf78529d9"/>
                        <w:lock w:val="sdtLocked"/>
                        <w:richText/>
                      </w:sdtPr>
                      <w:sdtContent>
                        <w:p>
                          <w:pPr>
                            <w:widowControl w:val="0"/>
                            <w:spacing w:line="360" w:lineRule="auto"/>
                            <w:ind w:firstLine="720"/>
                            <w:jc w:val="both"/>
                            <w:rPr>
                              <w:szCs w:val="24"/>
                            </w:rPr>
                          </w:pPr>
                          <w:sdt>
                            <w:sdtPr>
                              <w:alias w:val="Numeris"/>
                              <w:tag w:val="nr_220a0e2703f04ec0883b5a0cf78529d9"/>
                              <w:lock w:val="sdtLocked"/>
                              <w:richText/>
                            </w:sdtPr>
                            <w:sdtContent>
                              <w:r>
                                <w:rPr>
                                  <w:szCs w:val="24"/>
                                </w:rPr>
                                <w:t>3</w:t>
                              </w:r>
                            </w:sdtContent>
                          </w:sdt>
                          <w:r>
                            <w:rPr>
                              <w:szCs w:val="24"/>
                            </w:rPr>
                            <w:t>) su kliento registracijos, steigimo ar gyvenamąja vieta susiję geografinės rizikos veiksniai:</w:t>
                          </w:r>
                        </w:p>
                        <w:sdt>
                          <w:sdtPr>
                            <w:alias w:val="15 str. 1 d. 3 p. a pp."/>
                            <w:tag w:val="part_1a70cb5b3b4248beac80faf24195035a"/>
                            <w:lock w:val="sdtLocked"/>
                            <w:richText/>
                          </w:sdtPr>
                          <w:sdtContent>
                            <w:p>
                              <w:pPr>
                                <w:widowControl w:val="0"/>
                                <w:spacing w:line="360" w:lineRule="auto"/>
                                <w:ind w:firstLine="720"/>
                                <w:jc w:val="both"/>
                                <w:rPr>
                                  <w:szCs w:val="24"/>
                                </w:rPr>
                              </w:pPr>
                              <w:sdt>
                                <w:sdtPr>
                                  <w:alias w:val="Numeris"/>
                                  <w:tag w:val="nr_1a70cb5b3b4248beac80faf24195035a"/>
                                  <w:lock w:val="sdtLocked"/>
                                  <w:richText/>
                                </w:sdtPr>
                                <w:sdtContent>
                                  <w:r>
                                    <w:rPr>
                                      <w:szCs w:val="24"/>
                                    </w:rPr>
                                    <w:t>a</w:t>
                                  </w:r>
                                </w:sdtContent>
                              </w:sdt>
                              <w:r>
                                <w:rPr>
                                  <w:szCs w:val="24"/>
                                </w:rPr>
                                <w:t>) Europos Sąjungos valstybės narės;</w:t>
                              </w:r>
                            </w:p>
                          </w:sdtContent>
                        </w:sdt>
                        <w:sdt>
                          <w:sdtPr>
                            <w:alias w:val="15 str. 1 d. 3 p. b pp."/>
                            <w:tag w:val="part_503a4c18afcf44f7b7e05cccccf96130"/>
                            <w:lock w:val="sdtLocked"/>
                            <w:richText/>
                          </w:sdtPr>
                          <w:sdtContent>
                            <w:p>
                              <w:pPr>
                                <w:widowControl w:val="0"/>
                                <w:spacing w:line="360" w:lineRule="auto"/>
                                <w:ind w:firstLine="720"/>
                                <w:jc w:val="both"/>
                                <w:rPr>
                                  <w:szCs w:val="24"/>
                                </w:rPr>
                              </w:pPr>
                              <w:sdt>
                                <w:sdtPr>
                                  <w:alias w:val="Numeris"/>
                                  <w:tag w:val="nr_503a4c18afcf44f7b7e05cccccf96130"/>
                                  <w:lock w:val="sdtLocked"/>
                                  <w:richText/>
                                </w:sdtPr>
                                <w:sdtContent>
                                  <w:r>
                                    <w:rPr>
                                      <w:szCs w:val="24"/>
                                    </w:rPr>
                                    <w:t>b</w:t>
                                  </w:r>
                                </w:sdtContent>
                              </w:sdt>
                              <w:r>
                                <w:rPr>
                                  <w:szCs w:val="24"/>
                                </w:rPr>
                                <w:t>) trečiosios valstybės, nustačiusios šio įstatymo reikalavimams lygiaverčius reikalavimus;</w:t>
                              </w:r>
                            </w:p>
                          </w:sdtContent>
                        </w:sdt>
                        <w:sdt>
                          <w:sdtPr>
                            <w:alias w:val="15 str. 1 d. 3 p. c pp."/>
                            <w:tag w:val="part_2a46466e717e4dfda7765be9f7e35576"/>
                            <w:lock w:val="sdtLocked"/>
                            <w:richText/>
                          </w:sdtPr>
                          <w:sdtContent>
                            <w:p>
                              <w:pPr>
                                <w:spacing w:line="360" w:lineRule="auto"/>
                                <w:ind w:firstLine="720"/>
                                <w:jc w:val="both"/>
                                <w:rPr>
                                  <w:szCs w:val="24"/>
                                </w:rPr>
                              </w:pPr>
                              <w:sdt>
                                <w:sdtPr>
                                  <w:alias w:val="Numeris"/>
                                  <w:tag w:val="nr_2a46466e717e4dfda7765be9f7e35576"/>
                                  <w:lock w:val="sdtLocked"/>
                                  <w:richText/>
                                </w:sdtPr>
                                <w:sdtContent>
                                  <w:r>
                                    <w:rPr>
                                      <w:szCs w:val="24"/>
                                    </w:rPr>
                                    <w:t>c</w:t>
                                  </w:r>
                                </w:sdtContent>
                              </w:sdt>
                              <w:r>
                                <w:rPr>
                                  <w:szCs w:val="24"/>
                                </w:rPr>
                                <w:t>) remiantis vyriausybinių ir visuotinai pripažintų nevyriausybinių organizacijų, stebinčių ir vertinančių korupcijos lygį, duomenimis, valstybėje nustatytas mažas korupcijos ar kitos nusikalstamos veiklos lygis;</w:t>
                              </w:r>
                            </w:p>
                          </w:sdtContent>
                        </w:sdt>
                        <w:sdt>
                          <w:sdtPr>
                            <w:alias w:val="15 str. 1 d. 3 p. d pp."/>
                            <w:tag w:val="part_dc7a3d2750cc4f92b4dc12688424816e"/>
                            <w:lock w:val="sdtLocked"/>
                            <w:richText/>
                          </w:sdtPr>
                          <w:sdtContent>
                            <w:p>
                              <w:pPr>
                                <w:spacing w:line="360" w:lineRule="auto"/>
                                <w:ind w:firstLine="720"/>
                                <w:jc w:val="both"/>
                                <w:rPr>
                                  <w:szCs w:val="24"/>
                                </w:rPr>
                              </w:pPr>
                              <w:sdt>
                                <w:sdtPr>
                                  <w:alias w:val="Numeris"/>
                                  <w:tag w:val="nr_dc7a3d2750cc4f92b4dc12688424816e"/>
                                  <w:lock w:val="sdtLocked"/>
                                  <w:richText/>
                                </w:sdtPr>
                                <w:sdtContent>
                                  <w:r>
                                    <w:rPr>
                                      <w:szCs w:val="24"/>
                                    </w:rPr>
                                    <w:t>d</w:t>
                                  </w:r>
                                </w:sdtContent>
                              </w:sdt>
                              <w:r>
                                <w:rPr>
                                  <w:szCs w:val="24"/>
                                </w:rPr>
                                <w:t>) remiantis Finansinių veiksmų darbo grupės kovai su pinigų plovimu ir teroristų finansavimu arba panašaus pobūdžio regioninės organizacijos ataskaitų ar panašių dokumentų duomenimis, valstybėje taikomi kovos su pinigų plovimu ir teroristų finansavimu reikalavimai, atitinkantys Finansinių veiksmų darbo grupės kovai su pinigų plovimu ir teroristų finansavimu rekomendacijas, ir valstybė veiksmingai tuos reikalavimus įgyvendina.</w:t>
                              </w:r>
                            </w:p>
                          </w:sdtContent>
                        </w:sdt>
                      </w:sdtContent>
                    </w:sdt>
                  </w:sdtContent>
                </w:sdt>
                <w:sdt>
                  <w:sdtPr>
                    <w:alias w:val="15 str. 2 d."/>
                    <w:tag w:val="part_0866d40ffb1c4707a103d3d8873cc219"/>
                    <w:lock w:val="sdtLocked"/>
                    <w:richText/>
                  </w:sdtPr>
                  <w:sdtContent>
                    <w:p>
                      <w:pPr>
                        <w:spacing w:line="360" w:lineRule="auto"/>
                        <w:ind w:firstLine="720"/>
                        <w:jc w:val="both"/>
                        <w:rPr>
                          <w:szCs w:val="24"/>
                        </w:rPr>
                      </w:pPr>
                      <w:sdt>
                        <w:sdtPr>
                          <w:alias w:val="Numeris"/>
                          <w:tag w:val="nr_0866d40ffb1c4707a103d3d8873cc219"/>
                          <w:lock w:val="sdtLocked"/>
                          <w:richText/>
                        </w:sdtPr>
                        <w:sdtContent>
                          <w:r>
                            <w:rPr>
                              <w:szCs w:val="24"/>
                            </w:rPr>
                            <w:t>2</w:t>
                          </w:r>
                        </w:sdtContent>
                      </w:sdt>
                      <w:r>
                        <w:rPr>
                          <w:szCs w:val="24"/>
                        </w:rPr>
                        <w:t xml:space="preserve">. Finansų įstaigos, nustatydamos ir taikydamos supaprastinto kliento tapatybės nustatymo priemones, vadovaujasi Europos bankininkystės institucijos 2021 m. kovo 1 d. gairėmis EBA/GL/2021/02 pagal Direktyvos </w:t>
                      </w:r>
                      <w:hyperlink r:id="rId71" w:tgtFrame="_blank" w:history="1">
                        <w:r>
                          <w:rPr>
                            <w:color w:val="0000FF" w:themeColor="hyperlink"/>
                            <w:szCs w:val="24"/>
                            <w:u w:val="single"/>
                          </w:rPr>
                          <w:t>(ES) 2015/849</w:t>
                        </w:r>
                      </w:hyperlink>
                      <w:r>
                        <w:rPr>
                          <w:szCs w:val="24"/>
                        </w:rPr>
                        <w:t xml:space="preserve"> 17 straipsnį ir 18 straipsnio 4 dalį dėl deramo klientų tikrinimo ir veiksnių, į kuriuos kredito ir finansų įstaigos turėtų atsižvelgti vertindamos su atskirais dalykiniais santykiais ir vienkartiniais sandoriais ir (arba) operacijomis susijusią pinigų plovimo ir teroristų finansavimo riziką (PP / TF rizikos veiksnių gairėmis), su visais pakeitimais.</w:t>
                      </w:r>
                    </w:p>
                  </w:sdtContent>
                </w:sdt>
                <w:sdt>
                  <w:sdtPr>
                    <w:alias w:val="15 str. 3 d."/>
                    <w:tag w:val="part_f6727dc011544106bb777244c71b8b60"/>
                    <w:lock w:val="sdtLocked"/>
                    <w:richText/>
                  </w:sdtPr>
                  <w:sdtContent>
                    <w:p>
                      <w:pPr>
                        <w:spacing w:line="360" w:lineRule="auto"/>
                        <w:ind w:firstLine="720"/>
                        <w:jc w:val="both"/>
                        <w:rPr>
                          <w:szCs w:val="24"/>
                        </w:rPr>
                      </w:pPr>
                      <w:sdt>
                        <w:sdtPr>
                          <w:alias w:val="Numeris"/>
                          <w:tag w:val="nr_f6727dc011544106bb777244c71b8b60"/>
                          <w:lock w:val="sdtLocked"/>
                          <w:richText/>
                        </w:sdtPr>
                        <w:sdtContent>
                          <w:r>
                            <w:rPr>
                              <w:szCs w:val="24"/>
                            </w:rPr>
                            <w:t>3</w:t>
                          </w:r>
                        </w:sdtContent>
                      </w:sdt>
                      <w:r>
                        <w:rPr>
                          <w:szCs w:val="24"/>
                        </w:rPr>
                        <w:t>. Supaprastintas kliento tapatybės nustatymas gali būti atliekamas, jeigu pagal kitų įpareigotųjų subjektų nustatytas rizikos vertinimo ir valdymo procedūras nustatoma maža pinigų plovimo ir (ar) teroristų finansavimo rizika:</w:t>
                      </w:r>
                    </w:p>
                    <w:sdt>
                      <w:sdtPr>
                        <w:alias w:val="15 str. 3 d. 1 p."/>
                        <w:tag w:val="part_12dd4f1a2ed94875a689487e01ce50e5"/>
                        <w:lock w:val="sdtLocked"/>
                        <w:richText/>
                      </w:sdtPr>
                      <w:sdtContent>
                        <w:p>
                          <w:pPr>
                            <w:spacing w:line="360" w:lineRule="auto"/>
                            <w:ind w:firstLine="720"/>
                            <w:jc w:val="both"/>
                            <w:rPr>
                              <w:szCs w:val="24"/>
                            </w:rPr>
                          </w:pPr>
                          <w:sdt>
                            <w:sdtPr>
                              <w:alias w:val="Numeris"/>
                              <w:tag w:val="nr_12dd4f1a2ed94875a689487e01ce50e5"/>
                              <w:lock w:val="sdtLocked"/>
                              <w:richText/>
                            </w:sdtPr>
                            <w:sdtContent>
                              <w:r>
                                <w:rPr>
                                  <w:szCs w:val="24"/>
                                </w:rPr>
                                <w:t>1</w:t>
                              </w:r>
                            </w:sdtContent>
                          </w:sdt>
                          <w:r>
                            <w:rPr>
                              <w:szCs w:val="24"/>
                            </w:rPr>
                            <w:t>) bendrovėms, kurių vertybiniais popieriais leista prekiauti vienos ar kelių Europos Sąjungos valstybių narių reguliuojamose rinkose, ir kitoms užsienio valstybių bendrovėms, kurių vertybiniais popieriais prekiaujama reguliuojamoje rinkoje ir kurioms yra taikomi Europos Sąjungos teisės aktus atitinkantys reikalavimai atskleisti informaciją apie savo veiklą;</w:t>
                          </w:r>
                        </w:p>
                      </w:sdtContent>
                    </w:sdt>
                    <w:sdt>
                      <w:sdtPr>
                        <w:alias w:val="15 str. 3 d. 2 p."/>
                        <w:tag w:val="part_a5db9c49d63849fd9a7ff070ec83025f"/>
                        <w:lock w:val="sdtLocked"/>
                        <w:richText/>
                      </w:sdtPr>
                      <w:sdtContent>
                        <w:p>
                          <w:pPr>
                            <w:spacing w:line="360" w:lineRule="auto"/>
                            <w:ind w:firstLine="720"/>
                            <w:jc w:val="both"/>
                            <w:rPr>
                              <w:szCs w:val="24"/>
                            </w:rPr>
                          </w:pPr>
                          <w:sdt>
                            <w:sdtPr>
                              <w:alias w:val="Numeris"/>
                              <w:tag w:val="nr_a5db9c49d63849fd9a7ff070ec83025f"/>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sdtContent>
                    </w:sdt>
                    <w:sdt>
                      <w:sdtPr>
                        <w:alias w:val="15 str. 3 d. 3 p."/>
                        <w:tag w:val="part_8a72fd9cce9e43e7a997a5a37dbcb8ee"/>
                        <w:lock w:val="sdtLocked"/>
                        <w:richText/>
                      </w:sdtPr>
                      <w:sdtContent>
                        <w:p>
                          <w:pPr>
                            <w:spacing w:line="360" w:lineRule="auto"/>
                            <w:ind w:firstLine="720"/>
                            <w:jc w:val="both"/>
                            <w:rPr>
                              <w:szCs w:val="24"/>
                            </w:rPr>
                          </w:pPr>
                          <w:sdt>
                            <w:sdtPr>
                              <w:alias w:val="Numeris"/>
                              <w:tag w:val="nr_8a72fd9cce9e43e7a997a5a37dbcb8ee"/>
                              <w:lock w:val="sdtLocked"/>
                              <w:richText/>
                            </w:sdtPr>
                            <w:sdtContent>
                              <w:r>
                                <w:rPr>
                                  <w:szCs w:val="24"/>
                                </w:rPr>
                                <w:t>3</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Content>
                </w:sdt>
                <w:sdt>
                  <w:sdtPr>
                    <w:alias w:val="15 str. 4 d."/>
                    <w:tag w:val="part_838208fe122f4eb2b96eba1ea4faac91"/>
                    <w:lock w:val="sdtLocked"/>
                    <w:richText/>
                  </w:sdtPr>
                  <w:sdtContent>
                    <w:p>
                      <w:pPr>
                        <w:spacing w:line="360" w:lineRule="auto"/>
                        <w:ind w:firstLine="720"/>
                        <w:jc w:val="both"/>
                        <w:rPr>
                          <w:szCs w:val="24"/>
                        </w:rPr>
                      </w:pPr>
                      <w:sdt>
                        <w:sdtPr>
                          <w:alias w:val="Numeris"/>
                          <w:tag w:val="nr_838208fe122f4eb2b96eba1ea4faac91"/>
                          <w:lock w:val="sdtLocked"/>
                          <w:richText/>
                        </w:sdtPr>
                        <w:sdtContent>
                          <w:r>
                            <w:rPr>
                              <w:szCs w:val="24"/>
                            </w:rPr>
                            <w:t>4</w:t>
                          </w:r>
                        </w:sdtContent>
                      </w:sdt>
                      <w:r>
                        <w:rPr>
                          <w:szCs w:val="24"/>
                        </w:rPr>
                        <w:t>. Taikydami supaprastintą kliento tapatybės nustatymą, išskyrus šio straipsnio 5 dalyje nustatytą atvejį, kiti įpareigotieji subjektai, nustatydami kliento ir naudos gavėjo tapatybę, gali nukrypti nuo šio įstatymo 9 straipsnio 12, 13, 14 dalyse, 10 straipsnyje, 11 straipsnio 3 dalyje ir 12 straipsnyje nurodytų nuostatų ir privalo tik gauti šio įstatymo 10 straipsnio 1 dalies 1, 2, 3 punktuose ir 10 straipsnio 2 dalies 1, 2, 3 punktuose nurodytus duomenis.</w:t>
                      </w:r>
                    </w:p>
                  </w:sdtContent>
                </w:sdt>
                <w:sdt>
                  <w:sdtPr>
                    <w:alias w:val="15 str. 5 d."/>
                    <w:tag w:val="part_16269431279f4ccdb5dbccfb0ac6a90b"/>
                    <w:lock w:val="sdtLocked"/>
                    <w:richText/>
                  </w:sdtPr>
                  <w:sdtContent>
                    <w:p>
                      <w:pPr>
                        <w:spacing w:line="360" w:lineRule="auto"/>
                        <w:ind w:firstLine="720"/>
                        <w:jc w:val="both"/>
                        <w:rPr>
                          <w:szCs w:val="24"/>
                        </w:rPr>
                      </w:pPr>
                      <w:sdt>
                        <w:sdtPr>
                          <w:alias w:val="Numeris"/>
                          <w:tag w:val="nr_16269431279f4ccdb5dbccfb0ac6a90b"/>
                          <w:lock w:val="sdtLocked"/>
                          <w:richText/>
                        </w:sdtPr>
                        <w:sdtContent>
                          <w:r>
                            <w:rPr>
                              <w:szCs w:val="24"/>
                            </w:rPr>
                            <w:t>5</w:t>
                          </w:r>
                        </w:sdtContent>
                      </w:sdt>
                      <w:r>
                        <w:rPr>
                          <w:szCs w:val="24"/>
                        </w:rPr>
                        <w:t>. Taikydami supaprastintą kliento tapatybės nustatymą šio straipsnio 3 dalies 2 punkte nustatytais atvejais,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sdtContent>
                </w:sdt>
                <w:sdt>
                  <w:sdtPr>
                    <w:alias w:val="15 str. 6 d."/>
                    <w:tag w:val="part_3d0836510a7a47379900b0ca27cc15b2"/>
                    <w:lock w:val="sdtLocked"/>
                    <w:richText/>
                  </w:sdtPr>
                  <w:sdtContent>
                    <w:p>
                      <w:pPr>
                        <w:spacing w:line="360" w:lineRule="auto"/>
                        <w:ind w:firstLine="720"/>
                        <w:jc w:val="both"/>
                        <w:rPr>
                          <w:szCs w:val="24"/>
                        </w:rPr>
                      </w:pPr>
                      <w:sdt>
                        <w:sdtPr>
                          <w:alias w:val="Numeris"/>
                          <w:tag w:val="nr_3d0836510a7a47379900b0ca27cc15b2"/>
                          <w:lock w:val="sdtLocked"/>
                          <w:richText/>
                        </w:sdtPr>
                        <w:sdtContent>
                          <w:r>
                            <w:rPr>
                              <w:szCs w:val="24"/>
                            </w:rPr>
                            <w:t>6</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p>
                  </w:sdtContent>
                </w:sdt>
                <w:sdt>
                  <w:sdtPr>
                    <w:alias w:val="15 str. 7 d."/>
                    <w:tag w:val="part_f002fdaff9b84d0992c5969008e3594d"/>
                    <w:lock w:val="sdtLocked"/>
                    <w:richText/>
                  </w:sdtPr>
                  <w:sdtContent>
                    <w:p>
                      <w:pPr>
                        <w:spacing w:line="360" w:lineRule="auto"/>
                        <w:ind w:firstLine="720"/>
                        <w:jc w:val="both"/>
                        <w:rPr>
                          <w:szCs w:val="24"/>
                        </w:rPr>
                      </w:pPr>
                      <w:sdt>
                        <w:sdtPr>
                          <w:alias w:val="Numeris"/>
                          <w:tag w:val="nr_f002fdaff9b84d0992c5969008e3594d"/>
                          <w:lock w:val="sdtLocked"/>
                          <w:richText/>
                        </w:sdtPr>
                        <w:sdtContent>
                          <w:r>
                            <w:rPr>
                              <w:szCs w:val="24"/>
                            </w:rPr>
                            <w:t>7</w:t>
                          </w:r>
                        </w:sdtContent>
                      </w:sdt>
                      <w:r>
                        <w:rPr>
                          <w:szCs w:val="24"/>
                        </w:rPr>
                        <w:t>. Supaprastintas kliento tapatybės nustatymas negalimas, jeigu yra šio įstatymo 14 straipsnio 1 dalyje nurodytos aplinkybės, kai būtina atlikti sustiprintą kliento tapatybės nustatymą ir (arba) finansų įstaiga ar kitas įpareigotasis subjektas nustato didesnės pinigų plovimo ir (ar) teroristų finansavimo rizikos veiksnius, nurodytus šio įstatymo 14 straipsnio 10 dalyje. Ši nuostata netaikoma pensijų fondų, veikiančių pagal Lietuvos Respublikos pensijų kaupimo įstatymą, klientams, valstybės ir savivaldybių institucijoms ir įstaigoms, Lietuvos bankui.</w:t>
                      </w:r>
                    </w:p>
                  </w:sdtContent>
                </w:sdt>
                <w:sdt>
                  <w:sdtPr>
                    <w:alias w:val="15 str. 8 d."/>
                    <w:tag w:val="part_21ac9ac1961244b3a6525a9a5444976d"/>
                    <w:lock w:val="sdtLocked"/>
                    <w:richText/>
                  </w:sdtPr>
                  <w:sdtContent>
                    <w:p>
                      <w:pPr>
                        <w:spacing w:line="360" w:lineRule="auto"/>
                        <w:ind w:firstLine="720"/>
                        <w:jc w:val="both"/>
                        <w:rPr>
                          <w:b/>
                          <w:szCs w:val="24"/>
                        </w:rPr>
                      </w:pPr>
                      <w:sdt>
                        <w:sdtPr>
                          <w:alias w:val="Numeris"/>
                          <w:tag w:val="nr_21ac9ac1961244b3a6525a9a5444976d"/>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15-1 str."/>
                <w:tag w:val="part_09d3e0c4188e4eeb97d9fc90d3f31798"/>
                <w:lock w:val="sdtLocked"/>
                <w:richText/>
              </w:sdtPr>
              <w:sdtContent>
                <w:p>
                  <w:pPr>
                    <w:widowControl w:val="0"/>
                    <w:spacing w:line="406" w:lineRule="atLeast"/>
                    <w:ind w:firstLine="720"/>
                    <w:jc w:val="both"/>
                    <w:rPr>
                      <w:b/>
                      <w:bCs/>
                      <w:color w:val="000000"/>
                      <w:szCs w:val="24"/>
                      <w:lang w:eastAsia="lt-LT"/>
                    </w:rPr>
                  </w:pPr>
                  <w:sdt>
                    <w:sdtPr>
                      <w:alias w:val="Numeris"/>
                      <w:tag w:val="nr_09d3e0c4188e4eeb97d9fc90d3f31798"/>
                      <w:lock w:val="sdtLocked"/>
                      <w:richText/>
                    </w:sdtPr>
                    <w:sdtContent>
                      <w:r>
                        <w:rPr>
                          <w:b/>
                          <w:bCs/>
                          <w:szCs w:val="24"/>
                          <w:lang w:eastAsia="lt-LT"/>
                        </w:rPr>
                        <w:t>15</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9d3e0c4188e4eeb97d9fc90d3f31798"/>
                      <w:lock w:val="sdtLocked"/>
                      <w:richText/>
                    </w:sdtPr>
                    <w:sdtContent>
                      <w:r>
                        <w:rPr>
                          <w:b/>
                          <w:bCs/>
                          <w:color w:val="000000"/>
                          <w:szCs w:val="24"/>
                          <w:lang w:eastAsia="lt-LT"/>
                        </w:rPr>
                        <w:t xml:space="preserve">Keitimasis informacija tarp finansų įstaigų </w:t>
                      </w:r>
                    </w:sdtContent>
                  </w:sdt>
                </w:p>
                <w:sdt>
                  <w:sdtPr>
                    <w:alias w:val="15-1 str. 1 d."/>
                    <w:tag w:val="part_fce579d07519416a8ea545aa7297dcd9"/>
                    <w:lock w:val="sdtLocked"/>
                    <w:richText/>
                  </w:sdtPr>
                  <w:sdtContent>
                    <w:p>
                      <w:pPr>
                        <w:widowControl w:val="0"/>
                        <w:spacing w:line="406" w:lineRule="atLeast"/>
                        <w:ind w:firstLine="720"/>
                        <w:jc w:val="both"/>
                        <w:rPr>
                          <w:bCs/>
                          <w:color w:val="000000"/>
                          <w:szCs w:val="24"/>
                          <w:lang w:eastAsia="lt-LT"/>
                        </w:rPr>
                      </w:pPr>
                      <w:sdt>
                        <w:sdtPr>
                          <w:alias w:val="Numeris"/>
                          <w:tag w:val="nr_fce579d07519416a8ea545aa7297dcd9"/>
                          <w:lock w:val="sdtLocked"/>
                          <w:richText/>
                        </w:sdtPr>
                        <w:sdtContent>
                          <w:r>
                            <w:rPr>
                              <w:bCs/>
                              <w:color w:val="000000"/>
                              <w:szCs w:val="24"/>
                              <w:lang w:eastAsia="lt-LT"/>
                            </w:rPr>
                            <w:t>1</w:t>
                          </w:r>
                        </w:sdtContent>
                      </w:sdt>
                      <w:r>
                        <w:rPr>
                          <w:bCs/>
                          <w:color w:val="000000"/>
                          <w:szCs w:val="24"/>
                          <w:lang w:eastAsia="lt-LT"/>
                        </w:rPr>
                        <w:t xml:space="preserve">. Finansų įstaigos, siekdamos įgyvendinti šiame įstatyme joms nustatytas pinigų plovimo ir (ar) teroristų finansavimo, įskaitant ir tarptautinių finansinių sankcijų ir (ar) ribojamųjų priemonių netinkamo įgyvendinimo, prevencijos priemones, turi teisę keistis informacija apie klientą ir jo atstovą, kliento naudos gavėją, kliento, kuris yra juridinis asmuo, nuosavybės ir kontrolės struktūroje dalyvaujančius asmenis ir (ar) pinigines operacijas ar sandorius, kai joms kyla įtarimų dėl galimo pinigų plovimo ir (ar) teroristų finansavimo, įskaitant galimą tarptautinių finansinių sankcijų ir (ar) ribojamųjų priemonių netinkamą įgyvendinimą. Keitimosi informacija apie klientą ir jo atstovą, kliento naudos gavėją, kliento, kuris yra juridinis asmuo, nuosavybės ir kontrolės struktūroje dalyvaujančius asmenis ir (ar) pinigines operacijas ar sandorius tvarką nustato Finansinių nusikaltimų tyrimo tarnybos direktorius. </w:t>
                      </w:r>
                    </w:p>
                  </w:sdtContent>
                </w:sdt>
                <w:sdt>
                  <w:sdtPr>
                    <w:alias w:val="15-1 str. 2 d."/>
                    <w:tag w:val="part_5a26ceca50b24a979e7b92fdcd24f73a"/>
                    <w:lock w:val="sdtLocked"/>
                    <w:richText/>
                  </w:sdtPr>
                  <w:sdtContent>
                    <w:p>
                      <w:pPr>
                        <w:widowControl w:val="0"/>
                        <w:spacing w:line="406" w:lineRule="atLeast"/>
                        <w:ind w:firstLine="720"/>
                        <w:jc w:val="both"/>
                      </w:pPr>
                      <w:sdt>
                        <w:sdtPr>
                          <w:alias w:val="Numeris"/>
                          <w:tag w:val="nr_5a26ceca50b24a979e7b92fdcd24f73a"/>
                          <w:lock w:val="sdtLocked"/>
                          <w:richText/>
                        </w:sdtPr>
                        <w:sdtContent>
                          <w:r>
                            <w:rPr>
                              <w:bCs/>
                              <w:szCs w:val="24"/>
                            </w:rPr>
                            <w:t>2</w:t>
                          </w:r>
                        </w:sdtContent>
                      </w:sdt>
                      <w:r>
                        <w:rPr>
                          <w:bCs/>
                          <w:szCs w:val="24"/>
                        </w:rPr>
                        <w:t xml:space="preserve">. Finansų įstaigos asmens duomenis tvarko vadovaudamosi </w:t>
                      </w:r>
                      <w:r>
                        <w:rPr>
                          <w:bCs/>
                          <w:color w:val="000000"/>
                          <w:szCs w:val="24"/>
                        </w:rPr>
                        <w:t>2016 m. balandžio 27 d. Europos Parlamento ir Tarybos reglamentu (ES) 2016/679 dėl fizinių asmenų apsaugos tvarkant asmens duomenis ir dėl laisvo tokių duomenų judėjimo, kuriuo panaikinama Direktyva 95/46/EB (Bendruoju duomenų apsaugos reglamentu),</w:t>
                      </w:r>
                      <w:r>
                        <w:rPr>
                          <w:bCs/>
                          <w:szCs w:val="24"/>
                        </w:rPr>
                        <w:t xml:space="preserve"> ir keičiasi tik ta </w:t>
                      </w:r>
                      <w:r>
                        <w:rPr>
                          <w:bCs/>
                          <w:szCs w:val="24"/>
                          <w:lang w:eastAsia="lt-LT"/>
                        </w:rPr>
                        <w:t xml:space="preserve">informacija </w:t>
                      </w:r>
                      <w:r>
                        <w:rPr>
                          <w:bCs/>
                          <w:color w:val="000000"/>
                          <w:szCs w:val="24"/>
                          <w:lang w:eastAsia="lt-LT"/>
                        </w:rPr>
                        <w:t>apie klientą ir jo atstovą, kliento naudos gavėją, kliento, kuris yra juridinis asmuo, nuosavybės ir kontrolės struktūroje dalyvaujančius asmenis ir (ar) pinigines operacijas ar sandorius</w:t>
                      </w:r>
                      <w:r>
                        <w:rPr>
                          <w:bCs/>
                          <w:szCs w:val="24"/>
                          <w:lang w:eastAsia="lt-LT"/>
                        </w:rPr>
                        <w:t>, kuri yra būtina siekiant įgyvendinti šio straipsnio 1 dalyje nurodytus tikslus.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5-2 str."/>
                <w:tag w:val="part_8d9e6e897d4a41cda54959c8a82670ae"/>
                <w:lock w:val="sdtLocked"/>
                <w:richText/>
              </w:sdtPr>
              <w:sdtContent>
                <w:p>
                  <w:pPr>
                    <w:widowControl w:val="0"/>
                    <w:spacing w:line="406" w:lineRule="atLeast"/>
                    <w:ind w:left="2410" w:hanging="1690"/>
                    <w:jc w:val="both"/>
                    <w:rPr>
                      <w:b/>
                      <w:bCs/>
                      <w:color w:val="000000"/>
                      <w:szCs w:val="24"/>
                      <w:lang w:eastAsia="lt-LT"/>
                    </w:rPr>
                  </w:pPr>
                  <w:sdt>
                    <w:sdtPr>
                      <w:alias w:val="Numeris"/>
                      <w:tag w:val="nr_8d9e6e897d4a41cda54959c8a82670ae"/>
                      <w:lock w:val="sdtLocked"/>
                      <w:richText/>
                    </w:sdtPr>
                    <w:sdtContent>
                      <w:r>
                        <w:rPr>
                          <w:b/>
                          <w:bCs/>
                          <w:szCs w:val="24"/>
                          <w:lang w:eastAsia="lt-LT"/>
                        </w:rPr>
                        <w:t>15</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8d9e6e897d4a41cda54959c8a82670ae"/>
                      <w:lock w:val="sdtLocked"/>
                      <w:richText/>
                    </w:sdtPr>
                    <w:sdtContent>
                      <w:r>
                        <w:rPr>
                          <w:b/>
                          <w:bCs/>
                          <w:color w:val="000000"/>
                          <w:szCs w:val="24"/>
                          <w:lang w:eastAsia="lt-LT"/>
                        </w:rPr>
                        <w:t>Tapatybės nustatymo ir stebėsenos veiklos funkcijų perdavimas kitam asmeniui</w:t>
                      </w:r>
                    </w:sdtContent>
                  </w:sdt>
                </w:p>
                <w:sdt>
                  <w:sdtPr>
                    <w:alias w:val="15-2 str. 1 d."/>
                    <w:tag w:val="part_6d60572ac06c4f9f8a7d34daccf29288"/>
                    <w:lock w:val="sdtLocked"/>
                    <w:richText/>
                  </w:sdtPr>
                  <w:sdtContent>
                    <w:p>
                      <w:pPr>
                        <w:widowControl w:val="0"/>
                        <w:spacing w:line="406" w:lineRule="atLeast"/>
                        <w:ind w:firstLine="720"/>
                        <w:jc w:val="both"/>
                        <w:rPr>
                          <w:bCs/>
                          <w:color w:val="000000"/>
                          <w:szCs w:val="24"/>
                          <w:lang w:eastAsia="lt-LT"/>
                        </w:rPr>
                      </w:pPr>
                      <w:sdt>
                        <w:sdtPr>
                          <w:alias w:val="Numeris"/>
                          <w:tag w:val="nr_6d60572ac06c4f9f8a7d34daccf29288"/>
                          <w:lock w:val="sdtLocked"/>
                          <w:richText/>
                        </w:sdtPr>
                        <w:sdtContent>
                          <w:r>
                            <w:rPr>
                              <w:bCs/>
                              <w:color w:val="000000"/>
                              <w:szCs w:val="24"/>
                              <w:lang w:eastAsia="lt-LT"/>
                            </w:rPr>
                            <w:t>1</w:t>
                          </w:r>
                        </w:sdtContent>
                      </w:sdt>
                      <w:r>
                        <w:rPr>
                          <w:bCs/>
                          <w:color w:val="000000"/>
                          <w:szCs w:val="24"/>
                          <w:lang w:eastAsia="lt-LT"/>
                        </w:rPr>
                        <w:t xml:space="preserve">. Finansų įstaigos ir kiti įpareigotieji subjektai turi teisę perduoti kliento ir naudos gavėjo tapatybės nustatymo ir nuolatinės dalykinių santykių stebėsenos veiklos funkcijas (toliau – veiklos funkcijos) kitam Europos Sąjungos valstybėje narėje </w:t>
                      </w:r>
                      <w:r>
                        <w:rPr>
                          <w:bCs/>
                          <w:szCs w:val="24"/>
                          <w:lang w:eastAsia="lt-LT"/>
                        </w:rPr>
                        <w:t>arba trečiojoje valstybėje, kuri taiko Europos Sąjungos valstybėje narėje nustatytiems klientų ir naudos gavėjų tapatybės nustatymo reikalavimams ir informacijos saugojimo reikalavimams lygiaverčius reikalavimus,</w:t>
                      </w:r>
                      <w:r>
                        <w:rPr>
                          <w:bCs/>
                          <w:color w:val="000000"/>
                          <w:szCs w:val="24"/>
                          <w:lang w:eastAsia="lt-LT"/>
                        </w:rPr>
                        <w:t xml:space="preserve"> registruotam asmeniui, kuris nėra trečioji šalis (toliau šiame straipsnyje – kitas asmuo). </w:t>
                      </w:r>
                    </w:p>
                  </w:sdtContent>
                </w:sdt>
                <w:sdt>
                  <w:sdtPr>
                    <w:alias w:val="15-2 str. 2 d."/>
                    <w:tag w:val="part_740aad838a034e9788e1b0c7f35285b4"/>
                    <w:lock w:val="sdtLocked"/>
                    <w:richText/>
                  </w:sdtPr>
                  <w:sdtContent>
                    <w:p>
                      <w:pPr>
                        <w:widowControl w:val="0"/>
                        <w:spacing w:line="406" w:lineRule="atLeast"/>
                        <w:ind w:firstLine="720"/>
                        <w:jc w:val="both"/>
                        <w:rPr>
                          <w:bCs/>
                          <w:color w:val="000000"/>
                          <w:szCs w:val="24"/>
                          <w:lang w:eastAsia="lt-LT"/>
                        </w:rPr>
                      </w:pPr>
                      <w:sdt>
                        <w:sdtPr>
                          <w:alias w:val="Numeris"/>
                          <w:tag w:val="nr_740aad838a034e9788e1b0c7f35285b4"/>
                          <w:lock w:val="sdtLocked"/>
                          <w:richText/>
                        </w:sdtPr>
                        <w:sdtContent>
                          <w:r>
                            <w:rPr>
                              <w:bCs/>
                              <w:color w:val="000000"/>
                              <w:szCs w:val="24"/>
                              <w:lang w:eastAsia="lt-LT"/>
                            </w:rPr>
                            <w:t>2</w:t>
                          </w:r>
                        </w:sdtContent>
                      </w:sdt>
                      <w:r>
                        <w:rPr>
                          <w:bCs/>
                          <w:color w:val="000000"/>
                          <w:szCs w:val="24"/>
                          <w:lang w:eastAsia="lt-LT"/>
                        </w:rPr>
                        <w:t>. Finansų įstaigos ir kiti įpareigotieji subjektai, perduodami šio straipsnio 1 dalyje nurodytas veiklos funkcijas kitam asmeniui, turi laikytis šių reikalavimų:</w:t>
                      </w:r>
                    </w:p>
                    <w:sdt>
                      <w:sdtPr>
                        <w:alias w:val="15-2 str. 2 d. 1 p."/>
                        <w:tag w:val="part_b91a6b724c5145efb330dbfa98f191ba"/>
                        <w:lock w:val="sdtLocked"/>
                        <w:richText/>
                      </w:sdtPr>
                      <w:sdtContent>
                        <w:p>
                          <w:pPr>
                            <w:widowControl w:val="0"/>
                            <w:spacing w:line="406" w:lineRule="atLeast"/>
                            <w:ind w:firstLine="720"/>
                            <w:jc w:val="both"/>
                            <w:rPr>
                              <w:bCs/>
                              <w:color w:val="000000"/>
                              <w:szCs w:val="24"/>
                              <w:lang w:eastAsia="lt-LT"/>
                            </w:rPr>
                          </w:pPr>
                          <w:sdt>
                            <w:sdtPr>
                              <w:alias w:val="Numeris"/>
                              <w:tag w:val="nr_b91a6b724c5145efb330dbfa98f191ba"/>
                              <w:lock w:val="sdtLocked"/>
                              <w:richText/>
                            </w:sdtPr>
                            <w:sdtContent>
                              <w:r>
                                <w:rPr>
                                  <w:bCs/>
                                  <w:color w:val="000000"/>
                                  <w:szCs w:val="24"/>
                                  <w:lang w:eastAsia="lt-LT"/>
                                </w:rPr>
                                <w:t>1</w:t>
                              </w:r>
                            </w:sdtContent>
                          </w:sdt>
                          <w:r>
                            <w:rPr>
                              <w:bCs/>
                              <w:color w:val="000000"/>
                              <w:szCs w:val="24"/>
                              <w:lang w:eastAsia="lt-LT"/>
                            </w:rPr>
                            <w:t>) veiklos funkcijų vykdymo perdavimas kitam asmeniui yra nustatytas finansų įstaigos ar kito įpareigotojo subjekto vidaus politikos ir vidaus kontrolės procedūrose;</w:t>
                          </w:r>
                        </w:p>
                      </w:sdtContent>
                    </w:sdt>
                    <w:sdt>
                      <w:sdtPr>
                        <w:alias w:val="15-2 str. 2 d. 2 p."/>
                        <w:tag w:val="part_42e66478eb674c9ca3b6d790126ddd01"/>
                        <w:lock w:val="sdtLocked"/>
                        <w:richText/>
                      </w:sdtPr>
                      <w:sdtContent>
                        <w:p>
                          <w:pPr>
                            <w:widowControl w:val="0"/>
                            <w:spacing w:line="406" w:lineRule="atLeast"/>
                            <w:ind w:firstLine="720"/>
                            <w:jc w:val="both"/>
                            <w:rPr>
                              <w:bCs/>
                              <w:color w:val="000000"/>
                              <w:szCs w:val="24"/>
                              <w:lang w:eastAsia="lt-LT"/>
                            </w:rPr>
                          </w:pPr>
                          <w:sdt>
                            <w:sdtPr>
                              <w:alias w:val="Numeris"/>
                              <w:tag w:val="nr_42e66478eb674c9ca3b6d790126ddd01"/>
                              <w:lock w:val="sdtLocked"/>
                              <w:richText/>
                            </w:sdtPr>
                            <w:sdtContent>
                              <w:r>
                                <w:rPr>
                                  <w:bCs/>
                                  <w:color w:val="000000"/>
                                  <w:szCs w:val="24"/>
                                  <w:lang w:eastAsia="lt-LT"/>
                                </w:rPr>
                                <w:t>2</w:t>
                              </w:r>
                            </w:sdtContent>
                          </w:sdt>
                          <w:r>
                            <w:rPr>
                              <w:bCs/>
                              <w:color w:val="000000"/>
                              <w:szCs w:val="24"/>
                              <w:lang w:eastAsia="lt-LT"/>
                            </w:rPr>
                            <w:t>) tarp finansų įstaigos ar kito įpareigotojo subjekto ir kito asmens, kuriam yra perduodamos veiklos funkcijos, yra sudaryta rašytinė sutartis, nustatanti, be kita ko, veiklos funkcijų perdavimą,</w:t>
                          </w:r>
                          <w:r>
                            <w:rPr>
                              <w:bCs/>
                              <w:szCs w:val="24"/>
                            </w:rPr>
                            <w:t xml:space="preserve"> reguliarų </w:t>
                          </w:r>
                          <w:r>
                            <w:rPr>
                              <w:bCs/>
                              <w:color w:val="000000"/>
                              <w:szCs w:val="24"/>
                              <w:lang w:eastAsia="lt-LT"/>
                            </w:rPr>
                            <w:t>kliento ir naudos gavėjo tapatybės nustatymo metu pateiktų dokumentų, duomenų ar informacijos atnaujinimą, keitimąsi informacija apie nustatytus šiame įstatyme nurodytų kliento ir naudos gavėjo tapatybės nustatymo reikalavimų pažeidimus;</w:t>
                          </w:r>
                        </w:p>
                      </w:sdtContent>
                    </w:sdt>
                    <w:sdt>
                      <w:sdtPr>
                        <w:alias w:val="15-2 str. 2 d. 3 p."/>
                        <w:tag w:val="part_08437ec8e5e343cba104d0e0c819e21d"/>
                        <w:lock w:val="sdtLocked"/>
                        <w:richText/>
                      </w:sdtPr>
                      <w:sdtContent>
                        <w:p>
                          <w:pPr>
                            <w:widowControl w:val="0"/>
                            <w:spacing w:line="406" w:lineRule="atLeast"/>
                            <w:ind w:firstLine="720"/>
                            <w:jc w:val="both"/>
                            <w:rPr>
                              <w:bCs/>
                              <w:color w:val="000000"/>
                              <w:szCs w:val="24"/>
                              <w:lang w:eastAsia="lt-LT"/>
                            </w:rPr>
                          </w:pPr>
                          <w:sdt>
                            <w:sdtPr>
                              <w:alias w:val="Numeris"/>
                              <w:tag w:val="nr_08437ec8e5e343cba104d0e0c819e21d"/>
                              <w:lock w:val="sdtLocked"/>
                              <w:richText/>
                            </w:sdtPr>
                            <w:sdtContent>
                              <w:r>
                                <w:rPr>
                                  <w:bCs/>
                                  <w:color w:val="000000"/>
                                  <w:szCs w:val="24"/>
                                  <w:lang w:eastAsia="lt-LT"/>
                                </w:rPr>
                                <w:t>3</w:t>
                              </w:r>
                            </w:sdtContent>
                          </w:sdt>
                          <w:r>
                            <w:rPr>
                              <w:bCs/>
                              <w:color w:val="000000"/>
                              <w:szCs w:val="24"/>
                              <w:lang w:eastAsia="lt-LT"/>
                            </w:rPr>
                            <w:t>) prieš perduodama veiklos funkcijas kitam asmeniui, finansų įstaiga ar kitas įpareigotasis subjektas įsitikino, kad kitas asmuo laikosi šiame įstatyme nurodytų kliento ar naudos gavėjo tapatybės nustatymo reikalavimų. Paaiškėjus naujoms aplinkybėms ar pasikeitus teisės normoms, finansų įstaiga ar kitas įpareigotasis subjektas privalo peržiūrėti ir atnaujinti informaciją, ar kitas asmuo laikosi šiame įstatyme nurodytų kliento ar naudos gavėjo tapatybės nustatymo reikalavimų, ir tęsti veiklos funkcijų perdavimą tik tuo atveju, jeigu įsitikino, kad kitas asmuo laikosi šiame įstatyme nurodytų kliento ar naudos gavėjo tapatybės nustatymo reikalavimų. Finansų įstaigos ir kiti įpareigotieji subjektai privalo šiame punkte numatytų patikrinimų rezultatus įforminti raštu;</w:t>
                          </w:r>
                        </w:p>
                      </w:sdtContent>
                    </w:sdt>
                    <w:sdt>
                      <w:sdtPr>
                        <w:alias w:val="15-2 str. 2 d. 4 p."/>
                        <w:tag w:val="part_cf2f1cc55b104085aa44e6782e164f9c"/>
                        <w:lock w:val="sdtLocked"/>
                        <w:richText/>
                      </w:sdtPr>
                      <w:sdtContent>
                        <w:p>
                          <w:pPr>
                            <w:widowControl w:val="0"/>
                            <w:spacing w:line="406" w:lineRule="atLeast"/>
                            <w:ind w:firstLine="720"/>
                            <w:jc w:val="both"/>
                            <w:rPr>
                              <w:bCs/>
                              <w:color w:val="000000"/>
                              <w:szCs w:val="24"/>
                              <w:lang w:eastAsia="lt-LT"/>
                            </w:rPr>
                          </w:pPr>
                          <w:sdt>
                            <w:sdtPr>
                              <w:alias w:val="Numeris"/>
                              <w:tag w:val="nr_cf2f1cc55b104085aa44e6782e164f9c"/>
                              <w:lock w:val="sdtLocked"/>
                              <w:richText/>
                            </w:sdtPr>
                            <w:sdtContent>
                              <w:r>
                                <w:rPr>
                                  <w:bCs/>
                                  <w:color w:val="000000"/>
                                  <w:szCs w:val="24"/>
                                  <w:lang w:eastAsia="lt-LT"/>
                                </w:rPr>
                                <w:t>4</w:t>
                              </w:r>
                            </w:sdtContent>
                          </w:sdt>
                          <w:r>
                            <w:rPr>
                              <w:bCs/>
                              <w:color w:val="000000"/>
                              <w:szCs w:val="24"/>
                              <w:lang w:eastAsia="lt-LT"/>
                            </w:rPr>
                            <w:t>) kitam asmeniui negali būti perduodamas kliento įtartinų piniginių operacijų ar sandorių nustatymas ir pranešimų apie tai teikimas, taip pat šio įstatymo 19 straipsnio 1 ir 2 dalyse nurodytos informacijos saugojimas. Šis ribojimas netaikomas, kai finansų įstaiga ir kitas asmuo, kuriam perduodamos veiklos funkcijos, priklauso vienai įmonių grupei;</w:t>
                          </w:r>
                        </w:p>
                      </w:sdtContent>
                    </w:sdt>
                    <w:sdt>
                      <w:sdtPr>
                        <w:alias w:val="15-2 str. 2 d. 5 p."/>
                        <w:tag w:val="part_2b21e4396f7e424f9ec90e506ff6a8fd"/>
                        <w:lock w:val="sdtLocked"/>
                        <w:richText/>
                      </w:sdtPr>
                      <w:sdtContent>
                        <w:p>
                          <w:pPr>
                            <w:widowControl w:val="0"/>
                            <w:spacing w:line="406" w:lineRule="atLeast"/>
                            <w:ind w:firstLine="720"/>
                            <w:jc w:val="both"/>
                            <w:rPr>
                              <w:bCs/>
                              <w:color w:val="000000"/>
                              <w:szCs w:val="24"/>
                              <w:lang w:eastAsia="lt-LT"/>
                            </w:rPr>
                          </w:pPr>
                          <w:sdt>
                            <w:sdtPr>
                              <w:alias w:val="Numeris"/>
                              <w:tag w:val="nr_2b21e4396f7e424f9ec90e506ff6a8fd"/>
                              <w:lock w:val="sdtLocked"/>
                              <w:richText/>
                            </w:sdtPr>
                            <w:sdtContent>
                              <w:r>
                                <w:rPr>
                                  <w:bCs/>
                                  <w:color w:val="000000"/>
                                  <w:szCs w:val="24"/>
                                  <w:lang w:eastAsia="lt-LT"/>
                                </w:rPr>
                                <w:t>5</w:t>
                              </w:r>
                            </w:sdtContent>
                          </w:sdt>
                          <w:r>
                            <w:rPr>
                              <w:bCs/>
                              <w:color w:val="000000"/>
                              <w:szCs w:val="24"/>
                              <w:lang w:eastAsia="lt-LT"/>
                            </w:rPr>
                            <w:t>) finansų įstaiga ar kitas įpareigotasis subjektas užtikrina, kad asmens duomenys tvarkomi laikantis šio įstatymo 24 straipsnyje nustatytų reikalavimų.</w:t>
                          </w:r>
                        </w:p>
                      </w:sdtContent>
                    </w:sdt>
                  </w:sdtContent>
                </w:sdt>
                <w:sdt>
                  <w:sdtPr>
                    <w:alias w:val="15-2 str. 3 d."/>
                    <w:tag w:val="part_7938d8e40c864c2c8803886fb1196842"/>
                    <w:lock w:val="sdtLocked"/>
                    <w:richText/>
                  </w:sdtPr>
                  <w:sdtContent>
                    <w:p>
                      <w:pPr>
                        <w:widowControl w:val="0"/>
                        <w:spacing w:line="406" w:lineRule="atLeast"/>
                        <w:ind w:firstLine="720"/>
                        <w:jc w:val="both"/>
                      </w:pPr>
                      <w:sdt>
                        <w:sdtPr>
                          <w:alias w:val="Numeris"/>
                          <w:tag w:val="nr_7938d8e40c864c2c8803886fb1196842"/>
                          <w:lock w:val="sdtLocked"/>
                          <w:richText/>
                        </w:sdtPr>
                        <w:sdtContent>
                          <w:r>
                            <w:rPr>
                              <w:bCs/>
                              <w:color w:val="000000"/>
                              <w:szCs w:val="24"/>
                              <w:lang w:eastAsia="lt-LT"/>
                            </w:rPr>
                            <w:t>3</w:t>
                          </w:r>
                        </w:sdtContent>
                      </w:sdt>
                      <w:r>
                        <w:rPr>
                          <w:bCs/>
                          <w:color w:val="000000"/>
                          <w:szCs w:val="24"/>
                          <w:lang w:eastAsia="lt-LT"/>
                        </w:rPr>
                        <w:t>. Atsakomybė dėl šiame įstatyme nurodytų kliento ir naudos gavėjo tapatybės nustatymo ir nuolatinės dalykinių santykių stebėsenos reikalavimų laikymosi tenka kito asmens informacija apie klientą ar naudos gavėją pasinaudojusioms finansų įstaigoms ar kitiems įpareigotiesiems subjektams.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2ab5da5123ba4020aeba96b75c3f8e9b"/>
                <w:lock w:val="sdtLocked"/>
                <w:richText/>
              </w:sdtPr>
              <w:sdtContent>
                <w:p>
                  <w:pPr>
                    <w:spacing w:line="360" w:lineRule="auto"/>
                    <w:ind w:firstLine="720"/>
                    <w:jc w:val="both"/>
                    <w:rPr>
                      <w:b/>
                      <w:bCs/>
                      <w:szCs w:val="24"/>
                    </w:rPr>
                  </w:pPr>
                  <w:sdt>
                    <w:sdtPr>
                      <w:alias w:val="Numeris"/>
                      <w:tag w:val="nr_2ab5da5123ba4020aeba96b75c3f8e9b"/>
                      <w:lock w:val="sdtLocked"/>
                      <w:richText/>
                    </w:sdtPr>
                    <w:sdtContent>
                      <w:r>
                        <w:rPr>
                          <w:b/>
                          <w:bCs/>
                          <w:szCs w:val="24"/>
                        </w:rPr>
                        <w:t>19</w:t>
                      </w:r>
                    </w:sdtContent>
                  </w:sdt>
                  <w:r>
                    <w:rPr>
                      <w:b/>
                      <w:bCs/>
                      <w:szCs w:val="24"/>
                    </w:rPr>
                    <w:t xml:space="preserve"> straipsnis. </w:t>
                  </w:r>
                  <w:sdt>
                    <w:sdtPr>
                      <w:alias w:val="Pavadinimas"/>
                      <w:tag w:val="title_2ab5da5123ba4020aeba96b75c3f8e9b"/>
                      <w:lock w:val="sdtLocked"/>
                      <w:richText/>
                    </w:sdtPr>
                    <w:sdtContent>
                      <w:r>
                        <w:rPr>
                          <w:b/>
                          <w:bCs/>
                          <w:szCs w:val="24"/>
                        </w:rPr>
                        <w:t>Informacijos saugojimas</w:t>
                      </w:r>
                    </w:sdtContent>
                  </w:sdt>
                </w:p>
                <w:sdt>
                  <w:sdtPr>
                    <w:alias w:val="19 str. 1 d."/>
                    <w:tag w:val="part_b9e78259c35c4068b6fb6a0f6c541b5a"/>
                    <w:lock w:val="sdtLocked"/>
                    <w:richText/>
                  </w:sdtPr>
                  <w:sdtContent>
                    <w:p>
                      <w:pPr>
                        <w:spacing w:line="360" w:lineRule="auto"/>
                        <w:ind w:firstLine="720"/>
                        <w:jc w:val="both"/>
                        <w:rPr>
                          <w:szCs w:val="24"/>
                        </w:rPr>
                      </w:pPr>
                      <w:sdt>
                        <w:sdtPr>
                          <w:alias w:val="Numeris"/>
                          <w:tag w:val="nr_b9e78259c35c4068b6fb6a0f6c541b5a"/>
                          <w:lock w:val="sdtLocked"/>
                          <w:richText/>
                        </w:sdtPr>
                        <w:sdtContent>
                          <w:r>
                            <w:rPr>
                              <w:szCs w:val="24"/>
                            </w:rPr>
                            <w:t>1</w:t>
                          </w:r>
                        </w:sdtContent>
                      </w:sdt>
                      <w:r>
                        <w:rPr>
                          <w:szCs w:val="24"/>
                        </w:rPr>
                        <w:t>. Finansų įstaigos ir kiti įpareigotieji subjektai privalo pildyti šio įstatymo 16 straipsnio 1 dalyje nurodytų pranešimų bei įtartinų piniginių operacijų ir sandorių registracijos žurnalą.</w:t>
                      </w:r>
                    </w:p>
                  </w:sdtContent>
                </w:sdt>
                <w:sdt>
                  <w:sdtPr>
                    <w:alias w:val="19 str. 2 d."/>
                    <w:tag w:val="part_f7bf7b33519445c893fa0658bf100593"/>
                    <w:lock w:val="sdtLocked"/>
                    <w:richText/>
                  </w:sdtPr>
                  <w:sdtContent>
                    <w:p>
                      <w:pPr>
                        <w:spacing w:line="360" w:lineRule="auto"/>
                        <w:ind w:firstLine="720"/>
                        <w:jc w:val="both"/>
                        <w:rPr>
                          <w:szCs w:val="24"/>
                        </w:rPr>
                      </w:pPr>
                      <w:sdt>
                        <w:sdtPr>
                          <w:alias w:val="Numeris"/>
                          <w:tag w:val="nr_f7bf7b33519445c893fa0658bf100593"/>
                          <w:lock w:val="sdtLocked"/>
                          <w:richText/>
                        </w:sdtPr>
                        <w:sdtContent>
                          <w:r>
                            <w:rPr>
                              <w:szCs w:val="24"/>
                            </w:rPr>
                            <w:t>2</w:t>
                          </w:r>
                        </w:sdtContent>
                      </w:sdt>
                      <w:r>
                        <w:rPr>
                          <w:szCs w:val="24"/>
                        </w:rPr>
                        <w:t>. Finansų įstaigos privalo pildyti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19d79e4714943c08fdbeae01b278bd6"/>
                    <w:lock w:val="sdtLocked"/>
                    <w:richText/>
                  </w:sdtPr>
                  <w:sdtContent>
                    <w:p>
                      <w:pPr>
                        <w:spacing w:line="360" w:lineRule="auto"/>
                        <w:ind w:firstLine="720"/>
                        <w:jc w:val="both"/>
                        <w:rPr>
                          <w:szCs w:val="24"/>
                        </w:rPr>
                      </w:pPr>
                      <w:sdt>
                        <w:sdtPr>
                          <w:alias w:val="Numeris"/>
                          <w:tag w:val="nr_719d79e4714943c08fdbeae01b278bd6"/>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10 000 eurų ar ją atitinkančiai sumai užsienio valiuta arba ją viršija, jeigu atsiskaitoma grynaisiais pinigais, privalo pildyti šio įstatymo 9 straipsnio 3 dalyje nurodytų piniginių operacijų žurnalą.</w:t>
                      </w:r>
                    </w:p>
                  </w:sdtContent>
                </w:sdt>
                <w:sdt>
                  <w:sdtPr>
                    <w:alias w:val="19 str. 4 d."/>
                    <w:tag w:val="part_400a225251574336a37c1e01232a7e60"/>
                    <w:lock w:val="sdtLocked"/>
                    <w:richText/>
                  </w:sdtPr>
                  <w:sdtContent>
                    <w:p>
                      <w:pPr>
                        <w:spacing w:line="360" w:lineRule="auto"/>
                        <w:ind w:firstLine="720"/>
                        <w:jc w:val="both"/>
                        <w:rPr>
                          <w:szCs w:val="24"/>
                        </w:rPr>
                      </w:pPr>
                      <w:sdt>
                        <w:sdtPr>
                          <w:alias w:val="Numeris"/>
                          <w:tag w:val="nr_400a225251574336a37c1e01232a7e60"/>
                          <w:lock w:val="sdtLocked"/>
                          <w:richText/>
                        </w:sdtPr>
                        <w:sdtContent>
                          <w:r>
                            <w:rPr>
                              <w:szCs w:val="24"/>
                            </w:rPr>
                            <w:t>4</w:t>
                          </w:r>
                        </w:sdtContent>
                      </w:sdt>
                      <w:r>
                        <w:rPr>
                          <w:szCs w:val="24"/>
                        </w:rPr>
                        <w:t>. Azartinius lošimus organizuojančios bendrovės privalo pildyti šio įstatymo 9 straipsnio 9 dalyje nurodytų asmenų, operacijų ir sandorių registracijos žurnalą.</w:t>
                      </w:r>
                    </w:p>
                  </w:sdtContent>
                </w:sdt>
                <w:sdt>
                  <w:sdtPr>
                    <w:alias w:val="19 str. 5 d."/>
                    <w:tag w:val="part_4e253803b9e143949ef05508ca9da919"/>
                    <w:lock w:val="sdtLocked"/>
                    <w:richText/>
                  </w:sdtPr>
                  <w:sdtContent>
                    <w:p>
                      <w:pPr>
                        <w:spacing w:line="360" w:lineRule="auto"/>
                        <w:ind w:firstLine="720"/>
                        <w:jc w:val="both"/>
                        <w:rPr>
                          <w:szCs w:val="24"/>
                        </w:rPr>
                      </w:pPr>
                      <w:sdt>
                        <w:sdtPr>
                          <w:alias w:val="Numeris"/>
                          <w:tag w:val="nr_4e253803b9e143949ef05508ca9da919"/>
                          <w:lock w:val="sdtLocked"/>
                          <w:richText/>
                        </w:sdtPr>
                        <w:sdtContent>
                          <w:r>
                            <w:rPr>
                              <w:szCs w:val="24"/>
                            </w:rPr>
                            <w:t>5</w:t>
                          </w:r>
                        </w:sdtContent>
                      </w:sdt>
                      <w:r>
                        <w:rPr>
                          <w:szCs w:val="24"/>
                        </w:rPr>
                        <w:t>. Loterijas organizuojančios bendrovės privalo pildyti šio įstatymo 9 straipsnio 10 dalyje nurodytų asmenų, operacijų ir sandorių registracijos žurnalą.</w:t>
                      </w:r>
                    </w:p>
                  </w:sdtContent>
                </w:sdt>
                <w:sdt>
                  <w:sdtPr>
                    <w:alias w:val="19 str. 6 d."/>
                    <w:tag w:val="part_cf6d7fd107c04b109600fc1452cf072e"/>
                    <w:lock w:val="sdtLocked"/>
                    <w:richText/>
                  </w:sdtPr>
                  <w:sdtContent>
                    <w:p>
                      <w:pPr>
                        <w:spacing w:line="360" w:lineRule="auto"/>
                        <w:ind w:firstLine="720"/>
                        <w:jc w:val="both"/>
                        <w:rPr>
                          <w:szCs w:val="24"/>
                        </w:rPr>
                      </w:pPr>
                      <w:sdt>
                        <w:sdtPr>
                          <w:alias w:val="Numeris"/>
                          <w:tag w:val="nr_cf6d7fd107c04b109600fc1452cf072e"/>
                          <w:lock w:val="sdtLocked"/>
                          <w:richText/>
                        </w:sdtPr>
                        <w:sdtContent>
                          <w:r>
                            <w:rPr>
                              <w:szCs w:val="24"/>
                            </w:rPr>
                            <w:t>6</w:t>
                          </w:r>
                        </w:sdtContent>
                      </w:sdt>
                      <w:r>
                        <w:rPr>
                          <w:szCs w:val="24"/>
                        </w:rPr>
                        <w:t>. Lietuvos advokatūra privalo pildyti advokatų ar advokatų padėjėjų praneštų jų klientų įtartinų sandorių registracijos žurnalą.</w:t>
                      </w:r>
                    </w:p>
                  </w:sdtContent>
                </w:sdt>
                <w:sdt>
                  <w:sdtPr>
                    <w:alias w:val="19 str. 7 d."/>
                    <w:tag w:val="part_cfa087333eaf4faeaef1112af2f5a5f5"/>
                    <w:lock w:val="sdtLocked"/>
                    <w:richText/>
                  </w:sdtPr>
                  <w:sdtContent>
                    <w:p>
                      <w:pPr>
                        <w:spacing w:line="360" w:lineRule="auto"/>
                        <w:ind w:firstLine="720"/>
                        <w:jc w:val="both"/>
                        <w:rPr>
                          <w:szCs w:val="24"/>
                        </w:rPr>
                      </w:pPr>
                      <w:sdt>
                        <w:sdtPr>
                          <w:alias w:val="Numeris"/>
                          <w:tag w:val="nr_cfa087333eaf4faeaef1112af2f5a5f5"/>
                          <w:lock w:val="sdtLocked"/>
                          <w:richText/>
                        </w:sdtPr>
                        <w:sdtContent>
                          <w:r>
                            <w:rPr>
                              <w:szCs w:val="24"/>
                            </w:rPr>
                            <w:t>7</w:t>
                          </w:r>
                        </w:sdtContent>
                      </w:sdt>
                      <w:r>
                        <w:rPr>
                          <w:szCs w:val="24"/>
                        </w:rPr>
                        <w:t>. Virtualiųjų valiutų keityklų operatoriai, depozitinių virtualiųjų valiutų piniginių operatoriai ir kriptoturto paslaugų teikėjai privalo pildyti šio įstatymo 9 straipsnio 1 dalies 2–5 punktuose nurodytų kliento atliktų piniginių operacijų registracijos žurnalą.</w:t>
                      </w:r>
                    </w:p>
                  </w:sdtContent>
                </w:sdt>
                <w:sdt>
                  <w:sdtPr>
                    <w:alias w:val="19 str. 8 d."/>
                    <w:tag w:val="part_4511e7e884a6469883943578107519d9"/>
                    <w:lock w:val="sdtLocked"/>
                    <w:richText/>
                  </w:sdtPr>
                  <w:sdtContent>
                    <w:p>
                      <w:pPr>
                        <w:spacing w:line="360" w:lineRule="auto"/>
                        <w:ind w:firstLine="720"/>
                        <w:jc w:val="both"/>
                        <w:rPr>
                          <w:szCs w:val="24"/>
                        </w:rPr>
                      </w:pPr>
                      <w:sdt>
                        <w:sdtPr>
                          <w:alias w:val="Numeris"/>
                          <w:tag w:val="nr_4511e7e884a6469883943578107519d9"/>
                          <w:lock w:val="sdtLocked"/>
                          <w:richText/>
                        </w:sdtPr>
                        <w:sdtContent>
                          <w:r>
                            <w:rPr>
                              <w:szCs w:val="24"/>
                            </w:rPr>
                            <w:t>8</w:t>
                          </w:r>
                        </w:sdtContent>
                      </w:sdt>
                      <w:r>
                        <w:rPr>
                          <w:szCs w:val="24"/>
                        </w:rPr>
                        <w:t>. Finansų įstaigos ir kiti įpareigotieji subjektai, išskyrus šio straipsnio 3, 4, 5 ir 6 dalyse nurodytus subjektus, taip pat privalo pildyti šio įstatymo 20 straipsnio 1, 2 ir 3 dalyse nurodytų piniginių ir kriptoturto operacijų registracijos žurnalą.</w:t>
                      </w:r>
                    </w:p>
                  </w:sdtContent>
                </w:sdt>
                <w:sdt>
                  <w:sdtPr>
                    <w:alias w:val="19 str. 9 d."/>
                    <w:tag w:val="part_e826eebba72f49e8a53553284dfb1026"/>
                    <w:lock w:val="sdtLocked"/>
                    <w:richText/>
                  </w:sdtPr>
                  <w:sdtContent>
                    <w:p>
                      <w:pPr>
                        <w:spacing w:line="360" w:lineRule="auto"/>
                        <w:ind w:firstLine="720"/>
                        <w:jc w:val="both"/>
                        <w:rPr>
                          <w:szCs w:val="24"/>
                        </w:rPr>
                      </w:pPr>
                      <w:sdt>
                        <w:sdtPr>
                          <w:alias w:val="Numeris"/>
                          <w:tag w:val="nr_e826eebba72f49e8a53553284dfb1026"/>
                          <w:lock w:val="sdtLocked"/>
                          <w:richText/>
                        </w:sdtPr>
                        <w:sdtContent>
                          <w:r>
                            <w:rPr>
                              <w:szCs w:val="24"/>
                            </w:rPr>
                            <w:t>9</w:t>
                          </w:r>
                        </w:sdtContent>
                      </w:sdt>
                      <w:r>
                        <w:rPr>
                          <w:szCs w:val="24"/>
                        </w:rPr>
                        <w:t>. Finansų įstaigos ir kiti įpareigotieji subjektai privalo pildyti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19 str. 10 d."/>
                    <w:tag w:val="part_53d090c1817d49169bce283787ab637b"/>
                    <w:lock w:val="sdtLocked"/>
                    <w:richText/>
                  </w:sdtPr>
                  <w:sdtContent>
                    <w:p>
                      <w:pPr>
                        <w:spacing w:line="360" w:lineRule="auto"/>
                        <w:ind w:firstLine="720"/>
                        <w:jc w:val="both"/>
                        <w:rPr>
                          <w:szCs w:val="24"/>
                        </w:rPr>
                      </w:pPr>
                      <w:sdt>
                        <w:sdtPr>
                          <w:alias w:val="Numeris"/>
                          <w:tag w:val="nr_53d090c1817d49169bce283787ab637b"/>
                          <w:lock w:val="sdtLocked"/>
                          <w:richText/>
                        </w:sdtPr>
                        <w:sdtContent>
                          <w:r>
                            <w:rPr>
                              <w:bCs/>
                              <w:szCs w:val="24"/>
                            </w:rPr>
                            <w:t>10</w:t>
                          </w:r>
                        </w:sdtContent>
                      </w:sdt>
                      <w:r>
                        <w:rPr>
                          <w:bCs/>
                          <w:szCs w:val="24"/>
                        </w:rPr>
                        <w:t>. Registracijos žurnalų duomenys popierine forma arba elektroninėje laikmenoje saugomi 8 metus nuo sandorių ar dalykinių santykių su klientu pabaigos dienos. Registracijos žurnalų pildymo</w:t>
                      </w:r>
                      <w:r>
                        <w:rPr>
                          <w:b/>
                          <w:szCs w:val="24"/>
                        </w:rPr>
                        <w:t xml:space="preserve"> </w:t>
                      </w:r>
                      <w:r>
                        <w:rPr>
                          <w:szCs w:val="24"/>
                        </w:rPr>
                        <w:t>taisykles nustato Finansinių nusikaltimų tyrimo tarnybos direktorius.</w:t>
                      </w:r>
                    </w:p>
                  </w:sdtContent>
                </w:sdt>
                <w:sdt>
                  <w:sdtPr>
                    <w:alias w:val="19 str. 11 d."/>
                    <w:tag w:val="part_8fccabb73cf343878cb50fb68edd6e69"/>
                    <w:lock w:val="sdtLocked"/>
                    <w:richText/>
                  </w:sdtPr>
                  <w:sdtContent>
                    <w:p>
                      <w:pPr>
                        <w:spacing w:line="360" w:lineRule="auto"/>
                        <w:ind w:firstLine="720"/>
                        <w:jc w:val="both"/>
                        <w:rPr>
                          <w:bCs/>
                          <w:szCs w:val="24"/>
                        </w:rPr>
                      </w:pPr>
                      <w:sdt>
                        <w:sdtPr>
                          <w:alias w:val="Numeris"/>
                          <w:tag w:val="nr_8fccabb73cf343878cb50fb68edd6e69"/>
                          <w:lock w:val="sdtLocked"/>
                          <w:richText/>
                        </w:sdtPr>
                        <w:sdtContent>
                          <w:r>
                            <w:rPr>
                              <w:bCs/>
                              <w:szCs w:val="24"/>
                            </w:rPr>
                            <w:t>11</w:t>
                          </w:r>
                        </w:sdtContent>
                      </w:sdt>
                      <w:r>
                        <w:rPr>
                          <w:bCs/>
                          <w:szCs w:val="24"/>
                        </w:rPr>
                        <w:t>. Kliento tapatybę patvirtinančių dokumentų kopijos, naudos gavėjo tapatybės duomenys, išmokos gavėjo tapatybės duomenys, tiesioginio vaizdo perdavimo (tiesioginės vaizdo transliacijos) įrašas, kiti duomenys, gauti nustatant kliento tapatybę,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p>
                  </w:sdtContent>
                </w:sdt>
                <w:sdt>
                  <w:sdtPr>
                    <w:alias w:val="19 str. 12 d."/>
                    <w:tag w:val="part_5b381c49aa234ca381c3a6cbdcb1970b"/>
                    <w:lock w:val="sdtLocked"/>
                    <w:richText/>
                  </w:sdtPr>
                  <w:sdtContent>
                    <w:p>
                      <w:pPr>
                        <w:spacing w:line="360" w:lineRule="auto"/>
                        <w:ind w:firstLine="720"/>
                        <w:jc w:val="both"/>
                        <w:rPr>
                          <w:bCs/>
                          <w:szCs w:val="24"/>
                        </w:rPr>
                      </w:pPr>
                      <w:sdt>
                        <w:sdtPr>
                          <w:alias w:val="Numeris"/>
                          <w:tag w:val="nr_5b381c49aa234ca381c3a6cbdcb1970b"/>
                          <w:lock w:val="sdtLocked"/>
                          <w:richText/>
                        </w:sdtPr>
                        <w:sdtContent>
                          <w:r>
                            <w:rPr>
                              <w:bCs/>
                              <w:szCs w:val="24"/>
                            </w:rPr>
                            <w:t>12</w:t>
                          </w:r>
                        </w:sdtContent>
                      </w:sdt>
                      <w:r>
                        <w:rPr>
                          <w:bCs/>
                          <w:szCs w:val="24"/>
                        </w:rPr>
                        <w:t>. Dalykinių santykių su klientu korespondencija turi būti saugoma 5 metus nuo sandorių ar dalykinių santykių su klientu pabaigos dienos popierine forma arba elektroninėje laikmenoje.</w:t>
                      </w:r>
                    </w:p>
                  </w:sdtContent>
                </w:sdt>
                <w:sdt>
                  <w:sdtPr>
                    <w:alias w:val="19 str. 13 d."/>
                    <w:tag w:val="part_119126bbbe32424cb6356f41f0b50e60"/>
                    <w:lock w:val="sdtLocked"/>
                    <w:richText/>
                  </w:sdtPr>
                  <w:sdtContent>
                    <w:p>
                      <w:pPr>
                        <w:spacing w:line="360" w:lineRule="auto"/>
                        <w:ind w:firstLine="720"/>
                        <w:jc w:val="both"/>
                        <w:rPr>
                          <w:bCs/>
                          <w:szCs w:val="24"/>
                        </w:rPr>
                      </w:pPr>
                      <w:sdt>
                        <w:sdtPr>
                          <w:alias w:val="Numeris"/>
                          <w:tag w:val="nr_119126bbbe32424cb6356f41f0b50e60"/>
                          <w:lock w:val="sdtLocked"/>
                          <w:richText/>
                        </w:sdtPr>
                        <w:sdtContent>
                          <w:r>
                            <w:rPr>
                              <w:bCs/>
                              <w:szCs w:val="24"/>
                            </w:rPr>
                            <w:t>13</w:t>
                          </w:r>
                        </w:sdtContent>
                      </w:sdt>
                      <w:r>
                        <w:rPr>
                          <w:bCs/>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4 d."/>
                    <w:tag w:val="part_b81efe2f2b4b4e51b1c20002f3e8f57e"/>
                    <w:lock w:val="sdtLocked"/>
                    <w:richText/>
                  </w:sdtPr>
                  <w:sdtContent>
                    <w:p>
                      <w:pPr>
                        <w:spacing w:line="360" w:lineRule="auto"/>
                        <w:ind w:firstLine="720"/>
                        <w:jc w:val="both"/>
                        <w:rPr>
                          <w:bCs/>
                          <w:szCs w:val="24"/>
                        </w:rPr>
                      </w:pPr>
                      <w:sdt>
                        <w:sdtPr>
                          <w:alias w:val="Numeris"/>
                          <w:tag w:val="nr_b81efe2f2b4b4e51b1c20002f3e8f57e"/>
                          <w:lock w:val="sdtLocked"/>
                          <w:richText/>
                        </w:sdtPr>
                        <w:sdtContent>
                          <w:r>
                            <w:rPr>
                              <w:bCs/>
                              <w:szCs w:val="24"/>
                            </w:rPr>
                            <w:t>14</w:t>
                          </w:r>
                        </w:sdtContent>
                      </w:sdt>
                      <w:r>
                        <w:rPr>
                          <w:bCs/>
                          <w:szCs w:val="24"/>
                        </w:rPr>
                        <w:t>. Raštai, kuriais įforminami šio įstatymo 17 straipsnyje nurodyti tyrimo rezultatai, saugomi 5 metus popierine forma arba elektroninėje laikmenoje.</w:t>
                      </w:r>
                    </w:p>
                  </w:sdtContent>
                </w:sdt>
                <w:sdt>
                  <w:sdtPr>
                    <w:alias w:val="19 str. 15 d."/>
                    <w:tag w:val="part_b4326688085842469c8254fa743dc982"/>
                    <w:lock w:val="sdtLocked"/>
                    <w:richText/>
                  </w:sdtPr>
                  <w:sdtContent>
                    <w:p>
                      <w:pPr>
                        <w:spacing w:line="360" w:lineRule="auto"/>
                        <w:ind w:firstLine="720"/>
                        <w:jc w:val="both"/>
                        <w:rPr>
                          <w:bCs/>
                          <w:szCs w:val="24"/>
                        </w:rPr>
                      </w:pPr>
                      <w:sdt>
                        <w:sdtPr>
                          <w:alias w:val="Numeris"/>
                          <w:tag w:val="nr_b4326688085842469c8254fa743dc982"/>
                          <w:lock w:val="sdtLocked"/>
                          <w:richText/>
                        </w:sdtPr>
                        <w:sdtContent>
                          <w:r>
                            <w:rPr>
                              <w:bCs/>
                              <w:szCs w:val="24"/>
                            </w:rPr>
                            <w:t>15</w:t>
                          </w:r>
                        </w:sdtContent>
                      </w:sdt>
                      <w:r>
                        <w:rPr>
                          <w:bCs/>
                          <w:szCs w:val="24"/>
                        </w:rPr>
                        <w:t>. Virtualiųjų valiutų keityklų operatoriai, depozitinių virtualiųjų valiutų piniginių operatoriai ir kriptoturto paslaugų teikėjai informaciją, pagal kurią virtualiosios valiutos ar kriptoturto adresą galima susieti su virtualiosios valiutos ar kriptoturto savininko tapatybe, privalo saugoti šio straipsnio 11 dalyje nustatytą terminą.</w:t>
                      </w:r>
                    </w:p>
                  </w:sdtContent>
                </w:sdt>
                <w:sdt>
                  <w:sdtPr>
                    <w:alias w:val="19 str. 16 d."/>
                    <w:tag w:val="part_5fb6157e914344c397e7b33f590c7a70"/>
                    <w:lock w:val="sdtLocked"/>
                    <w:richText/>
                  </w:sdtPr>
                  <w:sdtContent>
                    <w:p>
                      <w:pPr>
                        <w:spacing w:line="360" w:lineRule="auto"/>
                        <w:ind w:firstLine="720"/>
                        <w:jc w:val="both"/>
                        <w:rPr>
                          <w:szCs w:val="24"/>
                        </w:rPr>
                      </w:pPr>
                      <w:sdt>
                        <w:sdtPr>
                          <w:alias w:val="Numeris"/>
                          <w:tag w:val="nr_5fb6157e914344c397e7b33f590c7a70"/>
                          <w:lock w:val="sdtLocked"/>
                          <w:richText/>
                        </w:sdtPr>
                        <w:sdtContent>
                          <w:r>
                            <w:rPr>
                              <w:bCs/>
                              <w:szCs w:val="24"/>
                            </w:rPr>
                            <w:t>16</w:t>
                          </w:r>
                        </w:sdtContent>
                      </w:sdt>
                      <w:r>
                        <w:rPr>
                          <w:bCs/>
                          <w:szCs w:val="24"/>
                        </w:rPr>
                        <w:t>. Saugojimo terminai gali būti papildomai pratęsti ne ilgiau kaip 2 metams, kai yra motyvuotas kompetentingos institucijos nurodymas.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e6305e4c47ca4ed7a4847a8b640570c7"/>
                    <w:lock w:val="sdtLocked"/>
                    <w:richText/>
                  </w:sdtPr>
                  <w:sdtContent>
                    <w:p>
                      <w:pPr>
                        <w:spacing w:line="360" w:lineRule="auto"/>
                        <w:ind w:firstLine="720"/>
                        <w:jc w:val="both"/>
                        <w:rPr>
                          <w:szCs w:val="24"/>
                        </w:rPr>
                      </w:pPr>
                      <w:sdt>
                        <w:sdtPr>
                          <w:alias w:val="Numeris"/>
                          <w:tag w:val="nr_e6305e4c47ca4ed7a4847a8b640570c7"/>
                          <w:lock w:val="sdtLocked"/>
                          <w:richText/>
                        </w:sdtPr>
                        <w:sdtContent>
                          <w:r>
                            <w:rPr>
                              <w:szCs w:val="24"/>
                            </w:rPr>
                            <w:t>1</w:t>
                          </w:r>
                        </w:sdtContent>
                      </w:sdt>
                      <w:r>
                        <w:rPr>
                          <w:szCs w:val="24"/>
                        </w:rPr>
                        <w:t>. Finansų įstaigos, atliekančios piniginę ar kriptoturto operaciją, privalo kliento tapatybę patvirtinančius duomenis ir informaciją apie atliktą piniginę ar kriptoturto operaciją pateikti Finansinių nusikaltimų tyrimo tarnybai, jeigu kliento vienkartinės operacijos su grynaisiais pinigais ar kriptoturtu arba kelių tarpusavyje susijusių operacijų su grynaisiais pinigais ar kriptoturtu suma lygi 15 000 eurų ar ją atitinkančiai sumai užsienio valiuta arba ją viršija.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9f7f7b07561847b4abeace54d7d2ca42"/>
                        <w:lock w:val="sdtLocked"/>
                        <w:richText/>
                      </w:sdtPr>
                      <w:sdtContent>
                        <w:p>
                          <w:pPr>
                            <w:widowControl w:val="0"/>
                            <w:spacing w:line="406" w:lineRule="atLeast"/>
                            <w:ind w:firstLine="720"/>
                            <w:jc w:val="both"/>
                            <w:rPr>
                              <w:szCs w:val="24"/>
                            </w:rPr>
                          </w:pPr>
                          <w:sdt>
                            <w:sdtPr>
                              <w:alias w:val="Numeris"/>
                              <w:tag w:val="nr_9f7f7b07561847b4abeace54d7d2ca42"/>
                              <w:lock w:val="sdtLocked"/>
                              <w:richText/>
                            </w:sdtPr>
                            <w:sdtContent>
                              <w:r>
                                <w:rPr>
                                  <w:color w:val="000000"/>
                                  <w:szCs w:val="24"/>
                                  <w:lang w:eastAsia="en-GB"/>
                                </w:rPr>
                                <w:t>2</w:t>
                              </w:r>
                            </w:sdtContent>
                          </w:sdt>
                          <w:r>
                            <w:rPr>
                              <w:color w:val="000000"/>
                              <w:szCs w:val="24"/>
                              <w:lang w:eastAsia="en-GB"/>
                            </w:rPr>
                            <w:t xml:space="preserve">) </w:t>
                          </w:r>
                          <w:r>
                            <w:rPr>
                              <w:color w:val="000000"/>
                              <w:szCs w:val="24"/>
                            </w:rPr>
                            <w:t xml:space="preserve">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color w:val="000000"/>
                              <w:szCs w:val="24"/>
                            </w:rPr>
                            <w:t xml:space="preserve">ar nelydimus grynuosius pinigus, kurių vienkartinė suma lygi </w:t>
                          </w:r>
                          <w:r>
                            <w:rPr>
                              <w:color w:val="000000"/>
                              <w:szCs w:val="24"/>
                            </w:rPr>
                            <w:t xml:space="preserve">10 000 eurų ar ją atitinkančiai sumai užsienio valiuta </w:t>
                          </w:r>
                          <w:r>
                            <w:rPr>
                              <w:bCs/>
                              <w:color w:val="000000"/>
                              <w:szCs w:val="24"/>
                              <w:lang w:eastAsia="lt-LT"/>
                            </w:rPr>
                            <w:t>arba ją viršija</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85746dad76a7425ea14edd3b8d3e77d5"/>
                        <w:lock w:val="sdtLocked"/>
                        <w:richText/>
                      </w:sdtPr>
                      <w:sdtContent>
                        <w:p>
                          <w:pPr>
                            <w:widowControl w:val="0"/>
                            <w:spacing w:line="406" w:lineRule="atLeast"/>
                            <w:ind w:firstLine="720"/>
                            <w:jc w:val="both"/>
                            <w:rPr>
                              <w:szCs w:val="24"/>
                            </w:rPr>
                          </w:pPr>
                          <w:sdt>
                            <w:sdtPr>
                              <w:alias w:val="Numeris"/>
                              <w:tag w:val="nr_85746dad76a7425ea14edd3b8d3e77d5"/>
                              <w:lock w:val="sdtLocked"/>
                              <w:richText/>
                            </w:sdtPr>
                            <w:sdtContent>
                              <w:r>
                                <w:rPr>
                                  <w:color w:val="000000"/>
                                  <w:szCs w:val="24"/>
                                  <w:lang w:eastAsia="en-GB"/>
                                </w:rPr>
                                <w:t>2</w:t>
                              </w:r>
                            </w:sdtContent>
                          </w:sdt>
                          <w:r>
                            <w:rPr>
                              <w:color w:val="000000"/>
                              <w:szCs w:val="24"/>
                              <w:lang w:eastAsia="en-GB"/>
                            </w:rPr>
                            <w:t xml:space="preserve">) </w:t>
                          </w:r>
                          <w:r>
                            <w:rPr>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w:t>
                          </w:r>
                          <w:r>
                            <w:rPr>
                              <w:b/>
                              <w:color w:val="000000"/>
                              <w:szCs w:val="24"/>
                            </w:rPr>
                            <w:t xml:space="preserve"> </w:t>
                          </w:r>
                          <w:r>
                            <w:rPr>
                              <w:bCs/>
                              <w:color w:val="000000"/>
                              <w:szCs w:val="24"/>
                            </w:rPr>
                            <w:t>ar nelydimų grynųjų pinigų, kurių vienkartinė suma lygi 10 000 eurų ar ją atitinkančiai sumai užsienio valiuta</w:t>
                          </w:r>
                          <w:r>
                            <w:rPr>
                              <w:bCs/>
                              <w:color w:val="000000"/>
                              <w:szCs w:val="24"/>
                              <w:lang w:eastAsia="lt-LT"/>
                            </w:rPr>
                            <w:t xml:space="preserve"> arba ją viršija</w:t>
                          </w:r>
                          <w:r>
                            <w:rPr>
                              <w:bCs/>
                              <w:color w:val="000000"/>
                              <w:szCs w:val="24"/>
                            </w:rPr>
                            <w:t>, kontrolę</w:t>
                          </w:r>
                          <w:r>
                            <w:rPr>
                              <w:bCs/>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54ec929b602c43888eb771c57ae5c19c"/>
                    <w:lock w:val="sdtLocked"/>
                    <w:richText/>
                  </w:sdtPr>
                  <w:sdtContent>
                    <w:p>
                      <w:pPr>
                        <w:widowControl w:val="0"/>
                        <w:spacing w:line="406" w:lineRule="atLeast"/>
                        <w:ind w:firstLine="720"/>
                        <w:jc w:val="both"/>
                        <w:rPr>
                          <w:szCs w:val="24"/>
                        </w:rPr>
                      </w:pPr>
                      <w:sdt>
                        <w:sdtPr>
                          <w:alias w:val="Numeris"/>
                          <w:tag w:val="nr_54ec929b602c43888eb771c57ae5c19c"/>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ar nelydimų grynųjų pinigų deklaravimo ir kilmės kontrolės tvarką nustato Muitinės departamento prie Lietuvos Respublikos finansų ministerijos generalinis direktorius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5 d."/>
                    <w:tag w:val="part_abf1249b5e484a7182a3cdf072c33365"/>
                    <w:lock w:val="sdtLocked"/>
                    <w:richText/>
                  </w:sdtPr>
                  <w:sdtContent>
                    <w:p>
                      <w:pPr>
                        <w:widowControl w:val="0"/>
                        <w:spacing w:line="406" w:lineRule="atLeast"/>
                        <w:ind w:firstLine="720"/>
                        <w:jc w:val="both"/>
                        <w:rPr>
                          <w:strike/>
                          <w:szCs w:val="24"/>
                        </w:rPr>
                      </w:pPr>
                      <w:sdt>
                        <w:sdtPr>
                          <w:alias w:val="Numeris"/>
                          <w:tag w:val="nr_abf1249b5e484a7182a3cdf072c33365"/>
                          <w:lock w:val="sdtLocked"/>
                          <w:richText/>
                        </w:sdtPr>
                        <w:sdtContent>
                          <w:r>
                            <w:rPr>
                              <w:bCs/>
                              <w:color w:val="000000"/>
                              <w:szCs w:val="24"/>
                              <w:lang w:eastAsia="lt-LT"/>
                            </w:rPr>
                            <w:t>5</w:t>
                          </w:r>
                        </w:sdtContent>
                      </w:sdt>
                      <w:r>
                        <w:rPr>
                          <w:bCs/>
                          <w:color w:val="000000"/>
                          <w:szCs w:val="24"/>
                          <w:lang w:eastAsia="lt-LT"/>
                        </w:rPr>
                        <w:t xml:space="preserve">. </w:t>
                      </w:r>
                      <w:r>
                        <w:rPr>
                          <w:bCs/>
                          <w:color w:val="000000"/>
                          <w:szCs w:val="24"/>
                        </w:rPr>
                        <w:t xml:space="preserve">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ar nelydimų grynųjų pinigų, kurių vienkartinė suma lygi </w:t>
                      </w:r>
                      <w:r>
                        <w:rPr>
                          <w:color w:val="000000"/>
                          <w:szCs w:val="24"/>
                        </w:rPr>
                        <w:t>10 000 eurų ar ją atitinkančiai sumai užsienio valiuta</w:t>
                      </w:r>
                      <w:r>
                        <w:rPr>
                          <w:bCs/>
                          <w:color w:val="000000"/>
                          <w:szCs w:val="24"/>
                          <w:lang w:eastAsia="lt-LT"/>
                        </w:rPr>
                        <w:t xml:space="preserve"> arba ją viršija.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2 d."/>
                    <w:tag w:val="part_5bfdc61fb2894c5794708ba9c3b002e4"/>
                    <w:lock w:val="sdtLocked"/>
                    <w:richText/>
                  </w:sdtPr>
                  <w:sdtContent>
                    <w:p>
                      <w:pPr>
                        <w:spacing w:line="360" w:lineRule="auto"/>
                        <w:ind w:firstLine="720"/>
                        <w:jc w:val="both"/>
                        <w:rPr>
                          <w:bCs/>
                          <w:szCs w:val="24"/>
                        </w:rPr>
                      </w:pPr>
                      <w:sdt>
                        <w:sdtPr>
                          <w:alias w:val="Numeris"/>
                          <w:tag w:val="nr_5bfdc61fb2894c5794708ba9c3b002e4"/>
                          <w:lock w:val="sdtLocked"/>
                          <w:richText/>
                        </w:sdtPr>
                        <w:sdtContent>
                          <w:r>
                            <w:rPr>
                              <w:szCs w:val="24"/>
                            </w:rPr>
                            <w:t>5</w:t>
                          </w:r>
                          <w:r>
                            <w:rPr>
                              <w:szCs w:val="24"/>
                              <w:vertAlign w:val="superscript"/>
                            </w:rPr>
                            <w:t>2</w:t>
                          </w:r>
                        </w:sdtContent>
                      </w:sdt>
                      <w:r>
                        <w:rPr>
                          <w:szCs w:val="24"/>
                        </w:rPr>
                        <w:t xml:space="preserve">. Kriptoturto paslaugų teikėjai, kurių buveinė yra kitoje valstybėje narėje ir kurie teikia paslaugas Lietuvos Respublikoje per tarpininkus, fizinius ar juridinius asmenis, privalo Lietuvos Respublikoje įsteigti arba paskirti kontaktinį asmenį, kurio pareiga – Lietuvos banko ir Finansinių nusikaltimų tyrimo tarnybos prašymu teikti dokumentus ir informaciją, susijusius su pinigų plovimo ir (ar) teroristų finansavimo prevencija. Apie kontaktinį asmenį ne vėliau kaip per 14 darbo dienų nuo šio asmens įsteigimo ar paskyrimo dienos turi būti raštu pranešta Lietuvos bankui ir Finansinių nusikaltimų tyrimo tarnybai.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5ae79b4d470d4ea096dadc9f7352faef"/>
                    <w:lock w:val="sdtLocked"/>
                    <w:richText/>
                  </w:sdtPr>
                  <w:sdtContent>
                    <w:p>
                      <w:pPr>
                        <w:widowControl w:val="0"/>
                        <w:spacing w:line="406" w:lineRule="atLeast"/>
                        <w:ind w:firstLine="720"/>
                        <w:jc w:val="both"/>
                        <w:rPr>
                          <w:szCs w:val="24"/>
                        </w:rPr>
                      </w:pPr>
                      <w:sdt>
                        <w:sdtPr>
                          <w:alias w:val="Numeris"/>
                          <w:tag w:val="nr_5ae79b4d470d4ea096dadc9f7352faef"/>
                          <w:lock w:val="sdtLocked"/>
                          <w:richText/>
                        </w:sdtPr>
                        <w:sdtContent>
                          <w:r>
                            <w:rPr>
                              <w:color w:val="000000"/>
                              <w:szCs w:val="24"/>
                            </w:rPr>
                            <w:t>7</w:t>
                          </w:r>
                        </w:sdtContent>
                      </w:sdt>
                      <w:r>
                        <w:rPr>
                          <w:color w:val="000000"/>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Reglamento (ES) 2016/679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d."/>
                    <w:tag w:val="part_e3e409b5649e4403a3890d34aef383b0"/>
                    <w:lock w:val="sdtLocked"/>
                    <w:richText/>
                  </w:sdtPr>
                  <w:sdtContent>
                    <w:p>
                      <w:pPr>
                        <w:spacing w:line="360" w:lineRule="auto"/>
                        <w:ind w:firstLine="720"/>
                        <w:jc w:val="both"/>
                        <w:rPr>
                          <w:szCs w:val="24"/>
                        </w:rPr>
                      </w:pPr>
                      <w:sdt>
                        <w:sdtPr>
                          <w:alias w:val="Numeris"/>
                          <w:tag w:val="nr_e3e409b5649e4403a3890d34aef383b0"/>
                          <w:lock w:val="sdtLocked"/>
                          <w:richText/>
                        </w:sdtPr>
                        <w:sdtContent>
                          <w:r>
                            <w:rPr>
                              <w:szCs w:val="24"/>
                              <w:lang w:eastAsia="lt-LT"/>
                            </w:rPr>
                            <w:t>8</w:t>
                          </w:r>
                        </w:sdtContent>
                      </w:sdt>
                      <w:r>
                        <w:rPr>
                          <w:szCs w:val="24"/>
                          <w:lang w:eastAsia="lt-LT"/>
                        </w:rPr>
                        <w:t xml:space="preserve">. Finansų įstaigos, nurodytos Reglamento </w:t>
                      </w:r>
                      <w:hyperlink r:id="rId72" w:tgtFrame="_blank" w:history="1">
                        <w:r>
                          <w:rPr>
                            <w:color w:val="0000FF" w:themeColor="hyperlink"/>
                            <w:szCs w:val="24"/>
                            <w:u w:val="single"/>
                            <w:lang w:eastAsia="lt-LT"/>
                          </w:rPr>
                          <w:t>(ES) 2024/1620</w:t>
                        </w:r>
                      </w:hyperlink>
                      <w:r>
                        <w:rPr>
                          <w:szCs w:val="24"/>
                          <w:lang w:eastAsia="lt-LT"/>
                        </w:rPr>
                        <w:t xml:space="preserve"> 77 straipsnyje, privalo mokėti metinį priežiūros mokestį </w:t>
                      </w:r>
                      <w:r>
                        <w:rPr>
                          <w:szCs w:val="24"/>
                        </w:rPr>
                        <w:t>Kovos su pinigų plovimu ir teroristų finansavimu institucijai</w:t>
                      </w:r>
                      <w:r>
                        <w:rPr>
                          <w:szCs w:val="24"/>
                          <w:lang w:eastAsia="lt-LT"/>
                        </w:rPr>
                        <w:t xml:space="preserve">. Už praleistą metinio priežiūros mokesčio sumokėjimo terminą finansų įstaigos privalo mokėti delspinigius – 0,05 procento nuo nesumokėtos sumos už kiekvieną dieną. Delspinigių sumokėjimas neatleidžia nuo pareigos sumokėti visą uždelstą sumą. Nesumokėtas metinis priežiūros mokestis ir delspinigiai </w:t>
                      </w:r>
                      <w:r>
                        <w:rPr>
                          <w:szCs w:val="24"/>
                        </w:rPr>
                        <w:t>Kovos su pinigų plovimu ir teroristų finansavimu institucijos</w:t>
                      </w:r>
                      <w:r>
                        <w:rPr>
                          <w:szCs w:val="24"/>
                          <w:lang w:eastAsia="lt-LT"/>
                        </w:rPr>
                        <w:t xml:space="preserve"> sprendimu gali būti išieškomi Lietuvos Respublikos civilinio proceso kodekso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c08d4c81586b4d0d9526b68d57db72da"/>
                    <w:lock w:val="sdtLocked"/>
                    <w:richText/>
                  </w:sdtPr>
                  <w:sdtContent>
                    <w:p>
                      <w:pPr>
                        <w:spacing w:line="360" w:lineRule="auto"/>
                        <w:ind w:firstLine="720"/>
                        <w:jc w:val="both"/>
                        <w:rPr>
                          <w:szCs w:val="24"/>
                        </w:rPr>
                      </w:pPr>
                      <w:sdt>
                        <w:sdtPr>
                          <w:alias w:val="Numeris"/>
                          <w:tag w:val="nr_c08d4c81586b4d0d9526b68d57db72da"/>
                          <w:lock w:val="sdtLocked"/>
                          <w:richText/>
                        </w:sdtPr>
                        <w:sdtContent>
                          <w:r>
                            <w:rPr>
                              <w:szCs w:val="24"/>
                            </w:rPr>
                            <w:t>3</w:t>
                          </w:r>
                        </w:sdtContent>
                      </w:sdt>
                      <w:r>
                        <w:rPr>
                          <w:szCs w:val="24"/>
                        </w:rPr>
                        <w:t>. Šio įstatymo 4 straipsnio 1–8 dalyse nurodytoms institucijoms, išskyrus Kovos su pinigų plovimu ir teroristų finansavimu instituciją,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notaro atstovams ar asmenims, turintiems teisę atlikti notarinius veiksmus, advokatams ir advokatų padėjėjams ir antstoliams ar antstolio atstovams, kai jie siekia įtikinti klientą neužsiimti neteisėta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b41fae539ac24cffbd51164476c751a2"/>
                <w:lock w:val="sdtLocked"/>
                <w:richText/>
              </w:sdtPr>
              <w:sdtContent>
                <w:p>
                  <w:pPr>
                    <w:spacing w:line="360" w:lineRule="auto"/>
                    <w:ind w:left="2410" w:hanging="1690"/>
                    <w:jc w:val="both"/>
                    <w:rPr>
                      <w:rFonts w:eastAsia="Yu Gothic"/>
                      <w:szCs w:val="24"/>
                    </w:rPr>
                  </w:pPr>
                  <w:sdt>
                    <w:sdtPr>
                      <w:alias w:val="Numeris"/>
                      <w:tag w:val="nr_b41fae539ac24cffbd51164476c751a2"/>
                      <w:lock w:val="sdtLocked"/>
                      <w:richText/>
                    </w:sdtPr>
                    <w:sdtContent>
                      <w:r>
                        <w:rPr>
                          <w:rFonts w:eastAsia="Yu Gothic"/>
                          <w:b/>
                          <w:szCs w:val="24"/>
                        </w:rPr>
                        <w:t>25</w:t>
                      </w:r>
                    </w:sdtContent>
                  </w:sdt>
                  <w:r>
                    <w:rPr>
                      <w:rFonts w:eastAsia="Yu Gothic"/>
                      <w:b/>
                      <w:szCs w:val="24"/>
                    </w:rPr>
                    <w:t xml:space="preserve"> straipsnis. </w:t>
                  </w:r>
                  <w:sdt>
                    <w:sdtPr>
                      <w:alias w:val="Pavadinimas"/>
                      <w:tag w:val="title_b41fae539ac24cffbd51164476c751a2"/>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mokesčių konsultavimo paslaugų teikėjais ir nekilnojamojo turto agentais (brokeriais)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2bca7a4e839b4dbd810b5cad05804a91"/>
                    <w:lock w:val="sdtLocked"/>
                    <w:richText/>
                  </w:sdtPr>
                  <w:sdtContent>
                    <w:p>
                      <w:pPr>
                        <w:widowControl w:val="0"/>
                        <w:spacing w:line="406" w:lineRule="atLeast"/>
                        <w:ind w:firstLine="720"/>
                        <w:jc w:val="both"/>
                        <w:rPr>
                          <w:rFonts w:eastAsia="Yu Gothic"/>
                          <w:i/>
                          <w:sz w:val="20"/>
                        </w:rPr>
                      </w:pPr>
                      <w:sdt>
                        <w:sdtPr>
                          <w:alias w:val="Numeris"/>
                          <w:tag w:val="nr_2bca7a4e839b4dbd810b5cad05804a91"/>
                          <w:lock w:val="sdtLocked"/>
                          <w:richText/>
                        </w:sdtPr>
                        <w:sdtContent>
                          <w:r>
                            <w:rPr>
                              <w:color w:val="000000"/>
                              <w:szCs w:val="24"/>
                            </w:rPr>
                            <w:t>2</w:t>
                          </w:r>
                        </w:sdtContent>
                      </w:sdt>
                      <w:r>
                        <w:rPr>
                          <w:color w:val="000000"/>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 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5 str. 3 d."/>
                    <w:tag w:val="part_31b70bf4c8ae4373879fc74dd1e0aa1f"/>
                    <w:lock w:val="sdtLocked"/>
                    <w:richText/>
                  </w:sdtPr>
                  <w:sdtContent>
                    <w:p>
                      <w:pPr>
                        <w:widowControl w:val="0"/>
                        <w:spacing w:line="406" w:lineRule="atLeast"/>
                        <w:ind w:firstLine="720"/>
                        <w:jc w:val="both"/>
                        <w:rPr>
                          <w:color w:val="000000"/>
                          <w:szCs w:val="24"/>
                        </w:rPr>
                      </w:pPr>
                      <w:sdt>
                        <w:sdtPr>
                          <w:alias w:val="Numeris"/>
                          <w:tag w:val="nr_31b70bf4c8ae4373879fc74dd1e0aa1f"/>
                          <w:lock w:val="sdtLocked"/>
                          <w:richText/>
                        </w:sdtPr>
                        <w:sdtContent>
                          <w:r>
                            <w:rPr>
                              <w:color w:val="000000"/>
                              <w:szCs w:val="24"/>
                            </w:rPr>
                            <w:t>3</w:t>
                          </w:r>
                        </w:sdtContent>
                      </w:sdt>
                      <w:r>
                        <w:rPr>
                          <w:color w:val="000000"/>
                          <w:szCs w:val="24"/>
                        </w:rPr>
                        <w:t xml:space="preserve">. Patikos ar bendrovių steigimo, administravimo, mokesčių konsultavimo paslaugų teikėju, nekilnojamojo turto agentu (brokeriu), juridinio asmens, kuris vykdo patikos ar bendrovių steigimo, administravimo, mokesčių konsultavimo paslaugų teikėjo, nekilnojamojo turto agento </w:t>
                      </w:r>
                      <w:r>
                        <w:rPr>
                          <w:bCs/>
                          <w:color w:val="000000"/>
                          <w:szCs w:val="24"/>
                        </w:rPr>
                        <w:t xml:space="preserve">(brokerio) </w:t>
                      </w:r>
                      <w:r>
                        <w:rPr>
                          <w:color w:val="000000"/>
                          <w:szCs w:val="24"/>
                        </w:rPr>
                        <w:t xml:space="preserve">veiklą, valdymo ar priežiūros organų nariu arba tokių asmenų naudos gavėju negali būti fizinis asmuo, kuris yra: </w:t>
                      </w:r>
                    </w:p>
                    <w:sdt>
                      <w:sdtPr>
                        <w:alias w:val="25 str. 3 d. 1 p."/>
                        <w:tag w:val="part_b720eaf6d72b400eab39f96097b8d9ed"/>
                        <w:lock w:val="sdtLocked"/>
                        <w:richText/>
                      </w:sdtPr>
                      <w:sdtContent>
                        <w:p>
                          <w:pPr>
                            <w:widowControl w:val="0"/>
                            <w:spacing w:line="406" w:lineRule="atLeast"/>
                            <w:ind w:firstLine="720"/>
                            <w:jc w:val="both"/>
                            <w:rPr>
                              <w:bCs/>
                              <w:color w:val="000000"/>
                              <w:szCs w:val="24"/>
                              <w:lang w:eastAsia="en-GB"/>
                            </w:rPr>
                          </w:pPr>
                          <w:sdt>
                            <w:sdtPr>
                              <w:alias w:val="Numeris"/>
                              <w:tag w:val="nr_b720eaf6d72b400eab39f96097b8d9ed"/>
                              <w:lock w:val="sdtLocked"/>
                              <w:richText/>
                            </w:sdtPr>
                            <w:sdtContent>
                              <w:r>
                                <w:rPr>
                                  <w:bCs/>
                                  <w:color w:val="000000"/>
                                  <w:szCs w:val="24"/>
                                  <w:lang w:eastAsia="en-GB"/>
                                </w:rPr>
                                <w:t>1</w:t>
                              </w:r>
                            </w:sdtContent>
                          </w:sdt>
                          <w:r>
                            <w:rPr>
                              <w:bCs/>
                              <w:color w:val="000000"/>
                              <w:szCs w:val="24"/>
                              <w:lang w:eastAsia="en-GB"/>
                            </w:rPr>
                            <w:t xml:space="preserve">) pripažintas kaltu padaręs Lietuvos Respublikos baudžiamajame kodekse numatytą sunkų arba labai sunkų nusikaltimą ar bet kurį iš šių nusikaltimų atitinkančią nusikalstamą veiką pagal kitų valstybių baudžiamuosius įstatymus ir po asmens teistumo išnykimo arba panaikinimo nepraėjo 8 metai; </w:t>
                          </w:r>
                        </w:p>
                      </w:sdtContent>
                    </w:sdt>
                    <w:sdt>
                      <w:sdtPr>
                        <w:alias w:val="25 str. 3 d. 2 p."/>
                        <w:tag w:val="part_77985be66e2840168ff39a409bda0b35"/>
                        <w:lock w:val="sdtLocked"/>
                        <w:richText/>
                      </w:sdtPr>
                      <w:sdtContent>
                        <w:p>
                          <w:pPr>
                            <w:widowControl w:val="0"/>
                            <w:spacing w:line="406" w:lineRule="atLeast"/>
                            <w:ind w:firstLine="720"/>
                            <w:jc w:val="both"/>
                            <w:rPr>
                              <w:bCs/>
                              <w:color w:val="000000"/>
                              <w:szCs w:val="24"/>
                              <w:lang w:eastAsia="en-GB"/>
                            </w:rPr>
                          </w:pPr>
                          <w:sdt>
                            <w:sdtPr>
                              <w:alias w:val="Numeris"/>
                              <w:tag w:val="nr_77985be66e2840168ff39a409bda0b35"/>
                              <w:lock w:val="sdtLocked"/>
                              <w:richText/>
                            </w:sdtPr>
                            <w:sdtContent>
                              <w:r>
                                <w:rPr>
                                  <w:bCs/>
                                  <w:color w:val="000000"/>
                                  <w:szCs w:val="24"/>
                                  <w:lang w:eastAsia="en-GB"/>
                                </w:rPr>
                                <w:t>2</w:t>
                              </w:r>
                            </w:sdtContent>
                          </w:sdt>
                          <w:r>
                            <w:rPr>
                              <w:bCs/>
                              <w:color w:val="000000"/>
                              <w:szCs w:val="24"/>
                              <w:lang w:eastAsia="en-GB"/>
                            </w:rPr>
                            <w:t xml:space="preserve">)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 </w:t>
                          </w:r>
                        </w:p>
                      </w:sdtContent>
                    </w:sdt>
                    <w:sdt>
                      <w:sdtPr>
                        <w:alias w:val="25 str. 3 d. 3 p."/>
                        <w:tag w:val="part_b624b22858cc4077b2d2a1bbba31d957"/>
                        <w:lock w:val="sdtLocked"/>
                        <w:richText/>
                      </w:sdtPr>
                      <w:sdtContent>
                        <w:p>
                          <w:pPr>
                            <w:widowControl w:val="0"/>
                            <w:spacing w:line="406" w:lineRule="atLeast"/>
                            <w:ind w:firstLine="720"/>
                            <w:jc w:val="both"/>
                          </w:pPr>
                          <w:sdt>
                            <w:sdtPr>
                              <w:alias w:val="Numeris"/>
                              <w:tag w:val="nr_b624b22858cc4077b2d2a1bbba31d957"/>
                              <w:lock w:val="sdtLocked"/>
                              <w:richText/>
                            </w:sdtPr>
                            <w:sdtContent>
                              <w:r>
                                <w:rPr>
                                  <w:bCs/>
                                  <w:color w:val="000000"/>
                                  <w:szCs w:val="24"/>
                                  <w:lang w:eastAsia="en-GB"/>
                                </w:rPr>
                                <w:t>3</w:t>
                              </w:r>
                            </w:sdtContent>
                          </w:sdt>
                          <w:r>
                            <w:rPr>
                              <w:bCs/>
                              <w:color w:val="000000"/>
                              <w:szCs w:val="24"/>
                              <w:lang w:eastAsia="en-GB"/>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a7c34bd67054c5bbccdc8e33f35669f"/>
                        <w:lock w:val="sdtLocked"/>
                        <w:richText/>
                      </w:sdtPr>
                      <w:sdtContent>
                        <w:p>
                          <w:pPr>
                            <w:widowControl w:val="0"/>
                            <w:spacing w:line="406" w:lineRule="atLeast"/>
                            <w:ind w:firstLine="720"/>
                            <w:jc w:val="both"/>
                            <w:rPr>
                              <w:szCs w:val="24"/>
                              <w:lang w:eastAsia="lt-LT"/>
                            </w:rPr>
                          </w:pPr>
                          <w:sdt>
                            <w:sdtPr>
                              <w:alias w:val="Numeris"/>
                              <w:tag w:val="nr_ea7c34bd67054c5bbccdc8e33f35669f"/>
                              <w:lock w:val="sdtLocked"/>
                              <w:richText/>
                            </w:sdtPr>
                            <w:sdtContent>
                              <w:r>
                                <w:rPr>
                                  <w:color w:val="000000"/>
                                  <w:szCs w:val="24"/>
                                  <w:lang w:eastAsia="en-GB"/>
                                </w:rPr>
                                <w:t>1</w:t>
                              </w:r>
                            </w:sdtContent>
                          </w:sdt>
                          <w:r>
                            <w:rPr>
                              <w:color w:val="000000"/>
                              <w:szCs w:val="24"/>
                              <w:lang w:eastAsia="en-GB"/>
                            </w:rPr>
                            <w:t>) pripažintas kaltu padaręs Baudžiamajame</w:t>
                          </w:r>
                          <w:r>
                            <w:rPr>
                              <w:b/>
                              <w:bCs/>
                              <w:color w:val="000000"/>
                              <w:szCs w:val="24"/>
                              <w:lang w:eastAsia="en-GB"/>
                            </w:rPr>
                            <w:t xml:space="preserve"> </w:t>
                          </w:r>
                          <w:r>
                            <w:rPr>
                              <w:color w:val="000000"/>
                              <w:szCs w:val="24"/>
                              <w:lang w:eastAsia="en-GB"/>
                            </w:rPr>
                            <w:t>kodekse numatytą sunkų arba labai sunkų nusikaltimą ar bet kurį iš šių nusikaltimų atitinkančią nusikalstamą veiką pagal kitų valstybių baudžiamuosius įstatymus</w:t>
                          </w:r>
                          <w:r>
                            <w:rPr>
                              <w:b/>
                              <w:color w:val="000000"/>
                              <w:szCs w:val="24"/>
                              <w:lang w:eastAsia="en-GB"/>
                            </w:rPr>
                            <w:t xml:space="preserve"> </w:t>
                          </w:r>
                          <w:r>
                            <w:rPr>
                              <w:bCs/>
                              <w:color w:val="000000"/>
                              <w:szCs w:val="24"/>
                              <w:lang w:eastAsia="en-GB"/>
                            </w:rPr>
                            <w:t>ir po asmens teistumo išnykimo arba panaikinimo nepraėjo 8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5 str. 4 d."/>
                    <w:tag w:val="part_527a376b77494e4ba41c7a000fbaf5b1"/>
                    <w:lock w:val="sdtLocked"/>
                    <w:richText/>
                  </w:sdtPr>
                  <w:sdtContent>
                    <w:p>
                      <w:pPr>
                        <w:widowControl w:val="0"/>
                        <w:spacing w:line="406" w:lineRule="atLeast"/>
                        <w:ind w:firstLine="720"/>
                        <w:jc w:val="both"/>
                      </w:pPr>
                      <w:sdt>
                        <w:sdtPr>
                          <w:alias w:val="Numeris"/>
                          <w:tag w:val="nr_527a376b77494e4ba41c7a000fbaf5b1"/>
                          <w:lock w:val="sdtLocked"/>
                          <w:richText/>
                        </w:sdtPr>
                        <w:sdtContent>
                          <w:r>
                            <w:rPr>
                              <w:color w:val="000000"/>
                              <w:szCs w:val="24"/>
                            </w:rPr>
                            <w:t>4</w:t>
                          </w:r>
                        </w:sdtContent>
                      </w:sdt>
                      <w:r>
                        <w:rPr>
                          <w:color w:val="000000"/>
                          <w:szCs w:val="24"/>
                        </w:rPr>
                        <w:t xml:space="preserve">. Juridinis asmuo </w:t>
                      </w:r>
                      <w:r>
                        <w:rPr>
                          <w:bCs/>
                          <w:color w:val="000000"/>
                          <w:szCs w:val="24"/>
                        </w:rPr>
                        <w:t>ir Lietuvos Respublikoje įsteigtas Europos Sąjungos valstybės narės ar užsienio valstybės juridinio asmens filialas</w:t>
                      </w:r>
                      <w:r>
                        <w:rPr>
                          <w:color w:val="000000"/>
                          <w:szCs w:val="24"/>
                        </w:rPr>
                        <w:t>,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5 str. 5 d."/>
                    <w:tag w:val="part_f2e48c82a7bf4e768487b08e2a9ed81a"/>
                    <w:lock w:val="sdtLocked"/>
                    <w:richText/>
                  </w:sdtPr>
                  <w:sdtContent>
                    <w:p>
                      <w:pPr>
                        <w:widowControl w:val="0"/>
                        <w:spacing w:line="406" w:lineRule="atLeast"/>
                        <w:ind w:firstLine="720"/>
                        <w:jc w:val="both"/>
                      </w:pPr>
                      <w:sdt>
                        <w:sdtPr>
                          <w:alias w:val="Numeris"/>
                          <w:tag w:val="nr_f2e48c82a7bf4e768487b08e2a9ed81a"/>
                          <w:lock w:val="sdtLocked"/>
                          <w:richText/>
                        </w:sdtPr>
                        <w:sdtContent>
                          <w:r>
                            <w:rPr>
                              <w:color w:val="000000"/>
                              <w:szCs w:val="24"/>
                            </w:rPr>
                            <w:t>5</w:t>
                          </w:r>
                        </w:sdtContent>
                      </w:sdt>
                      <w:r>
                        <w:rPr>
                          <w:color w:val="000000"/>
                          <w:szCs w:val="24"/>
                        </w:rPr>
                        <w:t xml:space="preserve">. Juridinis asmuo </w:t>
                      </w:r>
                      <w:r>
                        <w:rPr>
                          <w:bCs/>
                          <w:color w:val="000000"/>
                          <w:szCs w:val="24"/>
                        </w:rPr>
                        <w:t>arba Lietuvos Respublikoje įsteigtas Europos Sąjungos valstybės narės ar užsienio valstybės juridinio asmens filialas</w:t>
                      </w:r>
                      <w:r>
                        <w:rPr>
                          <w:color w:val="000000"/>
                          <w:szCs w:val="24"/>
                        </w:rPr>
                        <w:t>,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5 str. 6 d."/>
                    <w:tag w:val="part_fc69ad900abc43a2a373e10fc2ebe2e8"/>
                    <w:lock w:val="sdtLocked"/>
                    <w:richText/>
                  </w:sdtPr>
                  <w:sdtContent>
                    <w:p>
                      <w:pPr>
                        <w:widowControl w:val="0"/>
                        <w:spacing w:line="406" w:lineRule="atLeast"/>
                        <w:ind w:firstLine="720"/>
                        <w:jc w:val="both"/>
                        <w:rPr>
                          <w:szCs w:val="24"/>
                        </w:rPr>
                      </w:pPr>
                      <w:sdt>
                        <w:sdtPr>
                          <w:alias w:val="Numeris"/>
                          <w:tag w:val="nr_fc69ad900abc43a2a373e10fc2ebe2e8"/>
                          <w:lock w:val="sdtLocked"/>
                          <w:richText/>
                        </w:sdtPr>
                        <w:sdtContent>
                          <w:r>
                            <w:rPr>
                              <w:szCs w:val="24"/>
                            </w:rPr>
                            <w:t>6</w:t>
                          </w:r>
                        </w:sdtContent>
                      </w:sdt>
                      <w:r>
                        <w:rPr>
                          <w:szCs w:val="24"/>
                        </w:rPr>
                        <w:t>. Lietuvos Respublikoje įsteigtas juridinis asmuo, ketinantis vykdyti ar vykdantis virtualiųjų valiutų keityklos operatoriaus ir (ar) depozitinių virtualiųjų valiutų piniginių operatoriaus veiklą, privalo:</w:t>
                      </w:r>
                    </w:p>
                    <w:sdt>
                      <w:sdtPr>
                        <w:alias w:val="25 str. 6 d. 1 p."/>
                        <w:tag w:val="part_9f85db1089ad4bf8a63a13b36a3a94ce"/>
                        <w:lock w:val="sdtLocked"/>
                        <w:richText/>
                      </w:sdtPr>
                      <w:sdtContent>
                        <w:p>
                          <w:pPr>
                            <w:widowControl w:val="0"/>
                            <w:spacing w:line="406" w:lineRule="atLeast"/>
                            <w:ind w:firstLine="720"/>
                            <w:jc w:val="both"/>
                            <w:rPr>
                              <w:szCs w:val="24"/>
                            </w:rPr>
                          </w:pPr>
                          <w:sdt>
                            <w:sdtPr>
                              <w:alias w:val="Numeris"/>
                              <w:tag w:val="nr_9f85db1089ad4bf8a63a13b36a3a94ce"/>
                              <w:lock w:val="sdtLocked"/>
                              <w:richText/>
                            </w:sdtPr>
                            <w:sdtContent>
                              <w:r>
                                <w:rPr>
                                  <w:szCs w:val="24"/>
                                </w:rPr>
                                <w:t>1</w:t>
                              </w:r>
                            </w:sdtContent>
                          </w:sdt>
                          <w:r>
                            <w:rPr>
                              <w:szCs w:val="24"/>
                            </w:rPr>
                            <w:t xml:space="preserve">) </w:t>
                          </w:r>
                          <w:r>
                            <w:rPr>
                              <w:bCs/>
                              <w:szCs w:val="24"/>
                            </w:rPr>
                            <w:t>akcinė bendrovė arba uždaroji akcinė bendrovė:</w:t>
                          </w:r>
                        </w:p>
                        <w:sdt>
                          <w:sdtPr>
                            <w:alias w:val="25 str. 6 d. 1 p. a pp."/>
                            <w:tag w:val="part_02e4904e17f44298b9091cf220861add"/>
                            <w:lock w:val="sdtLocked"/>
                            <w:richText/>
                          </w:sdtPr>
                          <w:sdtContent>
                            <w:p>
                              <w:pPr>
                                <w:widowControl w:val="0"/>
                                <w:spacing w:line="406" w:lineRule="atLeast"/>
                                <w:ind w:firstLine="720"/>
                                <w:jc w:val="both"/>
                                <w:rPr>
                                  <w:szCs w:val="24"/>
                                </w:rPr>
                              </w:pPr>
                              <w:sdt>
                                <w:sdtPr>
                                  <w:alias w:val="Numeris"/>
                                  <w:tag w:val="nr_02e4904e17f44298b9091cf220861add"/>
                                  <w:lock w:val="sdtLocked"/>
                                  <w:richText/>
                                </w:sdtPr>
                                <w:sdtContent>
                                  <w:r>
                                    <w:rPr>
                                      <w:bCs/>
                                      <w:szCs w:val="24"/>
                                    </w:rPr>
                                    <w:t>a</w:t>
                                  </w:r>
                                </w:sdtContent>
                              </w:sdt>
                              <w:r>
                                <w:rPr>
                                  <w:bCs/>
                                  <w:szCs w:val="24"/>
                                </w:rPr>
                                <w:t>)</w:t>
                              </w:r>
                              <w:r>
                                <w:rPr>
                                  <w:szCs w:val="24"/>
                                </w:rPr>
                                <w:t xml:space="preserve"> turėti įregistruotą ir apmokėtą ne mažesnį kaip 125 000 eurų įstatinį kapitalą ir nuolat palaikyti ne mažesnį kaip 125 000 eurų dydžio nuosavą kapitalą;</w:t>
                              </w:r>
                            </w:p>
                          </w:sdtContent>
                        </w:sdt>
                        <w:sdt>
                          <w:sdtPr>
                            <w:alias w:val="25 str. 6 d. 1 p. b pp."/>
                            <w:tag w:val="part_070a9c61ff6a42eb96b359745f44e490"/>
                            <w:lock w:val="sdtLocked"/>
                            <w:richText/>
                          </w:sdtPr>
                          <w:sdtContent>
                            <w:p>
                              <w:pPr>
                                <w:widowControl w:val="0"/>
                                <w:spacing w:line="406" w:lineRule="atLeast"/>
                                <w:ind w:firstLine="720"/>
                                <w:jc w:val="both"/>
                                <w:rPr>
                                  <w:szCs w:val="24"/>
                                </w:rPr>
                              </w:pPr>
                              <w:sdt>
                                <w:sdtPr>
                                  <w:alias w:val="Numeris"/>
                                  <w:tag w:val="nr_070a9c61ff6a42eb96b359745f44e490"/>
                                  <w:lock w:val="sdtLocked"/>
                                  <w:richText/>
                                </w:sdtPr>
                                <w:sdtContent>
                                  <w:r>
                                    <w:rPr>
                                      <w:szCs w:val="24"/>
                                    </w:rPr>
                                    <w:t>b</w:t>
                                  </w:r>
                                </w:sdtContent>
                              </w:sdt>
                              <w:r>
                                <w:rPr>
                                  <w:szCs w:val="24"/>
                                </w:rPr>
                                <w:t xml:space="preserve">) </w:t>
                              </w:r>
                              <w:r>
                                <w:rPr>
                                  <w:bCs/>
                                  <w:szCs w:val="24"/>
                                </w:rPr>
                                <w:t>steigimo ir įstatinio kapitalo didinimo metu įstatinį kapitalą formuojančias lėšas turi įnešti į sąskaitą Lietuvos Respublikos kredito įstaigoje arba Europos Sąjungos valstybės narės kredito įstaigoje, turinčioje filialą Lietuvos Respublikoje;</w:t>
                              </w:r>
                              <w:r>
                                <w:rPr>
                                  <w:strike/>
                                  <w:szCs w:val="24"/>
                                </w:rPr>
                                <w:t xml:space="preserve"> </w:t>
                              </w:r>
                            </w:p>
                          </w:sdtContent>
                        </w:sdt>
                      </w:sdtContent>
                    </w:sdt>
                    <w:sdt>
                      <w:sdtPr>
                        <w:alias w:val="25 str. 6 d. 2 p."/>
                        <w:tag w:val="part_a9043a4023ff4563b7cafe725ddbc706"/>
                        <w:lock w:val="sdtLocked"/>
                        <w:richText/>
                      </w:sdtPr>
                      <w:sdtContent>
                        <w:p>
                          <w:pPr>
                            <w:widowControl w:val="0"/>
                            <w:spacing w:line="406" w:lineRule="atLeast"/>
                            <w:ind w:firstLine="720"/>
                            <w:jc w:val="both"/>
                          </w:pPr>
                          <w:sdt>
                            <w:sdtPr>
                              <w:alias w:val="Numeris"/>
                              <w:tag w:val="nr_a9043a4023ff4563b7cafe725ddbc706"/>
                              <w:lock w:val="sdtLocked"/>
                              <w:richText/>
                            </w:sdtPr>
                            <w:sdtContent>
                              <w:r>
                                <w:rPr>
                                  <w:szCs w:val="24"/>
                                </w:rPr>
                                <w:t>2</w:t>
                              </w:r>
                            </w:sdtContent>
                          </w:sdt>
                          <w:r>
                            <w:rPr>
                              <w:szCs w:val="24"/>
                            </w:rPr>
                            <w:t>) kitos teisinės formos Lietuvos Respublikoje įsteigtas juridinis asmuo arba Europos Sąjungos valstybės narės ar užsienio valstybės juridinio asmens filialas – visą veiklos laikotarpį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5c994838dd1e426a8d639c9a3bd395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24971a27a5c64a63b745180bcbcd4c70"/>
                    <w:lock w:val="sdtLocked"/>
                    <w:richText/>
                  </w:sdtPr>
                  <w:sdtContent>
                    <w:p>
                      <w:pPr>
                        <w:spacing w:line="360" w:lineRule="auto"/>
                        <w:ind w:firstLine="720"/>
                        <w:jc w:val="both"/>
                      </w:pPr>
                      <w:sdt>
                        <w:sdtPr>
                          <w:alias w:val="Numeris"/>
                          <w:tag w:val="nr_24971a27a5c64a63b745180bcbcd4c70"/>
                          <w:lock w:val="sdtLocked"/>
                          <w:richText/>
                        </w:sdtPr>
                        <w:sdtContent>
                          <w:r>
                            <w:rPr>
                              <w:szCs w:val="24"/>
                              <w:lang w:eastAsia="lt-LT"/>
                            </w:rPr>
                            <w:t>3</w:t>
                          </w:r>
                        </w:sdtContent>
                      </w:sdt>
                      <w:r>
                        <w:rPr>
                          <w:szCs w:val="24"/>
                          <w:lang w:eastAsia="lt-LT"/>
                        </w:rPr>
                        <w:t>. Į Nacionalinio pinigų plovimo ir teroristų finansavimo rizikos vertinimo rezultatus privalo atsižvelgti šio įstatymo 4 straipsnio 1–9 dalyse nurodytos institucijos</w:t>
                      </w:r>
                      <w:r>
                        <w:rPr>
                          <w:szCs w:val="24"/>
                        </w:rPr>
                        <w:t>, išskyrus Kovos su pinigų plovimu ir teroristų finansavimu instituciją</w:t>
                      </w:r>
                      <w:r>
                        <w:rPr>
                          <w:szCs w:val="24"/>
                          <w:lang w:eastAsia="lt-LT"/>
                        </w:rPr>
                        <w:t>, rengdamos finansų įstaigoms ir kitiems įpareigotiesiems subjektams skirtus nurodymus, kuriais siekiama užkirsti kelią pinigų plovimui ir (ar) teroristų finansavimui.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00bb69f951604a388eb91f0ee579f7a3"/>
                    <w:lock w:val="sdtLocked"/>
                    <w:richText/>
                  </w:sdtPr>
                  <w:sdtContent>
                    <w:p>
                      <w:pPr>
                        <w:spacing w:line="360" w:lineRule="auto"/>
                        <w:ind w:firstLine="720"/>
                        <w:jc w:val="both"/>
                        <w:rPr>
                          <w:b/>
                          <w:szCs w:val="24"/>
                        </w:rPr>
                      </w:pPr>
                      <w:sdt>
                        <w:sdtPr>
                          <w:alias w:val="Numeris"/>
                          <w:tag w:val="nr_00bb69f951604a388eb91f0ee579f7a3"/>
                          <w:lock w:val="sdtLocked"/>
                          <w:richText/>
                        </w:sdtPr>
                        <w:sdtContent>
                          <w:r>
                            <w:rPr>
                              <w:szCs w:val="24"/>
                              <w:lang w:eastAsia="lt-LT"/>
                            </w:rPr>
                            <w:t>2</w:t>
                          </w:r>
                        </w:sdtContent>
                      </w:sdt>
                      <w:r>
                        <w:rPr>
                          <w:szCs w:val="24"/>
                          <w:lang w:eastAsia="lt-LT"/>
                        </w:rPr>
                        <w:t>. Nacionaliniame pinigų plovimo ir teroristų finansavimo rizikos vertinime dalyvauja visos šio įstatymo 4 straipsnio 1–8 dalyse nurodytos institucijos</w:t>
                      </w:r>
                      <w:r>
                        <w:rPr>
                          <w:szCs w:val="24"/>
                        </w:rPr>
                        <w:t>, išskyrus Kovos su pinigų plovimu ir teroristų finansavimu instituciją,</w:t>
                      </w:r>
                      <w:r>
                        <w:rPr>
                          <w:szCs w:val="24"/>
                          <w:lang w:eastAsia="lt-LT"/>
                        </w:rPr>
                        <w:t xml:space="preserve"> ir pagal poreikį gali būti pasitelkiamos kitos valstybės ar užsienio valstybės institucijos, įstaigos, organizacijos, ekspertai, specialistai ir kiti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2ec1eedc78734cb2996556fefb3a2d28"/>
                    <w:lock w:val="sdtLocked"/>
                    <w:richText/>
                  </w:sdtPr>
                  <w:sdtContent>
                    <w:p>
                      <w:pPr>
                        <w:spacing w:line="360" w:lineRule="auto"/>
                        <w:ind w:firstLine="720"/>
                        <w:jc w:val="both"/>
                        <w:rPr>
                          <w:szCs w:val="24"/>
                        </w:rPr>
                      </w:pPr>
                      <w:sdt>
                        <w:sdtPr>
                          <w:alias w:val="Numeris"/>
                          <w:tag w:val="nr_2ec1eedc78734cb2996556fefb3a2d28"/>
                          <w:lock w:val="sdtLocked"/>
                          <w:richText/>
                        </w:sdtPr>
                        <w:sdtContent>
                          <w:r>
                            <w:rPr>
                              <w:szCs w:val="24"/>
                              <w:lang w:eastAsia="lt-LT"/>
                            </w:rPr>
                            <w:t>3</w:t>
                          </w:r>
                        </w:sdtContent>
                      </w:sdt>
                      <w:r>
                        <w:rPr>
                          <w:szCs w:val="24"/>
                          <w:lang w:eastAsia="lt-LT"/>
                        </w:rPr>
                        <w:t>. Nacionalinis pinigų plovimo ir teroristų finansavimo rizikos vertinimas atliekamas prieš tai šio įstatymo 4 straipsnio 1–8 dalyse nurodytoms institucijoms</w:t>
                      </w:r>
                      <w:r>
                        <w:rPr>
                          <w:szCs w:val="24"/>
                        </w:rPr>
                        <w:t>, išskyrus Kovos su pinigų plovimu ir teroristų finansavimu instituciją,</w:t>
                      </w:r>
                      <w:r>
                        <w:rPr>
                          <w:szCs w:val="24"/>
                          <w:lang w:eastAsia="lt-LT"/>
                        </w:rPr>
                        <w:t xml:space="preserve"> atlikus pinigų plovimo ir (ar) teroristų finansavimo rizikos atskiruose sektoriuose vertinimus.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4 d."/>
                    <w:tag w:val="part_4a615c671ed64fdbb7eefa3f7d50a294"/>
                    <w:lock w:val="sdtLocked"/>
                    <w:richText/>
                  </w:sdtPr>
                  <w:sdtContent>
                    <w:p>
                      <w:pPr>
                        <w:spacing w:line="360" w:lineRule="auto"/>
                        <w:ind w:firstLine="720"/>
                        <w:jc w:val="both"/>
                        <w:rPr>
                          <w:szCs w:val="24"/>
                        </w:rPr>
                      </w:pPr>
                      <w:sdt>
                        <w:sdtPr>
                          <w:alias w:val="Numeris"/>
                          <w:tag w:val="nr_4a615c671ed64fdbb7eefa3f7d50a294"/>
                          <w:lock w:val="sdtLocked"/>
                          <w:richText/>
                        </w:sdtPr>
                        <w:sdtContent>
                          <w:r>
                            <w:rPr>
                              <w:szCs w:val="24"/>
                              <w:lang w:eastAsia="lt-LT"/>
                            </w:rPr>
                            <w:t>4</w:t>
                          </w:r>
                        </w:sdtContent>
                      </w:sdt>
                      <w:r>
                        <w:rPr>
                          <w:szCs w:val="24"/>
                          <w:lang w:eastAsia="lt-LT"/>
                        </w:rPr>
                        <w:t>. Šio įstatymo 4 straipsnio 1–8 dalyse nurodytos institucijos</w:t>
                      </w:r>
                      <w:r>
                        <w:rPr>
                          <w:szCs w:val="24"/>
                        </w:rPr>
                        <w:t xml:space="preserve">, išskyrus Kovos su pinigų plovimu ir teroristų finansavimu instituciją, </w:t>
                      </w:r>
                      <w:r>
                        <w:rPr>
                          <w:szCs w:val="24"/>
                          <w:lang w:eastAsia="lt-LT"/>
                        </w:rPr>
                        <w:t>sektoriaus pinigų plovimo ir (ar) teroristų finansavimo rizikos vertinimą atlieka per 8 mėnesius nuo Finansinių nusikaltimų tyrimo tarnybos pranešimo apie numatomą nacionalinį pinigų plovimo ir teroristų finansavimo rizikos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5 d."/>
                    <w:tag w:val="part_df7339f258be407fb33c1b2bcca0e222"/>
                    <w:lock w:val="sdtLocked"/>
                    <w:richText/>
                  </w:sdtPr>
                  <w:sdtContent>
                    <w:p>
                      <w:pPr>
                        <w:spacing w:line="360" w:lineRule="auto"/>
                        <w:ind w:firstLine="720"/>
                        <w:jc w:val="both"/>
                        <w:rPr>
                          <w:szCs w:val="24"/>
                        </w:rPr>
                      </w:pPr>
                      <w:sdt>
                        <w:sdtPr>
                          <w:alias w:val="Numeris"/>
                          <w:tag w:val="nr_df7339f258be407fb33c1b2bcca0e222"/>
                          <w:lock w:val="sdtLocked"/>
                          <w:richText/>
                        </w:sdtPr>
                        <w:sdtContent>
                          <w:r>
                            <w:rPr>
                              <w:szCs w:val="24"/>
                              <w:lang w:eastAsia="lt-LT"/>
                            </w:rPr>
                            <w:t>5</w:t>
                          </w:r>
                        </w:sdtContent>
                      </w:sdt>
                      <w:r>
                        <w:rPr>
                          <w:szCs w:val="24"/>
                          <w:lang w:eastAsia="lt-LT"/>
                        </w:rPr>
                        <w:t>. Šio įstatymo 4 straipsnio 1–8 dalyse nurodytos institucijos</w:t>
                      </w:r>
                      <w:r>
                        <w:rPr>
                          <w:szCs w:val="24"/>
                        </w:rPr>
                        <w:t>, išskyrus Kovos su pinigų plovimu ir teroristų finansavimu instituciją,</w:t>
                      </w:r>
                      <w:r>
                        <w:rPr>
                          <w:szCs w:val="24"/>
                          <w:lang w:eastAsia="lt-LT"/>
                        </w:rPr>
                        <w:t xml:space="preserve"> šio straipsnio 3 dalyje nurodytu tikslu kaupia išsamią statistinę informaciją, susijusią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626bdaed8d494736b2d916a68e49a47f"/>
                        <w:lock w:val="sdtLocked"/>
                        <w:richText/>
                      </w:sdtPr>
                      <w:sdtContent>
                        <w:p>
                          <w:pPr>
                            <w:spacing w:line="360" w:lineRule="auto"/>
                            <w:ind w:firstLine="720"/>
                            <w:jc w:val="both"/>
                            <w:rPr>
                              <w:szCs w:val="24"/>
                            </w:rPr>
                          </w:pPr>
                          <w:sdt>
                            <w:sdtPr>
                              <w:alias w:val="Numeris"/>
                              <w:tag w:val="nr_626bdaed8d494736b2d916a68e49a47f"/>
                              <w:lock w:val="sdtLocked"/>
                              <w:richText/>
                            </w:sdtPr>
                            <w:sdtContent>
                              <w:r>
                                <w:rPr>
                                  <w:szCs w:val="24"/>
                                  <w:lang w:eastAsia="lt-LT"/>
                                </w:rPr>
                                <w:t>2</w:t>
                              </w:r>
                            </w:sdtContent>
                          </w:sdt>
                          <w:r>
                            <w:rPr>
                              <w:szCs w:val="24"/>
                              <w:lang w:eastAsia="lt-LT"/>
                            </w:rPr>
                            <w:t xml:space="preserve">) šio įstatymo 4 straipsnio 1–9 dalyse nurodytų institucijų, </w:t>
                          </w:r>
                          <w:r>
                            <w:rPr>
                              <w:szCs w:val="24"/>
                            </w:rPr>
                            <w:t>išskyrus Kovos su pinigų plovimu ir teroristų finansavimu instituciją,</w:t>
                          </w:r>
                          <w:r>
                            <w:rPr>
                              <w:szCs w:val="24"/>
                              <w:lang w:eastAsia="lt-LT"/>
                            </w:rPr>
                            <w:t xml:space="preserve"> patvirtintus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6acd8d7a3be1431b91a79e9ef64efd4f"/>
                    <w:lock w:val="sdtLocked"/>
                    <w:richText/>
                  </w:sdtPr>
                  <w:sdtContent>
                    <w:p>
                      <w:pPr>
                        <w:spacing w:line="360" w:lineRule="auto"/>
                        <w:ind w:firstLine="720"/>
                        <w:jc w:val="both"/>
                        <w:rPr>
                          <w:szCs w:val="24"/>
                        </w:rPr>
                      </w:pPr>
                      <w:sdt>
                        <w:sdtPr>
                          <w:alias w:val="Numeris"/>
                          <w:tag w:val="nr_6acd8d7a3be1431b91a79e9ef64efd4f"/>
                          <w:lock w:val="sdtLocked"/>
                          <w:richText/>
                        </w:sdtPr>
                        <w:sdtContent>
                          <w:r>
                            <w:rPr>
                              <w:szCs w:val="24"/>
                              <w:lang w:eastAsia="lt-LT"/>
                            </w:rPr>
                            <w:t>6</w:t>
                          </w:r>
                        </w:sdtContent>
                      </w:sdt>
                      <w:r>
                        <w:rPr>
                          <w:szCs w:val="24"/>
                          <w:lang w:eastAsia="lt-LT"/>
                        </w:rPr>
                        <w:t>. Šio įstatymo 4 straipsnio 1–9 dalyse nurodytos institucijos</w:t>
                      </w:r>
                      <w:r>
                        <w:rPr>
                          <w:szCs w:val="24"/>
                        </w:rPr>
                        <w:t xml:space="preserve">, išskyrus Kovos su pinigų plovimu ir teroristų finansavimu instituciją, </w:t>
                      </w:r>
                      <w:r>
                        <w:rPr>
                          <w:szCs w:val="24"/>
                          <w:lang w:eastAsia="lt-LT"/>
                        </w:rPr>
                        <w:t>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29 str. 7 d."/>
                    <w:tag w:val="part_faa6eeef60444b74ba8baf5ff2ec368e"/>
                    <w:lock w:val="sdtLocked"/>
                    <w:richText/>
                  </w:sdtPr>
                  <w:sdtContent>
                    <w:p>
                      <w:pPr>
                        <w:spacing w:line="360" w:lineRule="auto"/>
                        <w:ind w:firstLine="720"/>
                        <w:jc w:val="both"/>
                      </w:pPr>
                      <w:sdt>
                        <w:sdtPr>
                          <w:alias w:val="Numeris"/>
                          <w:tag w:val="nr_faa6eeef60444b74ba8baf5ff2ec368e"/>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sdtContent>
                </w:sdt>
                <w:sdt>
                  <w:sdtPr>
                    <w:alias w:val="8 d."/>
                    <w:tag w:val="part_1507fe23e09f46098d80ef5135b5dd9e"/>
                    <w:lock w:val="sdtLocked"/>
                    <w:richText/>
                  </w:sdtPr>
                  <w:sdtContent>
                    <w:p>
                      <w:pPr>
                        <w:spacing w:line="360" w:lineRule="auto"/>
                        <w:ind w:firstLine="720"/>
                        <w:jc w:val="both"/>
                        <w:rPr>
                          <w:bCs/>
                          <w:szCs w:val="24"/>
                        </w:rPr>
                      </w:pPr>
                      <w:sdt>
                        <w:sdtPr>
                          <w:alias w:val="Numeris"/>
                          <w:tag w:val="nr_1507fe23e09f46098d80ef5135b5dd9e"/>
                          <w:lock w:val="sdtLocked"/>
                          <w:richText/>
                        </w:sdtPr>
                        <w:sdtContent>
                          <w:r>
                            <w:rPr>
                              <w:bCs/>
                              <w:szCs w:val="24"/>
                            </w:rPr>
                            <w:t>8</w:t>
                          </w:r>
                        </w:sdtContent>
                      </w:sdt>
                      <w:r>
                        <w:rPr>
                          <w:bCs/>
                          <w:szCs w:val="24"/>
                        </w:rPr>
                        <w:t>. Kriptoturto paslaugų teikėjai turi nustatyti ir įvertinti pinigų plovimo ir teroristų finansavimo riziką, susijusią su kriptoturto pervedimu į saviprieglobį adresą ar iš jo, ir turi būti nusistatę šios rizikos valdymo vidaus politikos priemones, procedūras ir kontrolės priemones, kurių bent viena būtų:</w:t>
                      </w:r>
                    </w:p>
                    <w:sdt>
                      <w:sdtPr>
                        <w:alias w:val="8 d. 1 p."/>
                        <w:tag w:val="part_e1b334e3b0db4da78112fc84fc36c873"/>
                        <w:lock w:val="sdtLocked"/>
                        <w:richText/>
                      </w:sdtPr>
                      <w:sdtContent>
                        <w:p>
                          <w:pPr>
                            <w:spacing w:line="360" w:lineRule="auto"/>
                            <w:ind w:firstLine="720"/>
                            <w:jc w:val="both"/>
                            <w:rPr>
                              <w:bCs/>
                              <w:szCs w:val="24"/>
                            </w:rPr>
                          </w:pPr>
                          <w:sdt>
                            <w:sdtPr>
                              <w:alias w:val="Numeris"/>
                              <w:tag w:val="nr_e1b334e3b0db4da78112fc84fc36c873"/>
                              <w:lock w:val="sdtLocked"/>
                              <w:richText/>
                            </w:sdtPr>
                            <w:sdtContent>
                              <w:r>
                                <w:rPr>
                                  <w:bCs/>
                                  <w:szCs w:val="24"/>
                                </w:rPr>
                                <w:t>1</w:t>
                              </w:r>
                            </w:sdtContent>
                          </w:sdt>
                          <w:r>
                            <w:rPr>
                              <w:bCs/>
                              <w:szCs w:val="24"/>
                            </w:rPr>
                            <w:t>) kriptoturto pervedimo į saviprieglobį adresą ar iš jo iniciatoriaus ar naudos gavėjo tapatybės arba tokio iniciatoriaus ar naudos gavėjo tikrojo savininko tapatybės nustatymas ir patikrinimas (galima pasikliauti trečiųjų asmenų turima informacija);</w:t>
                          </w:r>
                        </w:p>
                      </w:sdtContent>
                    </w:sdt>
                    <w:sdt>
                      <w:sdtPr>
                        <w:alias w:val="8 d. 2 p."/>
                        <w:tag w:val="part_cc3735bc6f2a4d72b5ebfb66a5164caf"/>
                        <w:lock w:val="sdtLocked"/>
                        <w:richText/>
                      </w:sdtPr>
                      <w:sdtContent>
                        <w:p>
                          <w:pPr>
                            <w:spacing w:line="360" w:lineRule="auto"/>
                            <w:ind w:firstLine="720"/>
                            <w:jc w:val="both"/>
                            <w:rPr>
                              <w:bCs/>
                              <w:szCs w:val="24"/>
                            </w:rPr>
                          </w:pPr>
                          <w:sdt>
                            <w:sdtPr>
                              <w:alias w:val="Numeris"/>
                              <w:tag w:val="nr_cc3735bc6f2a4d72b5ebfb66a5164caf"/>
                              <w:lock w:val="sdtLocked"/>
                              <w:richText/>
                            </w:sdtPr>
                            <w:sdtContent>
                              <w:r>
                                <w:rPr>
                                  <w:bCs/>
                                  <w:szCs w:val="24"/>
                                </w:rPr>
                                <w:t>2</w:t>
                              </w:r>
                            </w:sdtContent>
                          </w:sdt>
                          <w:r>
                            <w:rPr>
                              <w:bCs/>
                              <w:szCs w:val="24"/>
                            </w:rPr>
                            <w:t>) reikalavimas pateikti papildomą informaciją apie pervesto į saviprieglobį adresą ar iš jo kriptoturto kilmę ir paskirties vietą;</w:t>
                          </w:r>
                        </w:p>
                      </w:sdtContent>
                    </w:sdt>
                    <w:sdt>
                      <w:sdtPr>
                        <w:alias w:val="8 d. 3 p."/>
                        <w:tag w:val="part_98fec8e055e64ca0a00b919a6c3813f3"/>
                        <w:lock w:val="sdtLocked"/>
                        <w:richText/>
                      </w:sdtPr>
                      <w:sdtContent>
                        <w:p>
                          <w:pPr>
                            <w:spacing w:line="360" w:lineRule="auto"/>
                            <w:ind w:firstLine="720"/>
                            <w:jc w:val="both"/>
                            <w:rPr>
                              <w:bCs/>
                              <w:szCs w:val="24"/>
                            </w:rPr>
                          </w:pPr>
                          <w:sdt>
                            <w:sdtPr>
                              <w:alias w:val="Numeris"/>
                              <w:tag w:val="nr_98fec8e055e64ca0a00b919a6c3813f3"/>
                              <w:lock w:val="sdtLocked"/>
                              <w:richText/>
                            </w:sdtPr>
                            <w:sdtContent>
                              <w:r>
                                <w:rPr>
                                  <w:bCs/>
                                  <w:szCs w:val="24"/>
                                </w:rPr>
                                <w:t>3</w:t>
                              </w:r>
                            </w:sdtContent>
                          </w:sdt>
                          <w:r>
                            <w:rPr>
                              <w:bCs/>
                              <w:szCs w:val="24"/>
                            </w:rPr>
                            <w:t>) nuolatinė kriptoturto pervedimų į saviprieglobį adresą ar iš jo stebėsena;</w:t>
                          </w:r>
                        </w:p>
                      </w:sdtContent>
                    </w:sdt>
                    <w:sdt>
                      <w:sdtPr>
                        <w:alias w:val="8 d. 4 p."/>
                        <w:tag w:val="part_399524fa7cad45ccbda5387149a419f5"/>
                        <w:lock w:val="sdtLocked"/>
                        <w:richText/>
                      </w:sdtPr>
                      <w:sdtContent>
                        <w:p>
                          <w:pPr>
                            <w:spacing w:line="360" w:lineRule="auto"/>
                            <w:ind w:firstLine="720"/>
                            <w:jc w:val="both"/>
                            <w:rPr>
                              <w:b/>
                              <w:szCs w:val="24"/>
                            </w:rPr>
                          </w:pPr>
                          <w:sdt>
                            <w:sdtPr>
                              <w:alias w:val="Numeris"/>
                              <w:tag w:val="nr_399524fa7cad45ccbda5387149a419f5"/>
                              <w:lock w:val="sdtLocked"/>
                              <w:richText/>
                            </w:sdtPr>
                            <w:sdtContent>
                              <w:r>
                                <w:rPr>
                                  <w:bCs/>
                                  <w:szCs w:val="24"/>
                                </w:rPr>
                                <w:t>4</w:t>
                              </w:r>
                            </w:sdtContent>
                          </w:sdt>
                          <w:r>
                            <w:rPr>
                              <w:bCs/>
                              <w:szCs w:val="24"/>
                            </w:rPr>
                            <w:t>) kitos pinigų plovimo ir teroristų finansavimo rizikos, taip pat tikslinių finansinių sankcijų bei su ginklų platinimo finansavimu susijusių tikslinių finansinių sankcijų neįgyvendinimo ir vengimo rizikos valdymo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0acbf0779411edbc04912defe897d1">
                        <w:r w:rsidRPr="00532B9F">
                          <w:rPr>
                            <w:rFonts w:ascii="Times New Roman" w:eastAsia="MS Mincho" w:hAnsi="Times New Roman"/>
                            <w:sz w:val="20"/>
                            <w:i/>
                            <w:iCs/>
                            <w:color w:val="0000FF" w:themeColor="hyperlink"/>
                            <w:u w:val="single"/>
                          </w:rPr>
                          <w:t>XIV-1603</w:t>
                        </w:r>
                      </w:fldSimple>
                      <w:r>
                        <w:rPr>
                          <w:rFonts w:ascii="Times New Roman" w:eastAsia="MS Mincho" w:hAnsi="Times New Roman"/>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2-1 str."/>
                <w:tag w:val="part_d6f4e857744b4f68a48911c6f2c6dbfd"/>
                <w:lock w:val="sdtLocked"/>
                <w:richText/>
              </w:sdtPr>
              <w:sdtContent>
                <w:p>
                  <w:pPr>
                    <w:spacing w:line="360" w:lineRule="auto"/>
                    <w:ind w:left="2552" w:hanging="1832"/>
                    <w:jc w:val="both"/>
                    <w:rPr>
                      <w:b/>
                      <w:bCs/>
                      <w:szCs w:val="24"/>
                    </w:rPr>
                  </w:pPr>
                  <w:sdt>
                    <w:sdtPr>
                      <w:alias w:val="Numeris"/>
                      <w:tag w:val="nr_d6f4e857744b4f68a48911c6f2c6dbfd"/>
                      <w:lock w:val="sdtLocked"/>
                      <w:richText/>
                    </w:sdtPr>
                    <w:sdtContent>
                      <w:r>
                        <w:rPr>
                          <w:b/>
                          <w:bCs/>
                          <w:szCs w:val="24"/>
                        </w:rPr>
                        <w:t>32</w:t>
                      </w:r>
                      <w:r>
                        <w:rPr>
                          <w:b/>
                          <w:bCs/>
                          <w:szCs w:val="24"/>
                          <w:vertAlign w:val="superscript"/>
                        </w:rPr>
                        <w:t>1</w:t>
                      </w:r>
                    </w:sdtContent>
                  </w:sdt>
                  <w:r>
                    <w:rPr>
                      <w:b/>
                      <w:bCs/>
                      <w:szCs w:val="24"/>
                    </w:rPr>
                    <w:t xml:space="preserve"> straipsnis. </w:t>
                  </w:r>
                  <w:sdt>
                    <w:sdtPr>
                      <w:alias w:val="Pavadinimas"/>
                      <w:tag w:val="title_d6f4e857744b4f68a48911c6f2c6dbfd"/>
                      <w:lock w:val="sdtLocked"/>
                      <w:richText/>
                    </w:sdtPr>
                    <w:sdtContent>
                      <w:r>
                        <w:rPr>
                          <w:b/>
                          <w:bCs/>
                          <w:szCs w:val="24"/>
                        </w:rPr>
                        <w:t>Kovos su pinigų plovimu ir teroristų finansavimu institucijos rengiami patikrinimai</w:t>
                      </w:r>
                    </w:sdtContent>
                  </w:sdt>
                </w:p>
                <w:sdt>
                  <w:sdtPr>
                    <w:alias w:val="32-1 str. 1 d."/>
                    <w:tag w:val="part_5e76d3a499e94f6c8ce5bd161728e813"/>
                    <w:lock w:val="sdtLocked"/>
                    <w:richText/>
                  </w:sdtPr>
                  <w:sdtContent>
                    <w:p>
                      <w:pPr>
                        <w:spacing w:line="360" w:lineRule="auto"/>
                        <w:ind w:firstLine="720"/>
                        <w:jc w:val="both"/>
                        <w:rPr>
                          <w:szCs w:val="24"/>
                        </w:rPr>
                      </w:pPr>
                      <w:sdt>
                        <w:sdtPr>
                          <w:alias w:val="Numeris"/>
                          <w:tag w:val="nr_5e76d3a499e94f6c8ce5bd161728e813"/>
                          <w:lock w:val="sdtLocked"/>
                          <w:richText/>
                        </w:sdtPr>
                        <w:sdtContent>
                          <w:r>
                            <w:rPr>
                              <w:szCs w:val="24"/>
                            </w:rPr>
                            <w:t>1</w:t>
                          </w:r>
                        </w:sdtContent>
                      </w:sdt>
                      <w:r>
                        <w:rPr>
                          <w:szCs w:val="24"/>
                        </w:rPr>
                        <w:t xml:space="preserve">. Kovos su pinigų plovimu ir teroristų finansavimu institucijai priėmus sprendimą dėl patikrinimo vietoje, Reglamento </w:t>
                      </w:r>
                      <w:hyperlink r:id="rId73" w:tgtFrame="_blank" w:history="1">
                        <w:r>
                          <w:rPr>
                            <w:color w:val="0000FF" w:themeColor="hyperlink"/>
                            <w:szCs w:val="24"/>
                            <w:u w:val="single"/>
                          </w:rPr>
                          <w:t>(ES) 2024/1620</w:t>
                        </w:r>
                      </w:hyperlink>
                      <w:r>
                        <w:rPr>
                          <w:szCs w:val="24"/>
                        </w:rPr>
                        <w:t xml:space="preserve"> 19 straipsnyje numatytais atvejais Kovos su pinigų plovimu ir teroristų finansavimu institucijos įgaliotas atstovas pateikia pirmosios instancijos administraciniam teismui prašymą dėl teismo leidimo atlikti patikrinimą vietoje išdavimo. Prašyme turi būti nurodytas tikrintino fizinio asmens (fizinių asmenų) vardas ir pavardė (vardai ir pavardės), statinio ir (ar) patalpų adresas, patikrinimo tikslai ir apimtis ir numatomi tyrimo veiksmai. </w:t>
                      </w:r>
                    </w:p>
                  </w:sdtContent>
                </w:sdt>
                <w:sdt>
                  <w:sdtPr>
                    <w:alias w:val="32-1 str. 2 d."/>
                    <w:tag w:val="part_95c1db1bf7614b119cb161bbcab60643"/>
                    <w:lock w:val="sdtLocked"/>
                    <w:richText/>
                  </w:sdtPr>
                  <w:sdtContent>
                    <w:p>
                      <w:pPr>
                        <w:spacing w:line="360" w:lineRule="auto"/>
                        <w:ind w:firstLine="720"/>
                        <w:jc w:val="both"/>
                        <w:rPr>
                          <w:b/>
                          <w:szCs w:val="24"/>
                        </w:rPr>
                      </w:pPr>
                      <w:sdt>
                        <w:sdtPr>
                          <w:alias w:val="Numeris"/>
                          <w:tag w:val="nr_95c1db1bf7614b119cb161bbcab60643"/>
                          <w:lock w:val="sdtLocked"/>
                          <w:richText/>
                        </w:sdtPr>
                        <w:sdtContent>
                          <w:r>
                            <w:rPr>
                              <w:szCs w:val="24"/>
                            </w:rPr>
                            <w:t>2</w:t>
                          </w:r>
                        </w:sdtContent>
                      </w:sdt>
                      <w:r>
                        <w:rPr>
                          <w:szCs w:val="24"/>
                        </w:rPr>
                        <w:t>. Prašymą dėl teismo leidimo atlikti patikrinimą vietoje išdavimo rašytinio proceso tvarka, išskyrus atvejus, kai teismas nusprendžia prašymą nagrinėti žodinio proceso tvarka, nagrinėja pirmosios instancijos administracinis teismas ir priima motyvuotą nutartį prašymą patenkinti arba atmesti. Prašymas dėl teismo leidimo atlikti patikrinimą vietoje turi būti išnagrinėtas ir priimta nutartis ne vėliau kaip per 72 valandas nuo prašymo pateikimo momento. Jeigu Kovos su pinigų plovimu ir teroristų finansavimu institucija nesutinka su pirmosios instancijos administracinio teismo nutartimi atmesti prašymą, ji turi teisę per 7 dienas nuo nutarties, kuria atmestas jos prašymas dėl teismo leidimo atlikti patikrinimą vietoje, priėmimo šią nutartį apskųsti Lietuvos vyriausiajam administraciniam teismui. Lietuvos vyriausiasis administracinis teismas turi išnagrinėti skundą dėl pirmosios instancijos administracinio teismo nutarties ne vėliau kaip per 7 dienas. Kovos su pinigų plovimu ir teroristų finansavimu institucijos atstovas turi teisę dalyvauti nagrinėjant skundą. Teismai, nagrinėdami prašymus ir skundus dėl teismo leidimo atlikti patikrinimą vietoje išdavimo, privalo užtikrinti pateiktos informacijos ir planuojamų veiksmų slaptumą.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10 p."/>
                        <w:tag w:val="part_1ac62986c97a4695a4eb62ef5950ab26"/>
                        <w:lock w:val="sdtLocked"/>
                        <w:richText/>
                      </w:sdtPr>
                      <w:sdtContent>
                        <w:p>
                          <w:pPr>
                            <w:widowControl w:val="0"/>
                            <w:spacing w:line="406" w:lineRule="atLeast"/>
                            <w:ind w:firstLine="720"/>
                            <w:jc w:val="both"/>
                            <w:rPr>
                              <w:szCs w:val="24"/>
                            </w:rPr>
                          </w:pPr>
                          <w:sdt>
                            <w:sdtPr>
                              <w:alias w:val="Numeris"/>
                              <w:tag w:val="nr_1ac62986c97a4695a4eb62ef5950ab26"/>
                              <w:lock w:val="sdtLocked"/>
                              <w:richText/>
                            </w:sdtPr>
                            <w:sdtContent>
                              <w:r>
                                <w:rPr>
                                  <w:bCs/>
                                  <w:szCs w:val="24"/>
                                </w:rPr>
                                <w:t>10</w:t>
                              </w:r>
                            </w:sdtContent>
                          </w:sdt>
                          <w:r>
                            <w:rPr>
                              <w:bCs/>
                              <w:szCs w:val="24"/>
                            </w:rPr>
                            <w:t>) kai virtualiųjų valiutų keityklos operatorius ir (ar) depozitinių virtualiųjų valiutų piniginių operatorius priežiūros institucijai sistemingai neteikia informacijos ar teikia neteisingą informaciją, sistemingai pažeidžia šį įstatymą arba padaro šiurkštų šio įstatymo pažeidimą, arba šį įstatymą pažeidžia pakartotinai per vienus metus nuo poveikio priemonės už šio įstatymo pažeidimą paskyrimo, – laikinas ar visam laikui virtualiųjų valiutų keityklos operatoriaus ir (ar) depozitinių virtualiųjų valiutų piniginių operatoriaus veiklos uždraudimas (apribojimas).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36 str. 2 d."/>
                    <w:tag w:val="part_27e17ddc79524d4db1122e6db5ae38c6"/>
                    <w:lock w:val="sdtLocked"/>
                    <w:richText/>
                  </w:sdtPr>
                  <w:sdtContent>
                    <w:p>
                      <w:pPr>
                        <w:spacing w:line="360" w:lineRule="auto"/>
                        <w:ind w:firstLine="720"/>
                        <w:jc w:val="both"/>
                        <w:rPr>
                          <w:szCs w:val="24"/>
                        </w:rPr>
                      </w:pPr>
                      <w:sdt>
                        <w:sdtPr>
                          <w:alias w:val="Numeris"/>
                          <w:tag w:val="nr_27e17ddc79524d4db1122e6db5ae38c6"/>
                          <w:lock w:val="sdtLocked"/>
                          <w:richText/>
                        </w:sdtPr>
                        <w:sdtContent>
                          <w:r>
                            <w:rPr>
                              <w:szCs w:val="24"/>
                            </w:rPr>
                            <w:t>2</w:t>
                          </w:r>
                        </w:sdtContent>
                      </w:sdt>
                      <w:r>
                        <w:rPr>
                          <w:szCs w:val="24"/>
                        </w:rPr>
                        <w:t>. Finansinių nusikaltimų tyrimo tarnyba taiko šio straipsnio 1 dalies 1–6, 8 ir 9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9a3384ca8db4d2db30e56f8d6b80811"/>
                    <w:lock w:val="sdtLocked"/>
                    <w:richText/>
                  </w:sdtPr>
                  <w:sdtContent>
                    <w:p>
                      <w:pPr>
                        <w:widowControl w:val="0"/>
                        <w:tabs>
                          <w:tab w:val="left" w:pos="1276"/>
                        </w:tabs>
                        <w:spacing w:line="406" w:lineRule="atLeast"/>
                        <w:ind w:firstLine="720"/>
                        <w:jc w:val="both"/>
                        <w:rPr>
                          <w:szCs w:val="24"/>
                        </w:rPr>
                      </w:pPr>
                      <w:sdt>
                        <w:sdtPr>
                          <w:alias w:val="Numeris"/>
                          <w:tag w:val="nr_e9a3384ca8db4d2db30e56f8d6b80811"/>
                          <w:lock w:val="sdtLocked"/>
                          <w:richText/>
                        </w:sdtPr>
                        <w:sdtContent>
                          <w:r>
                            <w:rPr>
                              <w:color w:val="000000"/>
                              <w:szCs w:val="24"/>
                            </w:rPr>
                            <w:t>4</w:t>
                          </w:r>
                        </w:sdtContent>
                      </w:sdt>
                      <w:r>
                        <w:rPr>
                          <w:color w:val="000000"/>
                          <w:szCs w:val="24"/>
                        </w:rPr>
                        <w:t xml:space="preserve">. Kultūros paveldo departamentas, Lošimų priežiūros tarnyba, </w:t>
                      </w:r>
                      <w:r>
                        <w:rPr>
                          <w:bCs/>
                          <w:color w:val="000000"/>
                          <w:szCs w:val="24"/>
                        </w:rPr>
                        <w:t xml:space="preserve">Lietuvos auditorių rūmai ir </w:t>
                      </w:r>
                      <w:r>
                        <w:rPr>
                          <w:color w:val="000000"/>
                          <w:szCs w:val="24"/>
                        </w:rPr>
                        <w:t>Lietuvos prabavimo rūmai taiko šio straipsnio 1 dalies 1–6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5 d."/>
                    <w:tag w:val="part_6581021e72c44e0d865750a995f3b293"/>
                    <w:lock w:val="sdtLocked"/>
                    <w:richText/>
                  </w:sdtPr>
                  <w:sdtContent>
                    <w:p>
                      <w:pPr>
                        <w:widowControl w:val="0"/>
                        <w:tabs>
                          <w:tab w:val="left" w:pos="1276"/>
                        </w:tabs>
                        <w:spacing w:line="406" w:lineRule="atLeast"/>
                        <w:ind w:firstLine="720"/>
                        <w:jc w:val="both"/>
                        <w:rPr>
                          <w:szCs w:val="24"/>
                        </w:rPr>
                      </w:pPr>
                      <w:sdt>
                        <w:sdtPr>
                          <w:alias w:val="Numeris"/>
                          <w:tag w:val="nr_6581021e72c44e0d865750a995f3b293"/>
                          <w:lock w:val="sdtLocked"/>
                          <w:richText/>
                        </w:sdtPr>
                        <w:sdtContent>
                          <w:r>
                            <w:rPr>
                              <w:color w:val="000000"/>
                              <w:szCs w:val="24"/>
                            </w:rPr>
                            <w:t>5</w:t>
                          </w:r>
                        </w:sdtContent>
                      </w:sdt>
                      <w:r>
                        <w:rPr>
                          <w:color w:val="000000"/>
                          <w:szCs w:val="24"/>
                        </w:rPr>
                        <w:t xml:space="preserve">. </w:t>
                      </w:r>
                      <w:r>
                        <w:rPr>
                          <w:bCs/>
                          <w:szCs w:val="24"/>
                          <w:lang w:eastAsia="lt-LT"/>
                        </w:rPr>
                        <w:t xml:space="preserve">Lietuvos notarų rūmai ir </w:t>
                      </w:r>
                      <w:r>
                        <w:rPr>
                          <w:bCs/>
                          <w:color w:val="000000"/>
                          <w:szCs w:val="24"/>
                        </w:rPr>
                        <w:t>Lietuvos antstolių rūmai</w:t>
                      </w:r>
                      <w:r>
                        <w:rPr>
                          <w:bCs/>
                          <w:szCs w:val="24"/>
                          <w:lang w:eastAsia="lt-LT"/>
                        </w:rPr>
                        <w:t xml:space="preserve"> taiko šio straipsnio 1 dalies 1, 2 ir 6 punktuose nurodytas poveikio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293bdf43fb154651a9bb3ca7625089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8 d."/>
                    <w:tag w:val="part_ea536f13f2ff4d19bbd598dd4e4ef3e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dd4886e27f6f41b18dd1ba8e26cd786d"/>
                    <w:lock w:val="sdtLocked"/>
                    <w:richText/>
                  </w:sdtPr>
                  <w:sdtContent>
                    <w:p>
                      <w:pPr>
                        <w:tabs>
                          <w:tab w:val="left" w:pos="9072"/>
                        </w:tabs>
                        <w:spacing w:line="360" w:lineRule="auto"/>
                        <w:ind w:firstLine="720"/>
                        <w:jc w:val="both"/>
                      </w:pPr>
                      <w:sdt>
                        <w:sdtPr>
                          <w:alias w:val="Numeris"/>
                          <w:tag w:val="nr_dd4886e27f6f41b18dd1ba8e26cd786d"/>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sdtContent>
                </w:sdt>
              </w:sdtContent>
            </w:sdt>
            <w:sdt>
              <w:sdtPr>
                <w:alias w:val="36-1 str."/>
                <w:tag w:val="part_21ad335e1057491cbe4ee309816f5e59"/>
                <w:lock w:val="sdtLocked"/>
                <w:richText/>
              </w:sdtPr>
              <w:sdtContent>
                <w:p>
                  <w:pPr>
                    <w:spacing w:line="360" w:lineRule="auto"/>
                    <w:ind w:left="2410" w:hanging="1690"/>
                    <w:jc w:val="both"/>
                    <w:rPr>
                      <w:b/>
                      <w:szCs w:val="24"/>
                    </w:rPr>
                  </w:pPr>
                  <w:sdt>
                    <w:sdtPr>
                      <w:alias w:val="Numeris"/>
                      <w:tag w:val="nr_21ad335e1057491cbe4ee309816f5e59"/>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21ad335e1057491cbe4ee309816f5e59"/>
                      <w:lock w:val="sdtLocked"/>
                      <w:richText/>
                    </w:sdtPr>
                    <w:sdtContent>
                      <w:r>
                        <w:rPr>
                          <w:b/>
                          <w:szCs w:val="24"/>
                        </w:rPr>
                        <w:t xml:space="preserve">Poveikio priemonių taikymas asmenims, pažeidusiems Reglamento </w:t>
                      </w:r>
                      <w:hyperlink r:id="rId66" w:tgtFrame="_blank" w:history="1">
                        <w:r>
                          <w:rPr>
                            <w:b/>
                            <w:bCs/>
                            <w:color w:val="0000FF" w:themeColor="hyperlink"/>
                            <w:szCs w:val="24"/>
                            <w:u w:val="single"/>
                          </w:rPr>
                          <w:t>(ES) 2023/1113</w:t>
                        </w:r>
                      </w:hyperlink>
                      <w:r>
                        <w:rPr>
                          <w:b/>
                          <w:szCs w:val="24"/>
                        </w:rPr>
                        <w:t xml:space="preserve"> nuostatas</w:t>
                      </w:r>
                    </w:sdtContent>
                  </w:sdt>
                </w:p>
                <w:sdt>
                  <w:sdtPr>
                    <w:alias w:val="36-1 str. 1 d."/>
                    <w:tag w:val="part_089582b6822a47dc9f5166045ddf933c"/>
                    <w:lock w:val="sdtLocked"/>
                    <w:richText/>
                  </w:sdtPr>
                  <w:sdtContent>
                    <w:p>
                      <w:pPr>
                        <w:spacing w:line="360" w:lineRule="auto"/>
                        <w:ind w:firstLine="720"/>
                        <w:jc w:val="both"/>
                        <w:rPr>
                          <w:szCs w:val="24"/>
                        </w:rPr>
                      </w:pPr>
                      <w:r>
                        <w:rPr>
                          <w:bCs/>
                          <w:szCs w:val="24"/>
                        </w:rPr>
                        <w:t xml:space="preserve">Mokėjimo paslaugų teikėjams ir kriptoturto paslaugų teikėjams, pažeidusiems Reglamento </w:t>
                      </w:r>
                      <w:hyperlink r:id="rId67" w:tgtFrame="_blank" w:history="1">
                        <w:r>
                          <w:rPr>
                            <w:bCs/>
                            <w:color w:val="0000FF" w:themeColor="hyperlink"/>
                            <w:szCs w:val="24"/>
                            <w:u w:val="single"/>
                          </w:rPr>
                          <w:t>(ES) 2023/1113</w:t>
                        </w:r>
                      </w:hyperlink>
                      <w:r>
                        <w:rPr>
                          <w:bCs/>
                          <w:szCs w:val="24"/>
                        </w:rPr>
                        <w:t xml:space="preserve"> nuostatas, </w:t>
                      </w:r>
                      <w:r>
                        <w:rPr>
                          <w:bCs/>
                          <w:i/>
                          <w:szCs w:val="24"/>
                        </w:rPr>
                        <w:t>mutatis mutandis</w:t>
                      </w:r>
                      <w:r>
                        <w:rPr>
                          <w:bCs/>
                          <w:szCs w:val="24"/>
                        </w:rPr>
                        <w:t xml:space="preserve"> taikomi šio įstatymo 36–42 straipsniai.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4e866627f5be400abec5a950fd949bfa"/>
                    <w:lock w:val="sdtLocked"/>
                    <w:richText/>
                  </w:sdtPr>
                  <w:sdtContent>
                    <w:p>
                      <w:pPr>
                        <w:spacing w:line="360" w:lineRule="auto"/>
                        <w:ind w:firstLine="720"/>
                        <w:jc w:val="both"/>
                        <w:rPr>
                          <w:szCs w:val="24"/>
                        </w:rPr>
                      </w:pPr>
                      <w:sdt>
                        <w:sdtPr>
                          <w:alias w:val="Numeris"/>
                          <w:tag w:val="nr_4e866627f5be400abec5a950fd949bfa"/>
                          <w:lock w:val="sdtLocked"/>
                          <w:richText/>
                        </w:sdtPr>
                        <w:sdtContent>
                          <w:r>
                            <w:rPr>
                              <w:bCs/>
                              <w:szCs w:val="24"/>
                            </w:rPr>
                            <w:t>3</w:t>
                          </w:r>
                        </w:sdtContent>
                      </w:sdt>
                      <w:r>
                        <w:rPr>
                          <w:bCs/>
                          <w:szCs w:val="24"/>
                        </w:rPr>
                        <w:t>. Jeigu finansų įstaiga ar užsienio finansų įstaigos filialas yra patronuojančioji įstaiga arba priklauso patronuojančiajai grupės įstaigai ir rengia konsoliduotąsias finansines ataskaitas Įmonių ir įmonių grupių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e98d853e037e420d8c58db27a3a62933"/>
                    <w:lock w:val="sdtLocked"/>
                    <w:richText/>
                  </w:sdtPr>
                  <w:sdtContent>
                    <w:p>
                      <w:pPr>
                        <w:tabs>
                          <w:tab w:val="left" w:pos="9072"/>
                        </w:tabs>
                        <w:spacing w:line="360" w:lineRule="auto"/>
                        <w:ind w:firstLine="720"/>
                        <w:jc w:val="both"/>
                        <w:rPr>
                          <w:szCs w:val="24"/>
                        </w:rPr>
                      </w:pPr>
                      <w:sdt>
                        <w:sdtPr>
                          <w:alias w:val="Numeris"/>
                          <w:tag w:val="nr_e98d853e037e420d8c58db27a3a62933"/>
                          <w:lock w:val="sdtLocked"/>
                          <w:richText/>
                        </w:sdtPr>
                        <w:sdtContent>
                          <w:r>
                            <w:rPr>
                              <w:szCs w:val="24"/>
                            </w:rPr>
                            <w:t>1</w:t>
                          </w:r>
                        </w:sdtContent>
                      </w:sdt>
                      <w:r>
                        <w:rPr>
                          <w:szCs w:val="24"/>
                        </w:rPr>
                        <w:t xml:space="preserve">. Priežiūros institucijos, išskyrus Lietuvos banką </w:t>
                      </w:r>
                      <w:r>
                        <w:rPr>
                          <w:bCs/>
                          <w:szCs w:val="24"/>
                        </w:rPr>
                        <w:t>ir</w:t>
                      </w:r>
                      <w:r>
                        <w:rPr>
                          <w:b/>
                          <w:szCs w:val="24"/>
                        </w:rPr>
                        <w:t xml:space="preserve"> </w:t>
                      </w:r>
                      <w:r>
                        <w:rPr>
                          <w:szCs w:val="24"/>
                        </w:rPr>
                        <w:t>Lietuvos advokatūrą, pagal kompetenciją turi teisę kitiems įpareigotiesiems subjektams skirti šias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90f040a2d8724a72823aa69c16527e00"/>
                    <w:lock w:val="sdtLocked"/>
                    <w:richText/>
                  </w:sdtPr>
                  <w:sdtContent>
                    <w:p>
                      <w:pPr>
                        <w:widowControl w:val="0"/>
                        <w:spacing w:line="406" w:lineRule="atLeast"/>
                        <w:ind w:firstLine="720"/>
                        <w:jc w:val="both"/>
                        <w:rPr>
                          <w:szCs w:val="24"/>
                        </w:rPr>
                      </w:pPr>
                      <w:sdt>
                        <w:sdtPr>
                          <w:alias w:val="Numeris"/>
                          <w:tag w:val="nr_90f040a2d8724a72823aa69c16527e00"/>
                          <w:lock w:val="sdtLocked"/>
                          <w:richText/>
                        </w:sdtPr>
                        <w:sdtContent>
                          <w:r>
                            <w:rPr>
                              <w:szCs w:val="24"/>
                              <w:lang w:eastAsia="en-GB"/>
                            </w:rPr>
                            <w:t>2</w:t>
                          </w:r>
                        </w:sdtContent>
                      </w:sdt>
                      <w:r>
                        <w:rPr>
                          <w:szCs w:val="24"/>
                          <w:lang w:eastAsia="en-GB"/>
                        </w:rPr>
                        <w:t>. Priežiūros institucijos, išskyrus Lietuvos banką,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0 str. 3 d."/>
                    <w:tag w:val="part_efec7214edae492c9aa63ac1523915da"/>
                    <w:lock w:val="sdtLocked"/>
                    <w:richText/>
                  </w:sdtPr>
                  <w:sdtContent>
                    <w:p>
                      <w:pPr>
                        <w:spacing w:line="360" w:lineRule="auto"/>
                        <w:ind w:firstLine="720"/>
                        <w:jc w:val="both"/>
                        <w:rPr>
                          <w:szCs w:val="24"/>
                        </w:rPr>
                      </w:pPr>
                      <w:sdt>
                        <w:sdtPr>
                          <w:alias w:val="Numeris"/>
                          <w:tag w:val="nr_efec7214edae492c9aa63ac1523915da"/>
                          <w:lock w:val="sdtLocked"/>
                          <w:richText/>
                        </w:sdtPr>
                        <w:sdtContent>
                          <w:r>
                            <w:rPr>
                              <w:szCs w:val="24"/>
                            </w:rPr>
                            <w:t>3</w:t>
                          </w:r>
                        </w:sdtContent>
                      </w:sdt>
                      <w:r>
                        <w:rPr>
                          <w:szCs w:val="24"/>
                        </w:rPr>
                        <w:t>. Jeigu kiti įpareigotieji subjektai yra patronuojančioji įmonė arba priklauso patronuojančiajai grupės įmonei ir rengia konsoliduotąsias finansines ataskaitas Įmonių ir įmonių grupių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1dcfb72943594335ada02f319b6fc3ab"/>
                    <w:lock w:val="sdtLocked"/>
                    <w:richText/>
                  </w:sdtPr>
                  <w:sdtContent>
                    <w:p>
                      <w:pPr>
                        <w:spacing w:line="360" w:lineRule="auto"/>
                        <w:ind w:firstLine="720"/>
                        <w:jc w:val="both"/>
                        <w:rPr>
                          <w:szCs w:val="24"/>
                        </w:rPr>
                      </w:pPr>
                      <w:sdt>
                        <w:sdtPr>
                          <w:alias w:val="Numeris"/>
                          <w:tag w:val="nr_1dcfb72943594335ada02f319b6fc3ab"/>
                          <w:lock w:val="sdtLocked"/>
                          <w:richText/>
                        </w:sdtPr>
                        <w:sdtContent>
                          <w:r>
                            <w:rPr>
                              <w:szCs w:val="24"/>
                            </w:rPr>
                            <w:t>3</w:t>
                          </w:r>
                        </w:sdtContent>
                      </w:sdt>
                      <w:r>
                        <w:rPr>
                          <w:szCs w:val="24"/>
                        </w:rPr>
                        <w:t>. Priežiūros institucijos sprendimas skirti baudą yra vykdomasis dokumentas, vykdomas Civilinio proceso kodekso nustatyta tvarka. Priežiūros institucijos sprendimas gali būti pateikiamas vykdyti ne vėliau kaip per 3 metus nuo jo priėmimo dienos ar teismo sprendimo, kuriuo atmestas skundas, įsiteisėjimo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5016d50d0f1943e3be482c140da25118"/>
                <w:lock w:val="sdtLocked"/>
                <w:richText/>
              </w:sdtPr>
              <w:sdtContent>
                <w:p>
                  <w:pPr>
                    <w:widowControl w:val="0"/>
                    <w:spacing w:line="406" w:lineRule="atLeast"/>
                    <w:ind w:firstLine="720"/>
                    <w:jc w:val="both"/>
                    <w:rPr>
                      <w:szCs w:val="24"/>
                      <w:lang w:eastAsia="lt-LT"/>
                    </w:rPr>
                  </w:pPr>
                  <w:sdt>
                    <w:sdtPr>
                      <w:alias w:val="Numeris"/>
                      <w:tag w:val="nr_5016d50d0f1943e3be482c140da25118"/>
                      <w:lock w:val="sdtLocked"/>
                      <w:richText/>
                    </w:sdtPr>
                    <w:sdtContent>
                      <w:r>
                        <w:rPr>
                          <w:b/>
                          <w:szCs w:val="24"/>
                          <w:lang w:eastAsia="lt-LT"/>
                        </w:rPr>
                        <w:t>49</w:t>
                      </w:r>
                    </w:sdtContent>
                  </w:sdt>
                  <w:r>
                    <w:rPr>
                      <w:b/>
                      <w:szCs w:val="24"/>
                      <w:lang w:eastAsia="lt-LT"/>
                    </w:rPr>
                    <w:t xml:space="preserve"> straipsnis. </w:t>
                  </w:r>
                  <w:sdt>
                    <w:sdtPr>
                      <w:alias w:val="Pavadinimas"/>
                      <w:tag w:val="title_5016d50d0f1943e3be482c140da25118"/>
                      <w:lock w:val="sdtLocked"/>
                      <w:richText/>
                    </w:sdtPr>
                    <w:sdtContent>
                      <w:r>
                        <w:rPr>
                          <w:b/>
                          <w:szCs w:val="24"/>
                          <w:lang w:eastAsia="lt-LT"/>
                        </w:rPr>
                        <w:t>Penktojo skirsnio nuostatų taikymas</w:t>
                      </w:r>
                    </w:sdtContent>
                  </w:sdt>
                </w:p>
                <w:sdt>
                  <w:sdtPr>
                    <w:alias w:val="49 str. 1 d."/>
                    <w:tag w:val="part_ca211a4e70db4b7bb9a7f5f4fe0e08cd"/>
                    <w:lock w:val="sdtLocked"/>
                    <w:richText/>
                  </w:sdtPr>
                  <w:sdtContent>
                    <w:p>
                      <w:pPr>
                        <w:widowControl w:val="0"/>
                        <w:spacing w:line="406" w:lineRule="atLeast"/>
                        <w:ind w:firstLine="720"/>
                        <w:jc w:val="both"/>
                        <w:rPr>
                          <w:b/>
                          <w:szCs w:val="24"/>
                        </w:rPr>
                      </w:pPr>
                      <w:r>
                        <w:rPr>
                          <w:szCs w:val="24"/>
                          <w:lang w:eastAsia="lt-LT"/>
                        </w:rPr>
                        <w:t>Grynųjų pinigų deklaravimui, muitinės įstaigų veiklai ir šio įstatymo 25 straipsnio 1, 1</w:t>
                      </w:r>
                      <w:r>
                        <w:rPr>
                          <w:szCs w:val="24"/>
                          <w:vertAlign w:val="superscript"/>
                          <w:lang w:eastAsia="lt-LT"/>
                        </w:rPr>
                        <w:t>1</w:t>
                      </w:r>
                      <w:r>
                        <w:rPr>
                          <w:szCs w:val="24"/>
                          <w:lang w:eastAsia="lt-LT"/>
                        </w:rPr>
                        <w:t>, 2, 4 ir 6 dalyse, 25</w:t>
                      </w:r>
                      <w:r>
                        <w:rPr>
                          <w:szCs w:val="24"/>
                          <w:vertAlign w:val="superscript"/>
                          <w:lang w:eastAsia="lt-LT"/>
                        </w:rPr>
                        <w:t>2</w:t>
                      </w:r>
                      <w:r>
                        <w:rPr>
                          <w:szCs w:val="24"/>
                          <w:lang w:eastAsia="lt-LT"/>
                        </w:rPr>
                        <w:t xml:space="preserve"> straipsniuose nustatytų reikalavimų priežiūrai šio įstatymo penktojo skirsnio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0045002d811efbcbfb318996800a8">
                    <w:r w:rsidRPr="00532B9F">
                      <w:rPr>
                        <w:rFonts w:ascii="Times New Roman" w:eastAsia="MS Mincho" w:hAnsi="Times New Roman"/>
                        <w:sz w:val="20"/>
                        <w:i/>
                        <w:iCs/>
                        <w:color w:val="0000FF" w:themeColor="hyperlink"/>
                        <w:u w:val="single"/>
                      </w:rPr>
                      <w:t>XIV-2543</w:t>
                    </w:r>
                  </w:fldSimple>
                  <w:r>
                    <w:rPr>
                      <w:rFonts w:ascii="Times New Roman" w:eastAsia="MS Mincho" w:hAnsi="Times New Roman"/>
                      <w:sz w:val="20"/>
                      <w:i/>
                      <w:iCs/>
                    </w:rPr>
                    <w:t>,
2024-04-18,
paskelbta TAR 2024-04-25, i. k. 2024-07537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f4708f4c0118413094e0261c7e8adca3"/>
                        <w:lock w:val="sdtLocked"/>
                        <w:richText/>
                      </w:sdtPr>
                      <w:sdtContent>
                        <w:p>
                          <w:pPr>
                            <w:spacing w:line="360" w:lineRule="auto"/>
                            <w:ind w:firstLine="720"/>
                            <w:jc w:val="both"/>
                            <w:rPr>
                              <w:szCs w:val="24"/>
                              <w:lang w:eastAsia="lt-LT"/>
                            </w:rPr>
                          </w:pPr>
                          <w:sdt>
                            <w:sdtPr>
                              <w:alias w:val="Numeris"/>
                              <w:tag w:val="nr_f4708f4c0118413094e0261c7e8adca3"/>
                              <w:lock w:val="sdtLocked"/>
                              <w:richText/>
                            </w:sdtPr>
                            <w:sdtContent>
                              <w:r>
                                <w:rPr>
                                  <w:szCs w:val="24"/>
                                </w:rPr>
                                <w:t>6</w:t>
                              </w:r>
                            </w:sdtContent>
                          </w:sdt>
                          <w:r>
                            <w:rPr>
                              <w:szCs w:val="24"/>
                            </w:rPr>
                            <w:t>) pagal šio įstatymo 25 straipsnio 3 dalį pateiktą informaciją apie patikos paslaugų teikėjų skaičių ir jų ypatumus;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fe813222655b4440a41caf0040cfeb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2024-12-30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3 p."/>
            <w:tag w:val="part_747a654f031a45d19d7cf9d0f9ab7ae3"/>
            <w:lock w:val="sdtLocked"/>
            <w:richText/>
          </w:sdtPr>
          <w:sdtContent>
            <w:p>
              <w:pPr>
                <w:spacing w:line="360" w:lineRule="auto"/>
                <w:ind w:firstLine="720"/>
                <w:jc w:val="both"/>
                <w:rPr>
                  <w:szCs w:val="24"/>
                </w:rPr>
              </w:pPr>
              <w:sdt>
                <w:sdtPr>
                  <w:alias w:val="Numeris"/>
                  <w:tag w:val="nr_747a654f031a45d19d7cf9d0f9ab7ae3"/>
                  <w:lock w:val="sdtLocked"/>
                  <w:richText/>
                </w:sdtPr>
                <w:sdtContent>
                  <w:r>
                    <w:rPr>
                      <w:szCs w:val="24"/>
                    </w:rPr>
                    <w:t>3</w:t>
                  </w:r>
                </w:sdtContent>
              </w:sdt>
              <w:r>
                <w:rPr>
                  <w:szCs w:val="24"/>
                </w:rPr>
                <w:t xml:space="preserve">. 2015 m. gegužės 20 d. Europos Parlamento ir Tarybos direktyva </w:t>
              </w:r>
              <w:hyperlink r:id="rId47" w:tgtFrame="_blank" w:history="1">
                <w:r>
                  <w:rPr>
                    <w:color w:val="0000FF" w:themeColor="hyperlink"/>
                    <w:szCs w:val="24"/>
                    <w:u w:val="single"/>
                  </w:rPr>
                  <w:t>(ES) 2015/849</w:t>
                </w:r>
              </w:hyperlink>
              <w:r>
                <w:rPr>
                  <w:szCs w:val="24"/>
                </w:rPr>
                <w:t xml:space="preserve"> dėl finansų sistemos naudojimo pinigų plovimui ir teroristų finansavimui prevencijos, kuria iš dalies keičiamas Europos Parlameno ir Tarybos reglamentas </w:t>
              </w:r>
              <w:hyperlink r:id="rId48" w:tgtFrame="_blank" w:history="1">
                <w:r>
                  <w:rPr>
                    <w:bCs/>
                    <w:color w:val="0000FF" w:themeColor="hyperlink"/>
                    <w:szCs w:val="24"/>
                    <w:u w:val="single"/>
                  </w:rPr>
                  <w:t>(ES) Nr. 648/2012</w:t>
                </w:r>
              </w:hyperlink>
              <w:r>
                <w:rPr>
                  <w:szCs w:val="24"/>
                </w:rPr>
                <w:t xml:space="preserve"> ir panaikinama Europos Parlamento ir Tarybos direktyva </w:t>
              </w:r>
              <w:hyperlink r:id="rId49" w:tgtFrame="_blank" w:history="1">
                <w:r>
                  <w:rPr>
                    <w:bCs/>
                    <w:color w:val="0000FF" w:themeColor="hyperlink"/>
                    <w:szCs w:val="24"/>
                    <w:u w:val="single"/>
                  </w:rPr>
                  <w:t>2005/60/EB</w:t>
                </w:r>
              </w:hyperlink>
              <w:r>
                <w:rPr>
                  <w:szCs w:val="24"/>
                </w:rPr>
                <w:t xml:space="preserve"> bei Komisijos direktyva </w:t>
              </w:r>
              <w:hyperlink r:id="rId50" w:tgtFrame="_blank" w:history="1">
                <w:r>
                  <w:rPr>
                    <w:bCs/>
                    <w:color w:val="0000FF" w:themeColor="hyperlink"/>
                    <w:szCs w:val="24"/>
                    <w:u w:val="single"/>
                  </w:rPr>
                  <w:t>2006/70/EB</w:t>
                </w:r>
              </w:hyperlink>
              <w:r>
                <w:rPr>
                  <w:bCs/>
                  <w:szCs w:val="24"/>
                </w:rPr>
                <w:t>,</w:t>
              </w:r>
              <w:r>
                <w:rPr>
                  <w:szCs w:val="24"/>
                </w:rPr>
                <w:t xml:space="preserve"> su paskutiniais pakeitimais, padarytais 2023 m. gegužės 31 d. Europos Parlamento ir Tarybos reglamentu </w:t>
              </w:r>
              <w:hyperlink r:id="rId51" w:tgtFrame="_blank" w:history="1">
                <w:r>
                  <w:rPr>
                    <w:color w:val="0000FF" w:themeColor="hyperlink"/>
                    <w:szCs w:val="24"/>
                    <w:u w:val="single"/>
                  </w:rPr>
                  <w:t>(ES) 2023/1113</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sdt>
          <w:sdtPr>
            <w:alias w:val="7 d."/>
            <w:tag w:val="part_d799f5bac1bc484c9fd78f50b10bfc8d"/>
            <w:lock w:val="sdtLocked"/>
            <w:richText/>
          </w:sdtPr>
          <w:sdtContent>
            <w:p>
              <w:pPr>
                <w:spacing w:line="360" w:lineRule="auto"/>
                <w:ind w:firstLine="720"/>
                <w:jc w:val="both"/>
                <w:rPr>
                  <w:szCs w:val="24"/>
                </w:rPr>
              </w:pPr>
              <w:sdt>
                <w:sdtPr>
                  <w:alias w:val="Numeris"/>
                  <w:tag w:val="nr_d799f5bac1bc484c9fd78f50b10bfc8d"/>
                  <w:lock w:val="sdtLocked"/>
                  <w:richText/>
                </w:sdtPr>
                <w:sdtContent>
                  <w:r>
                    <w:rPr>
                      <w:szCs w:val="24"/>
                    </w:rPr>
                    <w:t>7</w:t>
                  </w:r>
                </w:sdtContent>
              </w:sdt>
              <w:r>
                <w:rPr>
                  <w:szCs w:val="24"/>
                </w:rPr>
                <w:t xml:space="preserve">. 2023 m. gegužės 31 d. Europos Parlamento ir Tarybos reglamentas </w:t>
              </w:r>
              <w:hyperlink r:id="rId68"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69" w:tgtFrame="_blank" w:history="1">
                <w:r>
                  <w:rPr>
                    <w:color w:val="0000FF" w:themeColor="hyperlink"/>
                    <w:szCs w:val="24"/>
                    <w:u w:val="single"/>
                  </w:rPr>
                  <w:t>(ES) 2015/849</w:t>
                </w:r>
              </w:hyperlink>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289160499e11efbdaea558de59136c">
                <w:r w:rsidRPr="00532B9F">
                  <w:rPr>
                    <w:rFonts w:ascii="Times New Roman" w:eastAsia="MS Mincho" w:hAnsi="Times New Roman"/>
                    <w:sz w:val="20"/>
                    <w:i/>
                    <w:iCs/>
                    <w:color w:val="0000FF" w:themeColor="hyperlink"/>
                    <w:u w:val="single"/>
                  </w:rPr>
                  <w:t>XIV-2883</w:t>
                </w:r>
              </w:fldSimple>
              <w:r>
                <w:rPr>
                  <w:rFonts w:ascii="Times New Roman" w:eastAsia="MS Mincho" w:hAnsi="Times New Roman"/>
                  <w:sz w:val="20"/>
                  <w:i/>
                  <w:iCs/>
                </w:rPr>
                <w:t>,
2024-07-11,
paskelbta TAR 2024-07-24, i. k. 2024-13492        </w:t>
              </w:r>
            </w:p>
            <w:p/>
          </w:sdtContent>
        </w:sdt>
        <w:sdt>
          <w:sdtPr>
            <w:alias w:val="8 p."/>
            <w:tag w:val="part_43df60ab39e54835bea6cd3dd2dc6189"/>
            <w:lock w:val="sdtLocked"/>
            <w:richText/>
          </w:sdtPr>
          <w:sdtContent>
            <w:p>
              <w:pPr>
                <w:spacing w:line="360" w:lineRule="auto"/>
                <w:ind w:firstLine="720"/>
                <w:jc w:val="both"/>
                <w:rPr>
                  <w:szCs w:val="24"/>
                </w:rPr>
              </w:pPr>
              <w:sdt>
                <w:sdtPr>
                  <w:alias w:val="Numeris"/>
                  <w:tag w:val="nr_43df60ab39e54835bea6cd3dd2dc6189"/>
                  <w:lock w:val="sdtLocked"/>
                  <w:richText/>
                </w:sdtPr>
                <w:sdtContent>
                  <w:r>
                    <w:rPr>
                      <w:szCs w:val="24"/>
                    </w:rPr>
                    <w:t>8</w:t>
                  </w:r>
                </w:sdtContent>
              </w:sdt>
              <w:r>
                <w:rPr>
                  <w:szCs w:val="24"/>
                </w:rPr>
                <w:t xml:space="preserve">. 2024 m. gegužės 31 d. Europos Parlamento ir Tarybos reglamentas </w:t>
              </w:r>
              <w:hyperlink r:id="rId74" w:tgtFrame="_blank" w:history="1">
                <w:r>
                  <w:rPr>
                    <w:color w:val="0000FF" w:themeColor="hyperlink"/>
                    <w:szCs w:val="24"/>
                    <w:u w:val="single"/>
                  </w:rPr>
                  <w:t>(ES) 2024/1620</w:t>
                </w:r>
              </w:hyperlink>
              <w:r>
                <w:rPr>
                  <w:szCs w:val="24"/>
                </w:rPr>
                <w:t xml:space="preserve">, kuriuo įsteigiama Kovos su pinigų plovimu ir teroristų finansavimu institucija ir iš dalies keičiami reglamentai </w:t>
              </w:r>
              <w:hyperlink r:id="rId75" w:tgtFrame="_blank" w:history="1">
                <w:r>
                  <w:rPr>
                    <w:color w:val="0000FF" w:themeColor="hyperlink"/>
                    <w:szCs w:val="24"/>
                    <w:u w:val="single"/>
                  </w:rPr>
                  <w:t>(ES) Nr. 1093/2010</w:t>
                </w:r>
              </w:hyperlink>
              <w:r>
                <w:rPr>
                  <w:szCs w:val="24"/>
                </w:rPr>
                <w:t xml:space="preserve">, </w:t>
              </w:r>
              <w:hyperlink r:id="rId76" w:tgtFrame="_blank" w:history="1">
                <w:r>
                  <w:rPr>
                    <w:color w:val="0000FF" w:themeColor="hyperlink"/>
                    <w:szCs w:val="24"/>
                    <w:u w:val="single"/>
                  </w:rPr>
                  <w:t>(ES) Nr. 1094/2010</w:t>
                </w:r>
              </w:hyperlink>
              <w:r>
                <w:rPr>
                  <w:szCs w:val="24"/>
                </w:rPr>
                <w:t xml:space="preserve"> ir </w:t>
              </w:r>
              <w:hyperlink r:id="rId77" w:tgtFrame="_blank" w:history="1">
                <w:r>
                  <w:rPr>
                    <w:color w:val="0000FF" w:themeColor="hyperlink"/>
                    <w:szCs w:val="24"/>
                    <w:u w:val="single"/>
                  </w:rPr>
                  <w:t>(ES) Nr. 1095/2010</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af85255cc11f0b070ee7f1ceefc75">
                <w:r w:rsidRPr="00532B9F">
                  <w:rPr>
                    <w:rFonts w:ascii="Times New Roman" w:eastAsia="MS Mincho" w:hAnsi="Times New Roman"/>
                    <w:sz w:val="20"/>
                    <w:i/>
                    <w:iCs/>
                    <w:color w:val="0000FF" w:themeColor="hyperlink"/>
                    <w:u w:val="single"/>
                  </w:rPr>
                  <w:t>XV-326</w:t>
                </w:r>
              </w:fldSimple>
              <w:r>
                <w:rPr>
                  <w:rFonts w:ascii="Times New Roman" w:eastAsia="MS Mincho" w:hAnsi="Times New Roman"/>
                  <w:sz w:val="20"/>
                  <w:i/>
                  <w:iCs/>
                </w:rPr>
                <w:t>,
2025-06-25,
paskelbta TAR 2025-06-30, i. k. 2025-12014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10"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3"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4" w:history="1">
                <w:r>
                  <w:rPr>
                    <w:color w:val="0000FF"/>
                    <w:u w:val="single"/>
                  </w:rPr>
                  <w:t>89-2741</w:t>
                </w:r>
              </w:hyperlink>
              <w:r>
                <w:t xml:space="preserve">) ir Lietuvos Respublikos baudžiamojo proceso kodeksu (Žin., 2002, Nr. </w:t>
              </w:r>
              <w:hyperlink r:id="rId15"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1"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4"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8"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0acbf0779411edbc04912defe897d1">
            <w:r w:rsidRPr="00532B9F">
              <w:rPr>
                <w:rFonts w:ascii="Times New Roman" w:eastAsia="MS Mincho" w:hAnsi="Times New Roman"/>
                <w:sz w:val="20"/>
                <w:iCs/>
                <w:color w:val="0000FF" w:themeColor="hyperlink"/>
                <w:u w:val="single"/>
              </w:rPr>
              <w:t>XIV-1603</w:t>
            </w:r>
          </w:fldSimple>
          <w:r>
            <w:rPr>
              <w:rFonts w:ascii="Times New Roman" w:eastAsia="MS Mincho" w:hAnsi="Times New Roman"/>
              <w:sz w:val="20"/>
              <w:iCs/>
            </w:rPr>
            <w:t>,
2022-11-24,
paskelbta TAR 2022-12-09, i. k. 2022-25182                </w:t>
          </w:r>
        </w:p>
        <w:p>
          <w:pPr>
            <w:jc w:val="both"/>
            <w:rPr>
              <w:rFonts w:ascii="Times New Roman" w:hAnsi="Times New Roman"/>
            </w:rPr>
          </w:pPr>
          <w:r>
            <w:rPr>
              <w:rFonts w:ascii="Times New Roman" w:hAnsi="Times New Roman"/>
              <w:sz w:val="20"/>
            </w:rPr>
            <w:t>Lietuvos Respublikos pinigų plovimo ir teroristų finansavimo prevencijos įstatymo Nr. VIII-275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00045002d811efbcbfb318996800a8">
            <w:r w:rsidRPr="00532B9F">
              <w:rPr>
                <w:rFonts w:ascii="Times New Roman" w:eastAsia="MS Mincho" w:hAnsi="Times New Roman"/>
                <w:sz w:val="20"/>
                <w:iCs/>
                <w:color w:val="0000FF" w:themeColor="hyperlink"/>
                <w:u w:val="single"/>
              </w:rPr>
              <w:t>XIV-2543</w:t>
            </w:r>
          </w:fldSimple>
          <w:r>
            <w:rPr>
              <w:rFonts w:ascii="Times New Roman" w:eastAsia="MS Mincho" w:hAnsi="Times New Roman"/>
              <w:sz w:val="20"/>
              <w:iCs/>
            </w:rPr>
            <w:t>,
2024-04-18,
paskelbta TAR 2024-04-25, i. k. 2024-07537                </w:t>
          </w:r>
        </w:p>
        <w:p>
          <w:pPr>
            <w:jc w:val="both"/>
            <w:rPr>
              <w:rFonts w:ascii="Times New Roman" w:hAnsi="Times New Roman"/>
            </w:rPr>
          </w:pPr>
          <w:r>
            <w:rPr>
              <w:rFonts w:ascii="Times New Roman" w:hAnsi="Times New Roman"/>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052f80499f11efbdaea558de59136c">
            <w:r w:rsidRPr="00532B9F">
              <w:rPr>
                <w:rFonts w:ascii="Times New Roman" w:eastAsia="MS Mincho" w:hAnsi="Times New Roman"/>
                <w:sz w:val="20"/>
                <w:iCs/>
                <w:color w:val="0000FF" w:themeColor="hyperlink"/>
                <w:u w:val="single"/>
              </w:rPr>
              <w:t>XIV-2884</w:t>
            </w:r>
          </w:fldSimple>
          <w:r>
            <w:rPr>
              <w:rFonts w:ascii="Times New Roman" w:eastAsia="MS Mincho" w:hAnsi="Times New Roman"/>
              <w:sz w:val="20"/>
              <w:iCs/>
            </w:rPr>
            <w:t>,
2024-07-11,
paskelbta TAR 2024-07-24, i. k. 2024-13493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įstatymo Nr. XIV-1374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289160499e11efbdaea558de59136c">
            <w:r w:rsidRPr="00532B9F">
              <w:rPr>
                <w:rFonts w:ascii="Times New Roman" w:eastAsia="MS Mincho" w:hAnsi="Times New Roman"/>
                <w:sz w:val="20"/>
                <w:iCs/>
                <w:color w:val="0000FF" w:themeColor="hyperlink"/>
                <w:u w:val="single"/>
              </w:rPr>
              <w:t>XIV-2883</w:t>
            </w:r>
          </w:fldSimple>
          <w:r>
            <w:rPr>
              <w:rFonts w:ascii="Times New Roman" w:eastAsia="MS Mincho" w:hAnsi="Times New Roman"/>
              <w:sz w:val="20"/>
              <w:iCs/>
            </w:rPr>
            <w:t>,
2024-07-11,
paskelbta TAR 2024-07-24, i. k. 2024-13492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1d9d12315d11f08fdabd4950271e2c">
            <w:r w:rsidRPr="00532B9F">
              <w:rPr>
                <w:rFonts w:ascii="Times New Roman" w:eastAsia="MS Mincho" w:hAnsi="Times New Roman"/>
                <w:sz w:val="20"/>
                <w:iCs/>
                <w:color w:val="0000FF" w:themeColor="hyperlink"/>
                <w:u w:val="single"/>
              </w:rPr>
              <w:t>XV-186</w:t>
            </w:r>
          </w:fldSimple>
          <w:r>
            <w:rPr>
              <w:rFonts w:ascii="Times New Roman" w:eastAsia="MS Mincho" w:hAnsi="Times New Roman"/>
              <w:sz w:val="20"/>
              <w:iCs/>
            </w:rPr>
            <w:t>,
2025-05-08,
paskelbta TAR 2025-05-15, i. k. 2025-08682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įstatymo Nr. XIV-2883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5af85255cc11f0b070ee7f1ceefc75">
            <w:r w:rsidRPr="00532B9F">
              <w:rPr>
                <w:rFonts w:ascii="Times New Roman" w:eastAsia="MS Mincho" w:hAnsi="Times New Roman"/>
                <w:sz w:val="20"/>
                <w:iCs/>
                <w:color w:val="0000FF" w:themeColor="hyperlink"/>
                <w:u w:val="single"/>
              </w:rPr>
              <w:t>XV-326</w:t>
            </w:r>
          </w:fldSimple>
          <w:r>
            <w:rPr>
              <w:rFonts w:ascii="Times New Roman" w:eastAsia="MS Mincho" w:hAnsi="Times New Roman"/>
              <w:sz w:val="20"/>
              <w:iCs/>
            </w:rPr>
            <w:t>,
2025-06-25,
paskelbta TAR 2025-06-30, i. k. 2025-12014                </w:t>
          </w:r>
        </w:p>
        <w:p>
          <w:pPr>
            <w:jc w:val="both"/>
            <w:rPr>
              <w:rFonts w:ascii="Times New Roman" w:hAnsi="Times New Roman"/>
            </w:rPr>
          </w:pPr>
          <w:r>
            <w:rPr>
              <w:rFonts w:ascii="Times New Roman" w:hAnsi="Times New Roman"/>
              <w:sz w:val="20"/>
            </w:rPr>
            <w:t>Lietuvos Respublikos pinigų plovimo ir teroristų finansavimo prevencijos įstatymo Nr. VIII-275 2, 4, 5, 6, 7, 8, 9, 10, 15, 22, 23, 26, 27, 28, 29, 39, 40, 42 straipsnių ir priedo pakeitimo ir Įstatymo papildymo 32-1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5A7AB7"/>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36143&amp;b="/>
  <Relationship Id="rId11" Type="http://schemas.openxmlformats.org/officeDocument/2006/relationships/hyperlink" TargetMode="External" Target="http://www3.lrs.lt/cgi-bin/preps2?a=157357&amp;b="/>
  <Relationship Id="rId12" Type="http://schemas.openxmlformats.org/officeDocument/2006/relationships/hyperlink" TargetMode="External" Target="http://www3.lrs.lt/cgi-bin/preps2?a=163331&amp;b="/>
  <Relationship Id="rId13" Type="http://schemas.openxmlformats.org/officeDocument/2006/relationships/hyperlink" TargetMode="External" Target="http://www3.lrs.lt/cgi-bin/preps2?a=209683&amp;b="/>
  <Relationship Id="rId14" Type="http://schemas.openxmlformats.org/officeDocument/2006/relationships/hyperlink" TargetMode="External" Target="http://www3.lrs.lt/cgi-bin/preps2?a=111555&amp;b="/>
  <Relationship Id="rId15"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215773&amp;b="/>
  <Relationship Id="rId17" Type="http://schemas.openxmlformats.org/officeDocument/2006/relationships/hyperlink" TargetMode="External" Target="http://www3.lrs.lt/cgi-bin/preps2?a=223449&amp;b="/>
  <Relationship Id="rId18" Type="http://schemas.openxmlformats.org/officeDocument/2006/relationships/hyperlink" TargetMode="External" Target="http://www3.lrs.lt/cgi-bin/preps2?a=232356&amp;b="/>
  <Relationship Id="rId19" Type="http://schemas.openxmlformats.org/officeDocument/2006/relationships/hyperlink" TargetMode="External" Target="http://www3.lrs.lt/cgi-bin/preps2?a=297415&amp;b="/>
  <Relationship Id="rId2" Type="http://schemas.openxmlformats.org/officeDocument/2006/relationships/fontTable" Target="fontTable.xml"/>
  <Relationship Id="rId20" Type="http://schemas.openxmlformats.org/officeDocument/2006/relationships/hyperlink" TargetMode="External" Target="http://www3.lrs.lt/cgi-bin/preps2?a=313223&amp;b="/>
  <Relationship Id="rId21" Type="http://schemas.openxmlformats.org/officeDocument/2006/relationships/hyperlink" TargetMode="External" Target="http://www3.lrs.lt/cgi-bin/preps2?a=361208&amp;b="/>
  <Relationship Id="rId22" Type="http://schemas.openxmlformats.org/officeDocument/2006/relationships/hyperlink" TargetMode="External" Target="http://www3.lrs.lt/cgi-bin/preps2?a=397229&amp;b="/>
  <Relationship Id="rId23" Type="http://schemas.openxmlformats.org/officeDocument/2006/relationships/hyperlink" TargetMode="External" Target="http://www3.lrs.lt/cgi-bin/preps2?a=397405&amp;b="/>
  <Relationship Id="rId24" Type="http://schemas.openxmlformats.org/officeDocument/2006/relationships/hyperlink" TargetMode="External" Target="http://www3.lrs.lt/cgi-bin/preps2?a=399632&amp;b="/>
  <Relationship Id="rId25" Type="http://schemas.openxmlformats.org/officeDocument/2006/relationships/hyperlink" TargetMode="External" Target="http://www3.lrs.lt/cgi-bin/preps2?a=412359&amp;b="/>
  <Relationship Id="rId26" Type="http://schemas.openxmlformats.org/officeDocument/2006/relationships/hyperlink" TargetMode="External" Target="http://www3.lrs.lt/cgi-bin/preps2?a=415765&amp;b="/>
  <Relationship Id="rId27" Type="http://schemas.openxmlformats.org/officeDocument/2006/relationships/hyperlink" TargetMode="External" Target="http://www3.lrs.lt/cgi-bin/preps2?a=415775&amp;b="/>
  <Relationship Id="rId28" Type="http://schemas.openxmlformats.org/officeDocument/2006/relationships/hyperlink" TargetMode="External" Target="http://www3.lrs.lt/cgi-bin/preps2?a=471525&amp;b="/>
  <Relationship Id="rId29" Type="http://schemas.openxmlformats.org/officeDocument/2006/relationships/hyperlink" TargetMode="External" Target="http://eur-lex.europa.eu/legal-content/LIT/TXT/?uri=CELEX:32010R1093&amp;locale=lt"/>
  <Relationship Id="rId3" Type="http://schemas.microsoft.com/office/2011/relationships/people" Target="people.xml"/>
  <Relationship Id="rId30" Type="http://schemas.openxmlformats.org/officeDocument/2006/relationships/hyperlink" TargetMode="External" Target="http://eur-lex.europa.eu/legal-content/LIT/TXT/?uri=CELEX:32009D0716&amp;locale=lt"/>
  <Relationship Id="rId31" Type="http://schemas.openxmlformats.org/officeDocument/2006/relationships/hyperlink" TargetMode="External" Target="http://eur-lex.europa.eu/legal-content/LIT/TXT/?uri=CELEX:32009D0078&amp;locale=lt"/>
  <Relationship Id="rId32" Type="http://schemas.openxmlformats.org/officeDocument/2006/relationships/hyperlink" TargetMode="External" Target="http://eur-lex.europa.eu/legal-content/LIT/TXT/?uri=CELEX:32010R1094&amp;locale=lt"/>
  <Relationship Id="rId33" Type="http://schemas.openxmlformats.org/officeDocument/2006/relationships/hyperlink" TargetMode="External" Target="http://eur-lex.europa.eu/legal-content/LIT/TXT/?uri=CELEX:32009D0716&amp;locale=lt"/>
  <Relationship Id="rId34" Type="http://schemas.openxmlformats.org/officeDocument/2006/relationships/hyperlink" TargetMode="External" Target="http://eur-lex.europa.eu/legal-content/LIT/TXT/?uri=CELEX:32009D0079&amp;locale=lt"/>
  <Relationship Id="rId35" Type="http://schemas.openxmlformats.org/officeDocument/2006/relationships/hyperlink" TargetMode="External" Target="http://eur-lex.europa.eu/legal-content/LIT/TXT/?uri=CELEX:32010R1095&amp;locale=lt"/>
  <Relationship Id="rId36" Type="http://schemas.openxmlformats.org/officeDocument/2006/relationships/hyperlink" TargetMode="External" Target="http://eur-lex.europa.eu/legal-content/LIT/TXT/?uri=CELEX:32009D0716&amp;locale=lt"/>
  <Relationship Id="rId37" Type="http://schemas.openxmlformats.org/officeDocument/2006/relationships/hyperlink" TargetMode="External" Target="http://eur-lex.europa.eu/legal-content/LIT/TXT/?uri=CELEX:32009D0077&amp;locale=lt"/>
  <Relationship Id="rId38" Type="http://schemas.openxmlformats.org/officeDocument/2006/relationships/hyperlink" TargetMode="External" Target="http://eur-lex.europa.eu/legal-content/LIT/TXT/?uri=CELEX:32024R1620&amp;locale=lt"/>
  <Relationship Id="rId39" Type="http://schemas.openxmlformats.org/officeDocument/2006/relationships/hyperlink" TargetMode="External" Target="http://eur-lex.europa.eu/legal-content/LIT/TXT/?uri=CELEX:32010R1093&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2010R1094&amp;locale=lt"/>
  <Relationship Id="rId41" Type="http://schemas.openxmlformats.org/officeDocument/2006/relationships/hyperlink" TargetMode="External" Target="http://eur-lex.europa.eu/legal-content/LIT/TXT/?uri=CELEX:32010R1095&amp;locale=lt"/>
  <Relationship Id="rId42" Type="http://schemas.openxmlformats.org/officeDocument/2006/relationships/hyperlink" TargetMode="External" Target="http://eur-lex.europa.eu/legal-content/LIT/TXT/?uri=CELEX:32020R1503&amp;locale=lt"/>
  <Relationship Id="rId43" Type="http://schemas.openxmlformats.org/officeDocument/2006/relationships/hyperlink" TargetMode="External" Target="http://eur-lex.europa.eu/legal-content/LIT/TXT/?uri=CELEX:32017R1129&amp;locale=lt"/>
  <Relationship Id="rId44" Type="http://schemas.openxmlformats.org/officeDocument/2006/relationships/hyperlink" TargetMode="External" Target="http://eur-lex.europa.eu/legal-content/LIT/TXT/?uri=CELEX:32019L1937&amp;locale=lt"/>
  <Relationship Id="rId45" Type="http://schemas.openxmlformats.org/officeDocument/2006/relationships/hyperlink" TargetMode="External" Target="http://eur-lex.europa.eu/legal-content/LIT/TXT/?uri=CELEX:32024R1620&amp;locale=lt"/>
  <Relationship Id="rId46" Type="http://schemas.openxmlformats.org/officeDocument/2006/relationships/hyperlink" TargetMode="External" Target="http://eur-lex.europa.eu/legal-content/LIT/TXT/?uri=CELEX:32023R1113&amp;locale=lt"/>
  <Relationship Id="rId47" Type="http://schemas.openxmlformats.org/officeDocument/2006/relationships/hyperlink" TargetMode="External" Target="http://eur-lex.europa.eu/legal-content/LIT/TXT/?uri=CELEX:32015L0849&amp;locale=lt"/>
  <Relationship Id="rId48" Type="http://schemas.openxmlformats.org/officeDocument/2006/relationships/hyperlink" TargetMode="External" Target="http://eur-lex.europa.eu/legal-content/LIT/TXT/?uri=CELEX:32012R0648&amp;locale=lt"/>
  <Relationship Id="rId49" Type="http://schemas.openxmlformats.org/officeDocument/2006/relationships/hyperlink" TargetMode="External" Target="http://eur-lex.europa.eu/legal-content/LIT/TXT/?uri=CELEX:32005L0060&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06L0070&amp;locale=lt"/>
  <Relationship Id="rId51" Type="http://schemas.openxmlformats.org/officeDocument/2006/relationships/hyperlink" TargetMode="External" Target="http://eur-lex.europa.eu/legal-content/LIT/TXT/?uri=CELEX:32023R1113&amp;locale=lt"/>
  <Relationship Id="rId52" Type="http://schemas.openxmlformats.org/officeDocument/2006/relationships/hyperlink" TargetMode="External" Target="http://eur-lex.europa.eu/legal-content/LIT/TXT/?uri=CELEX:32023R1114&amp;locale=lt"/>
  <Relationship Id="rId53" Type="http://schemas.openxmlformats.org/officeDocument/2006/relationships/hyperlink" TargetMode="External" Target="http://eur-lex.europa.eu/legal-content/LIT/TXT/?uri=CELEX:32010R1093&amp;locale=lt"/>
  <Relationship Id="rId54" Type="http://schemas.openxmlformats.org/officeDocument/2006/relationships/hyperlink" TargetMode="External" Target="http://eur-lex.europa.eu/legal-content/LIT/TXT/?uri=CELEX:32010R1095&amp;locale=lt"/>
  <Relationship Id="rId55" Type="http://schemas.openxmlformats.org/officeDocument/2006/relationships/hyperlink" TargetMode="External" Target="http://eur-lex.europa.eu/legal-content/LIT/TXT/?uri=CELEX:32013L0036&amp;locale=lt"/>
  <Relationship Id="rId56" Type="http://schemas.openxmlformats.org/officeDocument/2006/relationships/hyperlink" TargetMode="External" Target="http://eur-lex.europa.eu/legal-content/LIT/TXT/?uri=CELEX:32019L1937&amp;locale=lt"/>
  <Relationship Id="rId57" Type="http://schemas.openxmlformats.org/officeDocument/2006/relationships/hyperlink" TargetMode="External" Target="http://eur-lex.europa.eu/legal-content/LIT/TXT/?uri=CELEX:32023R1114&amp;locale=lt"/>
  <Relationship Id="rId58" Type="http://schemas.openxmlformats.org/officeDocument/2006/relationships/hyperlink" TargetMode="External" Target="http://eur-lex.europa.eu/legal-content/LIT/TXT/?uri=CELEX:32023R1114&amp;locale=lt"/>
  <Relationship Id="rId59" Type="http://schemas.openxmlformats.org/officeDocument/2006/relationships/hyperlink" TargetMode="External" Target="http://eur-lex.europa.eu/legal-content/LIT/TXT/?uri=CELEX:32023R1114&amp;locale=lt"/>
  <Relationship Id="rId6" Type="http://schemas.openxmlformats.org/officeDocument/2006/relationships/theme" Target="theme/theme1.xml"/>
  <Relationship Id="rId60" Type="http://schemas.openxmlformats.org/officeDocument/2006/relationships/hyperlink" TargetMode="External" Target="http://eur-lex.europa.eu/legal-content/LIT/TXT/?uri=CELEX:32023R1114&amp;locale=lt"/>
  <Relationship Id="rId61" Type="http://schemas.openxmlformats.org/officeDocument/2006/relationships/hyperlink" TargetMode="External" Target="http://eur-lex.europa.eu/legal-content/LIT/TXT/?uri=CELEX:32023R1113&amp;locale=lt"/>
  <Relationship Id="rId62" Type="http://schemas.openxmlformats.org/officeDocument/2006/relationships/hyperlink" TargetMode="External" Target="http://eur-lex.europa.eu/legal-content/LIT/TXT/?uri=CELEX:32023R1114&amp;locale=lt"/>
  <Relationship Id="rId63" Type="http://schemas.openxmlformats.org/officeDocument/2006/relationships/hyperlink" TargetMode="External" Target="http://eur-lex.europa.eu/legal-content/LIT/TXT/?uri=CELEX:32023R1114&amp;locale=lt"/>
  <Relationship Id="rId64" Type="http://schemas.openxmlformats.org/officeDocument/2006/relationships/hyperlink" TargetMode="External" Target="http://eur-lex.europa.eu/legal-content/LIT/TXT/?uri=CELEX:32023R1114&amp;locale=lt"/>
  <Relationship Id="rId65" Type="http://schemas.openxmlformats.org/officeDocument/2006/relationships/hyperlink" TargetMode="External" Target="http://eur-lex.europa.eu/legal-content/LIT/TXT/?uri=CELEX:32023R1114&amp;locale=lt"/>
  <Relationship Id="rId66" Type="http://schemas.openxmlformats.org/officeDocument/2006/relationships/hyperlink" TargetMode="External" Target="http://eur-lex.europa.eu/legal-content/LIT/TXT/?uri=CELEX:32023R1113&amp;locale=lt"/>
  <Relationship Id="rId67" Type="http://schemas.openxmlformats.org/officeDocument/2006/relationships/hyperlink" TargetMode="External" Target="http://eur-lex.europa.eu/legal-content/LIT/TXT/?uri=CELEX:32023R1113&amp;locale=lt"/>
  <Relationship Id="rId68" Type="http://schemas.openxmlformats.org/officeDocument/2006/relationships/hyperlink" TargetMode="External" Target="http://eur-lex.europa.eu/legal-content/LIT/TXT/?uri=CELEX:32023R1113&amp;locale=lt"/>
  <Relationship Id="rId69" Type="http://schemas.openxmlformats.org/officeDocument/2006/relationships/hyperlink" TargetMode="External" Target="http://eur-lex.europa.eu/legal-content/LIT/TXT/?uri=CELEX:32015L0849&amp;locale=lt"/>
  <Relationship Id="rId7" Type="http://schemas.openxmlformats.org/officeDocument/2006/relationships/webSettings" Target="webSettings.xml"/>
  <Relationship Id="rId70" Type="http://schemas.openxmlformats.org/officeDocument/2006/relationships/hyperlink" TargetMode="External" Target="http://eur-lex.europa.eu/legal-content/LIT/TXT/?uri=CELEX:32024R1620&amp;locale=lt"/>
  <Relationship Id="rId71" Type="http://schemas.openxmlformats.org/officeDocument/2006/relationships/hyperlink" TargetMode="External" Target="http://eur-lex.europa.eu/legal-content/LIT/TXT/?uri=CELEX:32015L0849&amp;locale=lt"/>
  <Relationship Id="rId72" Type="http://schemas.openxmlformats.org/officeDocument/2006/relationships/hyperlink" TargetMode="External" Target="http://eur-lex.europa.eu/legal-content/LIT/TXT/?uri=CELEX:32024R1620&amp;locale=lt"/>
  <Relationship Id="rId73" Type="http://schemas.openxmlformats.org/officeDocument/2006/relationships/hyperlink" TargetMode="External" Target="http://eur-lex.europa.eu/legal-content/LIT/TXT/?uri=CELEX:32024R1620&amp;locale=lt"/>
  <Relationship Id="rId74" Type="http://schemas.openxmlformats.org/officeDocument/2006/relationships/hyperlink" TargetMode="External" Target="http://eur-lex.europa.eu/legal-content/LIT/TXT/?uri=CELEX:32024R1620&amp;locale=lt"/>
  <Relationship Id="rId75" Type="http://schemas.openxmlformats.org/officeDocument/2006/relationships/hyperlink" TargetMode="External" Target="http://eur-lex.europa.eu/legal-content/LIT/TXT/?uri=CELEX:32010R1093&amp;locale=lt"/>
  <Relationship Id="rId76" Type="http://schemas.openxmlformats.org/officeDocument/2006/relationships/hyperlink" TargetMode="External" Target="http://eur-lex.europa.eu/legal-content/LIT/TXT/?uri=CELEX:32010R1094&amp;locale=lt"/>
  <Relationship Id="rId77" Type="http://schemas.openxmlformats.org/officeDocument/2006/relationships/hyperlink" TargetMode="External" Target="http://eur-lex.europa.eu/legal-content/LIT/TXT/?uri=CELEX:32010R1095&amp;locale=lt"/>
  <Relationship Id="rId78" Type="http://schemas.openxmlformats.org/officeDocument/2006/relationships/customXml" Target="../customXml/item1.xml"/>
  <Relationship Id="rId8" Type="http://schemas.openxmlformats.org/officeDocument/2006/relationships/hyperlink" TargetMode="External" Target="http://www3.lrs.lt/cgi-bin/preps2?a=65769&amp;b="/>
  <Relationship Id="rId9" Type="http://schemas.openxmlformats.org/officeDocument/2006/relationships/hyperlink" TargetMode="External" Target="http://www3.lrs.lt/cgi-bin/preps2?a=9047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e8ef3e3ceff740789bc5ae1611558703"/>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210f1f0e6aa46ce992bfcd0b52f0c1f"/>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4f1d1ed28d4b4a97ac4bd280950f396d"/>
        </Part>
        <Part Type="strDalis" Nr="12-1" Abbr="12-1 d." DocPartId="4ed559fa64c14af3bffde2feff21f91b" PartId="6701be3ca1db41e3953cd7acbf645965"/>
        <Part Type="strDalis" Nr="12-2" Abbr="12-2 d." DocPartId="0fdc70288c544d7db71ba09adcd33858" PartId="d74f0731f7b84cddbf3226dcb8fdce56"/>
        <Part Type="strDalis" Nr="12-3" Abbr="12-3 d." DocPartId="84f90dfe5c894a39945504ad74d3a9c6" PartId="2ea3ff26a0f6466aba95e9a9f21fa2c5"/>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91c8d49f8d24d9abe3e6b4a5b7d1a51"/>
        <Part Type="strDalis" Nr="18" Abbr="2 str. 18 d." DocPartId="e4ab7928a78c4562a99332784934f7c1" PartId="09db77779c9a462ab824cf6147cbbd85"/>
        <Part Type="strDalis" Nr="18-1" Abbr="18-1 d." DocPartId="eac7ccaed29d41ba99cd10c3523df9de" PartId="814952c27bb34dd1bcb43422377ad7e2"/>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0a6700cc2ae549c9800eadc1c49c784d"/>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d9edb41157684ee785385fc70d4bfe77"/>
        <Part Type="strDalis" Nr="2" Abbr="4 str. 2 d." DocPartId="a695a3f2d3d6410d9fd652e85d44da93" PartId="828550a37e3f4e4c810144fa10d2d565"/>
        <Part Type="strDalis" Nr="3" Abbr="4 str. 3 d." DocPartId="6b13c715b672495a8a52a4c668bfa2a0" PartId="60fe5848448344a1bc4dbceeb23c2ae4"/>
        <Part Type="strDalis" Nr="4" Abbr="4 str. 4 d." DocPartId="6082d24252ea44b9b3f5b2a317247db2" PartId="6c0026f28a8945b3909ac06ab8d58586"/>
        <Part Type="strDalis" Nr="5" Abbr="4 str. 5 d." DocPartId="4d708f56271b4065821a1ab53eb5615e" PartId="f6a5dd2b5cdf4abb87949f74fc8a2d4b"/>
        <Part Type="strDalis" Nr="6" Abbr="4 str. 6 d." DocPartId="ee13de9d835545d2a85bd5fa225b5c9f" PartId="2368e81be76e4a508dbd1d6d3577c037"/>
        <Part Type="strDalis" Nr="7" Abbr="4 str. 7 d." DocPartId="ca97fcc8de844a9ba39272b905f6947a" PartId="59080e964ee74df9ba8230cffc1110ff"/>
        <Part Type="strDalis" Nr="8" Abbr="4 str. 8 d." DocPartId="866a33dfe8a44066a2a73387da3dab57" PartId="0ae163e27f84479f90ac671c40e37159"/>
        <Part Type="strDalis" Nr="9" Abbr="4 str. 9 d." DocPartId="7e8cd491afe04472b74c6041112bf855" PartId="26df28c3dc4c4e9cb2ad7774a7d85c0a"/>
        <Part Type="strDalis" Nr="10" Abbr="4 str. 10 d." DocPartId="975fa0b9d0ea4f5c82b6d7ea3a3397dc" PartId="e945e755c0da4399969a6f43dbaa707b"/>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4 str. 16 d." DocPartId="f031e2c0b0f4451fa979d30569b0c005" PartId="cc3a04bf9d0449cfa1d9f5b825e109ba"/>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f8a56b175d7542d5b3b2b66f9b50fcfe"/>
          <Part Type="strPunktas" Nr="11" Abbr="11 p." DocPartId="1ea221f6ccdd4324850b3ad3cc192402" PartId="621510f77a594a9aacc09ca36659887e"/>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e9534217a82f4ebe8ef1c0b661ad9d5e"/>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54275ee45e94455db13b4429062f452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8 straipsnis. Valstybės institucijų bendradarbiavimas bei valstybės institucijų, užsienio valstybių ir Europos Sąjungos institucijų bendradarbiavimas“." DocPartId="3f8027435bd442b4af8fa10e93f703a7" PartId="c2102a37f4ac477aa275c98d34995eff">
        <Part Type="strDalis" Nr="1" Abbr="8 str. 1 d." DocPartId="f956333a4fb045298f427084530b3d8a" PartId="7852e0d38d73400ebcdc73c25354d2c0"/>
        <Part Type="strDalis" Nr="2" Abbr="8 str. 2 d." DocPartId="81cf9f5b03904940aa8d038ca0ed2f1c" PartId="11726f4109b6401cbbbe2a42a08b7d2a"/>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bfd325aa896c424abfd42195c39d7e6c"/>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081bfb6154e84f4484d9b3bf417b4fab"/>
        </Part>
        <Part Type="strDalis" Nr="12" Abbr="9 str. 12 d." DocPartId="aae171b22b914f10bd7f0ade45ba768e" PartId="af59d615a6754852bf8f15da8f95bd93"/>
        <Part Type="strDalis" Nr="13" Abbr="9 str. 13 d." DocPartId="91d94666a40747e3b0daab548c0b645c" PartId="dba0466f3ea243e1a4740c70e8d5e55c"/>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c32ca494c4d84c1cacc4e41bfd4285a0"/>
        <Part Type="strDalis" Nr="16-2" Abbr="16-2 d." DocPartId="22ecc477896140919a0fcb4f0302874b" PartId="0115bb6001e64c369505e3f67231684f"/>
        <Part Type="strDalis" Nr="16-3" Abbr="16-3 d." DocPartId="c74d09d1f02946a396dabc18eeaaac73" PartId="05d38195fffc4b80891c417c4f7cba4b"/>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9 str. 21-1 d." DocPartId="37c2c12e3b8b47e89a8040156674a8ee" PartId="04fc4aacbee54b109c247ef1fe861d31"/>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46147ef6c63e4788af3729b39f85bc20" PartId="838a03d6285a4bcb9418b588b4a74e8d"/>
        <Part Type="strDalis" Nr="5" Abbr="10 str. 5 d." DocPartId="f6d1cfc6ef084237a963a8b232eedfba" PartId="dbff1c85bc0e4f3cbff26a32a9ce0712"/>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0748f816d5964dd7bb411fd8299d7526"/>
          <Part Type="strPunktas" Nr="6" Abbr="6 p." DocPartId="84a147c9621f459a8b6233be8fe37c2e" PartId="762132b2611b43d8aa18a76c661a910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2-1" Abbr="2-1 d." DocPartId="162f5a734185499b8c5cac9d215f179b" PartId="9b9deccdbf2d4fc19cb6bfa889af8c7f">
          <Part Type="strPunktas" Nr="1" Abbr="2-1 d. 1 p." DocPartId="ec3eda746f8140158cd33ebff7ebc654" PartId="2626fd05a5c946c18b19ded61bcb3cdd"/>
          <Part Type="strPunktas" Nr="2" Abbr="2-1 d. 2 p." DocPartId="3e6e949e98294b5798998f7d473f4eff" PartId="cf0c51924274445fa209909a60e60c84"/>
          <Part Type="strPunktas" Nr="3" Abbr="2-1 d. 3 p." DocPartId="be6129733ea64aefb607e798bee819c9" PartId="49d43d89f372432086307179b3618b43"/>
          <Part Type="strPunktas" Nr="4" Abbr="2-1 d. 4 p." DocPartId="281ea63777d04b13b74940f18d8d4d7a" PartId="b3f28946d2dd4335901ba8748e11a4e1"/>
          <Part Type="strPunktas" Nr="5" Abbr="2-1 d. 5 p." DocPartId="f18deacf83234feebd1b71fc0e4cff9c" PartId="2dfd5e2212034b41b7e81219e70da50f"/>
          <Part Type="strPunktas" Nr="6" Abbr="2-1 d. 6 p." DocPartId="d499a28c36ab4c0dbc38c6eec74c135d" PartId="db72d854eb514299a9d076c7b469e67e"/>
          <Part Type="strPunktas" Nr="7" Abbr="2-1 d. 7 p." DocPartId="0aa83c9a30a04ef497c7ca15c10fe17d" PartId="4d2b9f726ab74940ad039add90bca504"/>
        </Part>
        <Part Type="strDalis" Nr="2-2" Abbr="2-2 d." DocPartId="76ba5b7a120343fe81fead531eb0a0df" PartId="0346f54ef05b41ae9dc418c66c5234ef"/>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b533c090bebc43b3a1fcc60f55fb8a38">
        <Part Type="strDalis" Nr="1" Abbr="15 str. 1 d." DocPartId="e246794579874e87a91b954bb84677d8" PartId="9e6762b9527945fca57bcad491050657">
          <Part Type="strPunktas" Nr="1" Abbr="15 str. 1 d. 1 p." DocPartId="e651cfa6942e40f280d78999c7cd4403" PartId="31b1b42e33ed485ea1ebb44b78eb0d35">
            <Part Type="strPapunktis" Nr="a" Abbr="15 str. 1 d. 1 p. a pp." DocPartId="93cc73cd9cb94268997afd1ed59c3365" PartId="286cb0a343134c7abe069412c6e3e611"/>
            <Part Type="strPapunktis" Nr="b" Abbr="15 str. 1 d. 1 p. b pp." DocPartId="ab32e55591aa403cb33f5404d2554976" PartId="bdb8946228584ef0a07e89cad09f7ac7"/>
            <Part Type="strPapunktis" Nr="c" Abbr="15 str. 1 d. 1 p. c pp." DocPartId="25d36acf106d42ad874360247dd41897" PartId="f3e52e77be4445aaae4b8fed81f40336"/>
          </Part>
          <Part Type="strPunktas" Nr="2" Abbr="15 str. 1 d. 2 p." DocPartId="e5fd3626aa314bd495a593fa7a3d1f75" PartId="a6bb23db7f9e4a9986d96935d6681e96">
            <Part Type="strPapunktis" Nr="a" Abbr="15 str. 1 d. 2 p. a pp." DocPartId="0f5813c8f3754548a5cb67ea5222fca3" PartId="f4676623f2fa4fcb99041be58585d47b"/>
            <Part Type="strPapunktis" Nr="b" Abbr="15 str. 1 d. 2 p. b pp." DocPartId="65b7fe80024f470da22b77121b6998e0" PartId="f456542b30af4360960843eb78268baa"/>
            <Part Type="strPapunktis" Nr="c" Abbr="15 str. 1 d. 2 p. c pp." DocPartId="0978775bcef7407ea2ff75cc5c5198ae" PartId="f30eebb6c04d49a3a0304e0b1118972f"/>
            <Part Type="strPapunktis" Nr="d" Abbr="15 str. 1 d. 2 p. d pp." DocPartId="6452e2f22f8b482d837fec86a3ac7847" PartId="25a97b1f645544c8bc4e277c1caa2cf1"/>
            <Part Type="strPapunktis" Nr="e" Abbr="15 str. 1 d. 2 p. e pp." DocPartId="2f8a34f1881a4a1abf4b3267b694d8a8" PartId="549d2fe274f84845896c17e35c5b8f74"/>
          </Part>
          <Part Type="strPunktas" Nr="3" Abbr="15 str. 1 d. 3 p." DocPartId="f1182da78dbe4522b17928b75daf3d7a" PartId="220a0e2703f04ec0883b5a0cf78529d9">
            <Part Type="strPapunktis" Nr="a" Abbr="15 str. 1 d. 3 p. a pp." DocPartId="0ff19f8ff4b04b4ea1614becbeff69d3" PartId="1a70cb5b3b4248beac80faf24195035a"/>
            <Part Type="strPapunktis" Nr="b" Abbr="15 str. 1 d. 3 p. b pp." DocPartId="f321e7a70a9d4d72adbef6f594f765b1" PartId="503a4c18afcf44f7b7e05cccccf96130"/>
            <Part Type="strPapunktis" Nr="c" Abbr="15 str. 1 d. 3 p. c pp." DocPartId="2a823b5c7ecb4e639998d419f5a3aad4" PartId="2a46466e717e4dfda7765be9f7e35576"/>
            <Part Type="strPapunktis" Nr="d" Abbr="15 str. 1 d. 3 p. d pp." DocPartId="c9562d197e464a3495da454cf4639ec7" PartId="dc7a3d2750cc4f92b4dc12688424816e"/>
          </Part>
        </Part>
        <Part Type="strDalis" Nr="2" Abbr="15 str. 2 d." DocPartId="4ed3b36efab344d4ba25ad4f0a911762" PartId="0866d40ffb1c4707a103d3d8873cc219"/>
        <Part Type="strDalis" Nr="3" Abbr="15 str. 3 d." DocPartId="cc075e95aa2f49b095c212f654014386" PartId="f6727dc011544106bb777244c71b8b60">
          <Part Type="strPunktas" Nr="1" Abbr="15 str. 3 d. 1 p." DocPartId="d51b903df8274138ae67fc2321f68c2c" PartId="12dd4f1a2ed94875a689487e01ce50e5"/>
          <Part Type="strPunktas" Nr="2" Abbr="15 str. 3 d. 2 p." DocPartId="69c1f06c6c4f48d3bd75f7c730e51885" PartId="a5db9c49d63849fd9a7ff070ec83025f"/>
          <Part Type="strPunktas" Nr="3" Abbr="15 str. 3 d. 3 p." DocPartId="c156727e84684860a230a45276a37888" PartId="8a72fd9cce9e43e7a997a5a37dbcb8ee"/>
        </Part>
        <Part Type="strDalis" Nr="4" Abbr="15 str. 4 d." DocPartId="dcfaada04f574d2f9722601d98608bcd" PartId="838208fe122f4eb2b96eba1ea4faac91"/>
        <Part Type="strDalis" Nr="5" Abbr="15 str. 5 d." DocPartId="18ec12e082f74129a4bb4d604622935e" PartId="16269431279f4ccdb5dbccfb0ac6a90b"/>
        <Part Type="strDalis" Nr="6" Abbr="15 str. 6 d." DocPartId="d046a1bd48fd48488943fd414a72c5c2" PartId="3d0836510a7a47379900b0ca27cc15b2"/>
        <Part Type="strDalis" Nr="7" Abbr="15 str. 7 d." DocPartId="3ea013379dea4149af2645683589472a" PartId="f002fdaff9b84d0992c5969008e3594d"/>
        <Part Type="strDalis" Nr="8" Abbr="15 str. 8 d." DocPartId="0d7eb2e2d72b4d019098555fea268ae8" PartId="21ac9ac1961244b3a6525a9a5444976d"/>
      </Part>
      <Part Type="straipsnis" Nr="15-1" Abbr="15-1 str." Title="Keitimasis informacija tarp finansų įstaigų" DocPartId="bd595fa30ba6470bb0d3bdf935ca5094" PartId="09d3e0c4188e4eeb97d9fc90d3f31798">
        <Part Type="strDalis" Nr="1" Abbr="15-1 str. 1 d." DocPartId="14d14c6babb54a939d88886fd7f0b3b9" PartId="fce579d07519416a8ea545aa7297dcd9"/>
        <Part Type="strDalis" Nr="2" Abbr="15-1 str. 2 d." DocPartId="911f4bb154ca44dda3833d3785de67ce" PartId="5a26ceca50b24a979e7b92fdcd24f73a"/>
      </Part>
      <Part Type="straipsnis" Nr="15-2" Abbr="15-2 str." Title="Tapatybės nustatymo ir stebėsenos veiklos funkcijų perdavimas kitam asmeniui" DocPartId="0c7e6dfde5e14e28a57d6f8139b6989f" PartId="8d9e6e897d4a41cda54959c8a82670ae">
        <Part Type="strDalis" Nr="1" Abbr="15-2 str. 1 d." DocPartId="b1bfc21815ec481798c4ebcd7998a9f1" PartId="6d60572ac06c4f9f8a7d34daccf29288"/>
        <Part Type="strDalis" Nr="2" Abbr="15-2 str. 2 d." DocPartId="c5ae16b99ce04a4e8800f6d1acf5ea76" PartId="740aad838a034e9788e1b0c7f35285b4">
          <Part Type="strPunktas" Nr="1" Abbr="15-2 str. 2 d. 1 p." DocPartId="162f52c21202486c973f2f6dcc4a3416" PartId="b91a6b724c5145efb330dbfa98f191ba"/>
          <Part Type="strPunktas" Nr="2" Abbr="15-2 str. 2 d. 2 p." DocPartId="7480b23b5a514042bf8289e72f2f8bb6" PartId="42e66478eb674c9ca3b6d790126ddd01"/>
          <Part Type="strPunktas" Nr="3" Abbr="15-2 str. 2 d. 3 p." DocPartId="80c35fd9d13246a4a4a3a2df699de42f" PartId="08437ec8e5e343cba104d0e0c819e21d"/>
          <Part Type="strPunktas" Nr="4" Abbr="15-2 str. 2 d. 4 p." DocPartId="893caa95fcfc46dd810c7bf33a9aa19b" PartId="cf2f1cc55b104085aa44e6782e164f9c"/>
          <Part Type="strPunktas" Nr="5" Abbr="15-2 str. 2 d. 5 p." DocPartId="61ba04d8b3ce44a1af8b325f3c3e1ebe" PartId="2b21e4396f7e424f9ec90e506ff6a8fd"/>
        </Part>
        <Part Type="strDalis" Nr="3" Abbr="15-2 str. 3 d." DocPartId="745c737ceb214ac9bd6f97f088c5a769" PartId="7938d8e40c864c2c8803886fb1196842"/>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2ab5da5123ba4020aeba96b75c3f8e9b">
        <Part Type="strDalis" Nr="1" Abbr="19 str. 1 d." DocPartId="a3bc3177099a484ea078b32606e89751" PartId="b9e78259c35c4068b6fb6a0f6c541b5a"/>
        <Part Type="strDalis" Nr="2" Abbr="19 str. 2 d." DocPartId="9413ceb174344928b63c376ee94ab579" PartId="f7bf7b33519445c893fa0658bf100593"/>
        <Part Type="strDalis" Nr="3" Abbr="19 str. 3 d." DocPartId="4ef31eb7830e4a44af047331a40bf1e9" PartId="719d79e4714943c08fdbeae01b278bd6"/>
        <Part Type="strDalis" Nr="4" Abbr="19 str. 4 d." DocPartId="beae239d1575436a9e1d60809e0346ee" PartId="400a225251574336a37c1e01232a7e60"/>
        <Part Type="strDalis" Nr="5" Abbr="19 str. 5 d." DocPartId="e59724f17f974ea6adab7e512703d72a" PartId="4e253803b9e143949ef05508ca9da919"/>
        <Part Type="strDalis" Nr="6" Abbr="19 str. 6 d." DocPartId="cd7d7cbdc34f4173a363ffa1a63e28f1" PartId="cf6d7fd107c04b109600fc1452cf072e"/>
        <Part Type="strDalis" Nr="7" Abbr="19 str. 7 d." DocPartId="4b6514e1208e40c297b5bf5d4fbce093" PartId="cfa087333eaf4faeaef1112af2f5a5f5"/>
        <Part Type="strDalis" Nr="8" Abbr="19 str. 8 d." DocPartId="f33c3c9de4a4420abaf468d143c79a84" PartId="4511e7e884a6469883943578107519d9"/>
        <Part Type="strDalis" Nr="9" Abbr="19 str. 9 d." DocPartId="e80466c94a72475bb98c325f35d04c25" PartId="e826eebba72f49e8a53553284dfb1026"/>
        <Part Type="strDalis" Nr="10" Abbr="19 str. 10 d." DocPartId="7aebe805b68041fe861d33e3bea7854b" PartId="53d090c1817d49169bce283787ab637b"/>
        <Part Type="strDalis" Nr="11" Abbr="19 str. 11 d." DocPartId="09be551c008c411e987a0b77ff3283a5" PartId="8fccabb73cf343878cb50fb68edd6e69"/>
        <Part Type="strDalis" Nr="12" Abbr="19 str. 12 d." DocPartId="d79bb623c89c46e1b6e77769a4a0666c" PartId="5b381c49aa234ca381c3a6cbdcb1970b"/>
        <Part Type="strDalis" Nr="13" Abbr="19 str. 13 d." DocPartId="d671ad026d01493ab8856c8123850711" PartId="119126bbbe32424cb6356f41f0b50e60"/>
        <Part Type="strDalis" Nr="14" Abbr="19 str. 14 d." DocPartId="c492e966118144e68ac373addf7d973b" PartId="b81efe2f2b4b4e51b1c20002f3e8f57e"/>
        <Part Type="strDalis" Nr="15" Abbr="19 str. 15 d." DocPartId="56c704cfa0bc4768972785f5d66e51e4" PartId="b4326688085842469c8254fa743dc982"/>
        <Part Type="strDalis" Nr="16" Abbr="19 str. 16 d." DocPartId="2ff283b373fc4a0e8488867f5e7b4f10" PartId="5fb6157e914344c397e7b33f590c7a70"/>
      </Part>
      <Part Type="straipsnis" Nr="20" Abbr="20 str." Title="Informacijos pateikimas Finansinių nusikaltimų tyrimo tarnybai" DocPartId="1cd8bf1286d24136ba156037976585f8" PartId="3cdfe91d1eeb46379a7313519071cc05">
        <Part Type="strDalis" Nr="1" Abbr="20 str. 1 d." DocPartId="52e7509bb3bc4ae5bfb246e86a5f228a" PartId="e6305e4c47ca4ed7a4847a8b640570c7"/>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9f7f7b07561847b4abeace54d7d2ca42"/>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85746dad76a7425ea14edd3b8d3e77d5"/>
        </Part>
        <Part Type="strDalis" Nr="3" Abbr="21 str. 3 d." DocPartId="3656ff98adf0492f8b44fcd9dde51aff" PartId="b31e5aa257664898a27b61f95776a425"/>
        <Part Type="strDalis" Nr="4" Abbr="21 str. 4 d." DocPartId="eb9b6b9aacd1441b8af8ab20143f9b55" PartId="54ec929b602c43888eb771c57ae5c19c"/>
        <Part Type="strDalis" Nr="5" Abbr="21 str. 5 d." DocPartId="42c1e9c348e148c9b56f3b5ddde9abd9" PartId="abf1249b5e484a7182a3cdf072c3336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5-2" Abbr="5-2 d." DocPartId="007597ea600f4b13948b9c4a8c71124d" PartId="5bfdc61fb2894c5794708ba9c3b002e4"/>
        <Part Type="strDalis" Nr="6" Abbr="22 str. 6 d." DocPartId="6e2cb3e764c34c76b141cf03d0fa489e" PartId="856d381488484b62a7c01226a1cb97ce"/>
        <Part Type="strDalis" Nr="7" Abbr="22 str. 7 d." DocPartId="4109eb9e14b449ba9d3a793cd473b41e" PartId="5ae79b4d470d4ea096dadc9f7352faef"/>
        <Part Type="strDalis" Nr="8" Abbr="8 d." DocPartId="642470ed2f124a4b903f4155a996dd5e" PartId="e3e409b5649e4403a3890d34aef383b0"/>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c08d4c81586b4d0d9526b68d57db72da"/>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Reikalavimai juridiniams asmenims ir asmenims, susijusiems su patikos ar bendrovių, mokesčių konsultavimo paslaugų teikėjais ir nekilnojamojo turto agentais (brokeriais)" DocPartId="a940a501b91244799f9db00e6e1ac7fb" PartId="b41fae539ac24cffbd51164476c751a2">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2bca7a4e839b4dbd810b5cad05804a91"/>
        <Part Type="strDalis" Nr="3" Abbr="25 str. 3 d." DocPartId="8eebd92b3d6b48168d3c0883a04b9abe" PartId="31b70bf4c8ae4373879fc74dd1e0aa1f">
          <Part Type="strPunktas" Nr="1" Abbr="25 str. 3 d. 1 p." DocPartId="1c8b104a6eb840ffbd629e4da3201ead" PartId="b720eaf6d72b400eab39f96097b8d9ed"/>
          <Part Type="strPunktas" Nr="2" Abbr="25 str. 3 d. 2 p." DocPartId="66286258761c48efaa79cedf68eb4df9" PartId="77985be66e2840168ff39a409bda0b35"/>
          <Part Type="strPunktas" Nr="3" Abbr="25 str. 3 d. 3 p." DocPartId="9c02c346f2d6469e897dfd3801116e12" PartId="b624b22858cc4077b2d2a1bbba31d957"/>
        </Part>
        <Part Type="strDalis" Nr="3-1" Abbr="3-1 d." DocPartId="787f109c537b4a44b4dbbc5fa5cbee1f" PartId="84cd9ddf035842af8f7485f6d4bbde66">
          <Part Type="strPunktas" Nr="1" Abbr="3-1 d. 1 p." DocPartId="9adcf885b22d4f3abd0cb341ae010f64" PartId="ea7c34bd67054c5bbccdc8e33f35669f"/>
          <Part Type="strPunktas" Nr="2" Abbr="3-1 d. 2 p." DocPartId="d6df761dc0ff46859b25f1605e96e590" PartId="fd23d3b4ca4547baa4d9afb1fafe42ed"/>
          <Part Type="strPunktas" Nr="3" Abbr="3-1 d. 3 p." DocPartId="b76fa1c954704e3d82197321b4cf7d1b" PartId="19a939f54ab54af7bb7f519caad7dd4e"/>
        </Part>
        <Part Type="strDalis" Nr="4" Abbr="25 str. 4 d." DocPartId="6edd985e28864234a5dde0b16caf3349" PartId="527a376b77494e4ba41c7a000fbaf5b1"/>
        <Part Type="strDalis" Nr="5" Abbr="25 str. 5 d." DocPartId="8aad11bd320f4a4a9c112b6932dae082" PartId="f2e48c82a7bf4e768487b08e2a9ed81a"/>
        <Part Type="strDalis" Nr="6" Abbr="25 str. 6 d." DocPartId="cad8aa3d06bc47b18243bc4064bad684" PartId="fc69ad900abc43a2a373e10fc2ebe2e8">
          <Part Type="strPunktas" Nr="1" Abbr="25 str. 6 d. 1 p." DocPartId="5e2046bba8df4fd29426284a4584bf63" PartId="9f85db1089ad4bf8a63a13b36a3a94ce">
            <Part Type="strPapunktis" Nr="a" Abbr="25 str. 6 d. 1 p. a pp." DocPartId="35dd47a2c17f45ada68e0dfc5aa64489" PartId="02e4904e17f44298b9091cf220861add"/>
            <Part Type="strPapunktis" Nr="b" Abbr="25 str. 6 d. 1 p. b pp." DocPartId="bd34b032bd474064a509fddd0f8bc005" PartId="070a9c61ff6a42eb96b359745f44e490"/>
          </Part>
          <Part Type="strPunktas" Nr="2" Abbr="25 str. 6 d. 2 p." DocPartId="98c6ea99097b4672bc1604acabd68288" PartId="a9043a4023ff4563b7cafe725ddbc706"/>
        </Part>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5c994838dd1e426a8d639c9a3bd3951a"/>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24971a27a5c64a63b745180bcbcd4c70"/>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00bb69f951604a388eb91f0ee579f7a3"/>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2ec1eedc78734cb2996556fefb3a2d28"/>
        <Part Type="strDalis" Nr="4" Abbr="28 str. 4 d." DocPartId="db1df10bb227441796c0130400738d52" PartId="4a615c671ed64fdbb7eefa3f7d50a294"/>
        <Part Type="strDalis" Nr="5" Abbr="28 str. 5 d." DocPartId="43366a51cc3e41e69aa7e9dea1c073b7" PartId="df7339f258be407fb33c1b2bcca0e222"/>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626bdaed8d494736b2d916a68e49a47f"/>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6acd8d7a3be1431b91a79e9ef64efd4f"/>
        <Part Type="strDalis" Nr="7" Abbr="29 str. 7 d." DocPartId="81f9933088d94eff9b068c825040d33a" PartId="faa6eeef60444b74ba8baf5ff2ec368e"/>
        <Part Type="strDalis" Nr="8" Abbr="8 d." DocPartId="96d5d1f557664a0bb4db05cc1adcac22" PartId="1507fe23e09f46098d80ef5135b5dd9e">
          <Part Type="strPunktas" Nr="1" Abbr="8 d. 1 p." DocPartId="5e88a0f5c7864b94ad9afda5ee511f7c" PartId="e1b334e3b0db4da78112fc84fc36c873"/>
          <Part Type="strPunktas" Nr="2" Abbr="8 d. 2 p." DocPartId="1555b62d05ee4990b43fed1cfd8428f4" PartId="cc3735bc6f2a4d72b5ebfb66a5164caf"/>
          <Part Type="strPunktas" Nr="3" Abbr="8 d. 3 p." DocPartId="2f15c359562a48309360e7883735bfb8" PartId="98fec8e055e64ca0a00b919a6c3813f3"/>
          <Part Type="strPunktas" Nr="4" Abbr="8 d. 4 p." DocPartId="e42bff5c3af5479ebc5e8e465a5f8172" PartId="399524fa7cad45ccbda5387149a419f5"/>
        </Part>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2-1" Abbr="32-1 str." Title="Kovos su pinigų plovimu ir teroristų finansavimu institucijos rengiami patikrinimai" DocPartId="7d6553d68c5e45bcae3c2eeedde320d4" PartId="d6f4e857744b4f68a48911c6f2c6dbfd">
        <Part Type="strDalis" Nr="1" Abbr="32-1 str. 1 d." DocPartId="5bbe8e2df1cb4c4f9cf77cf3b307e7e3" PartId="5e76d3a499e94f6c8ce5bd161728e813"/>
        <Part Type="strDalis" Nr="2" Abbr="32-1 str. 2 d." DocPartId="ea12579a53c146ecb3035c517b913c66" PartId="95c1db1bf7614b119cb161bbcab60643"/>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1ac62986c97a4695a4eb62ef5950ab26"/>
        </Part>
        <Part Type="strDalis" Nr="2" Abbr="36 str. 2 d." DocPartId="13a6b36093324e909c15291fc698a2ce" PartId="27e17ddc79524d4db1122e6db5ae38c6"/>
        <Part Type="strDalis" Nr="3" Abbr="36 str. 3 d." DocPartId="3622de6e8a264e298a10bf0aa9e13200" PartId="6254b0c52233497496698a71e20da148"/>
        <Part Type="strDalis" Nr="4" Abbr="36 str. 4 d." DocPartId="04268cc3833c4a41b224677218d6b4e3" PartId="e9a3384ca8db4d2db30e56f8d6b80811"/>
        <Part Type="strDalis" Nr="5" Abbr="36 str. 5 d." DocPartId="de740e7a01b14db4a974b1e713eb51fd" PartId="6581021e72c44e0d865750a995f3b293"/>
        <Part Type="strDalis" Nr="6" Abbr="36 str. 6 d." DocPartId="55139c1bbcaf47a4a7c2fe4f2e030ff1" PartId="a2be02d52a924a42897141b21561571c"/>
        <Part Type="strDalis" Nr="7" Abbr="36 str. 7 d." DocPartId="7028e41a5c674e75a508e0073abdee78" PartId="293bdf43fb154651a9bb3ca762508951"/>
        <Part Type="strDalis" Nr="8" Abbr="36 str. 8 d." DocPartId="d95874dc06414613a1d1fc4cfa29e87b" PartId="ea536f13f2ff4d19bbd598dd4e4ef3e0"/>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dd4886e27f6f41b18dd1ba8e26cd786d"/>
      </Part>
      <Part Type="straipsnis" Nr="36-1" Abbr="36-1 str." Title="Poveikio priemonių taikymas asmenims, pažeidusiems Reglamento (ES) 2023/1113 nuostatas" DocPartId="66a2b09dff2042a0845b526586713c85" PartId="21ad335e1057491cbe4ee309816f5e59">
        <Part Type="strDalis" Nr="1" Abbr="36-1 str. 1 d." DocPartId="61599ff71a034b978bf8e3060501967f" PartId="089582b6822a47dc9f5166045ddf933c"/>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4e866627f5be400abec5a950fd949bfa"/>
      </Part>
      <Part Type="straipsnis" Nr="40" Abbr="40 str." Title="Baudos kitiems įpareigotiesiems subjektams" DocPartId="6fdc0f11be184a1aacf94c5b53dd3dc4" PartId="eaf757c25b734dc997822162cade3d99">
        <Part Type="strDalis" Nr="1" Abbr="40 str. 1 d." DocPartId="05d0d253433c453ba78efe7112a92195" PartId="e98d853e037e420d8c58db27a3a62933">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90f040a2d8724a72823aa69c16527e00"/>
        <Part Type="strDalis" Nr="3" Abbr="40 str. 3 d." DocPartId="e5a23d4f1c9d44ff9278606bdb434ce3" PartId="efec7214edae492c9aa63ac1523915da"/>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1dcfb72943594335ada02f319b6fc3a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5016d50d0f1943e3be482c140da25118">
        <Part Type="strDalis" Nr="1" Abbr="49 str. 1 d." DocPartId="d0d8019e9a114170af3192151fa6b79d" PartId="ca211a4e70db4b7bb9a7f5f4fe0e08cd"/>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f4708f4c0118413094e0261c7e8adca3"/>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fe813222655b4440a41caf0040cfeb2e"/>
    <Part Type="punktas" Nr="3" Abbr="pr. 3 p." DocPartId="c730135ec4be484390c7db054648b59b" PartId="747a654f031a45d19d7cf9d0f9ab7ae3"/>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Type="strDalis" Nr="7" Abbr="7 d." DocPartId="cd8214862f964cd092421c98b2eeaafe" PartId="d799f5bac1bc484c9fd78f50b10bfc8d"/>
    <Part Type="punktas" Nr="8" Abbr="8 p." DocPartId="d2a9c263eb3c4f5f8023bbb5fd477b4d" PartId="43df60ab39e54835bea6cd3dd2dc6189"/>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3E75E68-2DF2-4B46-BB6D-7542C23BB642}">
  <ds:schemaRefs>
    <ds:schemaRef ds:uri="http://lrs.lt/TAIS/DocParts"/>
  </ds:schemaRefs>
</ds:datastoreItem>
</file>

<file path=customXml/itemProps3.xml><?xml version="1.0" encoding="utf-8"?>
<ds:datastoreItem xmlns:ds="http://schemas.openxmlformats.org/officeDocument/2006/customXml" ds:itemID="{DFF6641E-D7EE-43CC-9F1A-5C5DEFEC99E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233</TotalTime>
  <Pages>90</Pages>
  <Words>30345</Words>
  <Characters>222114</Characters>
  <Application>Microsoft Office Word</Application>
  <DocSecurity>0</DocSecurity>
  <Lines>1850</Lines>
  <Paragraphs>503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251956</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TAMALIŪNIENĖ Vilija</lastModifiedBy>
  <lastPrinted>2254-05-16T19:52:00Z</lastPrinted>
  <dcterms:modified xsi:type="dcterms:W3CDTF">2025-07-04T11:54:00Z</dcterms:modified>
  <revision>84</revision>
  <dc:title>Redagavo: Ramunė Lūžaitė (1998</dc:title>
</coreProperties>
</file>