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2021-06-03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3b8b3a675e8d4f0f867436e3611b3027"/>
                    <w:lock w:val="sdtLocked"/>
                    <w:richText/>
                  </w:sdtPr>
                  <w:sdtContent>
                    <w:p>
                      <w:pPr>
                        <w:spacing w:line="360" w:lineRule="auto"/>
                        <w:ind w:firstLine="720"/>
                        <w:jc w:val="both"/>
                        <w:rPr>
                          <w:bCs/>
                          <w:szCs w:val="24"/>
                        </w:rPr>
                      </w:pPr>
                      <w:sdt>
                        <w:sdtPr>
                          <w:alias w:val="Numeris"/>
                          <w:tag w:val="nr_3b8b3a675e8d4f0f867436e3611b3027"/>
                          <w:lock w:val="sdtLocked"/>
                          <w:richText/>
                        </w:sdtPr>
                        <w:sdtContent>
                          <w:r>
                            <w:rPr>
                              <w:bCs/>
                              <w:szCs w:val="24"/>
                            </w:rPr>
                            <w:t>4</w:t>
                          </w:r>
                        </w:sdtContent>
                      </w:sdt>
                      <w:r>
                        <w:rPr>
                          <w:bCs/>
                          <w:szCs w:val="24"/>
                        </w:rPr>
                        <w:t xml:space="preserve">. </w:t>
                      </w:r>
                      <w:r>
                        <w:rPr>
                          <w:b/>
                          <w:bCs/>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 (OL 2010 L 331, p. 12)</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 (OL 2010 L 331, p. 48)</w:t>
                      </w:r>
                      <w:r>
                        <w:rPr>
                          <w:bCs/>
                          <w:szCs w:val="24"/>
                        </w:rPr>
                        <w:t xml:space="preserve">, ir Europos vertybinių popierių ir rinkų institucija, įsteigta </w:t>
                      </w:r>
                      <w:r>
                        <w:rPr>
                          <w:color w:val="000000"/>
                          <w:szCs w:val="24"/>
                        </w:rPr>
                        <w:t xml:space="preserve">2010 m. lapkričio 24 d. </w:t>
                      </w:r>
                      <w:r>
                        <w:rPr>
                          <w:bCs/>
                          <w:szCs w:val="24"/>
                        </w:rPr>
                        <w:t>Europos Parlamento ir Tarybos reglamentu (ES) Nr. 1095/2010, kuriuo įsteigiama Europos priežiūros institucija (Europos vertybinių popierių ir rinkų institucija) ir iš dalies keičiamas Sprendimas Nr. 716/2009/EB bei panaikinamas Komisijos sprendimas 2009/77/EB (OL 2010 L 331, p. 84).</w:t>
                      </w:r>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2 str. 7 d."/>
                    <w:tag w:val="part_302bfaf591764dbbb8076ab09bb1205d"/>
                    <w:lock w:val="sdtLocked"/>
                    <w:richText/>
                  </w:sdtPr>
                  <w:sdtContent>
                    <w:p>
                      <w:pPr>
                        <w:spacing w:line="360" w:lineRule="auto"/>
                        <w:ind w:firstLine="720"/>
                        <w:jc w:val="both"/>
                        <w:rPr>
                          <w:szCs w:val="24"/>
                        </w:rPr>
                      </w:pPr>
                      <w:sdt>
                        <w:sdtPr>
                          <w:alias w:val="Numeris"/>
                          <w:tag w:val="nr_302bfaf591764dbbb8076ab09bb1205d"/>
                          <w:lock w:val="sdtLocked"/>
                          <w:richText/>
                        </w:sdtPr>
                        <w:sdtContent>
                          <w:r>
                            <w:rPr>
                              <w:szCs w:val="24"/>
                              <w:lang w:eastAsia="lt-LT"/>
                            </w:rPr>
                            <w:t>7</w:t>
                          </w:r>
                        </w:sdtContent>
                      </w:sdt>
                      <w:r>
                        <w:rPr>
                          <w:szCs w:val="24"/>
                          <w:lang w:eastAsia="lt-LT"/>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w:t>
                      </w:r>
                      <w:r>
                        <w:rPr>
                          <w:bCs/>
                          <w:szCs w:val="24"/>
                        </w:rPr>
                        <w:t>Lietuvos Respublikos valiutos keityklos operatorių įstatyme apibrėžti valiutos keityklos operatoriai,</w:t>
                      </w:r>
                      <w:r>
                        <w:rPr>
                          <w:szCs w:val="24"/>
                          <w:lang w:eastAsia="lt-LT"/>
                        </w:rPr>
                        <w:t xml:space="preserve"> Lietuvos Respublikos sutelktinio finansavimo įstatyme apibrėžti sutelktinio finansavimo platformų operatoriai, Lietuvos Respublikos vartojimo kredito įstatyme ir Lietuvos Respublikos su nekilnojamuoju turtu susijusio kredito įstatyme apibrėžti tarpusavio skolinimo platformų operatoriai, Lietuvos Respublikos draudimo įstatyme apibrėžtos d</w:t>
                      </w:r>
                      <w:r>
                        <w:rPr>
                          <w:szCs w:val="24"/>
                        </w:rPr>
                        <w:t>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w:t>
                      </w:r>
                      <w:r>
                        <w:rPr>
                          <w:szCs w:val="24"/>
                          <w:lang w:eastAsia="lt-LT"/>
                        </w:rPr>
                        <w:t xml:space="preserve"> šių užsienio finansų įstaigų filialai, įsteigti Lietuvos Respublikoje, taip pat elektroninių pinigų įstaigos ir mokėjimo įstaigos, kurių buveinė yra kitoje Europos Sąjungos valstybėje narėje</w:t>
                      </w:r>
                      <w:r>
                        <w:rPr>
                          <w:sz w:val="22"/>
                          <w:szCs w:val="24"/>
                          <w:lang w:eastAsia="lt-LT"/>
                        </w:rPr>
                        <w:t>,</w:t>
                      </w:r>
                      <w:r>
                        <w:rPr>
                          <w:szCs w:val="24"/>
                          <w:lang w:eastAsia="lt-LT"/>
                        </w:rPr>
                        <w:t xml:space="preserve"> teikiančios paslaugas Lietuvos Respublikoje per tarpininkus, fizinius ar juridinius asmenis.</w:t>
                      </w:r>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7e7c21ee24cf4d4c9a15f8f87f2ecb01"/>
                        <w:lock w:val="sdtLocked"/>
                        <w:richText/>
                      </w:sdtPr>
                      <w:sdtContent>
                        <w:p>
                          <w:pPr>
                            <w:spacing w:line="400" w:lineRule="atLeast"/>
                            <w:ind w:firstLine="720"/>
                            <w:jc w:val="both"/>
                            <w:rPr>
                              <w:bCs/>
                              <w:szCs w:val="24"/>
                            </w:rPr>
                          </w:pPr>
                          <w:sdt>
                            <w:sdtPr>
                              <w:alias w:val="Numeris"/>
                              <w:tag w:val="nr_7e7c21ee24cf4d4c9a15f8f87f2ecb01"/>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(OL 2013 L 269, p. 1), su paskutiniais pakeitimais, padarytais 2019 m. balandžio 17 d. Europos Parlamento ir Tarybos reglamentu (ES) 2019/632 (OL 2019 L 111, p. 54),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2 d."/>
                    <w:tag w:val="part_355331c91ec14a978b69bca1673e45b3"/>
                    <w:lock w:val="sdtLocked"/>
                    <w:richText/>
                  </w:sdtPr>
                  <w:sdtContent>
                    <w:p>
                      <w:pPr>
                        <w:spacing w:line="400" w:lineRule="atLeast"/>
                        <w:ind w:firstLine="720"/>
                        <w:jc w:val="both"/>
                      </w:pPr>
                      <w:sdt>
                        <w:sdtPr>
                          <w:alias w:val="Numeris"/>
                          <w:tag w:val="nr_355331c91ec14a978b69bca1673e45b3"/>
                          <w:lock w:val="sdtLocked"/>
                          <w:richText/>
                        </w:sdtPr>
                        <w:sdtContent>
                          <w:r>
                            <w:rPr>
                              <w:rFonts w:eastAsia="SimSun"/>
                              <w:szCs w:val="24"/>
                            </w:rPr>
                            <w:t>22</w:t>
                          </w:r>
                          <w:r>
                            <w:rPr>
                              <w:rFonts w:eastAsia="SimSun"/>
                              <w:szCs w:val="24"/>
                              <w:vertAlign w:val="superscript"/>
                            </w:rPr>
                            <w:t>2</w:t>
                          </w:r>
                        </w:sdtContent>
                      </w:sdt>
                      <w:r>
                        <w:rPr>
                          <w:rFonts w:eastAsia="SimSun"/>
                          <w:szCs w:val="24"/>
                        </w:rPr>
                        <w:t xml:space="preserve">. </w:t>
                      </w:r>
                      <w:r>
                        <w:rPr>
                          <w:rFonts w:eastAsia="SimSun"/>
                          <w:b/>
                          <w:szCs w:val="24"/>
                        </w:rPr>
                        <w:t>Virtualioji valiuta</w:t>
                      </w:r>
                      <w:r>
                        <w:rPr>
                          <w:rFonts w:eastAsia="SimSun"/>
                          <w:szCs w:val="24"/>
                        </w:rPr>
                        <w:t xml:space="preserve"> – skaitmeninę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pervedama, saugoma ir parduodama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4c785e59b1764142bc699b975a8ad6b5"/>
                <w:lock w:val="sdtLocked"/>
                <w:richText/>
              </w:sdtPr>
              <w:sdtContent>
                <w:p>
                  <w:pPr>
                    <w:spacing w:line="360" w:lineRule="auto"/>
                    <w:ind w:left="2127" w:hanging="1407"/>
                    <w:jc w:val="both"/>
                    <w:rPr>
                      <w:bCs/>
                      <w:color w:val="000000"/>
                      <w:szCs w:val="24"/>
                    </w:rPr>
                  </w:pPr>
                  <w:sdt>
                    <w:sdtPr>
                      <w:alias w:val="Numeris"/>
                      <w:tag w:val="nr_4c785e59b1764142bc699b975a8ad6b5"/>
                      <w:lock w:val="sdtLocked"/>
                      <w:richText/>
                    </w:sdtPr>
                    <w:sdtContent>
                      <w:r>
                        <w:rPr>
                          <w:b/>
                          <w:bCs/>
                          <w:color w:val="000000"/>
                          <w:szCs w:val="24"/>
                        </w:rPr>
                        <w:t>3</w:t>
                      </w:r>
                    </w:sdtContent>
                  </w:sdt>
                  <w:r>
                    <w:rPr>
                      <w:b/>
                      <w:bCs/>
                      <w:color w:val="000000"/>
                      <w:szCs w:val="24"/>
                    </w:rPr>
                    <w:t xml:space="preserve"> straipsnis. </w:t>
                  </w:r>
                  <w:sdt>
                    <w:sdtPr>
                      <w:alias w:val="Pavadinimas"/>
                      <w:tag w:val="title_4c785e59b1764142bc699b975a8ad6b5"/>
                      <w:lock w:val="sdtLocked"/>
                      <w:richText/>
                    </w:sdtPr>
                    <w:sdtContent>
                      <w:r>
                        <w:rPr>
                          <w:b/>
                          <w:bCs/>
                          <w:color w:val="000000"/>
                          <w:szCs w:val="24"/>
                        </w:rPr>
                        <w:t>Už pinigų plovimo ir (ar) teroristų finansavimo prevenciją atsakingos institucijos</w:t>
                      </w:r>
                    </w:sdtContent>
                  </w:sdt>
                </w:p>
                <w:sdt>
                  <w:sdtPr>
                    <w:alias w:val="3 str. 1 d."/>
                    <w:tag w:val="part_fd7b4c719be84e6cb65f5288a0672e7a"/>
                    <w:lock w:val="sdtLocked"/>
                    <w:richText/>
                  </w:sdtPr>
                  <w:sdtContent>
                    <w:p>
                      <w:pPr>
                        <w:spacing w:line="360" w:lineRule="auto"/>
                        <w:ind w:firstLine="720"/>
                        <w:jc w:val="both"/>
                        <w:rPr>
                          <w:szCs w:val="24"/>
                        </w:rPr>
                      </w:pPr>
                      <w:r>
                        <w:rPr>
                          <w:szCs w:val="24"/>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Lošimų priežiūros tarnyba prie Lietuvos Respublikos finansų ministerijos (toliau – Lošimų priežiūros tarnyba), Lietuvos notarų rūmai, Lietuvos auditorių rūmai, Lietuvos antstolių rūmai,</w:t>
                      </w:r>
                      <w:r>
                        <w:rPr>
                          <w:b/>
                          <w:bCs/>
                          <w:szCs w:val="24"/>
                        </w:rPr>
                        <w:t xml:space="preserve"> </w:t>
                      </w:r>
                      <w:r>
                        <w:rPr>
                          <w:szCs w:val="24"/>
                        </w:rPr>
                        <w:t>Lietuvos prabavimo rūmai ir Lietuvos advokatūra yra institucijos, pagal kompetenciją atsakingos už šiame įstatyme nustatytą pinigų plovimo ir (ar) teroristų finansavimo prevenciją.</w:t>
                      </w:r>
                    </w:p>
                    <w:p>
                      <w:pPr>
                        <w:spacing w:line="360" w:lineRule="auto"/>
                        <w:ind w:firstLine="720"/>
                        <w:jc w:val="both"/>
                        <w:rPr>
                          <w:szCs w:val="24"/>
                        </w:rPr>
                      </w:pPr>
                    </w:p>
                  </w:sdtContent>
                </w:sdt>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ade558d07fc34cbfad8db2b4c83e85c4"/>
                    <w:lock w:val="sdtLocked"/>
                    <w:richText/>
                  </w:sdtPr>
                  <w:sdtContent>
                    <w:p>
                      <w:pPr>
                        <w:spacing w:line="360" w:lineRule="auto"/>
                        <w:ind w:firstLine="720"/>
                        <w:jc w:val="both"/>
                        <w:rPr>
                          <w:szCs w:val="24"/>
                        </w:rPr>
                      </w:pPr>
                      <w:sdt>
                        <w:sdtPr>
                          <w:alias w:val="Numeris"/>
                          <w:tag w:val="nr_ade558d07fc34cbfad8db2b4c83e85c4"/>
                          <w:lock w:val="sdtLocked"/>
                          <w:richText/>
                        </w:sdtPr>
                        <w:sdtContent>
                          <w:r>
                            <w:rPr>
                              <w:szCs w:val="24"/>
                            </w:rPr>
                            <w:t>1</w:t>
                          </w:r>
                        </w:sdtContent>
                      </w:sdt>
                      <w:r>
                        <w:rPr>
                          <w:szCs w:val="24"/>
                        </w:rPr>
                        <w:t xml:space="preserve">. Lietuvos bankas patvirtina kredito įstaigoms, elektroninių pinigų įstaigoms, mokėjimo įstaigoms, valiutos keityklos operatoriams, sutelktinio finansavimo platformų operatoriams, </w:t>
                      </w:r>
                      <w:r>
                        <w:rPr>
                          <w:szCs w:val="24"/>
                          <w:lang w:eastAsia="lt-LT"/>
                        </w:rPr>
                        <w:t xml:space="preserve">tarpusavio skolinimo platformų operatoriams, </w:t>
                      </w:r>
                      <w:r>
                        <w:rPr>
                          <w:szCs w:val="24"/>
                        </w:rPr>
                        <w:t xml:space="preserve">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w:t>
                      </w:r>
                      <w:r>
                        <w:rPr>
                          <w:szCs w:val="24"/>
                          <w:lang w:eastAsia="lt-LT"/>
                        </w:rPr>
                        <w:t>taip pat elektroninių pinigų įstaigoms ir mokėjimo įstaigoms, kurių buveinė yra kitoje valstybėje narėje, teikiančioms paslaugas Lietuvos Respublikoje per tarpininkus, fizinius ar juridinius asmenis,</w:t>
                      </w:r>
                      <w:r>
                        <w:rPr>
                          <w:b/>
                          <w:szCs w:val="24"/>
                          <w:lang w:eastAsia="lt-LT"/>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f9d3427f0e2049a3853a9f34d9980ea1"/>
                        <w:lock w:val="sdtLocked"/>
                        <w:richText/>
                      </w:sdtPr>
                      <w:sdtContent>
                        <w:p>
                          <w:pPr>
                            <w:spacing w:line="360" w:lineRule="auto"/>
                            <w:ind w:firstLine="720"/>
                            <w:jc w:val="both"/>
                            <w:rPr>
                              <w:szCs w:val="24"/>
                            </w:rPr>
                          </w:pPr>
                          <w:sdt>
                            <w:sdtPr>
                              <w:alias w:val="Numeris"/>
                              <w:tag w:val="nr_f9d3427f0e2049a3853a9f34d9980ea1"/>
                              <w:lock w:val="sdtLocked"/>
                              <w:richText/>
                            </w:sdtPr>
                            <w:sdtContent>
                              <w:r>
                                <w:rPr>
                                  <w:szCs w:val="24"/>
                                </w:rPr>
                                <w:t>10</w:t>
                              </w:r>
                            </w:sdtContent>
                          </w:sdt>
                          <w:r>
                            <w:rPr>
                              <w:szCs w:val="24"/>
                            </w:rPr>
                            <w:t xml:space="preserve">) pagal </w:t>
                          </w:r>
                          <w:r>
                            <w:rPr>
                              <w:color w:val="000000"/>
                              <w:szCs w:val="24"/>
                            </w:rPr>
                            <w:t>Reglamentą (ES) Nr. 1093/2010</w:t>
                          </w:r>
                          <w:r>
                            <w:rPr>
                              <w:bCs/>
                              <w:szCs w:val="24"/>
                            </w:rPr>
                            <w:t xml:space="preserve">, </w:t>
                          </w:r>
                          <w:r>
                            <w:rPr>
                              <w:color w:val="000000"/>
                              <w:szCs w:val="24"/>
                            </w:rPr>
                            <w:t xml:space="preserve">Reglamentą (ES) Nr. 1094/2010 </w:t>
                          </w:r>
                          <w:r>
                            <w:rPr>
                              <w:bCs/>
                              <w:szCs w:val="24"/>
                            </w:rPr>
                            <w:t xml:space="preserve">ir Reglamentą (ES) Nr. 1095/2010 </w:t>
                          </w:r>
                          <w:r>
                            <w:rPr>
                              <w:szCs w:val="24"/>
                            </w:rPr>
                            <w:t>bendradarbiauja su Europos priežiūros institucijomis ir teikia joms visą jų užduotims atlikti būtiną informaciją.</w:t>
                          </w:r>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6 p."/>
                        <w:tag w:val="part_e7e4a69a70b94482ab9c4df51ab47718"/>
                        <w:lock w:val="sdtLocked"/>
                        <w:richText/>
                      </w:sdtPr>
                      <w:sdtContent>
                        <w:p>
                          <w:pPr>
                            <w:spacing w:line="400" w:lineRule="atLeast"/>
                            <w:ind w:firstLine="720"/>
                            <w:jc w:val="both"/>
                            <w:rPr>
                              <w:szCs w:val="24"/>
                            </w:rPr>
                          </w:pPr>
                          <w:sdt>
                            <w:sdtPr>
                              <w:alias w:val="Numeris"/>
                              <w:tag w:val="nr_e7e4a69a70b94482ab9c4df51ab47718"/>
                              <w:lock w:val="sdtLocked"/>
                              <w:richText/>
                            </w:sdtPr>
                            <w:sdtContent>
                              <w:r>
                                <w:rPr>
                                  <w:rFonts w:eastAsia="SimSun"/>
                                  <w:szCs w:val="24"/>
                                </w:rPr>
                                <w:t>6</w:t>
                              </w:r>
                            </w:sdtContent>
                          </w:sdt>
                          <w:r>
                            <w:rPr>
                              <w:rFonts w:eastAsia="SimSun"/>
                              <w:szCs w:val="24"/>
                            </w:rPr>
                            <w:t>) prieš atlikdami virtualiosios valiutos keitimo operacijas ar sandorius virtualiąja valiuta lėšomis, kurių suma lygi arba viršija 1 000 eurų ar ją atitinkančią sumą užsienio ar virtualiąja valiuta, arba prieš įnešdami į depozitinę virtualiųjų valiutų piniginę arba iš jos išimdami virtualiąją valiutą, kurios suma lygi arba viršija 1 000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p."/>
                        <w:tag w:val="part_926ad6e6de714072896dd11e2838d6be"/>
                        <w:lock w:val="sdtLocked"/>
                        <w:richText/>
                      </w:sdtPr>
                      <w:sdtContent>
                        <w:p>
                          <w:pPr>
                            <w:spacing w:line="400" w:lineRule="atLeast"/>
                            <w:ind w:firstLine="720"/>
                            <w:jc w:val="both"/>
                          </w:pPr>
                          <w:sdt>
                            <w:sdtPr>
                              <w:alias w:val="Numeris"/>
                              <w:tag w:val="nr_926ad6e6de714072896dd11e2838d6be"/>
                              <w:lock w:val="sdtLocked"/>
                              <w:richText/>
                            </w:sdtPr>
                            <w:sdtContent>
                              <w:r>
                                <w:rPr>
                                  <w:rFonts w:eastAsia="SimSun"/>
                                  <w:szCs w:val="24"/>
                                </w:rPr>
                                <w:t>9</w:t>
                              </w:r>
                            </w:sdtContent>
                          </w:sdt>
                          <w:r>
                            <w:rPr>
                              <w:rFonts w:eastAsia="SimSun"/>
                              <w:szCs w:val="24"/>
                            </w:rPr>
                            <w:t>) per parą atlieka kelias virtualiosios valiutos keitimo operacijas ar sandorius virtualiąja valiuta lėšomis, kurių suma lygi arba viršija 1 000 eurų arba ją atitinkančią sumą užsienio ar virtualiąja valiuta, arba per parą atlieka kelias virtualiosios valiutos įnešimo į depozitinę virtualiųjų valiutų piniginę arba išėmimo iš jos operacijas, kurių suma lygi arba viršija 1 000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2262b167ec544e6bb1cbd8ed02c42500"/>
                        <w:lock w:val="sdtLocked"/>
                        <w:richText/>
                      </w:sdtPr>
                      <w:sdtContent>
                        <w:p>
                          <w:pPr>
                            <w:spacing w:line="360" w:lineRule="auto"/>
                            <w:ind w:firstLine="720"/>
                            <w:jc w:val="both"/>
                            <w:rPr>
                              <w:szCs w:val="24"/>
                            </w:rPr>
                          </w:pPr>
                          <w:sdt>
                            <w:sdtPr>
                              <w:alias w:val="Numeris"/>
                              <w:tag w:val="nr_2262b167ec544e6bb1cbd8ed02c42500"/>
                              <w:lock w:val="sdtLocked"/>
                              <w:richText/>
                            </w:sdtPr>
                            <w:sdtContent>
                              <w:r>
                                <w:rPr>
                                  <w:szCs w:val="24"/>
                                </w:rPr>
                                <w:t>5</w:t>
                              </w:r>
                            </w:sdtContent>
                          </w:sdt>
                          <w:r>
                            <w:rPr>
                              <w:szCs w:val="24"/>
                            </w:rPr>
                            <w:t>)</w:t>
                          </w:r>
                          <w:r>
                            <w:rPr>
                              <w:szCs w:val="24"/>
                              <w:lang w:eastAsia="lt-LT"/>
                            </w:rPr>
                            <w:t xml:space="preserve"> prieš pradedant naudotis finansų įstaigos ar kito įpareigotojo subjekto paslaugomis, į jo mokėjimo sąskaitą iš kliento vardu kredito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196476c6f95748c5863fb4945d3989eb"/>
                    <w:lock w:val="sdtLocked"/>
                    <w:richText/>
                  </w:sdtPr>
                  <w:sdtContent>
                    <w:p>
                      <w:pPr>
                        <w:spacing w:line="400" w:lineRule="atLeast"/>
                        <w:ind w:firstLine="720"/>
                        <w:jc w:val="both"/>
                        <w:rPr>
                          <w:szCs w:val="24"/>
                        </w:rPr>
                      </w:pPr>
                      <w:sdt>
                        <w:sdtPr>
                          <w:alias w:val="Numeris"/>
                          <w:tag w:val="nr_196476c6f95748c5863fb4945d3989eb"/>
                          <w:lock w:val="sdtLocked"/>
                          <w:richText/>
                        </w:sdtPr>
                        <w:sdtContent>
                          <w:r>
                            <w:rPr>
                              <w:szCs w:val="24"/>
                            </w:rPr>
                            <w:t>8</w:t>
                          </w:r>
                        </w:sdtContent>
                      </w:sdt>
                      <w:r>
                        <w:rPr>
                          <w:szCs w:val="24"/>
                        </w:rPr>
                        <w:t xml:space="preserve">. Finansų </w:t>
                      </w:r>
                      <w:r>
                        <w:rPr>
                          <w:szCs w:val="24"/>
                          <w:lang w:eastAsia="lt-LT"/>
                        </w:rPr>
                        <w:t xml:space="preserve">įstaigos ir kiti </w:t>
                      </w:r>
                      <w:r>
                        <w:rPr>
                          <w:szCs w:val="24"/>
                        </w:rPr>
                        <w:t>įpareigotieji</w:t>
                      </w:r>
                      <w:r>
                        <w:rPr>
                          <w:szCs w:val="24"/>
                          <w:lang w:eastAsia="lt-LT"/>
                        </w:rPr>
                        <w:t xml:space="preserve"> subjektai, nustatydami naudos gavėjo tapatybę, papildomai turi teisę naudotis Juridinių asmenų dalyvių informacine sistema (JADIS) ir kitomis valstybės informacinėmis sistemomis, registrais, kuriuose kaupiami duomenys apie juridinių asmenų dalyvius.</w:t>
                      </w:r>
                    </w:p>
                    <w:p>
                      <w:pPr>
                        <w:spacing w:line="400" w:lineRule="atLeast"/>
                        <w:jc w:val="both"/>
                        <w:rPr>
                          <w:szCs w:val="24"/>
                        </w:rPr>
                      </w:pPr>
                      <w:r>
                        <w:rPr>
                          <w:b/>
                          <w:i/>
                          <w:sz w:val="20"/>
                        </w:rPr>
                        <w:t>8 dalies redakcija nuo 2021-08-01:</w:t>
                      </w:r>
                    </w:p>
                    <w:p>
                      <w:pPr>
                        <w:spacing w:line="400" w:lineRule="atLeast"/>
                        <w:ind w:firstLine="720"/>
                        <w:jc w:val="both"/>
                      </w:pPr>
                      <w:r>
                        <w:rPr>
                          <w:szCs w:val="24"/>
                        </w:rPr>
                        <w:t>8. Finansų įstaigos 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asmenų dalyvius.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d."/>
                    <w:tag w:val="part_3ede92b3a1334bef94743302ad3b22e4"/>
                    <w:lock w:val="sdtLocked"/>
                    <w:richText/>
                  </w:sdtPr>
                  <w:sdtContent>
                    <w:p>
                      <w:pPr>
                        <w:spacing w:line="400" w:lineRule="atLeast"/>
                        <w:ind w:firstLine="720"/>
                        <w:jc w:val="both"/>
                      </w:pPr>
                      <w:sdt>
                        <w:sdtPr>
                          <w:alias w:val="Numeris"/>
                          <w:tag w:val="nr_3ede92b3a1334bef94743302ad3b22e4"/>
                          <w:lock w:val="sdtLocked"/>
                          <w:richText/>
                        </w:sdtPr>
                        <w:sdtContent>
                          <w:r>
                            <w:rPr>
                              <w:szCs w:val="24"/>
                            </w:rPr>
                            <w:t>9</w:t>
                          </w:r>
                        </w:sdtContent>
                      </w:sdt>
                      <w:r>
                        <w:rPr>
                          <w:szCs w:val="24"/>
                        </w:rPr>
                        <w:t>. Finansų įstaigos ir kiti įpareigotieji subjektai, nustatę informacijos apie kliento – juridinio asmens naudos gavėjus, šio įstatymo 25 straipsnyje nustatyta tvarka pateiktos Juridinių asmenų dalyvių informacinėje sistemoje (JADIS), ir jų turimos informacijos apie to paties kliento naudos gavėjus neatitiktį, praneša apie tai klientui ir pasiūlo pateikti tikslią informaciją apie savo naudos gavėjus Juridinių asmenų dalyvių informacinės sistemos (JADIS) tvarkytojui.</w:t>
                      </w:r>
                      <w:r>
                        <w:t xml:space="preserve"> </w:t>
                      </w:r>
                    </w:p>
                    <w:p>
                      <w:pPr>
                        <w:spacing w:line="400" w:lineRule="atLeast"/>
                        <w:jc w:val="both"/>
                        <w:rPr>
                          <w:b/>
                          <w:i/>
                          <w:sz w:val="20"/>
                        </w:rPr>
                      </w:pPr>
                      <w:r>
                        <w:rPr>
                          <w:b/>
                          <w:i/>
                          <w:sz w:val="20"/>
                        </w:rPr>
                        <w:t>TAR pastaba. 12 straipsnis papildomas 9 dalimi nuo 2021-08-01.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d."/>
                    <w:tag w:val="part_3a26108c82ed4eec990704c213bef31f"/>
                    <w:lock w:val="sdtLocked"/>
                    <w:richText/>
                  </w:sdtPr>
                  <w:sdtContent>
                    <w:p>
                      <w:pPr>
                        <w:spacing w:line="400" w:lineRule="atLeast"/>
                        <w:ind w:firstLine="720"/>
                        <w:jc w:val="both"/>
                      </w:pPr>
                      <w:sdt>
                        <w:sdtPr>
                          <w:alias w:val="Numeris"/>
                          <w:tag w:val="nr_3a26108c82ed4eec990704c213bef31f"/>
                          <w:lock w:val="sdtLocked"/>
                          <w:richText/>
                        </w:sdtPr>
                        <w:sdtContent>
                          <w:r>
                            <w:rPr>
                              <w:szCs w:val="24"/>
                            </w:rPr>
                            <w:t>10</w:t>
                          </w:r>
                        </w:sdtContent>
                      </w:sdt>
                      <w:r>
                        <w:rPr>
                          <w:szCs w:val="24"/>
                        </w:rPr>
                        <w:t>.</w:t>
                      </w:r>
                      <w:r>
                        <w:rPr>
                          <w:bCs/>
                          <w:color w:val="FF0000"/>
                          <w:szCs w:val="24"/>
                        </w:rPr>
                        <w:t xml:space="preserve"> </w:t>
                      </w:r>
                      <w:r>
                        <w:rPr>
                          <w:bCs/>
                          <w:szCs w:val="24"/>
                        </w:rPr>
                        <w:t>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juridinio asmens naudos gavėjus nėra šio įstatymo 25 straipsnio nustatyta tvarka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r>
                        <w:t xml:space="preserve"> </w:t>
                      </w:r>
                    </w:p>
                    <w:p>
                      <w:pPr>
                        <w:spacing w:line="400" w:lineRule="atLeast"/>
                        <w:jc w:val="both"/>
                        <w:rPr>
                          <w:szCs w:val="24"/>
                        </w:rPr>
                      </w:pPr>
                      <w:r>
                        <w:rPr>
                          <w:b/>
                          <w:i/>
                          <w:sz w:val="20"/>
                        </w:rPr>
                        <w:t>TAR pastaba. 12 straipsnis papildomas 10 dalimi nuo 2021-08-01.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67f32005d2d45878cb54851174241d9"/>
                        <w:lock w:val="sdtLocked"/>
                        <w:richText/>
                      </w:sdtPr>
                      <w:sdtContent>
                        <w:p>
                          <w:pPr>
                            <w:spacing w:line="400" w:lineRule="atLeast"/>
                            <w:ind w:firstLine="720"/>
                            <w:jc w:val="both"/>
                          </w:pPr>
                          <w:sdt>
                            <w:sdtPr>
                              <w:alias w:val="Numeris"/>
                              <w:tag w:val="nr_367f32005d2d45878cb54851174241d9"/>
                              <w:lock w:val="sdtLocked"/>
                              <w:richText/>
                            </w:sdtPr>
                            <w:sdtContent>
                              <w:r>
                                <w:rPr>
                                  <w:szCs w:val="24"/>
                                </w:rPr>
                                <w:t>7</w:t>
                              </w:r>
                            </w:sdtContent>
                          </w:sdt>
                          <w:r>
                            <w:rPr>
                              <w:szCs w:val="24"/>
                            </w:rPr>
                            <w:t>) užtikrinti, kad pirmasis kliento mokėjimas būtų atliekamas iš kredito įstaigoje turimos to kliento sąskaitos, kai kredito įstaiga yra registruota Europos Sąjungos valstybėje narėje arba trečiojoje valstybėje, nustačiusioje šio įstatymo reikalavimams lygiaverčius reikalavimus, ir kompetentingos institucijos prižiūri, kaip ji šių reikalavimų laikosi.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4055c8cf756f4339b8af6320365a52c6"/>
                        <w:lock w:val="sdtLocked"/>
                        <w:richText/>
                      </w:sdtPr>
                      <w:sdtContent>
                        <w:p>
                          <w:pPr>
                            <w:spacing w:line="360" w:lineRule="auto"/>
                            <w:ind w:firstLine="720"/>
                            <w:jc w:val="both"/>
                            <w:rPr>
                              <w:szCs w:val="24"/>
                            </w:rPr>
                          </w:pPr>
                          <w:sdt>
                            <w:sdtPr>
                              <w:alias w:val="Numeris"/>
                              <w:tag w:val="nr_4055c8cf756f4339b8af6320365a52c6"/>
                              <w:lock w:val="sdtLocked"/>
                              <w:richText/>
                            </w:sdtPr>
                            <w:sdtContent>
                              <w:r>
                                <w:rPr>
                                  <w:szCs w:val="24"/>
                                </w:rPr>
                                <w:t>2</w:t>
                              </w:r>
                            </w:sdtContent>
                          </w:sdt>
                          <w:r>
                            <w:rPr>
                              <w:szCs w:val="24"/>
                            </w:rPr>
                            <w:t>) valstybės ir savivaldybių institucijoms ir įstaigoms, Lietuvos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bc0d5a5ba7ec40d3a22ebd933b46a52e"/>
                        <w:lock w:val="sdtLocked"/>
                        <w:richText/>
                      </w:sdtPr>
                      <w:sdtContent>
                        <w:p>
                          <w:pPr>
                            <w:spacing w:line="360" w:lineRule="auto"/>
                            <w:ind w:firstLine="720"/>
                            <w:jc w:val="both"/>
                            <w:rPr>
                              <w:szCs w:val="24"/>
                            </w:rPr>
                          </w:pPr>
                          <w:sdt>
                            <w:sdtPr>
                              <w:alias w:val="Numeris"/>
                              <w:tag w:val="nr_bc0d5a5ba7ec40d3a22ebd933b46a52e"/>
                              <w:lock w:val="sdtLocked"/>
                              <w:richText/>
                            </w:sdtPr>
                            <w:sdtContent>
                              <w:r>
                                <w:rPr>
                                  <w:szCs w:val="24"/>
                                  <w:lang w:eastAsia="lt-LT"/>
                                </w:rPr>
                                <w:t>10</w:t>
                              </w:r>
                            </w:sdtContent>
                          </w:sdt>
                          <w:r>
                            <w:rPr>
                              <w:szCs w:val="24"/>
                              <w:lang w:eastAsia="lt-LT"/>
                            </w:rPr>
                            <w:t>)</w:t>
                          </w:r>
                          <w:r>
                            <w:rPr>
                              <w:b/>
                              <w:szCs w:val="24"/>
                              <w:lang w:eastAsia="lt-LT"/>
                            </w:rPr>
                            <w:t xml:space="preserve"> </w:t>
                          </w:r>
                          <w:r>
                            <w:rPr>
                              <w:szCs w:val="24"/>
                              <w:lang w:eastAsia="lt-LT"/>
                            </w:rP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 įstaigoje turimą sąskaitą, iš kurios buvo pervedamos lėšos indėliui laikyti, kaip nurodyta šio straipsnio 2 dalies 2 punkte</w:t>
                          </w:r>
                          <w:r>
                            <w:rPr>
                              <w:szCs w:val="24"/>
                            </w:rPr>
                            <w:t xml:space="preserve">. </w:t>
                          </w:r>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1f1625e1e0244f609e773924bfc7eafb"/>
                        <w:lock w:val="sdtLocked"/>
                        <w:richText/>
                      </w:sdtPr>
                      <w:sdtContent>
                        <w:p>
                          <w:pPr>
                            <w:spacing w:line="400" w:lineRule="atLeast"/>
                            <w:ind w:firstLine="720"/>
                            <w:jc w:val="both"/>
                          </w:pPr>
                          <w:sdt>
                            <w:sdtPr>
                              <w:alias w:val="Numeris"/>
                              <w:tag w:val="nr_1f1625e1e0244f609e773924bfc7eafb"/>
                              <w:lock w:val="sdtLocked"/>
                              <w:richText/>
                            </w:sdtPr>
                            <w:sdtContent>
                              <w:r>
                                <w:rPr>
                                  <w:szCs w:val="24"/>
                                </w:rPr>
                                <w:t>2</w:t>
                              </w:r>
                            </w:sdtContent>
                          </w:sdt>
                          <w:r>
                            <w:rPr>
                              <w:szCs w:val="24"/>
                            </w:rPr>
                            <w:t>) užtikrinti, kad pirmasis kliento mokėjimas būtų atliekamas iš kredito įstaigoje turimos sąskaitos, kai kredito įstaiga yra registruota Europos Sąjungos valstybėje narėje arba trečiojoje valstybėje, nustačiusioje šio įstatymo reikalavimams lygiaverčius reikalavimus, ir kompetentingos institucijos prižiūri, kaip ji šių reikalavimų laikosi.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493115f0c5bf49a0bdd4271fbc119b42"/>
                    <w:lock w:val="sdtLocked"/>
                    <w:richText/>
                  </w:sdtPr>
                  <w:sdtContent>
                    <w:p>
                      <w:pPr>
                        <w:spacing w:line="400" w:lineRule="atLeast"/>
                        <w:ind w:firstLine="720"/>
                        <w:jc w:val="both"/>
                      </w:pPr>
                      <w:sdt>
                        <w:sdtPr>
                          <w:alias w:val="Numeris"/>
                          <w:tag w:val="nr_493115f0c5bf49a0bdd4271fbc119b42"/>
                          <w:lock w:val="sdtLocked"/>
                          <w:richText/>
                        </w:sdtPr>
                        <w:sdtContent>
                          <w:r>
                            <w:rPr>
                              <w:szCs w:val="24"/>
                            </w:rPr>
                            <w:t>3</w:t>
                          </w:r>
                        </w:sdtContent>
                      </w:sdt>
                      <w:r>
                        <w:rPr>
                          <w:szCs w:val="24"/>
                        </w:rPr>
                        <w:t>. Taikydami supaprastintą kliento tapatybės nustatymą šio straipsnio 1 dalies 2 punkte nustatytais atvejais, finansų įstaigos ir kiti įpareigotieji subjektai, nustatydami kliento ir naudos gavėjo tapatybę, gali nukrypti nuo šio įstatymo 10 ir 12 straipsnių nuostatų ir privalo tik gauti šio įstatymo 10 straipsnio 1 dalies 1, 2, 3 punktuose ir 10 straipsnio 2 dalies 1, 2, 3 punktuose nurodytus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31ddcf80a4fd47a1903ad0040fcb7167"/>
                    <w:lock w:val="sdtLocked"/>
                    <w:richText/>
                  </w:sdtPr>
                  <w:sdtContent>
                    <w:p>
                      <w:pPr>
                        <w:spacing w:line="400" w:lineRule="atLeast"/>
                        <w:ind w:firstLine="720"/>
                        <w:jc w:val="both"/>
                        <w:rPr>
                          <w:szCs w:val="24"/>
                        </w:rPr>
                      </w:pPr>
                      <w:sdt>
                        <w:sdtPr>
                          <w:alias w:val="Numeris"/>
                          <w:tag w:val="nr_31ddcf80a4fd47a1903ad0040fcb7167"/>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6125c5fd61ee43f7a70d12ca7f7d4fee"/>
                    <w:lock w:val="sdtLocked"/>
                    <w:richText/>
                  </w:sdtPr>
                  <w:sdtContent>
                    <w:p>
                      <w:pPr>
                        <w:spacing w:line="360" w:lineRule="auto"/>
                        <w:ind w:firstLine="720"/>
                        <w:jc w:val="both"/>
                        <w:rPr>
                          <w:szCs w:val="24"/>
                        </w:rPr>
                      </w:pPr>
                      <w:sdt>
                        <w:sdtPr>
                          <w:alias w:val="Numeris"/>
                          <w:tag w:val="nr_6125c5fd61ee43f7a70d12ca7f7d4fee"/>
                          <w:lock w:val="sdtLocked"/>
                          <w:richText/>
                        </w:sdtPr>
                        <w:sdtContent>
                          <w:r>
                            <w:rPr>
                              <w:szCs w:val="24"/>
                              <w:lang w:eastAsia="lt-LT"/>
                            </w:rPr>
                            <w:t>1</w:t>
                          </w:r>
                        </w:sdtContent>
                      </w:sdt>
                      <w:r>
                        <w:rPr>
                          <w:szCs w:val="24"/>
                          <w:lang w:eastAsia="lt-LT"/>
                        </w:rPr>
                        <w:t xml:space="preserve">. </w:t>
                      </w:r>
                      <w:r>
                        <w:rPr>
                          <w:szCs w:val="24"/>
                        </w:rPr>
                        <w:t>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skirtas vienam, keliems teroristams ar teroristinei organizacijai remti.</w:t>
                      </w:r>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ff9bc5d2dd2b4060bf4e2e63add536b6"/>
                    <w:lock w:val="sdtLocked"/>
                    <w:richText/>
                  </w:sdtPr>
                  <w:sdtContent>
                    <w:p>
                      <w:pPr>
                        <w:spacing w:line="400" w:lineRule="atLeast"/>
                        <w:ind w:firstLine="720"/>
                        <w:jc w:val="both"/>
                        <w:rPr>
                          <w:szCs w:val="24"/>
                        </w:rPr>
                      </w:pPr>
                      <w:sdt>
                        <w:sdtPr>
                          <w:alias w:val="Numeris"/>
                          <w:tag w:val="nr_ff9bc5d2dd2b4060bf4e2e63add536b6"/>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(OL 2016 L 119, p. 1) (toliau – Reglamentas (ES) 2016/679) 13 ir 14 straipsniais, privalo naujiems klientams pateikti informaciją apie jų duomenų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b0d8758e88c24259b10034d3b6050b18"/>
                    <w:lock w:val="sdtLocked"/>
                    <w:richText/>
                  </w:sdtPr>
                  <w:sdtContent>
                    <w:p>
                      <w:pPr>
                        <w:spacing w:line="400" w:lineRule="atLeast"/>
                        <w:ind w:firstLine="720"/>
                        <w:jc w:val="both"/>
                        <w:rPr>
                          <w:szCs w:val="24"/>
                        </w:rPr>
                      </w:pPr>
                      <w:sdt>
                        <w:sdtPr>
                          <w:alias w:val="Numeris"/>
                          <w:tag w:val="nr_b0d8758e88c24259b10034d3b6050b18"/>
                          <w:lock w:val="sdtLocked"/>
                          <w:richText/>
                        </w:sdtPr>
                        <w:sdtContent>
                          <w:r>
                            <w:rPr>
                              <w:szCs w:val="24"/>
                            </w:rPr>
                            <w:t>2</w:t>
                          </w:r>
                        </w:sdtContent>
                      </w:sdt>
                      <w:r>
                        <w:rPr>
                          <w:szCs w:val="24"/>
                        </w:rPr>
                        <w:t>. Asmens duomenys tvarkomi vadovaujantis Reglamentu (ES) 2016/679,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3c99cd5bd97c487892096004f298c3f6"/>
                    <w:lock w:val="sdtLocked"/>
                    <w:richText/>
                  </w:sdtPr>
                  <w:sdtContent>
                    <w:p>
                      <w:pPr>
                        <w:spacing w:line="400" w:lineRule="atLeast"/>
                        <w:ind w:firstLine="720"/>
                        <w:jc w:val="both"/>
                      </w:pPr>
                      <w:sdt>
                        <w:sdtPr>
                          <w:alias w:val="Numeris"/>
                          <w:tag w:val="nr_3c99cd5bd97c487892096004f298c3f6"/>
                          <w:lock w:val="sdtLocked"/>
                          <w:richText/>
                        </w:sdtPr>
                        <w:sdtContent>
                          <w:r>
                            <w:rPr>
                              <w:rFonts w:eastAsia="SimSun"/>
                              <w:szCs w:val="24"/>
                            </w:rPr>
                            <w:t>3</w:t>
                          </w:r>
                        </w:sdtContent>
                      </w:sdt>
                      <w:r>
                        <w:rPr>
                          <w:rFonts w:eastAsia="SimSun"/>
                          <w:szCs w:val="24"/>
                        </w:rPr>
                        <w:t>. Patikos ar bendrovių steigimo, ar administravimo paslaugų teikėju, nekilnojamojo turto agentu, juridinio asmens, kuris vykdo patikos ar bendrovių steigimo, ar administravimo paslaugų teikėjo, nekilnojamojo turto agento, virtualiųjų valiutų keityklos operatoriaus ir depozitinių virtualiųjų valiutų piniginių operatoriaus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c870396866074d67a657c9fb143f67d2"/>
                    <w:lock w:val="sdtLocked"/>
                    <w:richText/>
                  </w:sdtPr>
                  <w:sdtContent>
                    <w:p>
                      <w:pPr>
                        <w:spacing w:line="400" w:lineRule="atLeast"/>
                        <w:ind w:firstLine="720"/>
                        <w:jc w:val="both"/>
                        <w:rPr>
                          <w:szCs w:val="24"/>
                        </w:rPr>
                      </w:pPr>
                      <w:sdt>
                        <w:sdtPr>
                          <w:alias w:val="Numeris"/>
                          <w:tag w:val="nr_c870396866074d67a657c9fb143f67d2"/>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(OL 2017 L 169, p. 46) su paskutiniais pakeitimais, padarytais pagal 2019 m. birželio 20 d. Europos Parlamento ir Tarybos direktyvą (ES) 2019/1151 (OL 2019 L 186, p. 80), (toliau – Europos Parlamento ir Tarybos direktyva (ES) 2017/1132) 22 straipsnio 1 dalį.</w:t>
                      </w:r>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4db4f81d11ee43c3a5098dff6656bd07"/>
                    <w:lock w:val="sdtLocked"/>
                    <w:richText/>
                  </w:sdtPr>
                  <w:sdtContent>
                    <w:p>
                      <w:pPr>
                        <w:spacing w:line="400" w:lineRule="atLeast"/>
                        <w:ind w:firstLine="720"/>
                        <w:jc w:val="both"/>
                        <w:rPr>
                          <w:szCs w:val="24"/>
                        </w:rPr>
                      </w:pPr>
                      <w:sdt>
                        <w:sdtPr>
                          <w:alias w:val="Numeris"/>
                          <w:tag w:val="nr_4db4f81d11ee43c3a5098dff6656bd07"/>
                          <w:lock w:val="sdtLocked"/>
                          <w:richText/>
                        </w:sdtPr>
                        <w:sdtContent>
                          <w:r>
                            <w:rPr>
                              <w:szCs w:val="24"/>
                            </w:rPr>
                            <w:t>3</w:t>
                          </w:r>
                        </w:sdtContent>
                      </w:sdt>
                      <w:r>
                        <w:rPr>
                          <w:szCs w:val="24"/>
                        </w:rPr>
                        <w:t>. Juridinių asmenų dalyvių informacinėje sistemoje (JADIS) kaupiama informacija turintiems teisę ją gauti fiziniams ir juridiniams asmenims teikiama už atlyginimą, išskyrus atvejus, kai ji:</w:t>
                      </w:r>
                    </w:p>
                    <w:sdt>
                      <w:sdtPr>
                        <w:alias w:val="25-2 str. 3 d. 1 p."/>
                        <w:tag w:val="part_dd068efa6ee04427aea40e3e5de06fa4"/>
                        <w:lock w:val="sdtLocked"/>
                        <w:richText/>
                      </w:sdtPr>
                      <w:sdtContent>
                        <w:p>
                          <w:pPr>
                            <w:spacing w:line="400" w:lineRule="atLeast"/>
                            <w:ind w:firstLine="720"/>
                            <w:jc w:val="both"/>
                            <w:rPr>
                              <w:szCs w:val="24"/>
                            </w:rPr>
                          </w:pPr>
                          <w:sdt>
                            <w:sdtPr>
                              <w:alias w:val="Numeris"/>
                              <w:tag w:val="nr_dd068efa6ee04427aea40e3e5de06fa4"/>
                              <w:lock w:val="sdtLocked"/>
                              <w:richText/>
                            </w:sdtPr>
                            <w:sdtContent>
                              <w:r>
                                <w:rPr>
                                  <w:szCs w:val="24"/>
                                </w:rPr>
                                <w:t>1</w:t>
                              </w:r>
                            </w:sdtContent>
                          </w:sdt>
                          <w:r>
                            <w:rPr>
                              <w:szCs w:val="24"/>
                            </w:rPr>
                            <w:t>) teikiama juridinių asmenų dalyviams, kai Juridinių asmenų dalyvių informacinėje sistemoje (JADIS) tvarkomi duomenys apie juos (fiziniams asmenims, o juridiniams asmenims – kartą per kalendorinius metus);</w:t>
                          </w:r>
                        </w:p>
                      </w:sdtContent>
                    </w:sdt>
                    <w:sdt>
                      <w:sdtPr>
                        <w:alias w:val="25-2 str. 3 d. 2 p."/>
                        <w:tag w:val="part_2fae17c6ed014f99a5c6644f93fa0871"/>
                        <w:lock w:val="sdtLocked"/>
                        <w:richText/>
                      </w:sdtPr>
                      <w:sdtContent>
                        <w:p>
                          <w:pPr>
                            <w:spacing w:line="400" w:lineRule="atLeast"/>
                            <w:ind w:firstLine="720"/>
                            <w:jc w:val="both"/>
                            <w:rPr>
                              <w:szCs w:val="24"/>
                            </w:rPr>
                          </w:pPr>
                          <w:sdt>
                            <w:sdtPr>
                              <w:alias w:val="Numeris"/>
                              <w:tag w:val="nr_2fae17c6ed014f99a5c6644f93fa0871"/>
                              <w:lock w:val="sdtLocked"/>
                              <w:richText/>
                            </w:sdtPr>
                            <w:sdtContent>
                              <w:r>
                                <w:rPr>
                                  <w:szCs w:val="24"/>
                                </w:rPr>
                                <w:t>2</w:t>
                              </w:r>
                            </w:sdtContent>
                          </w:sdt>
                          <w:r>
                            <w:rPr>
                              <w:szCs w:val="24"/>
                            </w:rPr>
                            <w:t>) perduodama susijusiems registrams, valstybės informacinėms sistemoms;</w:t>
                          </w:r>
                        </w:p>
                      </w:sdtContent>
                    </w:sdt>
                    <w:sdt>
                      <w:sdtPr>
                        <w:alias w:val="25-2 str. 3 d. 3 p."/>
                        <w:tag w:val="part_6c38786b48604c84b7fd1c2deec7e683"/>
                        <w:lock w:val="sdtLocked"/>
                        <w:richText/>
                      </w:sdtPr>
                      <w:sdtContent>
                        <w:p>
                          <w:pPr>
                            <w:spacing w:line="400" w:lineRule="atLeast"/>
                            <w:ind w:firstLine="720"/>
                            <w:jc w:val="both"/>
                            <w:rPr>
                              <w:szCs w:val="24"/>
                            </w:rPr>
                          </w:pPr>
                          <w:sdt>
                            <w:sdtPr>
                              <w:alias w:val="Numeris"/>
                              <w:tag w:val="nr_6c38786b48604c84b7fd1c2deec7e683"/>
                              <w:lock w:val="sdtLocked"/>
                              <w:richText/>
                            </w:sdtPr>
                            <w:sdtContent>
                              <w:r>
                                <w:rPr>
                                  <w:szCs w:val="24"/>
                                </w:rPr>
                                <w:t>3</w:t>
                              </w:r>
                            </w:sdtContent>
                          </w:sdt>
                          <w:r>
                            <w:rPr>
                              <w:szCs w:val="24"/>
                            </w:rPr>
                            <w:t>) teikiama valstybės ir savivaldybių institucijoms ir įstaigoms teisės aktuose nustatytoms funkcijoms atlikti pagal prašymą ir (arba) sutartis.</w:t>
                          </w:r>
                        </w:p>
                      </w:sdtContent>
                    </w:sdt>
                  </w:sdtContent>
                </w:sdt>
                <w:sdt>
                  <w:sdtPr>
                    <w:alias w:val="25-2 str. 4 d."/>
                    <w:tag w:val="part_5ac1a71773f9483fb4441f9a22379994"/>
                    <w:lock w:val="sdtLocked"/>
                    <w:richText/>
                  </w:sdtPr>
                  <w:sdtContent>
                    <w:p>
                      <w:pPr>
                        <w:spacing w:line="400" w:lineRule="atLeast"/>
                        <w:ind w:firstLine="720"/>
                        <w:jc w:val="both"/>
                        <w:rPr>
                          <w:i/>
                          <w:sz w:val="20"/>
                          <w:lang w:eastAsia="lt-LT"/>
                        </w:rPr>
                      </w:pPr>
                      <w:sdt>
                        <w:sdtPr>
                          <w:alias w:val="Numeris"/>
                          <w:tag w:val="nr_5ac1a71773f9483fb4441f9a22379994"/>
                          <w:lock w:val="sdtLocked"/>
                          <w:richText/>
                        </w:sdtPr>
                        <w:sdtContent>
                          <w:r>
                            <w:rPr>
                              <w:szCs w:val="24"/>
                            </w:rPr>
                            <w:t>4</w:t>
                          </w:r>
                        </w:sdtContent>
                      </w:sdt>
                      <w:r>
                        <w:rPr>
                          <w:szCs w:val="24"/>
                        </w:rPr>
                        <w:t>. Atlyginimo už informacijos teikimą dydis neturi viršyti Juridinių asmenų dalyvių informacinės sistemos (JADIS) administravimo išlaidų kartu su pagrįsta investicijų grąža.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61bbfe56d9f44249953a5b1bc25898fc"/>
                        <w:lock w:val="sdtLocked"/>
                        <w:richText/>
                      </w:sdtPr>
                      <w:sdtContent>
                        <w:p>
                          <w:pPr>
                            <w:tabs>
                              <w:tab w:val="left" w:pos="9072"/>
                            </w:tabs>
                            <w:spacing w:line="360" w:lineRule="auto"/>
                            <w:ind w:firstLine="720"/>
                            <w:jc w:val="both"/>
                            <w:rPr>
                              <w:szCs w:val="24"/>
                            </w:rPr>
                          </w:pPr>
                          <w:sdt>
                            <w:sdtPr>
                              <w:alias w:val="Numeris"/>
                              <w:tag w:val="nr_61bbfe56d9f44249953a5b1bc25898fc"/>
                              <w:lock w:val="sdtLocked"/>
                              <w:richText/>
                            </w:sdtPr>
                            <w:sdtContent>
                              <w:r>
                                <w:rPr>
                                  <w:szCs w:val="24"/>
                                </w:rPr>
                                <w:t>5</w:t>
                              </w:r>
                            </w:sdtContent>
                          </w:sdt>
                          <w:r>
                            <w:rPr>
                              <w:szCs w:val="24"/>
                            </w:rPr>
                            <w:t>) laikinas teisės finansų įstaigoms ir kitiems įpareigotiesiems subjektams disponuoti lėšomis, esančiomis sąskaitose kredito įstaigose, ir (ar) kitu turtu apribojimas;</w:t>
                          </w:r>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b6cb637fc57f499e9c34fc61296e7128"/>
                        <w:lock w:val="sdtLocked"/>
                        <w:richText/>
                      </w:sdtPr>
                      <w:sdtContent>
                        <w:p>
                          <w:pPr>
                            <w:spacing w:line="400" w:lineRule="atLeast"/>
                            <w:ind w:firstLine="720"/>
                            <w:jc w:val="both"/>
                            <w:rPr>
                              <w:szCs w:val="24"/>
                            </w:rPr>
                          </w:pPr>
                          <w:sdt>
                            <w:sdtPr>
                              <w:alias w:val="Numeris"/>
                              <w:tag w:val="nr_b6cb637fc57f499e9c34fc61296e7128"/>
                              <w:lock w:val="sdtLocked"/>
                              <w:richText/>
                            </w:sdtPr>
                            <w:sdtContent>
                              <w:r>
                                <w:rPr>
                                  <w:szCs w:val="24"/>
                                </w:rPr>
                                <w:t>5</w:t>
                              </w:r>
                            </w:sdtContent>
                          </w:sdt>
                          <w:r>
                            <w:rPr>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(OL 2013 L 287, p. 63), nuostatas finansų rinkos priežiūros funkciją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d50896349f6740428fe400d5d17ee525"/>
                <w:lock w:val="sdtLocked"/>
                <w:richText/>
              </w:sdtPr>
              <w:sdtContent>
                <w:p>
                  <w:pPr>
                    <w:spacing w:line="360" w:lineRule="auto"/>
                    <w:ind w:left="2410" w:hanging="1690"/>
                    <w:jc w:val="both"/>
                    <w:rPr>
                      <w:b/>
                      <w:szCs w:val="24"/>
                    </w:rPr>
                  </w:pPr>
                  <w:sdt>
                    <w:sdtPr>
                      <w:alias w:val="Numeris"/>
                      <w:tag w:val="nr_d50896349f6740428fe400d5d17ee525"/>
                      <w:lock w:val="sdtLocked"/>
                      <w:richText/>
                    </w:sdtPr>
                    <w:sdtContent>
                      <w:r>
                        <w:rPr>
                          <w:b/>
                          <w:szCs w:val="24"/>
                        </w:rPr>
                        <w:t>51</w:t>
                      </w:r>
                    </w:sdtContent>
                  </w:sdt>
                  <w:r>
                    <w:rPr>
                      <w:b/>
                      <w:szCs w:val="24"/>
                    </w:rPr>
                    <w:t xml:space="preserve"> straipsnis. </w:t>
                  </w:r>
                  <w:sdt>
                    <w:sdtPr>
                      <w:alias w:val="Pavadinimas"/>
                      <w:tag w:val="title_d50896349f6740428fe400d5d17ee525"/>
                      <w:lock w:val="sdtLocked"/>
                      <w:richText/>
                    </w:sdtPr>
                    <w:sdtContent>
                      <w:r>
                        <w:rPr>
                          <w:b/>
                          <w:szCs w:val="24"/>
                        </w:rPr>
                        <w:t>Informacijos pateikimas kitoms Europos Sąjungos valstybėms narėms, Europos priežiūros institucijoms ir Europos Komisijai</w:t>
                      </w:r>
                    </w:sdtContent>
                  </w:sdt>
                </w:p>
                <w:sdt>
                  <w:sdtPr>
                    <w:alias w:val="51 str. 1 d."/>
                    <w:tag w:val="part_8f784e71b83b4b448150ee1c4086df0d"/>
                    <w:lock w:val="sdtLocked"/>
                    <w:richText/>
                  </w:sdtPr>
                  <w:sdtContent>
                    <w:p>
                      <w:pPr>
                        <w:spacing w:line="400" w:lineRule="atLeast"/>
                        <w:ind w:firstLine="720"/>
                        <w:jc w:val="both"/>
                        <w:rPr>
                          <w:szCs w:val="24"/>
                        </w:rPr>
                      </w:pPr>
                      <w:sdt>
                        <w:sdtPr>
                          <w:alias w:val="Numeris"/>
                          <w:tag w:val="nr_8f784e71b83b4b448150ee1c4086df0d"/>
                          <w:lock w:val="sdtLocked"/>
                          <w:richText/>
                        </w:sdtPr>
                        <w:sdtContent>
                          <w:r>
                            <w:rPr>
                              <w:szCs w:val="24"/>
                            </w:rPr>
                            <w:t>1</w:t>
                          </w:r>
                        </w:sdtContent>
                      </w:sdt>
                      <w:r>
                        <w:rPr>
                          <w:szCs w:val="24"/>
                        </w:rPr>
                        <w:t xml:space="preserve">. Finansinių nusikaltimų tyrimo tarnyba informuoja Europos Komisiją apie: </w:t>
                      </w:r>
                    </w:p>
                    <w:sdt>
                      <w:sdtPr>
                        <w:alias w:val="51 str. 1 d. 1 p."/>
                        <w:tag w:val="part_3af71ec9efcd4433836412877da7a54b"/>
                        <w:lock w:val="sdtLocked"/>
                        <w:richText/>
                      </w:sdtPr>
                      <w:sdtContent>
                        <w:p>
                          <w:pPr>
                            <w:spacing w:line="400" w:lineRule="atLeast"/>
                            <w:ind w:firstLine="720"/>
                            <w:jc w:val="both"/>
                            <w:rPr>
                              <w:szCs w:val="24"/>
                            </w:rPr>
                          </w:pPr>
                          <w:sdt>
                            <w:sdtPr>
                              <w:alias w:val="Numeris"/>
                              <w:tag w:val="nr_3af71ec9efcd4433836412877da7a54b"/>
                              <w:lock w:val="sdtLocked"/>
                              <w:richText/>
                            </w:sdtPr>
                            <w:sdtContent>
                              <w:r>
                                <w:rPr>
                                  <w:szCs w:val="24"/>
                                </w:rPr>
                                <w:t>1</w:t>
                              </w:r>
                            </w:sdtContent>
                          </w:sdt>
                          <w:r>
                            <w:rPr>
                              <w:szCs w:val="24"/>
                            </w:rPr>
                            <w:t>) šio įstatymo taikymą šio įstatymo 2 straipsnio 10 dalies 2 punkte nurodytiems subjektams;</w:t>
                          </w:r>
                        </w:p>
                      </w:sdtContent>
                    </w:sdt>
                    <w:sdt>
                      <w:sdtPr>
                        <w:alias w:val="51 str. 1 d. 2 p."/>
                        <w:tag w:val="part_63ac231aeb2b4726a3b11b1f3a139dea"/>
                        <w:lock w:val="sdtLocked"/>
                        <w:richText/>
                      </w:sdtPr>
                      <w:sdtContent>
                        <w:p>
                          <w:pPr>
                            <w:spacing w:line="400" w:lineRule="atLeast"/>
                            <w:ind w:firstLine="720"/>
                            <w:jc w:val="both"/>
                            <w:rPr>
                              <w:szCs w:val="24"/>
                            </w:rPr>
                          </w:pPr>
                          <w:sdt>
                            <w:sdtPr>
                              <w:alias w:val="Numeris"/>
                              <w:tag w:val="nr_63ac231aeb2b4726a3b11b1f3a139dea"/>
                              <w:lock w:val="sdtLocked"/>
                              <w:richText/>
                            </w:sdtPr>
                            <w:sdtContent>
                              <w:r>
                                <w:rPr>
                                  <w:szCs w:val="24"/>
                                </w:rPr>
                                <w:t>2</w:t>
                              </w:r>
                            </w:sdtContent>
                          </w:sdt>
                          <w:r>
                            <w:rPr>
                              <w:szCs w:val="24"/>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6e515712a5f84950af2a193c137f9773"/>
                        <w:lock w:val="sdtLocked"/>
                        <w:richText/>
                      </w:sdtPr>
                      <w:sdtContent>
                        <w:p>
                          <w:pPr>
                            <w:spacing w:line="400" w:lineRule="atLeast"/>
                            <w:ind w:firstLine="720"/>
                            <w:jc w:val="both"/>
                            <w:rPr>
                              <w:szCs w:val="24"/>
                            </w:rPr>
                          </w:pPr>
                          <w:sdt>
                            <w:sdtPr>
                              <w:alias w:val="Numeris"/>
                              <w:tag w:val="nr_6e515712a5f84950af2a193c137f9773"/>
                              <w:lock w:val="sdtLocked"/>
                              <w:richText/>
                            </w:sdtPr>
                            <w:sdtContent>
                              <w:r>
                                <w:rPr>
                                  <w:szCs w:val="24"/>
                                </w:rPr>
                                <w:t>3</w:t>
                              </w:r>
                            </w:sdtContent>
                          </w:sdt>
                          <w:r>
                            <w:rPr>
                              <w:szCs w:val="24"/>
                            </w:rPr>
                            <w:t>) valstybės informacines sistemas ir registrus, kuriuose kaupiami duomenys apie juridinių asmenų dalyvius;</w:t>
                          </w:r>
                        </w:p>
                      </w:sdtContent>
                    </w:sdt>
                    <w:sdt>
                      <w:sdtPr>
                        <w:alias w:val="51 str. 1 d. 4 p."/>
                        <w:tag w:val="part_da4e440a1c14428aa3cf6637cf2d21d1"/>
                        <w:lock w:val="sdtLocked"/>
                        <w:richText/>
                      </w:sdtPr>
                      <w:sdtContent>
                        <w:p>
                          <w:pPr>
                            <w:spacing w:line="400" w:lineRule="atLeast"/>
                            <w:ind w:firstLine="720"/>
                            <w:jc w:val="both"/>
                            <w:rPr>
                              <w:szCs w:val="24"/>
                            </w:rPr>
                          </w:pPr>
                          <w:sdt>
                            <w:sdtPr>
                              <w:alias w:val="Numeris"/>
                              <w:tag w:val="nr_da4e440a1c14428aa3cf6637cf2d21d1"/>
                              <w:lock w:val="sdtLocked"/>
                              <w:richText/>
                            </w:sdtPr>
                            <w:sdtContent>
                              <w:r>
                                <w:rPr>
                                  <w:szCs w:val="24"/>
                                </w:rPr>
                                <w:t>4</w:t>
                              </w:r>
                            </w:sdtContent>
                          </w:sdt>
                          <w:r>
                            <w:rPr>
                              <w:szCs w:val="24"/>
                            </w:rPr>
                            <w:t>) Finansinės žvalgybos padalinio („Egmont“ grupė) pavadinimą ir adresą;</w:t>
                          </w:r>
                        </w:p>
                      </w:sdtContent>
                    </w:sdt>
                    <w:sdt>
                      <w:sdtPr>
                        <w:alias w:val="51 str. 1 d. 5 p."/>
                        <w:tag w:val="part_ff6923a4664f432ca6f702e5b55873b4"/>
                        <w:lock w:val="sdtLocked"/>
                        <w:richText/>
                      </w:sdtPr>
                      <w:sdtContent>
                        <w:p>
                          <w:pPr>
                            <w:spacing w:line="400" w:lineRule="atLeast"/>
                            <w:ind w:firstLine="720"/>
                            <w:jc w:val="both"/>
                            <w:rPr>
                              <w:szCs w:val="24"/>
                            </w:rPr>
                          </w:pPr>
                          <w:sdt>
                            <w:sdtPr>
                              <w:alias w:val="Numeris"/>
                              <w:tag w:val="nr_ff6923a4664f432ca6f702e5b55873b4"/>
                              <w:lock w:val="sdtLocked"/>
                              <w:richText/>
                            </w:sdtPr>
                            <w:sdtContent>
                              <w:r>
                                <w:rPr>
                                  <w:szCs w:val="24"/>
                                </w:rPr>
                                <w:t>5</w:t>
                              </w:r>
                            </w:sdtContent>
                          </w:sdt>
                          <w:r>
                            <w:rPr>
                              <w:szCs w:val="24"/>
                            </w:rPr>
                            <w:t>) taikomas sustiprintas kliento tapatybės nustatymo priemones pagal šio įstatymo 14 straipsnio 4</w:t>
                          </w:r>
                          <w:r>
                            <w:rPr>
                              <w:szCs w:val="24"/>
                              <w:vertAlign w:val="superscript"/>
                            </w:rPr>
                            <w:t>2</w:t>
                          </w:r>
                          <w:r>
                            <w:rPr>
                              <w:szCs w:val="24"/>
                            </w:rPr>
                            <w:t xml:space="preserve"> dalį ir procedūras, taikomas pagal šio įstatymo 14</w:t>
                          </w:r>
                          <w:r>
                            <w:rPr>
                              <w:szCs w:val="24"/>
                              <w:vertAlign w:val="superscript"/>
                            </w:rPr>
                            <w:t>1</w:t>
                          </w:r>
                          <w:r>
                            <w:rPr>
                              <w:szCs w:val="24"/>
                            </w:rPr>
                            <w:t xml:space="preserve"> straipsnį;</w:t>
                          </w:r>
                        </w:p>
                      </w:sdtContent>
                    </w:sdt>
                    <w:sdt>
                      <w:sdtPr>
                        <w:alias w:val="51 str. 1 d. 6 p."/>
                        <w:tag w:val="part_18f6753c3e104582849ff6bf87da153f"/>
                        <w:lock w:val="sdtLocked"/>
                        <w:richText/>
                      </w:sdtPr>
                      <w:sdtContent>
                        <w:p>
                          <w:pPr>
                            <w:spacing w:line="400" w:lineRule="atLeast"/>
                            <w:ind w:firstLine="720"/>
                            <w:jc w:val="both"/>
                            <w:rPr>
                              <w:szCs w:val="24"/>
                            </w:rPr>
                          </w:pPr>
                          <w:sdt>
                            <w:sdtPr>
                              <w:alias w:val="Numeris"/>
                              <w:tag w:val="nr_18f6753c3e104582849ff6bf87da153f"/>
                              <w:lock w:val="sdtLocked"/>
                              <w:richText/>
                            </w:sdtPr>
                            <w:sdtContent>
                              <w:r>
                                <w:rPr>
                                  <w:szCs w:val="24"/>
                                </w:rPr>
                                <w:t>6</w:t>
                              </w:r>
                            </w:sdtContent>
                          </w:sdt>
                          <w:r>
                            <w:rPr>
                              <w:szCs w:val="24"/>
                            </w:rPr>
                            <w:t>) pagal šio įstatymo 25 straipsnio 2 dalį pateiktą informaciją apie patikos paslaugų teikėjų skaičių ir jų ypatumus;</w:t>
                          </w:r>
                        </w:p>
                      </w:sdtContent>
                    </w:sdt>
                    <w:sdt>
                      <w:sdtPr>
                        <w:alias w:val="51 str. 1 d. 7 p."/>
                        <w:tag w:val="part_a48bf7d3ebeb48cbadcb36c6987098e5"/>
                        <w:lock w:val="sdtLocked"/>
                        <w:richText/>
                      </w:sdtPr>
                      <w:sdtContent>
                        <w:p>
                          <w:pPr>
                            <w:spacing w:line="400" w:lineRule="atLeast"/>
                            <w:ind w:firstLine="720"/>
                            <w:jc w:val="both"/>
                            <w:rPr>
                              <w:szCs w:val="24"/>
                            </w:rPr>
                          </w:pPr>
                          <w:sdt>
                            <w:sdtPr>
                              <w:alias w:val="Numeris"/>
                              <w:tag w:val="nr_a48bf7d3ebeb48cbadcb36c6987098e5"/>
                              <w:lock w:val="sdtLocked"/>
                              <w:richText/>
                            </w:sdtPr>
                            <w:sdtContent>
                              <w:r>
                                <w:rPr>
                                  <w:szCs w:val="24"/>
                                </w:rPr>
                                <w:t>7</w:t>
                              </w:r>
                            </w:sdtContent>
                          </w:sdt>
                          <w:r>
                            <w:rPr>
                              <w:szCs w:val="24"/>
                            </w:rPr>
                            <w:t>) priežiūros institucijų pavadinimus, adresus, kontaktinius duomenis (telefonų numerius, elektroninio pašto adresus).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str. 2 d."/>
                    <w:tag w:val="part_7b079c953c914fbd9df0ed659c0feed7"/>
                    <w:lock w:val="sdtLocked"/>
                    <w:richText/>
                  </w:sdtPr>
                  <w:sdtContent>
                    <w:p>
                      <w:pPr>
                        <w:spacing w:line="360" w:lineRule="auto"/>
                        <w:ind w:firstLine="720"/>
                        <w:jc w:val="both"/>
                        <w:rPr>
                          <w:szCs w:val="24"/>
                        </w:rPr>
                      </w:pPr>
                      <w:sdt>
                        <w:sdtPr>
                          <w:alias w:val="Numeris"/>
                          <w:tag w:val="nr_7b079c953c914fbd9df0ed659c0feed7"/>
                          <w:lock w:val="sdtLocked"/>
                          <w:richText/>
                        </w:sdtPr>
                        <w:sdtContent>
                          <w:r>
                            <w:rPr>
                              <w:szCs w:val="24"/>
                            </w:rPr>
                            <w:t>2</w:t>
                          </w:r>
                        </w:sdtContent>
                      </w:sdt>
                      <w:r>
                        <w:rPr>
                          <w:szCs w:val="24"/>
                        </w:rPr>
                        <w:t>. Vyriausybė ar jos įgaliota institucija, laikydamasi Reglamento (ES) Nr. 1093/2010, Reglamento (ES) Nr. 1094/2010 ir Reglamento (ES) Nr. 1095/2010 nuostatų, informuoja Europos priežiūros institucijas apie finansų įstaigoms taikytas šiame įstatyme nustatytas poveikio priemones, įskaitant informaciją apie visus su jomis susijusius skundus ir jų tyrimo rezultatus.</w:t>
                      </w:r>
                    </w:p>
                  </w:sdtContent>
                </w:sdt>
                <w:sdt>
                  <w:sdtPr>
                    <w:alias w:val="51 str. 3 d."/>
                    <w:tag w:val="part_b7ad0dd3a4784b88be778da950247d8f"/>
                    <w:lock w:val="sdtLocked"/>
                    <w:richText/>
                  </w:sdtPr>
                  <w:sdtContent>
                    <w:p>
                      <w:pPr>
                        <w:spacing w:line="360" w:lineRule="auto"/>
                        <w:ind w:firstLine="720"/>
                        <w:jc w:val="both"/>
                        <w:rPr>
                          <w:szCs w:val="24"/>
                        </w:rPr>
                      </w:pPr>
                      <w:sdt>
                        <w:sdtPr>
                          <w:alias w:val="Numeris"/>
                          <w:tag w:val="nr_b7ad0dd3a4784b88be778da950247d8f"/>
                          <w:lock w:val="sdtLocked"/>
                          <w:richText/>
                        </w:sdtPr>
                        <w:sdtContent>
                          <w:r>
                            <w:rPr>
                              <w:szCs w:val="24"/>
                            </w:rPr>
                            <w:t>3</w:t>
                          </w:r>
                        </w:sdtContent>
                      </w:sdt>
                      <w:r>
                        <w:rPr>
                          <w:szCs w:val="24"/>
                        </w:rPr>
                        <w:t>. Vyriausybė ar jos įgaliota institucija informuoja kitas Europos Sąjungos valstybes nares, Europos Komisiją ir, laikydamasi Reglamento (ES) Nr. 1093/2010, Reglamento (ES) Nr. 1094/2010 ir Reglamento (ES) Nr. 1095/2010 nuostatų, – Europos priežiūros institucijas apie atvejus, kai:</w:t>
                      </w:r>
                    </w:p>
                    <w:sdt>
                      <w:sdtPr>
                        <w:alias w:val="51 str. 3 d. 1 p."/>
                        <w:tag w:val="part_a343bae436164bbeb6f7a2e275c42623"/>
                        <w:lock w:val="sdtLocked"/>
                        <w:richText/>
                      </w:sdtPr>
                      <w:sdtContent>
                        <w:p>
                          <w:pPr>
                            <w:spacing w:line="360" w:lineRule="auto"/>
                            <w:ind w:firstLine="720"/>
                            <w:jc w:val="both"/>
                            <w:rPr>
                              <w:szCs w:val="24"/>
                            </w:rPr>
                          </w:pPr>
                          <w:sdt>
                            <w:sdtPr>
                              <w:alias w:val="Numeris"/>
                              <w:tag w:val="nr_a343bae436164bbeb6f7a2e275c42623"/>
                              <w:lock w:val="sdtLocked"/>
                              <w:richText/>
                            </w:sdtPr>
                            <w:sdtContent>
                              <w:r>
                                <w:rPr>
                                  <w:szCs w:val="24"/>
                                </w:rPr>
                                <w:t>1</w:t>
                              </w:r>
                            </w:sdtContent>
                          </w:sdt>
                          <w:r>
                            <w:rPr>
                              <w:szCs w:val="24"/>
                            </w:rPr>
                            <w:t>) trečioji valstybė atitinka šio įstatymo 2 straipsnio 21 dalies 2 punkte nustatytus reikalavimus;</w:t>
                          </w:r>
                        </w:p>
                      </w:sdtContent>
                    </w:sdt>
                    <w:sdt>
                      <w:sdtPr>
                        <w:alias w:val="51 str. 3 d. 2 p."/>
                        <w:tag w:val="part_76a9742991234f3a98860e0929ae03b1"/>
                        <w:lock w:val="sdtLocked"/>
                        <w:richText/>
                      </w:sdtPr>
                      <w:sdtContent>
                        <w:p>
                          <w:pPr>
                            <w:spacing w:line="360" w:lineRule="auto"/>
                            <w:ind w:firstLine="720"/>
                            <w:jc w:val="both"/>
                            <w:rPr>
                              <w:szCs w:val="24"/>
                            </w:rPr>
                          </w:pPr>
                          <w:sdt>
                            <w:sdtPr>
                              <w:alias w:val="Numeris"/>
                              <w:tag w:val="nr_76a9742991234f3a98860e0929ae03b1"/>
                              <w:lock w:val="sdtLocked"/>
                              <w:richText/>
                            </w:sdtPr>
                            <w:sdtContent>
                              <w:r>
                                <w:rPr>
                                  <w:szCs w:val="24"/>
                                </w:rPr>
                                <w:t>2</w:t>
                              </w:r>
                            </w:sdtContent>
                          </w:sdt>
                          <w:r>
                            <w:rPr>
                              <w:szCs w:val="24"/>
                            </w:rPr>
                            <w:t>) trečioji valstybė atitinka šio įstatymo 15 straipsnio 1 dalies 1 ir 3 punktuose nustatytus reikalavimus;</w:t>
                          </w:r>
                        </w:p>
                      </w:sdtContent>
                    </w:sdt>
                    <w:sdt>
                      <w:sdtPr>
                        <w:alias w:val="51 str. 3 d. 3 p."/>
                        <w:tag w:val="part_3e9ac10993364461819e5a5fd478ca2a"/>
                        <w:lock w:val="sdtLocked"/>
                        <w:richText/>
                      </w:sdtPr>
                      <w:sdtContent>
                        <w:p>
                          <w:pPr>
                            <w:spacing w:line="400" w:lineRule="atLeast"/>
                            <w:ind w:firstLine="720"/>
                            <w:jc w:val="both"/>
                            <w:rPr>
                              <w:szCs w:val="24"/>
                            </w:rPr>
                          </w:pPr>
                          <w:sdt>
                            <w:sdtPr>
                              <w:alias w:val="Numeris"/>
                              <w:tag w:val="nr_3e9ac10993364461819e5a5fd478ca2a"/>
                              <w:lock w:val="sdtLocked"/>
                              <w:richText/>
                            </w:sdtPr>
                            <w:sdtContent>
                              <w:r>
                                <w:rPr>
                                  <w:szCs w:val="24"/>
                                </w:rPr>
                                <w:t>3</w:t>
                              </w:r>
                            </w:sdtContent>
                          </w:sdt>
                          <w:r>
                            <w:rPr>
                              <w:szCs w:val="24"/>
                            </w:rPr>
                            <w:t>)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str. 3 d. 4 p."/>
                        <w:tag w:val="part_507ed5b54d4b43fab1f2cfbeea9b5345"/>
                        <w:lock w:val="sdtLocked"/>
                        <w:richText/>
                      </w:sdtPr>
                      <w:sdtContent>
                        <w:p>
                          <w:pPr>
                            <w:spacing w:line="360" w:lineRule="auto"/>
                            <w:ind w:firstLine="720"/>
                            <w:jc w:val="both"/>
                            <w:rPr>
                              <w:szCs w:val="24"/>
                            </w:rPr>
                          </w:pPr>
                          <w:sdt>
                            <w:sdtPr>
                              <w:alias w:val="Numeris"/>
                              <w:tag w:val="nr_507ed5b54d4b43fab1f2cfbeea9b5345"/>
                              <w:lock w:val="sdtLocked"/>
                              <w:richText/>
                            </w:sdtPr>
                            <w:sdtContent>
                              <w:r>
                                <w:rPr>
                                  <w:szCs w:val="24"/>
                                </w:rPr>
                                <w:t>4</w:t>
                              </w:r>
                            </w:sdtContent>
                          </w:sdt>
                          <w:r>
                            <w:rPr>
                              <w:szCs w:val="24"/>
                            </w:rPr>
                            <w:t>) trečioji valstybė atitinka šio įstatymo 23 straipsnio 4 dalyje nustatytus reikalavimus;</w:t>
                          </w:r>
                        </w:p>
                      </w:sdtContent>
                    </w:sdt>
                    <w:sdt>
                      <w:sdtPr>
                        <w:alias w:val="51 str. 3 d. 5 p."/>
                        <w:tag w:val="part_d2f812f3c0db41b59d89bb9fbad38544"/>
                        <w:lock w:val="sdtLocked"/>
                        <w:richText/>
                      </w:sdtPr>
                      <w:sdtContent>
                        <w:p>
                          <w:pPr>
                            <w:spacing w:line="360" w:lineRule="auto"/>
                            <w:ind w:firstLine="720"/>
                            <w:jc w:val="both"/>
                          </w:pPr>
                          <w:sdt>
                            <w:sdtPr>
                              <w:alias w:val="Numeris"/>
                              <w:tag w:val="nr_d2f812f3c0db41b59d89bb9fbad38544"/>
                              <w:lock w:val="sdtLocked"/>
                              <w:richText/>
                            </w:sdtPr>
                            <w:sdtContent>
                              <w:r>
                                <w:rPr>
                                  <w:szCs w:val="24"/>
                                </w:rPr>
                                <w:t>5</w:t>
                              </w:r>
                            </w:sdtContent>
                          </w:sdt>
                          <w:r>
                            <w:rPr>
                              <w:szCs w:val="24"/>
                            </w:rPr>
                            <w:t>) pagal šio įstatymo 27 straipsnį paskiriama nacionalinius veiksmus koordinuojanti institucija.</w:t>
                          </w:r>
                        </w:p>
                      </w:sdtContent>
                    </w:sdt>
                  </w:sdtContent>
                </w:sdt>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f3602fff0d9b47adb37e8596b651e2dd"/>
        <w:lock w:val="sdtLocked"/>
        <w:richText/>
      </w:sdtPr>
      <w:sdtContent>
        <w:p>
          <w:pPr>
            <w:ind w:firstLine="5954"/>
            <w:rPr>
              <w:szCs w:val="24"/>
            </w:rPr>
            <w:sectPr>
              <w:pgSz w:w="11906" w:h="16838" w:code="9"/>
              <w:pgMar w:top="1134" w:right="851" w:bottom="1134" w:left="1701" w:header="709" w:footer="709" w:gutter="0"/>
              <w:cols w:space="720"/>
              <w:titlePg/>
            </w:sectPr>
          </w:pPr>
        </w:p>
        <w:p>
          <w:pPr>
            <w:ind w:firstLine="5954"/>
            <w:rPr>
              <w:color w:val="000000"/>
              <w:szCs w:val="24"/>
              <w:lang w:eastAsia="lt-LT"/>
            </w:rPr>
          </w:pPr>
          <w:r>
            <w:rPr>
              <w:color w:val="000000"/>
              <w:szCs w:val="24"/>
              <w:lang w:eastAsia="lt-LT"/>
            </w:rPr>
            <w:t>Lietuvos Respublikos</w:t>
          </w:r>
        </w:p>
        <w:p>
          <w:pPr>
            <w:ind w:firstLine="5954"/>
            <w:rPr>
              <w:color w:val="000000"/>
              <w:szCs w:val="24"/>
              <w:lang w:eastAsia="lt-LT"/>
            </w:rPr>
          </w:pPr>
          <w:r>
            <w:rPr>
              <w:color w:val="000000"/>
              <w:szCs w:val="24"/>
              <w:lang w:eastAsia="lt-LT"/>
            </w:rPr>
            <w:t xml:space="preserve">pinigų plovimo ir teroristų </w:t>
          </w:r>
        </w:p>
        <w:p>
          <w:pPr>
            <w:ind w:firstLine="5954"/>
            <w:rPr>
              <w:color w:val="000000"/>
              <w:szCs w:val="24"/>
              <w:lang w:eastAsia="lt-LT"/>
            </w:rPr>
          </w:pPr>
          <w:r>
            <w:rPr>
              <w:color w:val="000000"/>
              <w:szCs w:val="24"/>
              <w:lang w:eastAsia="lt-LT"/>
            </w:rPr>
            <w:t>finansavimo prevencijos įstatymo</w:t>
          </w:r>
        </w:p>
        <w:p>
          <w:pPr>
            <w:ind w:firstLine="5954"/>
            <w:rPr>
              <w:color w:val="000000"/>
              <w:szCs w:val="24"/>
              <w:lang w:eastAsia="lt-LT"/>
            </w:rPr>
          </w:pPr>
          <w:r>
            <w:rPr>
              <w:color w:val="000000"/>
              <w:szCs w:val="24"/>
              <w:lang w:eastAsia="lt-LT"/>
            </w:rPr>
            <w:t>priedas</w:t>
          </w:r>
        </w:p>
        <w:p>
          <w:pPr>
            <w:spacing w:line="400" w:lineRule="atLeast"/>
            <w:ind w:firstLine="720"/>
            <w:rPr>
              <w:color w:val="000000"/>
              <w:szCs w:val="24"/>
              <w:lang w:eastAsia="lt-LT"/>
            </w:rPr>
          </w:pPr>
        </w:p>
        <w:p>
          <w:pPr>
            <w:spacing w:line="400" w:lineRule="atLeast"/>
            <w:jc w:val="center"/>
            <w:rPr>
              <w:color w:val="000000"/>
              <w:szCs w:val="24"/>
              <w:lang w:eastAsia="lt-LT"/>
            </w:rPr>
          </w:pPr>
          <w:sdt>
            <w:sdtPr>
              <w:alias w:val="Pavadinimas"/>
              <w:tag w:val="title_f3602fff0d9b47adb37e8596b651e2dd"/>
              <w:lock w:val="sdtLocked"/>
              <w:richText/>
            </w:sdtPr>
            <w:sdtContent>
              <w:r>
                <w:rPr>
                  <w:b/>
                  <w:bCs/>
                  <w:color w:val="000000"/>
                  <w:szCs w:val="24"/>
                  <w:lang w:eastAsia="lt-LT"/>
                </w:rPr>
                <w:t>ĮGYVENDINAMI EUROPOS SĄJUNGOS TEISĖS AKTAI</w:t>
              </w:r>
            </w:sdtContent>
          </w:sdt>
        </w:p>
        <w:p>
          <w:pPr>
            <w:spacing w:line="400" w:lineRule="atLeast"/>
            <w:ind w:firstLine="720"/>
            <w:rPr>
              <w:szCs w:val="24"/>
            </w:rPr>
          </w:pPr>
        </w:p>
        <w:sdt>
          <w:sdtPr>
            <w:alias w:val="pr. 1 p."/>
            <w:tag w:val="part_99fdb467df7640e2bd17d9399eb79b15"/>
            <w:lock w:val="sdtLocked"/>
            <w:richText/>
          </w:sdtPr>
          <w:sdtContent>
            <w:p>
              <w:pPr>
                <w:tabs>
                  <w:tab w:val="left" w:pos="2460"/>
                </w:tabs>
                <w:spacing w:line="400" w:lineRule="atLeast"/>
                <w:ind w:firstLine="720"/>
                <w:jc w:val="both"/>
                <w:rPr>
                  <w:strike/>
                  <w:szCs w:val="24"/>
                </w:rPr>
              </w:pPr>
              <w:sdt>
                <w:sdtPr>
                  <w:alias w:val="Numeris"/>
                  <w:tag w:val="nr_99fdb467df7640e2bd17d9399eb79b15"/>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(OL 2009 L 267, p. 7), </w:t>
              </w:r>
              <w:r>
                <w:rPr>
                  <w:szCs w:val="24"/>
                  <w:lang w:eastAsia="lt-LT"/>
                </w:rPr>
                <w:t>su paskutiniais pakeitimais, padarytais 2015 m. lapkričio 25 d. Europos Parlamento ir Tarybos direktyva (ES) 2015/2366 (OL 2015 L 337, p. 35)</w:t>
              </w:r>
              <w:r>
                <w:rPr>
                  <w:szCs w:val="24"/>
                </w:rPr>
                <w:t xml:space="preserve">. </w:t>
              </w:r>
            </w:p>
          </w:sdtContent>
        </w:sdt>
        <w:sdt>
          <w:sdtPr>
            <w:alias w:val="pr. 2 p."/>
            <w:tag w:val="part_060a45a3a82b4e6983e431c5a2e5558c"/>
            <w:lock w:val="sdtLocked"/>
            <w:richText/>
          </w:sdtPr>
          <w:sdtContent>
            <w:p>
              <w:pPr>
                <w:tabs>
                  <w:tab w:val="left" w:pos="2460"/>
                </w:tabs>
                <w:spacing w:line="400" w:lineRule="atLeast"/>
                <w:ind w:firstLine="720"/>
                <w:jc w:val="both"/>
                <w:rPr>
                  <w:szCs w:val="24"/>
                </w:rPr>
              </w:pPr>
              <w:sdt>
                <w:sdtPr>
                  <w:alias w:val="Numeris"/>
                  <w:tag w:val="nr_060a45a3a82b4e6983e431c5a2e5558c"/>
                  <w:lock w:val="sdtLocked"/>
                  <w:richText/>
                </w:sdtPr>
                <w:sdtContent>
                  <w:r>
                    <w:rPr>
                      <w:szCs w:val="24"/>
                    </w:rPr>
                    <w:t>2</w:t>
                  </w:r>
                </w:sdtContent>
              </w:sdt>
              <w:r>
                <w:rPr>
                  <w:szCs w:val="24"/>
                </w:rPr>
                <w:t>. 2015 m. gegužės 20 d. Europos Parlamento ir Tarybos reglamentas (ES) 2015/847 dėl informacijos, teikiamos pervedant lėšas, ir kuriuo panaikinamas Reglamentas (EB) Nr. 1781/2006 (OL 2015 L 141, p. 1).</w:t>
              </w:r>
            </w:p>
          </w:sdtContent>
        </w:sdt>
        <w:sdt>
          <w:sdtPr>
            <w:alias w:val="pr. 3 p."/>
            <w:tag w:val="part_1900d62481224b019a7f4b007d76ba56"/>
            <w:lock w:val="sdtLocked"/>
            <w:richText/>
          </w:sdtPr>
          <w:sdtContent>
            <w:p>
              <w:pPr>
                <w:tabs>
                  <w:tab w:val="left" w:pos="2460"/>
                </w:tabs>
                <w:spacing w:line="400" w:lineRule="atLeast"/>
                <w:ind w:firstLine="720"/>
                <w:jc w:val="both"/>
                <w:rPr>
                  <w:szCs w:val="24"/>
                </w:rPr>
              </w:pPr>
              <w:sdt>
                <w:sdtPr>
                  <w:alias w:val="Numeris"/>
                  <w:tag w:val="nr_1900d62481224b019a7f4b007d76ba56"/>
                  <w:lock w:val="sdtLocked"/>
                  <w:richText/>
                </w:sdtPr>
                <w:sdtContent>
                  <w:r>
                    <w:rPr>
                      <w:szCs w:val="24"/>
                    </w:rPr>
                    <w:t>3</w:t>
                  </w:r>
                </w:sdtContent>
              </w:sdt>
              <w:r>
                <w:rPr>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(OL 2015 L 141, p. 73),</w:t>
              </w:r>
              <w:r>
                <w:rPr>
                  <w:szCs w:val="24"/>
                  <w:lang w:eastAsia="lt-LT"/>
                </w:rPr>
                <w:t xml:space="preserve"> su paskutiniais pakeitimais, padarytais 2018 m. gegužės 30 d. Europos Parlamento ir Tarybos direktyva (ES) 2018/843 (OL 2018 L 156, p. 43)</w:t>
              </w:r>
              <w:r>
                <w:rPr>
                  <w:szCs w:val="24"/>
                </w:rPr>
                <w:t>.</w:t>
              </w:r>
            </w:p>
          </w:sdtContent>
        </w:sdt>
        <w:sdt>
          <w:sdtPr>
            <w:alias w:val="pr. 4 p."/>
            <w:tag w:val="part_66bdbdae1e5f4992b9096ecb33eaf585"/>
            <w:lock w:val="sdtLocked"/>
            <w:richText/>
          </w:sdtPr>
          <w:sdtContent>
            <w:p>
              <w:pPr>
                <w:tabs>
                  <w:tab w:val="left" w:pos="2460"/>
                </w:tabs>
                <w:spacing w:line="400" w:lineRule="atLeast"/>
                <w:ind w:firstLine="720"/>
                <w:jc w:val="both"/>
                <w:rPr>
                  <w:szCs w:val="24"/>
                </w:rPr>
              </w:pPr>
              <w:sdt>
                <w:sdtPr>
                  <w:alias w:val="Numeris"/>
                  <w:tag w:val="nr_66bdbdae1e5f4992b9096ecb33eaf585"/>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 (OL 2018 L 203, p. 2).</w:t>
              </w:r>
            </w:p>
          </w:sdtContent>
        </w:sdt>
        <w:sdt>
          <w:sdtPr>
            <w:alias w:val="pr. 5 p."/>
            <w:tag w:val="part_e2bab3a2ef804dae98de47c3934e4bd0"/>
            <w:lock w:val="sdtLocked"/>
            <w:richText/>
          </w:sdtPr>
          <w:sdtContent>
            <w:p>
              <w:pPr>
                <w:tabs>
                  <w:tab w:val="left" w:pos="2460"/>
                </w:tabs>
                <w:spacing w:line="400" w:lineRule="atLeast"/>
                <w:ind w:firstLine="720"/>
                <w:jc w:val="both"/>
                <w:rPr>
                  <w:szCs w:val="24"/>
                </w:rPr>
              </w:pPr>
              <w:sdt>
                <w:sdtPr>
                  <w:alias w:val="Numeris"/>
                  <w:tag w:val="nr_e2bab3a2ef804dae98de47c3934e4bd0"/>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 (OL 2018 L 284, p. 6).</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0"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3"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4" w:history="1">
                <w:r>
                  <w:rPr>
                    <w:color w:val="0000FF"/>
                    <w:u w:val="single"/>
                  </w:rPr>
                  <w:t>89-2741</w:t>
                </w:r>
              </w:hyperlink>
              <w:r>
                <w:t xml:space="preserve">) ir Lietuvos Respublikos baudžiamojo proceso kodeksu (Žin., 2002, Nr. </w:t>
              </w:r>
              <w:hyperlink r:id="rId15"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1"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4"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8"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F1A621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36143&amp;b="/>
  <Relationship Id="rId11" Type="http://schemas.openxmlformats.org/officeDocument/2006/relationships/hyperlink" TargetMode="External" Target="http://www3.lrs.lt/cgi-bin/preps2?a=157357&amp;b="/>
  <Relationship Id="rId12" Type="http://schemas.openxmlformats.org/officeDocument/2006/relationships/hyperlink" TargetMode="External" Target="http://www3.lrs.lt/cgi-bin/preps2?a=163331&amp;b="/>
  <Relationship Id="rId13" Type="http://schemas.openxmlformats.org/officeDocument/2006/relationships/hyperlink" TargetMode="External" Target="http://www3.lrs.lt/cgi-bin/preps2?a=209683&amp;b="/>
  <Relationship Id="rId14" Type="http://schemas.openxmlformats.org/officeDocument/2006/relationships/hyperlink" TargetMode="External" Target="http://www3.lrs.lt/cgi-bin/preps2?a=111555&amp;b="/>
  <Relationship Id="rId15"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215773&amp;b="/>
  <Relationship Id="rId17" Type="http://schemas.openxmlformats.org/officeDocument/2006/relationships/hyperlink" TargetMode="External" Target="http://www3.lrs.lt/cgi-bin/preps2?a=223449&amp;b="/>
  <Relationship Id="rId18" Type="http://schemas.openxmlformats.org/officeDocument/2006/relationships/hyperlink" TargetMode="External" Target="http://www3.lrs.lt/cgi-bin/preps2?a=232356&amp;b="/>
  <Relationship Id="rId19" Type="http://schemas.openxmlformats.org/officeDocument/2006/relationships/hyperlink" TargetMode="External" Target="http://www3.lrs.lt/cgi-bin/preps2?a=297415&amp;b="/>
  <Relationship Id="rId2" Type="http://schemas.openxmlformats.org/officeDocument/2006/relationships/fontTable" Target="fontTable.xml"/>
  <Relationship Id="rId20" Type="http://schemas.openxmlformats.org/officeDocument/2006/relationships/hyperlink" TargetMode="External" Target="http://www3.lrs.lt/cgi-bin/preps2?a=313223&amp;b="/>
  <Relationship Id="rId21" Type="http://schemas.openxmlformats.org/officeDocument/2006/relationships/hyperlink" TargetMode="External" Target="http://www3.lrs.lt/cgi-bin/preps2?a=361208&amp;b="/>
  <Relationship Id="rId22" Type="http://schemas.openxmlformats.org/officeDocument/2006/relationships/hyperlink" TargetMode="External" Target="http://www3.lrs.lt/cgi-bin/preps2?a=397229&amp;b="/>
  <Relationship Id="rId23" Type="http://schemas.openxmlformats.org/officeDocument/2006/relationships/hyperlink" TargetMode="External" Target="http://www3.lrs.lt/cgi-bin/preps2?a=397405&amp;b="/>
  <Relationship Id="rId24" Type="http://schemas.openxmlformats.org/officeDocument/2006/relationships/hyperlink" TargetMode="External" Target="http://www3.lrs.lt/cgi-bin/preps2?a=399632&amp;b="/>
  <Relationship Id="rId25" Type="http://schemas.openxmlformats.org/officeDocument/2006/relationships/hyperlink" TargetMode="External" Target="http://www3.lrs.lt/cgi-bin/preps2?a=412359&amp;b="/>
  <Relationship Id="rId26" Type="http://schemas.openxmlformats.org/officeDocument/2006/relationships/hyperlink" TargetMode="External" Target="http://www3.lrs.lt/cgi-bin/preps2?a=415765&amp;b="/>
  <Relationship Id="rId27" Type="http://schemas.openxmlformats.org/officeDocument/2006/relationships/hyperlink" TargetMode="External" Target="http://www3.lrs.lt/cgi-bin/preps2?a=415775&amp;b="/>
  <Relationship Id="rId28" Type="http://schemas.openxmlformats.org/officeDocument/2006/relationships/hyperlink" TargetMode="External" Target="http://www3.lrs.lt/cgi-bin/preps2?a=471525&amp;b="/>
  <Relationship Id="rId29"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65769&amp;b="/>
  <Relationship Id="rId9" Type="http://schemas.openxmlformats.org/officeDocument/2006/relationships/hyperlink" TargetMode="External" Target="http://www3.lrs.lt/cgi-bin/preps2?a=9047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3b8b3a675e8d4f0f867436e3611b3027"/>
        <Part Type="strDalis" Nr="5" Abbr="2 str. 5 d." DocPartId="3b5042a494f44e4c9cfecbcaddce228b" PartId="e09f0430ab924708b1e9c42d5c2f1429"/>
        <Part Type="strDalis" Nr="6" Abbr="2 str. 6 d." DocPartId="7acfc5c2925447b7bedb771b7eda3f96" PartId="dc38a90796184eb399ea204641c07ac8"/>
        <Part Type="strDalis" Nr="7" Abbr="2 str. 7 d." DocPartId="9abcfe96777d4073b2f16d44ce50efab" PartId="302bfaf591764dbbb8076ab09bb1205d"/>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7e7c21ee24cf4d4c9a15f8f87f2ecb01"/>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2-2 d." DocPartId="322094c4344144beb8ad1033ab3010d0" PartId="355331c91ec14a978b69bca1673e45b3"/>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4c785e59b1764142bc699b975a8ad6b5">
        <Part Type="strDalis" Nr="1" Abbr="3 str. 1 d." DocPartId="3e5045da9e0f42aa865c7245cee9ae8f" PartId="fd7b4c719be84e6cb65f5288a0672e7a"/>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ade558d07fc34cbfad8db2b4c83e85c4"/>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f9d3427f0e2049a3853a9f34d9980ea1"/>
        </Part>
        <Part Type="strDalis" Nr="2" Abbr="5 str. 2 d." DocPartId="d8bde9c947494cb6a5809982841c65b8" PartId="2b8838b33d1e4eb8b21bb01c84e27eae"/>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6 p." DocPartId="ef2e6bddfd94481cbc7fcbaef5408f63" PartId="e7e4a69a70b94482ab9c4df51ab4771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p." DocPartId="f38c59ee298740e68893c2eaeae1985c" PartId="926ad6e6de714072896dd11e2838d6be"/>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2262b167ec544e6bb1cbd8ed02c42500"/>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196476c6f95748c5863fb4945d3989eb"/>
        <Part Type="strDalis" Nr="9" Abbr="9 d." DocPartId="9f25ba211e664c0da8bfa63fbe951175" PartId="3ede92b3a1334bef94743302ad3b22e4"/>
        <Part Type="strDalis" Nr="10" Abbr="10 d." DocPartId="584d1884a4cc4e9686fadeae7878527e" PartId="3a26108c82ed4eec990704c213bef31f"/>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67f32005d2d45878cb54851174241d9"/>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4055c8cf756f4339b8af6320365a52c6"/>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bc0d5a5ba7ec40d3a22ebd933b46a52e"/>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1f1625e1e0244f609e773924bfc7eafb"/>
        </Part>
        <Part Type="strDalis" Nr="3" Abbr="15 str. 3 d." DocPartId="2ef510b7db854312b78966806f272a2d" PartId="493115f0c5bf49a0bdd4271fbc119b4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31ddcf80a4fd47a1903ad0040fcb7167"/>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6125c5fd61ee43f7a70d12ca7f7d4fee"/>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ff9bc5d2dd2b4060bf4e2e63add536b6"/>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b0d8758e88c24259b10034d3b6050b18"/>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3c99cd5bd97c487892096004f298c3f6"/>
        <Part Type="strDalis" Nr="4" Abbr="4 d." DocPartId="6edd985e28864234a5dde0b16caf3349" PartId="31d911cb29534b9c9d5adf30f506e83d"/>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c870396866074d67a657c9fb143f67d2"/>
        <Part Type="strDalis" Nr="2" Abbr="25-2 str. 2 d." DocPartId="d3ffa65e8af845d886b645f69f1978e7" PartId="e0968dbe2bcd45be90e55c2e23949e4c"/>
        <Part Type="strDalis" Nr="3" Abbr="25-2 str. 3 d." DocPartId="81be9618c8fa4f88bf578c0155ee3cec" PartId="4db4f81d11ee43c3a5098dff6656bd07">
          <Part Type="strPunktas" Nr="1" Abbr="25-2 str. 3 d. 1 p." DocPartId="439b6aaf574e47d385a750ccb310ca6d" PartId="dd068efa6ee04427aea40e3e5de06fa4"/>
          <Part Type="strPunktas" Nr="2" Abbr="25-2 str. 3 d. 2 p." DocPartId="6c672beba4b046a39a1a37beb18c58f4" PartId="2fae17c6ed014f99a5c6644f93fa0871"/>
          <Part Type="strPunktas" Nr="3" Abbr="25-2 str. 3 d. 3 p." DocPartId="8987d91c804943aeb0e3422b9e92b678" PartId="6c38786b48604c84b7fd1c2deec7e683"/>
        </Part>
        <Part Type="strDalis" Nr="4" Abbr="25-2 str. 4 d." DocPartId="807420a7ca7044d787edb7b365ab5324" PartId="5ac1a71773f9483fb4441f9a22379994"/>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61bbfe56d9f44249953a5b1bc25898fc"/>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b6cb637fc57f499e9c34fc61296e7128"/>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priežiūros institucijoms ir Europos Komisijai" DocPartId="cdff24fb4e634912850dd10153b5e438" PartId="d50896349f6740428fe400d5d17ee525">
        <Part Type="strDalis" Nr="1" Abbr="51 str. 1 d." DocPartId="071d06a092624c80bf96668185ef1b51" PartId="8f784e71b83b4b448150ee1c4086df0d">
          <Part Type="strPunktas" Nr="1" Abbr="51 str. 1 d. 1 p." DocPartId="0f8a9730844247668b87438895620a8e" PartId="3af71ec9efcd4433836412877da7a54b"/>
          <Part Type="strPunktas" Nr="2" Abbr="51 str. 1 d. 2 p." DocPartId="ad70c8ca1dd94af585271ae19de75e6f" PartId="63ac231aeb2b4726a3b11b1f3a139dea"/>
          <Part Type="strPunktas" Nr="3" Abbr="51 str. 1 d. 3 p." DocPartId="29e11a9d00fa479b9c2c05b8a42c99df" PartId="6e515712a5f84950af2a193c137f9773"/>
          <Part Type="strPunktas" Nr="4" Abbr="51 str. 1 d. 4 p." DocPartId="a0c2a720d43846d18129fe0f9bd61cc4" PartId="da4e440a1c14428aa3cf6637cf2d21d1"/>
          <Part Type="strPunktas" Nr="5" Abbr="51 str. 1 d. 5 p." DocPartId="0512350f202440a2b7bc4bb906e42d5d" PartId="ff6923a4664f432ca6f702e5b55873b4"/>
          <Part Type="strPunktas" Nr="6" Abbr="51 str. 1 d. 6 p." DocPartId="9026c15b9bc34b4da5518b24de8a0efd" PartId="18f6753c3e104582849ff6bf87da153f"/>
          <Part Type="strPunktas" Nr="7" Abbr="51 str. 1 d. 7 p." DocPartId="e9f54f671d854f6b8d41758ba17c1572" PartId="a48bf7d3ebeb48cbadcb36c6987098e5"/>
        </Part>
        <Part Type="strDalis" Nr="2" Abbr="51 str. 2 d." DocPartId="835a7c1808044397811ffc40556fd56e" PartId="7b079c953c914fbd9df0ed659c0feed7"/>
        <Part Type="strDalis" Nr="3" Abbr="51 str. 3 d." DocPartId="efd55921a5e44261a0149cca20a681f0" PartId="b7ad0dd3a4784b88be778da950247d8f">
          <Part Type="strPunktas" Nr="1" Abbr="51 str. 3 d. 1 p." DocPartId="988e29f671ab49b8aa472c1ab30eb4d4" PartId="a343bae436164bbeb6f7a2e275c42623"/>
          <Part Type="strPunktas" Nr="2" Abbr="51 str. 3 d. 2 p." DocPartId="20b787dbe54244488a672dad0584f318" PartId="76a9742991234f3a98860e0929ae03b1"/>
          <Part Type="strPunktas" Nr="3" Abbr="51 str. 3 d. 3 p." DocPartId="113b5edee826435f810f7ce03621c85e" PartId="3e9ac10993364461819e5a5fd478ca2a"/>
          <Part Type="strPunktas" Nr="4" Abbr="51 str. 3 d. 4 p." DocPartId="f73c5e8521f545348c729a3b3789a467" PartId="507ed5b54d4b43fab1f2cfbeea9b5345"/>
          <Part Type="strPunktas" Nr="5" Abbr="51 str. 3 d. 5 p." DocPartId="dd3f3f8f2d654689bb358fc2be02c589" PartId="d2f812f3c0db41b59d89bb9fbad38544"/>
        </Part>
      </Part>
    </Part>
    <Part Type="signatura" DocPartId="b0f84c04f2e04f219ad21b87ab606e0b" PartId="9b2b2a7b0962472d9c16204f4972a4e9"/>
  </Part>
  <Part Type="priedas" Abbr="pr." Title="ĮGYVENDINAMI EUROPOS SĄJUNGOS TEISĖS AKTAI" DocPartId="9b39b9a4fc3241dfbcd9a8ddfa33d668" PartId="f3602fff0d9b47adb37e8596b651e2dd">
    <Part Type="punktas" Nr="1" Abbr="pr. 1 p." DocPartId="4cca96f480804cb192b7cfe38397bef1" PartId="99fdb467df7640e2bd17d9399eb79b15"/>
    <Part Type="punktas" Nr="2" Abbr="pr. 2 p." DocPartId="ed45bfa62b244e0fb0838c45e86b2221" PartId="060a45a3a82b4e6983e431c5a2e5558c"/>
    <Part Type="punktas" Nr="3" Abbr="pr. 3 p." DocPartId="ad1167cfd9504b14ae851c8e752e18bc" PartId="1900d62481224b019a7f4b007d76ba56"/>
    <Part Type="punktas" Nr="4" Abbr="pr. 4 p." DocPartId="fe2b4d160e934f6396edd9df0e1c2c0e" PartId="66bdbdae1e5f4992b9096ecb33eaf585"/>
    <Part Type="punktas" Nr="5" Abbr="pr. 5 p." DocPartId="8d3a69d0813347fb9f2943a1a449168e" PartId="e2bab3a2ef804dae98de47c3934e4bd0"/>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E255B7F-CA6A-4C0B-B0E9-DB096849F370}">
  <ds:schemaRefs>
    <ds:schemaRef ds:uri="http://lrs.lt/TAIS/DocParts"/>
  </ds:schemaRefs>
</ds:datastoreItem>
</file>

<file path=customXml/itemProps3.xml><?xml version="1.0" encoding="utf-8"?>
<ds:datastoreItem xmlns:ds="http://schemas.openxmlformats.org/officeDocument/2006/customXml" ds:itemID="{30A7D2F5-C825-4F54-9003-1AD4088257F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82</TotalTime>
  <Pages>80</Pages>
  <Words>135987</Words>
  <Characters>77514</Characters>
  <Application>Microsoft Office Word</Application>
  <DocSecurity>0</DocSecurity>
  <Lines>645</Lines>
  <Paragraphs>426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213075</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TRAPINSKIENĖ Aušrinė</lastModifiedBy>
  <lastPrinted>2254-05-16T19:52:00Z</lastPrinted>
  <dcterms:modified xsi:type="dcterms:W3CDTF">2020-01-14T12:06:00Z</dcterms:modified>
  <revision>32</revision>
  <dc:title>Redagavo: Ramunė Lūžaitė (1998</dc:title>
</coreProperties>
</file>