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2020-02-06 iki 2020-03-18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3b7ba95eab214293bb0be94ed054ff18"/>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3b7ba95eab214293bb0be94ed054ff18"/>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8aece18b4d7d4ee4b0a7cdb25ad7de7e"/>
                    <w:lock w:val="sdtLocked"/>
                    <w:richText/>
                  </w:sdtPr>
                  <w:sdtContent>
                    <w:p>
                      <w:pPr>
                        <w:ind w:firstLine="851"/>
                        <w:jc w:val="both"/>
                        <w:rPr>
                          <w:color w:val="000000"/>
                        </w:rPr>
                      </w:pPr>
                      <w:sdt>
                        <w:sdtPr>
                          <w:alias w:val="Numeris"/>
                          <w:tag w:val="nr_8aece18b4d7d4ee4b0a7cdb25ad7de7e"/>
                          <w:lock w:val="sdtLocked"/>
                          <w:richText/>
                        </w:sdtPr>
                        <w:sdtContent>
                          <w:r>
                            <w:rPr>
                              <w:color w:val="000000"/>
                            </w:rPr>
                            <w:t>5.10</w:t>
                          </w:r>
                        </w:sdtContent>
                      </w:sdt>
                      <w:r>
                        <w:rPr>
                          <w:color w:val="000000"/>
                        </w:rPr>
                        <w:t xml:space="preserve">. </w:t>
                      </w:r>
                      <w:r>
                        <w:rPr>
                          <w:b/>
                          <w:bCs/>
                          <w:color w:val="000000"/>
                        </w:rPr>
                        <w:t>Valgiaraštis</w:t>
                      </w:r>
                      <w:r>
                        <w:rPr>
                          <w:color w:val="000000"/>
                        </w:rPr>
                        <w:t xml:space="preserve"> – numatomų patiekti vartoti dienos maisto produktų ir patiekalų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5.11 pp."/>
                    <w:tag w:val="part_8ad9918baebd442595d299b2cbac4075"/>
                    <w:lock w:val="sdtLocked"/>
                    <w:richText/>
                  </w:sdtPr>
                  <w:sdtContent>
                    <w:p>
                      <w:pPr>
                        <w:ind w:firstLine="851"/>
                        <w:jc w:val="both"/>
                        <w:rPr>
                          <w:szCs w:val="24"/>
                        </w:rPr>
                      </w:pPr>
                      <w:sdt>
                        <w:sdtPr>
                          <w:alias w:val="Numeris"/>
                          <w:tag w:val="nr_8ad9918baebd442595d299b2cbac4075"/>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2004 m. specialusis leidimas, 3 skyrius, 45 tomas, p. 14) (toliau ‒ Reglamentas (EB) Nr. 853/2004), Lietuvos Respublikos produktų saugos įstatyme, Lietuvos Respublikos maisto įstatyme, Lietuvos Respublikos švietimo įstatyme, Lietuvos Respublikos sveikatos  apsaugos  ministro 2009 m. rugsėjo 1 d. įsakyme Nr. V-714 „Dėl Lietuvos higienos normos HN 124:2014 „Vaikų socialinės globos įstaigos: bendrieji sveikatos saugos reikalavimai“ patvirtinimo“, Lietuvos Respublikos sveikatos apsaugos ministro 2010 m. balandžio 22 d. įsakyme Nr. V-313 „Dėl Lietuvos higienos normos HN 75:2016 „Ikimokyklinio ir priešmokyklinio ugdymo programų vykdymo bendrieji sveikatos saugos reikalavimai“ patvirtinimo“, Lietuvos Respublikos sveikatos apsaugos ministro 2010 m. rugsėjo 7 d. įsakyme Nr. V-765 „Dėl Lietuvos higienos normos HN 79:2010 „Vaikų poilsio stovykla. Bendrieji sveikatos saugos reikalavimai“ patvirtinimo“, Lietuvos Respublikos sveikatos apsaugos ministro 2014 m. sausio 22 d. įsakyme Nr. V-50 „Dėl Maisto produktų ženklinimo simboliu „Rakto skylutė“ (toliau ‒ „Rakto skylutė“)  ir  Lietuvos  Respublikos  žemės  ūkio ministro 1999 m. liepos 1 d. įsakyme Nr. 288 „Dėl Kakavos ir šokolado produktų techninio reglamento patvirtinimo“ ir Tvarkos aprašo 4 priede išvardytuose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f37c6f382b854fdeb7aa84acef506894"/>
                <w:lock w:val="sdtLocked"/>
                <w:richText/>
              </w:sdtPr>
              <w:sdtContent>
                <w:p>
                  <w:pPr>
                    <w:ind w:firstLine="851"/>
                    <w:jc w:val="both"/>
                    <w:rPr>
                      <w:color w:val="000000"/>
                    </w:rPr>
                  </w:pPr>
                  <w:r>
                    <w:rPr>
                      <w:color w:val="000000"/>
                    </w:rPr>
                    <w:t>8. Vaikų maitinimą, išskyrus, kai maistas gaminamas vaikų socialinės globos namų atskirose virtuvėse, gali organizuoti tik maisto tvarkymo subjektai, kuriems Lietuvos Respublikos valstybinės maisto ir veterinarijos tarnybos direktoriaus 2008 m. spalio 15 d. įsakyme Nr. B1-527 „Dėl Maisto tvarkymo subjektų patvirtinimo ir registravimo tvarkos aprašo patvirtinimo“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6b57318747744f7c894f8e089dc1358a"/>
                <w:lock w:val="sdtLocked"/>
                <w:richText/>
              </w:sdtPr>
              <w:sdtContent>
                <w:p>
                  <w:pPr>
                    <w:suppressAutoHyphens/>
                    <w:ind w:firstLine="851"/>
                    <w:jc w:val="both"/>
                    <w:textAlignment w:val="center"/>
                    <w:rPr>
                      <w:color w:val="000000"/>
                    </w:rPr>
                  </w:pPr>
                  <w:sdt>
                    <w:sdtPr>
                      <w:alias w:val="Numeris"/>
                      <w:tag w:val="nr_6b57318747744f7c894f8e089dc1358a"/>
                      <w:lock w:val="sdtLocked"/>
                      <w:richText/>
                    </w:sdtPr>
                    <w:sdtContent>
                      <w:r>
                        <w:rPr>
                          <w:color w:val="000000"/>
                          <w:szCs w:val="24"/>
                        </w:rPr>
                        <w:t>10</w:t>
                      </w:r>
                    </w:sdtContent>
                  </w:sdt>
                  <w:r>
                    <w:rPr>
                      <w:color w:val="000000"/>
                      <w:szCs w:val="24"/>
                    </w:rPr>
                    <w:t xml:space="preserve">. Sudarant sutartis dėl vaikų maitinimo paslaugų teikimo mokyklose, </w:t>
                  </w:r>
                  <w:r>
                    <w:rPr>
                      <w:color w:val="000000"/>
                    </w:rPr>
                    <w:t>poilsio stovyklose</w:t>
                  </w:r>
                  <w:r>
                    <w:rPr>
                      <w:color w:val="000000"/>
                      <w:szCs w:val="24"/>
                    </w:rPr>
                    <w:t xml:space="preserve"> ar vaikų socialinės globos namuose (toliau – Sutartis), Sutartyje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w:t>
                  </w:r>
                  <w:r>
                    <w:rPr>
                      <w:color w:val="000000"/>
                    </w:rPr>
                    <w:t xml:space="preserve">Jei sudaroma sutartis su vaiko atstovais pagal įstatymą, dėl vaiko maitinimo iš namų atsineštu maistu, už maisto saugą ir kokybę atsako </w:t>
                  </w:r>
                  <w:r>
                    <w:rPr>
                      <w:rFonts w:eastAsia="Calibri"/>
                      <w:szCs w:val="24"/>
                    </w:rPr>
                    <w:t>vaiko atstovai pagal įstatymą</w:t>
                  </w:r>
                  <w:r>
                    <w:rPr>
                      <w:color w:val="000000"/>
                    </w:rPr>
                    <w:t>. Sutartyje dėl vaiko maitinimo iš namų atsineštu maistu, turi būti</w:t>
                  </w:r>
                  <w:r>
                    <w:rPr>
                      <w:color w:val="000000"/>
                      <w:szCs w:val="24"/>
                    </w:rPr>
                    <w:t xml:space="preserve"> nuostata apie draudžiamus atnešti maisto produktus, išvardytus Tvarkos aprašo 19 punkte. </w:t>
                  </w:r>
                  <w:r>
                    <w:rPr>
                      <w:color w:val="000000"/>
                    </w:rPr>
                    <w:t xml:space="preserve">Sutartis dėl vaiko maitinimo iš namų atsineštu maistu turi teisę sudaryti </w:t>
                  </w:r>
                  <w:r>
                    <w:t xml:space="preserve">ikimokyklinio ir (ar) priešmokyklinio </w:t>
                  </w:r>
                  <w:r>
                    <w:rPr>
                      <w:color w:val="000000"/>
                      <w:szCs w:val="24"/>
                    </w:rPr>
                    <w:t xml:space="preserve">ugdymo programas įgyvendinančios įstaigos, </w:t>
                  </w:r>
                  <w:r>
                    <w:t>veiklą vykdančios lauko sąlygomis (toliau ‒ lauko darželiai),</w:t>
                  </w:r>
                  <w:r>
                    <w:rPr>
                      <w:b/>
                    </w:rPr>
                    <w:t xml:space="preserve"> </w:t>
                  </w:r>
                  <w:r>
                    <w:t>arba</w:t>
                  </w:r>
                  <w:r>
                    <w:rPr>
                      <w:color w:val="000000"/>
                    </w:rPr>
                    <w:t xml:space="preserve"> kuriose ugdomi vaikai, kuriems reikalingas pritaikytas maitinimas. </w:t>
                  </w:r>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d4045b5df5c84814b6d0e2ffe608cf97"/>
                <w:lock w:val="sdtLocked"/>
                <w:richText/>
              </w:sdtPr>
              <w:sdtContent>
                <w:p>
                  <w:pPr>
                    <w:widowControl w:val="0"/>
                    <w:suppressAutoHyphens/>
                    <w:ind w:firstLine="851"/>
                    <w:jc w:val="both"/>
                    <w:rPr>
                      <w:color w:val="000000"/>
                    </w:rPr>
                  </w:pPr>
                  <w:sdt>
                    <w:sdtPr>
                      <w:alias w:val="Numeris"/>
                      <w:tag w:val="nr_d4045b5df5c84814b6d0e2ffe608cf97"/>
                      <w:lock w:val="sdtLocked"/>
                      <w:richText/>
                    </w:sdt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fb01610058c6400f8bf1989d69c6e7c4"/>
                    <w:lock w:val="sdtLocked"/>
                    <w:richText/>
                  </w:sdtPr>
                  <w:sdtContent>
                    <w:p>
                      <w:pPr>
                        <w:ind w:firstLine="851"/>
                        <w:jc w:val="both"/>
                        <w:rPr>
                          <w:szCs w:val="24"/>
                          <w:lang w:eastAsia="lt-LT"/>
                        </w:rPr>
                      </w:pPr>
                      <w:sdt>
                        <w:sdtPr>
                          <w:alias w:val="Numeris"/>
                          <w:tag w:val="nr_fb01610058c6400f8bf1989d69c6e7c4"/>
                          <w:lock w:val="sdtLocked"/>
                          <w:richText/>
                        </w:sdtPr>
                        <w:sdtContent>
                          <w:r>
                            <w:rPr>
                              <w:color w:val="000000"/>
                            </w:rPr>
                            <w:t>22.1</w:t>
                          </w:r>
                        </w:sdtContent>
                      </w:sdt>
                      <w:r>
                        <w:rPr>
                          <w:color w:val="000000"/>
                        </w:rPr>
                        <w:t>. patiekiamas šiltas maistas turi būti gaminamas ir patiekiamas tą pačią kalendorinę dieną. Atvėsintą maistą nuo jo pagaminimo patiekti per 24 valandas kaip šiltą maistą leidžiama bendrojo ugdymo programas įgyvendinančiose įstaigose ir poilsio stovyklose, kurių virtuvėse yra galimybės tik pašildyti maistą. Šaldytus pusgaminius kaip šiltą maistą leidžiama patiekti bendrojo ugdymo programas įgyvendinančiose įstaigose ir poilsio stovyklose, kurių virtuvėse yra galimybės tik pašildyti maistą;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827976cab2a94a8b90d33ca51faf47a4"/>
                    <w:lock w:val="sdtLocked"/>
                    <w:richText/>
                  </w:sdtPr>
                  <w:sdtContent>
                    <w:p>
                      <w:pPr>
                        <w:ind w:firstLine="851"/>
                        <w:jc w:val="both"/>
                        <w:rPr>
                          <w:rFonts w:eastAsia="Calibri"/>
                          <w:szCs w:val="24"/>
                        </w:rPr>
                      </w:pPr>
                      <w:sdt>
                        <w:sdtPr>
                          <w:alias w:val="Numeris"/>
                          <w:tag w:val="nr_827976cab2a94a8b90d33ca51faf47a4"/>
                          <w:lock w:val="sdtLocked"/>
                          <w:richText/>
                        </w:sdtPr>
                        <w:sdtContent>
                          <w:r>
                            <w:rPr>
                              <w:color w:val="000000"/>
                            </w:rPr>
                            <w:t>22.10</w:t>
                          </w:r>
                        </w:sdtContent>
                      </w:sdt>
                      <w:r>
                        <w:rPr>
                          <w:color w:val="000000"/>
                        </w:rPr>
                        <w:t>. tas pats patiekalas neturi būti tiekiamas dažniau nei kartą per savaitę, išskyrus gėrimus, garnyrus ir šaltus užkandžius, ir atsižvelgiant į Tvarkos aprašo 7 priedo reikalavimus (reikalavimas netaikomas pritaikyto maitinimo valgiaraščiams);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547dba5f82de40f5b37a160b46203350"/>
                    <w:lock w:val="sdtLocked"/>
                    <w:richText/>
                  </w:sdtPr>
                  <w:sdtContent>
                    <w:p>
                      <w:pPr>
                        <w:ind w:firstLine="851"/>
                        <w:jc w:val="both"/>
                        <w:rPr>
                          <w:color w:val="000000"/>
                        </w:rPr>
                      </w:pPr>
                      <w:sdt>
                        <w:sdtPr>
                          <w:alias w:val="Numeris"/>
                          <w:tag w:val="nr_547dba5f82de40f5b37a160b46203350"/>
                          <w:lock w:val="sdtLocked"/>
                          <w:richText/>
                        </w:sdtPr>
                        <w:sdtContent>
                          <w:r>
                            <w:rPr>
                              <w:rFonts w:eastAsia="Calibri"/>
                              <w:szCs w:val="24"/>
                            </w:rPr>
                            <w:t>25.1</w:t>
                          </w:r>
                        </w:sdtContent>
                      </w:sdt>
                      <w:r>
                        <w:rPr>
                          <w:rFonts w:eastAsia="Calibri"/>
                          <w:szCs w:val="24"/>
                        </w:rPr>
                        <w:t>. valgiaraščiai (nurodant visus faktiškai patiekiamus maisto produktus, patiekalus, gėrimus ir užkandžius),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eaddb284d3174d63b1dd550be3af0309"/>
                    <w:lock w:val="sdtLocked"/>
                    <w:richText/>
                  </w:sdtPr>
                  <w:sdtContent>
                    <w:p>
                      <w:pPr>
                        <w:ind w:firstLine="851"/>
                        <w:jc w:val="both"/>
                        <w:rPr>
                          <w:color w:val="000000"/>
                        </w:rPr>
                      </w:pPr>
                      <w:sdt>
                        <w:sdtPr>
                          <w:alias w:val="Numeris"/>
                          <w:tag w:val="nr_eaddb284d3174d63b1dd550be3af0309"/>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xml:space="preserve">, sudaromus kas mėnesį pagal Tvarkos aprašo 31 punkte pateiktus reikalavimus, jei gydytojas raštiškai nenurodė kitaip </w:t>
                      </w:r>
                      <w:r>
                        <w:rPr>
                          <w:rFonts w:eastAsia="Calibri"/>
                          <w:szCs w:val="24"/>
                        </w:rPr>
                        <w:t xml:space="preserve">formoje Nr. E027-1 </w:t>
                      </w:r>
                      <w:r>
                        <w:rPr>
                          <w:color w:val="000000"/>
                          <w:szCs w:val="24"/>
                          <w:lang w:eastAsia="lt-LT"/>
                        </w:rPr>
                        <w:t>„Mokinio sveikatos pažymėjimas“</w:t>
                      </w:r>
                      <w:r>
                        <w:rPr>
                          <w:rFonts w:eastAsia="Calibri"/>
                          <w:szCs w:val="24"/>
                        </w:rPr>
                        <w:t xml:space="preserve">, patvirtintoje  </w:t>
                      </w:r>
                      <w:r>
                        <w:rPr>
                          <w:color w:val="000000"/>
                        </w:rPr>
                        <w:t>Lietuvos Respublikos sveikatos apsaugos ministro 2004 m. gruodžio 24 d. įsakymu Nr. V-951 „Dėl</w:t>
                      </w:r>
                      <w:r>
                        <w:rPr>
                          <w:rFonts w:eastAsia="Calibri"/>
                          <w:szCs w:val="24"/>
                        </w:rPr>
                        <w:t xml:space="preserve"> Elektroninės </w:t>
                      </w:r>
                      <w:r>
                        <w:rPr>
                          <w:color w:val="000000"/>
                          <w:szCs w:val="24"/>
                          <w:lang w:eastAsia="lt-LT"/>
                        </w:rPr>
                        <w:t xml:space="preserve">statistinės apskaitos formos  Nr. E027-1 „Mokinio sveikatos pažymėjimas“ patvirtinimo </w:t>
                      </w:r>
                      <w:r>
                        <w:rPr>
                          <w:color w:val="000000"/>
                        </w:rPr>
                        <w:t xml:space="preserve">(toliau – </w:t>
                      </w:r>
                      <w:r>
                        <w:rPr>
                          <w:rFonts w:eastAsia="Calibri"/>
                          <w:szCs w:val="24"/>
                        </w:rPr>
                        <w:t xml:space="preserve">Forma  Nr. E027-1</w:t>
                      </w:r>
                      <w:r>
                        <w:rPr>
                          <w:color w:val="000000"/>
                        </w:rPr>
                        <w:t>). Valgiaraštyje turi būti nurodytos kiekvieno vaiko maitinimo valandos, motinos pieno ar pradinio (tolesnio) maitinimo kūdikių mišinio (toliau – kūdikių mišinys), kito maisto kiekiai;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55cb7cad958a434087dfdff7049ef196"/>
                        <w:lock w:val="sdtLocked"/>
                        <w:richText/>
                      </w:sdtPr>
                      <w:sdtContent>
                        <w:p>
                          <w:pPr>
                            <w:ind w:firstLine="851"/>
                            <w:jc w:val="both"/>
                            <w:rPr>
                              <w:color w:val="000000"/>
                            </w:rPr>
                          </w:pPr>
                          <w:r>
                            <w:rPr>
                              <w:color w:val="000000"/>
                            </w:rPr>
                            <w:t xml:space="preserve">30.3.3. atvėsintas šaldytuve motinos pienas šildomas kambario temperatūroje, o sušaldytas motinos pienas pirma atšildomas šaldytuve (kol pasiekia +4–+5 </w:t>
                          </w:r>
                          <w:r>
                            <w:rPr>
                              <w:color w:val="000000"/>
                              <w:vertAlign w:val="superscript"/>
                            </w:rPr>
                            <w:t>o</w:t>
                          </w:r>
                          <w:r>
                            <w:rPr>
                              <w:color w:val="000000"/>
                            </w:rPr>
                            <w:t>C temperatūrą), vėliau kambario temperatūroje. Draudžiama motinos pieną šildyti mikrobangų krosnelėje ar verdančio vandens vonelėje. Atšildytą motinos pieną pakartotinai sušaldyti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4 pp."/>
                        <w:tag w:val="part_0661fd41fbc94f39963a7824f7c76843"/>
                        <w:lock w:val="sdtLocked"/>
                        <w:richText/>
                      </w:sdtPr>
                      <w:sdtContent>
                        <w:p>
                          <w:pPr>
                            <w:pStyle w:val="PlainText"/>
                            <w:ind w:firstLine="567"/>
                            <w:jc w:val="both"/>
                            <w:rPr>
                              <w:rFonts w:ascii="Times New Roman" w:hAnsi="Times New Roman"/>
                              <w:b/>
                              <w:bCs/>
                              <w:sz w:val="22"/>
                            </w:rPr>
                          </w:pPr>
                          <w:r>
                            <w:rPr>
                              <w:rFonts w:ascii="Times New Roman" w:hAnsi="Times New Roman"/>
                              <w:sz w:val="22"/>
                            </w:rPr>
                            <w:t>30.3.4</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f43285b2d0484e0180f8646332dfa63f"/>
                    <w:lock w:val="sdtLocked"/>
                    <w:richText/>
                  </w:sdtPr>
                  <w:sdtContent>
                    <w:p>
                      <w:pPr>
                        <w:ind w:firstLine="851"/>
                        <w:jc w:val="both"/>
                      </w:pPr>
                      <w:sdt>
                        <w:sdtPr>
                          <w:alias w:val="Numeris"/>
                          <w:tag w:val="nr_f43285b2d0484e0180f8646332dfa63f"/>
                          <w:lock w:val="sdtLocked"/>
                          <w:richText/>
                        </w:sdtPr>
                        <w:sdtContent>
                          <w:r>
                            <w:rPr>
                              <w:color w:val="000000"/>
                            </w:rPr>
                            <w:t>31.4</w:t>
                          </w:r>
                        </w:sdtContent>
                      </w:sdt>
                      <w:r>
                        <w:rPr>
                          <w:color w:val="000000"/>
                        </w:rPr>
                        <w:t>. 8‒9 mėn. amžiaus vaikams turi būti tiekiamas motinos pienas, jo nesant, – mišinys; dviejų‒trijų daržovių (bulvių, cukinijų, moliūgų, morkų, ropių, burokėlių, brokolių, žiedinių kopūstų, kopūstų, šparaginių pupelių, špinatų, žirnių ar avinžirnių) košės;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20bfdf485b6748deb9e5c3d9dbb5fc0d"/>
                    <w:lock w:val="sdtLocked"/>
                    <w:richText/>
                  </w:sdtPr>
                  <w:sdtContent>
                    <w:p>
                      <w:pPr>
                        <w:ind w:firstLine="851"/>
                        <w:jc w:val="both"/>
                        <w:rPr>
                          <w:rFonts w:eastAsia="Calibri"/>
                          <w:szCs w:val="24"/>
                        </w:rPr>
                      </w:pPr>
                      <w:sdt>
                        <w:sdtPr>
                          <w:alias w:val="Numeris"/>
                          <w:tag w:val="nr_20bfdf485b6748deb9e5c3d9dbb5fc0d"/>
                          <w:lock w:val="sdtLocked"/>
                          <w:richText/>
                        </w:sdtPr>
                        <w:sdtContent>
                          <w:r>
                            <w:rPr>
                              <w:rFonts w:eastAsia="Calibri"/>
                              <w:szCs w:val="24"/>
                            </w:rPr>
                            <w:t>32.4</w:t>
                          </w:r>
                        </w:sdtContent>
                      </w:sdt>
                      <w:r>
                        <w:rPr>
                          <w:rFonts w:eastAsia="Calibri"/>
                          <w:szCs w:val="24"/>
                        </w:rPr>
                        <w:t xml:space="preserve">. pagal gydytojo raštiškus nurodymus </w:t>
                      </w:r>
                      <w:r>
                        <w:rPr>
                          <w:color w:val="000000"/>
                        </w:rPr>
                        <w:t>(</w:t>
                      </w:r>
                      <w:r>
                        <w:rPr>
                          <w:rFonts w:eastAsia="Calibri"/>
                          <w:szCs w:val="24"/>
                        </w:rPr>
                        <w:t>Forma Nr. E027-1</w:t>
                      </w:r>
                      <w:r>
                        <w:rPr>
                          <w:color w:val="000000"/>
                        </w:rPr>
                        <w:t>)</w:t>
                      </w:r>
                      <w:r>
                        <w:rPr>
                          <w:rFonts w:eastAsia="Calibri"/>
                          <w:szCs w:val="24"/>
                        </w:rPr>
                        <w:t xml:space="preserve">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8ab8bd9641ba44bd800a2089b3c62d7e"/>
                <w:lock w:val="sdtLocked"/>
                <w:richText/>
              </w:sdtPr>
              <w:sdtContent>
                <w:p>
                  <w:pPr>
                    <w:ind w:firstLine="851"/>
                    <w:jc w:val="both"/>
                  </w:pPr>
                  <w:sdt>
                    <w:sdtPr>
                      <w:alias w:val="Numeris"/>
                      <w:tag w:val="nr_8ab8bd9641ba44bd800a2089b3c62d7e"/>
                      <w:lock w:val="sdtLocked"/>
                      <w:richText/>
                    </w:sdtPr>
                    <w:sdtContent>
                      <w:r>
                        <w:rPr>
                          <w:rFonts w:eastAsia="Calibri"/>
                          <w:szCs w:val="24"/>
                        </w:rPr>
                        <w:t>38</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850c688504164fd590098c0240642d52"/>
                <w:lock w:val="sdtLocked"/>
                <w:richText/>
              </w:sdtPr>
              <w:sdtContent>
                <w:p>
                  <w:pPr>
                    <w:ind w:firstLine="851"/>
                    <w:jc w:val="both"/>
                    <w:rPr>
                      <w:color w:val="000000"/>
                    </w:rPr>
                  </w:pPr>
                  <w:sdt>
                    <w:sdtPr>
                      <w:alias w:val="Numeris"/>
                      <w:tag w:val="nr_850c688504164fd590098c0240642d52"/>
                      <w:lock w:val="sdtLocked"/>
                      <w:richText/>
                    </w:sdtPr>
                    <w:sdtContent>
                      <w:r>
                        <w:rPr>
                          <w:rFonts w:eastAsia="Calibri"/>
                          <w:szCs w:val="24"/>
                        </w:rPr>
                        <w:t>40</w:t>
                      </w:r>
                    </w:sdtContent>
                  </w:sdt>
                  <w:r>
                    <w:rPr>
                      <w:rFonts w:eastAsia="Calibri"/>
                      <w:szCs w:val="24"/>
                    </w:rPr>
                    <w:t xml:space="preserve">. Vaikams, pateikusiems gydytojo raštiškus nurodymus </w:t>
                  </w:r>
                  <w:r>
                    <w:rPr>
                      <w:color w:val="000000"/>
                    </w:rPr>
                    <w:t>(</w:t>
                  </w:r>
                  <w:r>
                    <w:rPr>
                      <w:rFonts w:eastAsia="Calibri"/>
                      <w:szCs w:val="24"/>
                    </w:rPr>
                    <w:t>Forma Nr. E027-1</w:t>
                  </w:r>
                  <w:r>
                    <w:rPr>
                      <w:color w:val="000000"/>
                    </w:rPr>
                    <w:t>)</w:t>
                  </w:r>
                  <w:r>
                    <w:rPr>
                      <w:rFonts w:eastAsia="Calibri"/>
                      <w:szCs w:val="24"/>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3aa633a005754c2eb99fda24c3e972d3"/>
                    <w:lock w:val="sdtLocked"/>
                    <w:richText/>
                  </w:sdtPr>
                  <w:sdtContent>
                    <w:p>
                      <w:pPr>
                        <w:pStyle w:val="PlainText"/>
                        <w:ind w:firstLine="567"/>
                        <w:jc w:val="both"/>
                        <w:rPr>
                          <w:rFonts w:ascii="Times New Roman" w:hAnsi="Times New Roman"/>
                          <w:b/>
                          <w:bCs/>
                          <w:sz w:val="22"/>
                        </w:rPr>
                      </w:pPr>
                      <w:r>
                        <w:rPr>
                          <w:rFonts w:ascii="Times New Roman" w:hAnsi="Times New Roman"/>
                          <w:sz w:val="22"/>
                        </w:rPr>
                        <w:t>44.5</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11a5652c288945d2b71be4dfae9152ab"/>
                    <w:lock w:val="sdtLocked"/>
                    <w:richText/>
                  </w:sdtPr>
                  <w:sdtContent>
                    <w:p>
                      <w:pPr>
                        <w:ind w:firstLine="851"/>
                        <w:jc w:val="both"/>
                        <w:rPr>
                          <w:color w:val="000000"/>
                          <w:sz w:val="20"/>
                        </w:rPr>
                      </w:pPr>
                      <w:sdt>
                        <w:sdtPr>
                          <w:alias w:val="Numeris"/>
                          <w:tag w:val="nr_11a5652c288945d2b71be4dfae9152ab"/>
                          <w:lock w:val="sdtLocked"/>
                          <w:richText/>
                        </w:sdtPr>
                        <w:sdtContent>
                          <w:r>
                            <w:rPr>
                              <w:color w:val="000000"/>
                            </w:rPr>
                            <w:t>45.4</w:t>
                          </w:r>
                        </w:sdtContent>
                      </w:sdt>
                      <w:r>
                        <w:rPr>
                          <w:color w:val="000000"/>
                        </w:rPr>
                        <w:t>. pagal gydytojo raštiškus nurodymus (</w:t>
                      </w:r>
                      <w:r>
                        <w:rPr>
                          <w:rFonts w:eastAsia="Calibri"/>
                          <w:szCs w:val="24"/>
                        </w:rPr>
                        <w:t>Forma Nr. E027-1</w:t>
                      </w:r>
                      <w:r>
                        <w:rPr>
                          <w:color w:val="000000"/>
                        </w:rPr>
                        <w:t>) turi būti organizuojamas pritaikytas maitinimas.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361035924ab04f52b068613b6e08fecf"/>
                <w:lock w:val="sdtLocked"/>
                <w:richText/>
              </w:sdtPr>
              <w:sdtContent>
                <w:p>
                  <w:pPr>
                    <w:ind w:firstLine="851"/>
                    <w:jc w:val="both"/>
                    <w:rPr>
                      <w:szCs w:val="24"/>
                    </w:rPr>
                  </w:pPr>
                  <w:sdt>
                    <w:sdtPr>
                      <w:alias w:val="Numeris"/>
                      <w:tag w:val="nr_361035924ab04f52b068613b6e08fecf"/>
                      <w:lock w:val="sdtLocked"/>
                      <w:richText/>
                    </w:sdtPr>
                    <w:sdtContent>
                      <w:r>
                        <w:rPr>
                          <w:szCs w:val="24"/>
                        </w:rPr>
                        <w:t>49</w:t>
                      </w:r>
                    </w:sdtContent>
                  </w:sdt>
                  <w:r>
                    <w:rPr>
                      <w:szCs w:val="24"/>
                    </w:rPr>
                    <w:t>. Vaikų nuo 1 iki 18 metų amžiaus maitinimo valgiaraščiai sudaromi (pasirinktinai):</w:t>
                  </w:r>
                </w:p>
                <w:sdt>
                  <w:sdtPr>
                    <w:alias w:val="49.1 pp."/>
                    <w:tag w:val="part_e31826e62ba94ebe8a09b2648c80c0c7"/>
                    <w:lock w:val="sdtLocked"/>
                    <w:richText/>
                  </w:sdtPr>
                  <w:sdtContent>
                    <w:p>
                      <w:pPr>
                        <w:ind w:firstLine="851"/>
                        <w:jc w:val="both"/>
                        <w:rPr>
                          <w:szCs w:val="24"/>
                        </w:rPr>
                      </w:pPr>
                      <w:sdt>
                        <w:sdtPr>
                          <w:alias w:val="Numeris"/>
                          <w:tag w:val="nr_e31826e62ba94ebe8a09b2648c80c0c7"/>
                          <w:lock w:val="sdtLocked"/>
                          <w:richText/>
                        </w:sdtPr>
                        <w:sdtContent>
                          <w:r>
                            <w:rPr>
                              <w:szCs w:val="24"/>
                            </w:rPr>
                            <w:t>49.1</w:t>
                          </w:r>
                        </w:sdtContent>
                      </w:sdt>
                      <w:r>
                        <w:rPr>
                          <w:szCs w:val="24"/>
                        </w:rPr>
                        <w:t>. pagal patiekalų receptūrų pavyzdžius, pateiktus interneto svetainėje adresu www.smlpc.lt/lt/mityba_ir_fizinis_aktyvumas/rekomenduojami_perspektyviniai_valgiaraščiai arba http://sam.lrv.lt/lt/veiklos-sritys/visuomenes-sveikatos-prieziura/mityba-ir-fizinis-aktyvumas-2/valgiarasciai-ir-technologines-korteles-ugdymo-bei-gydymo-istaigoms;</w:t>
                      </w:r>
                    </w:p>
                  </w:sdtContent>
                </w:sdt>
                <w:sdt>
                  <w:sdtPr>
                    <w:alias w:val="49.2 pp."/>
                    <w:tag w:val="part_dfc19d45efb94993ae0c766f8cc091ea"/>
                    <w:lock w:val="sdtLocked"/>
                    <w:richText/>
                  </w:sdtPr>
                  <w:sdtContent>
                    <w:p>
                      <w:pPr>
                        <w:ind w:firstLine="851"/>
                        <w:jc w:val="both"/>
                        <w:rPr>
                          <w:szCs w:val="24"/>
                        </w:rPr>
                      </w:pPr>
                      <w:sdt>
                        <w:sdtPr>
                          <w:alias w:val="Numeris"/>
                          <w:tag w:val="nr_dfc19d45efb94993ae0c766f8cc091ea"/>
                          <w:lock w:val="sdtLocked"/>
                          <w:richText/>
                        </w:sdtPr>
                        <w:sdtContent>
                          <w:r>
                            <w:rPr>
                              <w:szCs w:val="24"/>
                            </w:rPr>
                            <w:t>49.2</w:t>
                          </w:r>
                        </w:sdtContent>
                      </w:sdt>
                      <w:r>
                        <w:rPr>
                          <w:szCs w:val="24"/>
                        </w:rPr>
                        <w:t>. savarankiškai maitinimo paslaugos teikėjo, vadovaujantis Tvarkos aprašo reikalavimais;</w:t>
                      </w:r>
                    </w:p>
                  </w:sdtContent>
                </w:sdt>
                <w:sdt>
                  <w:sdtPr>
                    <w:alias w:val="49.3 pp."/>
                    <w:tag w:val="part_44efdbda4c94410f985c2dac5071e4ea"/>
                    <w:lock w:val="sdtLocked"/>
                    <w:richText/>
                  </w:sdtPr>
                  <w:sdtContent>
                    <w:p>
                      <w:pPr>
                        <w:ind w:firstLine="851"/>
                        <w:jc w:val="both"/>
                        <w:rPr>
                          <w:color w:val="000000"/>
                        </w:rPr>
                      </w:pPr>
                      <w:sdt>
                        <w:sdtPr>
                          <w:alias w:val="Numeris"/>
                          <w:tag w:val="nr_44efdbda4c94410f985c2dac5071e4ea"/>
                          <w:lock w:val="sdtLocked"/>
                          <w:richText/>
                        </w:sdtPr>
                        <w:sdtContent>
                          <w:r>
                            <w:rPr>
                              <w:szCs w:val="24"/>
                            </w:rPr>
                            <w:t>49.3</w:t>
                          </w:r>
                        </w:sdtContent>
                      </w:sdt>
                      <w:r>
                        <w:rPr>
                          <w:szCs w:val="24"/>
                        </w:rPr>
                        <w:t>. pagal gydytojo raštiškus nurodymus (Forma Nr. E027-1).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ba7b0480e11ea8895faf9aa6b1770">
                    <w:r w:rsidRPr="00532B9F">
                      <w:rPr>
                        <w:rFonts w:ascii="Times New Roman" w:eastAsia="MS Mincho" w:hAnsi="Times New Roman"/>
                        <w:sz w:val="20"/>
                        <w:i/>
                        <w:iCs/>
                        <w:color w:val="0000FF" w:themeColor="hyperlink"/>
                        <w:u w:val="single"/>
                      </w:rPr>
                      <w:t>V-109</w:t>
                    </w:r>
                  </w:fldSimple>
                  <w:r>
                    <w:rPr>
                      <w:rFonts w:ascii="Times New Roman" w:eastAsia="MS Mincho" w:hAnsi="Times New Roman"/>
                      <w:sz w:val="20"/>
                      <w:i/>
                      <w:iCs/>
                    </w:rPr>
                    <w:t>,
2020-02-03,
paskelbta TAR 2020-02-05, i. k. 2020-02605            </w:t>
                  </w:r>
                </w:p>
                <w:p/>
              </w:sdtContent>
            </w:sdt>
            <w:sdt>
              <w:sdtPr>
                <w:alias w:val="50 p."/>
                <w:tag w:val="part_8843bc0dc27749ada48791f9b09bcc10"/>
                <w:lock w:val="sdtLocked"/>
                <w:richText/>
              </w:sdtPr>
              <w:sdtContent>
                <w:p>
                  <w:pPr>
                    <w:widowControl w:val="0"/>
                    <w:suppressAutoHyphens/>
                    <w:ind w:firstLine="851"/>
                    <w:jc w:val="both"/>
                    <w:rPr>
                      <w:sz w:val="20"/>
                      <w:lang w:eastAsia="lt-LT"/>
                    </w:rPr>
                  </w:pPr>
                  <w:sdt>
                    <w:sdtPr>
                      <w:alias w:val="Numeris"/>
                      <w:tag w:val="nr_8843bc0dc27749ada48791f9b09bcc10"/>
                      <w:lock w:val="sdtLocked"/>
                      <w:richText/>
                    </w:sdtPr>
                    <w:sdtContent>
                      <w:r>
                        <w:rPr>
                          <w:szCs w:val="24"/>
                          <w:lang w:eastAsia="lt-LT"/>
                        </w:rPr>
                        <w:t>50</w:t>
                      </w:r>
                    </w:sdtContent>
                  </w:sdt>
                  <w:r>
                    <w:rPr>
                      <w:szCs w:val="24"/>
                      <w:lang w:eastAsia="lt-LT"/>
                    </w:rPr>
                    <w:t xml:space="preserve">. </w:t>
                  </w:r>
                  <w:r>
                    <w:t xml:space="preserve">Valgiaraščių tituliniame lape turi būti nurodytas mokyklos, poilsio stovyklos ar socialinės globos namų, kuriuose organizuojamas maitinimas, pavadinimas, adresas, darbo laikas, maitinamų vaikų amžius. Visi valgiaraščio lapai turi būti sunumeruoti (išskyrus titulinį) ir patvirtinti vadovo parašu ir spaudu, jei jį turi. Valgiaraščiuose turi būti nurodytos savaitės ir savaitės dienos, darbo laikas, kiekvieno vaikų maitinimo laikas. Valgiaraštis turi būti aiškus (nurodytos tikslios patiekalų ar maisto produktų išeigos, be braukymų ar taisymų).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2cd7fb897a9447009b8aaacb649a4100"/>
                <w:lock w:val="sdtLocked"/>
                <w:richText/>
              </w:sdtPr>
              <w:sdtContent>
                <w:p>
                  <w:pPr>
                    <w:widowControl w:val="0"/>
                    <w:suppressAutoHyphens/>
                    <w:ind w:firstLine="851"/>
                    <w:jc w:val="both"/>
                    <w:rPr>
                      <w:rFonts w:eastAsia="Calibri"/>
                      <w:szCs w:val="24"/>
                      <w:lang w:eastAsia="lt-LT"/>
                    </w:rPr>
                  </w:pPr>
                  <w:sdt>
                    <w:sdtPr>
                      <w:alias w:val="Numeris"/>
                      <w:tag w:val="nr_2cd7fb897a9447009b8aaacb649a410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w:t>
                  </w:r>
                  <w:r>
                    <w:rPr>
                      <w:color w:val="000000"/>
                    </w:rPr>
                    <w:t>(</w:t>
                  </w:r>
                  <w:r>
                    <w:rPr>
                      <w:rFonts w:eastAsia="Calibri"/>
                      <w:szCs w:val="24"/>
                    </w:rPr>
                    <w:t>Forma Nr. E027-1</w:t>
                  </w:r>
                  <w:r>
                    <w:rPr>
                      <w:color w:val="000000"/>
                    </w:rPr>
                    <w:t xml:space="preserve">) </w:t>
                  </w:r>
                  <w:r>
                    <w:rPr>
                      <w:rFonts w:eastAsia="Calibri"/>
                      <w:szCs w:val="24"/>
                    </w:rPr>
                    <w:t xml:space="preserve">organizuojamas pritaikytas maitinimas </w:t>
                  </w:r>
                  <w:r>
                    <w:rPr>
                      <w:szCs w:val="24"/>
                      <w:lang w:eastAsia="lt-LT"/>
                    </w:rPr>
                    <w:t>(Tvarkos aprašo 32.4 papunktis ir 38 punktas)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fee746dac1464edb932cb19718afa2d9"/>
            <w:lock w:val="sdtLocked"/>
            <w:richText/>
          </w:sdtPr>
          <w:sdtContent>
            <w:p>
              <w:pPr>
                <w:ind w:firstLine="851"/>
                <w:jc w:val="both"/>
              </w:pPr>
              <w:sdt>
                <w:sdtPr>
                  <w:alias w:val="Numeris"/>
                  <w:tag w:val="nr_fee746dac1464edb932cb19718afa2d9"/>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25b7412c01ed4fe991ac42fa57ad36cb"/>
        <w:lock w:val="sdtLocked"/>
        <w:richText/>
      </w:sdtPr>
      <w:sdtContent>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sectPr>
              <w:headerReference w:type="even" r:id="rId16"/>
              <w:headerReference w:type="default" r:id="rId17"/>
              <w:footerReference w:type="even" r:id="rId18"/>
              <w:footerReference w:type="default" r:id="rId19"/>
              <w:headerReference w:type="first" r:id="rId20"/>
              <w:footerReference w:type="first" r:id="rId21"/>
              <w:pgSz w:w="11907" w:h="16840" w:code="9"/>
              <w:pgMar w:top="1418" w:right="567" w:bottom="1134" w:left="1701" w:header="567" w:footer="284" w:gutter="0"/>
              <w:pgNumType w:start="1"/>
              <w:cols w:space="1296"/>
              <w:titlePg/>
              <w:docGrid w:linePitch="360"/>
            </w:sectPr>
          </w:pPr>
        </w:p>
        <w:p>
          <w:pPr>
            <w:ind w:left="3888" w:firstLine="1215"/>
            <w:rPr>
              <w:rFonts w:eastAsia="Calibri"/>
              <w:szCs w:val="24"/>
            </w:rPr>
          </w:pPr>
          <w:r>
            <w:rPr>
              <w:rFonts w:eastAsia="Calibri"/>
              <w:szCs w:val="24"/>
            </w:rPr>
            <w:t>Vaikų maitinimo organizavimo tvarkos aprašo</w:t>
          </w:r>
        </w:p>
        <w:p>
          <w:pPr>
            <w:ind w:left="3888" w:firstLine="1215"/>
            <w:rPr>
              <w:rFonts w:eastAsia="Calibri"/>
              <w:szCs w:val="24"/>
            </w:rPr>
          </w:pPr>
          <w:r>
            <w:rPr>
              <w:rFonts w:eastAsia="Calibri"/>
              <w:szCs w:val="24"/>
            </w:rPr>
            <w:t>6 priedas</w:t>
          </w:r>
        </w:p>
        <w:p>
          <w:pPr>
            <w:rPr>
              <w:rFonts w:eastAsiaTheme="minorHAnsi"/>
              <w:szCs w:val="24"/>
            </w:rPr>
          </w:pPr>
        </w:p>
        <w:p>
          <w:pPr>
            <w:spacing w:after="240"/>
            <w:ind w:firstLine="357"/>
            <w:jc w:val="center"/>
            <w:rPr>
              <w:b/>
              <w:szCs w:val="22"/>
            </w:rPr>
          </w:pPr>
          <w:r>
            <w:rPr>
              <w:b/>
            </w:rPr>
            <w:t>MAISTO PRODUKTŲ IR PATIEKALŲ VAIKAMS MAITINTI PATIEKIMAS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1.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1.1. Pirmenybė teikiama šviežioms, sezoninėms daržovėms.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1.2. Tiekiamos kuo įvairesnės daržovės.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Šviežių daržovių salotos tiekiamos su aliejaus ar nesaldinto jogurto padažu.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1.4. Termiškai apdorotos daržovės (šviežios arba šaldytos) tiekiamos kaip garnyras, sriuba, apkepas ir t. t.).</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1.5. Per dieną vieną daržovių porciją galima pakeisti 100‒200 ml daržovių sulčių.</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2.1. Pirmenybė teikiama šviežiems, sezoniniams vaisiams ir uogoms.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2.2. Per savaitę vieną vaisių porciją galima pakeisti 100‒200 ml vaisių sulčių.</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 Vaikams patiekiami taip, kad galėtų sukramtyti.</w:t>
                </w:r>
              </w:p>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2.4. Ikimokyklinio amžiaus vaikams vaisiai ar uogos 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3. Bulvės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3.1. Jei bulvių patiekalai tiekiami su padažais, jie turi būti neriebesni nei 30 proc.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4.1. Pirmenybė teikiama viso grūdo arba iš dalies viso grūdo produktams.</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4.2. Tiekiamos kuo įvairesnės kruopos ar kruopų dribsniai (avižų, grikių, ryžių, kvietinės, miežinės, perlinės, kukurūzų, sorų ir kt.). </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color w:val="000000"/>
                    <w:sz w:val="24"/>
                    <w:szCs w:val="24"/>
                  </w:rPr>
                  <w:t>4.3. Pirmenybė teikiama ruginei duonai (ne mažiau kaip 30 proc. sausos produkto masės sudaro rugiai).</w:t>
                </w:r>
              </w:p>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4.4. Apkepų, blynų, bandelių tešlai aukščiausios rūšies miltus rekomenduojama maišyti su viso grūdo miltais, sėlenomis.</w:t>
                </w:r>
              </w:p>
              <w:p>
                <w:pPr>
                  <w:pStyle w:val="Sraopastraipa"/>
                  <w:spacing w:after="12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rPr>
                </w:pPr>
                <w:r>
                  <w:rPr>
                    <w:rFonts w:ascii="Times New Roman" w:hAnsi="Times New Roman" w:cs="Times New Roman"/>
                    <w:sz w:val="24"/>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5.1. Pirmenybė teikiama šviežiai, atvėsintai mėsai: paukštienai, triušienai, veršienai, jautienai, kiaulienai, avienai.</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5.2. Tiekiama liesa mėsa.</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5.3. Paukštiena patiekalų gamybai naudojama be odos.</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5.4. Š</w:t>
                </w:r>
                <w:r>
                  <w:rPr>
                    <w:rFonts w:ascii="Times New Roman" w:hAnsi="Times New Roman" w:cs="Times New Roman"/>
                    <w:sz w:val="24"/>
                    <w:szCs w:val="24"/>
                    <w:lang w:eastAsia="lt-LT"/>
                  </w:rPr>
                  <w:t xml:space="preserve">altai, karštai, mažai rūkyti mėsos gaminiai ir mėsos gaminiai, kurių gamyboje buvo naudojamos rūkymo kvapiosios medžiagos, </w:t>
                </w:r>
                <w:r>
                  <w:rPr>
                    <w:rFonts w:ascii="Times New Roman" w:hAnsi="Times New Roman" w:cs="Times New Roman"/>
                    <w:sz w:val="24"/>
                    <w:szCs w:val="24"/>
                  </w:rPr>
                  <w:t>tiekiami ne jaunesniems kaip 3 metų amžiaus vaikams.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5.5.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rPr>
                </w:pPr>
                <w:r>
                  <w:rPr>
                    <w:rFonts w:ascii="Times New Roman" w:hAnsi="Times New Roman" w:cs="Times New Roman"/>
                    <w:sz w:val="24"/>
                  </w:rPr>
                  <w:t>6. Žuvis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6.1. Pakaitomis tiekiama riebi ir liesa jūrinė arba gėlo vandens žuvis.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7. Kiaušiniai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7.1. Kiaušiniai patiekiami virti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8.1. Ikimokyklinio amžiaus vaikams rekomenduojama (jei gydytojas nerekomendavo kitaip) patiekti ne mažiau kaip 200 ml pasterizuoto pieno arba atitinkamą pagal kalcio kiekį pieno produktų kiekį per dieną.</w:t>
                </w:r>
              </w:p>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8.2. Vartoti tiekiamas ne didesnio nei 2,5 proc. riebumo pasterizuotas pienas.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8.3. R</w:t>
                </w:r>
                <w:r>
                  <w:rPr>
                    <w:rFonts w:ascii="Times New Roman" w:eastAsia="Calibri" w:hAnsi="Times New Roman" w:cs="Times New Roman"/>
                    <w:color w:val="000000"/>
                    <w:sz w:val="24"/>
                    <w:szCs w:val="24"/>
                  </w:rPr>
                  <w:t xml:space="preserve">auginti pieno produktai </w:t>
                </w:r>
                <w:r>
                  <w:rPr>
                    <w:rFonts w:ascii="Times New Roman" w:hAnsi="Times New Roman" w:cs="Times New Roman"/>
                    <w:sz w:val="24"/>
                    <w:szCs w:val="24"/>
                  </w:rPr>
                  <w:t>tiekiami po rauginimo termiškai neapdoroti.</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8.4. V</w:t>
                </w:r>
                <w:r>
                  <w:rPr>
                    <w:rFonts w:ascii="Times New Roman" w:eastAsia="Calibri" w:hAnsi="Times New Roman" w:cs="Times New Roman"/>
                    <w:color w:val="000000"/>
                    <w:sz w:val="24"/>
                    <w:szCs w:val="24"/>
                  </w:rPr>
                  <w:t>arškė tiekiama šviežia arba patiekaluose.</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 (rapsų, alyvuogių, linų sėmenų ir kt.).</w:t>
                </w:r>
              </w:p>
              <w:p>
                <w:pPr>
                  <w:rPr>
                    <w:szCs w:val="24"/>
                  </w:rPr>
                </w:pPr>
                <w:r>
                  <w:rPr>
                    <w:szCs w:val="24"/>
                  </w:rPr>
                  <w:t>10.2. Kepimui naudojamas kepti tinkantis aliejus.</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10.3.Gyvūniniai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spacing w:line="276" w:lineRule="auto"/>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12. Prieskoniai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12.1. Pirmenybė teikiama žaliems lapiniams prieskoniams (petražolės, krapai, raudonėlis, bazilikas ir kt.).</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pStyle w:val="Sraopastraipa"/>
                  <w:ind w:left="0"/>
                  <w:rPr>
                    <w:rFonts w:ascii="Times New Roman" w:hAnsi="Times New Roman" w:cs="Times New Roman"/>
                    <w:sz w:val="24"/>
                    <w:szCs w:val="24"/>
                  </w:rPr>
                </w:pPr>
                <w:r>
                  <w:rPr>
                    <w:rFonts w:ascii="Times New Roman" w:hAnsi="Times New Roman" w:cs="Times New Roman"/>
                    <w:sz w:val="24"/>
                    <w:szCs w:val="24"/>
                  </w:rPr>
                  <w:t>13. Gėrimai</w:t>
                </w:r>
              </w:p>
            </w:tc>
            <w:tc>
              <w:tcPr>
                <w:tcW w:w="6796"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rPr>
                    <w:rFonts w:ascii="Times New Roman" w:hAnsi="Times New Roman" w:cs="Times New Roman"/>
                    <w:sz w:val="24"/>
                    <w:szCs w:val="24"/>
                  </w:rPr>
                </w:pPr>
                <w:r>
                  <w:rPr>
                    <w:rFonts w:ascii="Times New Roman" w:hAnsi="Times New Roman" w:cs="Times New Roman"/>
                    <w:sz w:val="24"/>
                    <w:szCs w:val="24"/>
                  </w:rPr>
                  <w:t xml:space="preserve">13.1. Pirmenybė teikiama geriamajam vandeniui. </w:t>
                </w:r>
              </w:p>
              <w:p>
                <w:pPr>
                  <w:pStyle w:val="Sraopastraipa"/>
                  <w:spacing w:after="120" w:line="240" w:lineRule="auto"/>
                  <w:ind w:left="0"/>
                  <w:rPr>
                    <w:rFonts w:ascii="Times New Roman" w:hAnsi="Times New Roman" w:cs="Times New Roman"/>
                    <w:sz w:val="24"/>
                    <w:szCs w:val="24"/>
                  </w:rPr>
                </w:pPr>
                <w:r>
                  <w:rPr>
                    <w:rFonts w:ascii="Times New Roman" w:hAnsi="Times New Roman" w:cs="Times New Roman"/>
                    <w:sz w:val="24"/>
                    <w:szCs w:val="24"/>
                  </w:rPr>
                  <w:t xml:space="preserve">13.2. Su patiekalais gėrimai, kuriuose yra pridėtinių cukrų, netiekiami.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 xml:space="preserve">14. Desertai </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14.1. Viso grūdo ar iš dalies viso grūdo pyragai, bandelės.</w:t>
                </w:r>
              </w:p>
              <w:p>
                <w:pPr>
                  <w:spacing w:after="120"/>
                  <w:rPr>
                    <w:szCs w:val="24"/>
                  </w:rPr>
                </w:pPr>
                <w:r>
                  <w:rPr>
                    <w:szCs w:val="24"/>
                  </w:rPr>
                  <w:t xml:space="preserve">14.2. Daržovių, vaisių, pieno produktų pagrindu pagaminti </w:t>
                </w:r>
                <w:r>
                  <w:rPr>
                    <w:color w:val="000000" w:themeColor="text1"/>
                    <w:szCs w:val="24"/>
                  </w:rPr>
                  <w:t>pudingai, kokteiliai, pyragai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15. Sriubos</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15.1. Jei tiekiamos su kitais patiekalais,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spacing w:after="120" w:line="276" w:lineRule="auto"/>
                  <w:rPr>
                    <w:szCs w:val="24"/>
                  </w:rPr>
                </w:pPr>
                <w:r>
                  <w:rPr>
                    <w:szCs w:val="24"/>
                  </w:rPr>
                  <w:t>17. Kiti</w:t>
                </w:r>
              </w:p>
            </w:tc>
            <w:tc>
              <w:tcPr>
                <w:tcW w:w="6796" w:type="dxa"/>
                <w:tcBorders>
                  <w:top w:val="single" w:sz="4" w:space="0" w:color="auto"/>
                  <w:left w:val="single" w:sz="4" w:space="0" w:color="auto"/>
                  <w:bottom w:val="single" w:sz="4" w:space="0" w:color="auto"/>
                  <w:right w:val="single" w:sz="4" w:space="0" w:color="auto"/>
                </w:tcBorders>
                <w:hideMark/>
              </w:tcPr>
              <w:p>
                <w:pPr>
                  <w:spacing w:after="120"/>
                  <w:rPr>
                    <w:szCs w:val="24"/>
                  </w:rPr>
                </w:pPr>
                <w:r>
                  <w:rPr>
                    <w:szCs w:val="24"/>
                  </w:rPr>
                  <w:t>17.1. Medus, grybai tiekiami ne jaunesniems kaip 3 metų amžiaus vaikams.</w:t>
                </w:r>
              </w:p>
            </w:tc>
          </w:tr>
        </w:tbl>
        <w:p>
          <w:pPr>
            <w:spacing w:after="120"/>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spacing w:after="120"/>
            <w:jc w:val="center"/>
          </w:pPr>
          <w:r>
            <w:rPr>
              <w:sz w:val="8"/>
              <w:szCs w:val="8"/>
            </w:rPr>
            <w:t>_____________________________________________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7 pr."/>
        <w:tag w:val="part_f73ec1f8e7c14baeae8930382b284e8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f73ec1f8e7c14baeae8930382b284e8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f73ec1f8e7c14baeae8930382b284e8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ir vaikų iki 1 metų amžiaus valgiaraščius maisto produktų ir patiekalų patiekimo dažnumo reikalavimai netaikomi. Sudarant pritaikyto maitinimo valgiaraščius maisto produktų ir patiekalų patiekimo dažnumo reikalavimai taikomi, jei neprieštarauja gydytojo raštiškiems nurodymams, pateiktiems Formoje Nr. E027-1.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25fc98ed683d4eaa8801aa1b8aa71c57"/>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sdtContent>
    </w:sdt>
    <w:sdt>
      <w:sdtPr>
        <w:alias w:val="priedas"/>
        <w:tag w:val="part_d203c67f42b246289d48c4940a87fd9b"/>
        <w:lock w:val="sdtLocked"/>
        <w:richText/>
      </w:sdtPr>
      <w:sdtContent>
        <w:p>
          <w:pPr>
            <w:rPr>
              <w:szCs w:val="24"/>
              <w:lang w:eastAsia="lt-LT"/>
            </w:rPr>
          </w:pPr>
        </w:p>
        <w:p>
          <w:pPr>
            <w:ind w:left="3888"/>
            <w:jc w:val="right"/>
            <w:rPr>
              <w:szCs w:val="24"/>
              <w:lang w:eastAsia="lt-LT"/>
            </w:rPr>
            <w:sectPr>
              <w:pgSz w:w="11907" w:h="16840" w:code="9"/>
              <w:pgMar w:top="1418" w:right="567" w:bottom="1134" w:left="1701" w:header="567" w:footer="284" w:gutter="0"/>
              <w:pgNumType w:start="1"/>
              <w:cols w:space="1296"/>
              <w:titlePg/>
              <w:docGrid w:linePitch="360"/>
            </w:sectPr>
          </w:pPr>
        </w:p>
        <w:p>
          <w:pPr>
            <w:ind w:left="3888"/>
            <w:jc w:val="right"/>
            <w:rPr>
              <w:szCs w:val="24"/>
              <w:lang w:eastAsia="lt-LT"/>
            </w:rPr>
          </w:pPr>
          <w:r>
            <w:rPr>
              <w:szCs w:val="24"/>
              <w:lang w:eastAsia="lt-LT"/>
            </w:rPr>
            <w:t xml:space="preserve">Vaikų maitinimo organizavimo tvarkos aprašo </w:t>
          </w:r>
        </w:p>
        <w:p>
          <w:pPr>
            <w:ind w:left="3888" w:firstLine="1296"/>
            <w:rPr>
              <w:szCs w:val="24"/>
              <w:lang w:eastAsia="lt-LT"/>
            </w:rPr>
          </w:pPr>
          <w:r>
            <w:rPr>
              <w:szCs w:val="24"/>
              <w:lang w:eastAsia="lt-LT"/>
            </w:rPr>
            <w:t>8 priedas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Cs w:val="24"/>
              <w:lang w:eastAsia="lt-LT"/>
            </w:rPr>
            <w:t>(Valgiaraščio formos pavyzdys)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0"/>
              <w:szCs w:val="40"/>
              <w:lang w:eastAsia="lt-LT"/>
            </w:rPr>
            <w:t>___________________________________________</w:t>
          </w:r>
        </w:p>
        <w:p>
          <w:pPr>
            <w:jc w:val="center"/>
            <w:rPr>
              <w:szCs w:val="24"/>
              <w:lang w:eastAsia="lt-LT"/>
            </w:rPr>
          </w:pPr>
          <w:r>
            <w:rPr>
              <w:sz w:val="20"/>
              <w:lang w:eastAsia="lt-LT"/>
            </w:rPr>
            <w:t>(ikimokyklinio, priešmokyklinio ar bendrojo ugdymo programas vykdančios įstaigos ar vaikų stacionarios socialinių paslaugų įstaigos ar vaikų poilsio stovyklos (teikiančios apgyvendinimo paslaugas) pavadinimas, adresas)</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b/>
              <w:bCs/>
              <w:sz w:val="44"/>
              <w:szCs w:val="44"/>
              <w:lang w:eastAsia="lt-LT"/>
            </w:rPr>
            <w:t>_____ DIENŲ VALGIARAŠTIS</w:t>
          </w:r>
        </w:p>
        <w:p>
          <w:pPr>
            <w:ind w:firstLine="1276"/>
            <w:rPr>
              <w:szCs w:val="24"/>
              <w:lang w:eastAsia="lt-LT"/>
            </w:rPr>
          </w:pPr>
          <w:r>
            <w:rPr>
              <w:sz w:val="20"/>
              <w:lang w:eastAsia="lt-LT"/>
            </w:rPr>
            <w:t>(nurodyti dienų skaičių)</w:t>
          </w:r>
        </w:p>
        <w:p>
          <w:pPr>
            <w:jc w:val="center"/>
            <w:rPr>
              <w:szCs w:val="24"/>
              <w:lang w:eastAsia="lt-LT"/>
            </w:rPr>
          </w:pPr>
          <w:r>
            <w:rPr>
              <w:sz w:val="40"/>
              <w:szCs w:val="40"/>
              <w:lang w:eastAsia="lt-LT"/>
            </w:rPr>
            <w:t>_______</w:t>
          </w:r>
        </w:p>
        <w:p>
          <w:pPr>
            <w:ind w:firstLine="3664"/>
            <w:rPr>
              <w:szCs w:val="24"/>
              <w:lang w:eastAsia="lt-LT"/>
            </w:rPr>
          </w:pPr>
          <w:r>
            <w:rPr>
              <w:sz w:val="20"/>
              <w:lang w:eastAsia="lt-LT"/>
            </w:rPr>
            <w:t>(nurodyti vaikų amžiaus grupę)</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jc w:val="center"/>
            <w:rPr>
              <w:szCs w:val="24"/>
              <w:lang w:eastAsia="lt-LT"/>
            </w:rPr>
          </w:pPr>
          <w:r>
            <w:rPr>
              <w:szCs w:val="24"/>
              <w:lang w:eastAsia="lt-LT"/>
            </w:rPr>
            <w:t> </w:t>
          </w:r>
        </w:p>
        <w:p>
          <w:pPr>
            <w:ind w:left="6412"/>
            <w:jc w:val="center"/>
            <w:rPr>
              <w:szCs w:val="24"/>
              <w:lang w:eastAsia="lt-LT"/>
            </w:rPr>
          </w:pPr>
          <w:r>
            <w:rPr>
              <w:szCs w:val="24"/>
              <w:lang w:eastAsia="lt-LT"/>
            </w:rPr>
            <w:t>Įstaigos darbo laikas</w:t>
          </w:r>
        </w:p>
        <w:p>
          <w:pPr>
            <w:ind w:left="6412"/>
            <w:jc w:val="center"/>
            <w:rPr>
              <w:szCs w:val="24"/>
              <w:lang w:eastAsia="lt-LT"/>
            </w:rPr>
          </w:pPr>
          <w:r>
            <w:rPr>
              <w:szCs w:val="24"/>
              <w:lang w:eastAsia="lt-LT"/>
            </w:rPr>
            <w:t>Nuo __ iki__ val.</w:t>
          </w:r>
        </w:p>
        <w:p>
          <w:pPr>
            <w:jc w:val="center"/>
            <w:rPr>
              <w:szCs w:val="24"/>
              <w:lang w:eastAsia="lt-LT"/>
            </w:rPr>
          </w:pPr>
          <w:r>
            <w:rPr>
              <w:szCs w:val="24"/>
              <w:lang w:eastAsia="lt-LT"/>
            </w:rPr>
            <w:t> </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tbl>
          <w:tblPr>
            <w:tblW w:w="8820" w:type="dxa"/>
            <w:tblInd w:w="108" w:type="dxa"/>
            <w:tblLayout w:type="fixed"/>
            <w:tblCellMar>
              <w:left w:w="0" w:type="dxa"/>
              <w:right w:w="0" w:type="dxa"/>
            </w:tblCellMar>
            <w:tblLook w:val="04A0" w:firstRow="1" w:lastRow="0" w:firstColumn="1" w:lastColumn="0" w:noHBand="0" w:noVBand="1"/>
          </w:tblPr>
          <w:tblGrid>
            <w:gridCol w:w="1450"/>
            <w:gridCol w:w="708"/>
            <w:gridCol w:w="851"/>
            <w:gridCol w:w="1417"/>
            <w:gridCol w:w="1276"/>
            <w:gridCol w:w="1984"/>
            <w:gridCol w:w="1134"/>
          </w:tblGrid>
          <w:tr>
            <w:trPr>
              <w:trHeight w:val="300"/>
            </w:trPr>
            <w:tc>
              <w:tcPr>
                <w:tcW w:w="8823" w:type="dxa"/>
                <w:gridSpan w:val="7"/>
                <w:noWrap/>
                <w:tcMar>
                  <w:top w:w="0" w:type="dxa"/>
                  <w:left w:w="108" w:type="dxa"/>
                  <w:bottom w:w="0" w:type="dxa"/>
                  <w:right w:w="108" w:type="dxa"/>
                </w:tcMar>
                <w:vAlign w:val="bottom"/>
                <w:hideMark/>
              </w:tcPr>
              <w:p>
                <w:pPr>
                  <w:rPr>
                    <w:szCs w:val="24"/>
                    <w:lang w:eastAsia="lt-LT"/>
                  </w:rPr>
                </w:pPr>
                <w:r>
                  <w:rPr>
                    <w:b/>
                    <w:bCs/>
                    <w:color w:val="000000"/>
                    <w:szCs w:val="24"/>
                    <w:lang w:eastAsia="lt-LT"/>
                  </w:rPr>
                  <w:t> </w:t>
                </w:r>
              </w:p>
            </w:tc>
          </w:tr>
          <w:tr>
            <w:trPr>
              <w:trHeight w:val="300"/>
            </w:trPr>
            <w:tc>
              <w:tcPr>
                <w:tcW w:w="1452" w:type="dxa"/>
                <w:noWrap/>
                <w:tcMar>
                  <w:top w:w="0" w:type="dxa"/>
                  <w:left w:w="108" w:type="dxa"/>
                  <w:bottom w:w="0" w:type="dxa"/>
                  <w:right w:w="108" w:type="dxa"/>
                </w:tcMar>
                <w:vAlign w:val="bottom"/>
                <w:hideMark/>
              </w:tcPr>
              <w:p>
                <w:pPr>
                  <w:rPr>
                    <w:szCs w:val="24"/>
                    <w:lang w:eastAsia="lt-LT"/>
                  </w:rPr>
                </w:pPr>
                <w:r>
                  <w:rPr>
                    <w:color w:val="000000"/>
                    <w:szCs w:val="24"/>
                    <w:lang w:eastAsia="lt-LT"/>
                  </w:rPr>
                  <w:t>1 savaitė</w:t>
                </w:r>
              </w:p>
            </w:tc>
            <w:tc>
              <w:tcPr>
                <w:tcW w:w="708" w:type="dxa"/>
                <w:noWrap/>
                <w:tcMar>
                  <w:top w:w="0" w:type="dxa"/>
                  <w:left w:w="108" w:type="dxa"/>
                  <w:bottom w:w="0" w:type="dxa"/>
                  <w:right w:w="108" w:type="dxa"/>
                </w:tcMar>
                <w:vAlign w:val="bottom"/>
                <w:hideMark/>
              </w:tcPr>
              <w:p>
                <w:pPr>
                  <w:jc w:val="center"/>
                  <w:rPr>
                    <w:szCs w:val="24"/>
                    <w:lang w:eastAsia="lt-LT"/>
                  </w:rPr>
                </w:pPr>
                <w:r>
                  <w:rPr>
                    <w:color w:val="000000"/>
                    <w:szCs w:val="24"/>
                    <w:lang w:eastAsia="lt-LT"/>
                  </w:rPr>
                  <w:t> </w:t>
                </w:r>
              </w:p>
            </w:tc>
            <w:tc>
              <w:tcPr>
                <w:tcW w:w="851"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417"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276"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985"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c>
              <w:tcPr>
                <w:tcW w:w="1134" w:type="dxa"/>
                <w:noWrap/>
                <w:tcMar>
                  <w:top w:w="0" w:type="dxa"/>
                  <w:left w:w="108" w:type="dxa"/>
                  <w:bottom w:w="0" w:type="dxa"/>
                  <w:right w:w="108" w:type="dxa"/>
                </w:tcMar>
                <w:vAlign w:val="bottom"/>
                <w:hideMark/>
              </w:tcPr>
              <w:p>
                <w:pPr>
                  <w:jc w:val="center"/>
                  <w:rPr>
                    <w:szCs w:val="24"/>
                    <w:lang w:eastAsia="lt-LT"/>
                  </w:rPr>
                </w:pPr>
                <w:r>
                  <w:rPr>
                    <w:sz w:val="20"/>
                    <w:lang w:eastAsia="lt-LT"/>
                  </w:rPr>
                  <w:t> </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rPr>
                    <w:color w:val="000000"/>
                    <w:szCs w:val="24"/>
                    <w:lang w:eastAsia="lt-LT"/>
                  </w:rPr>
                </w:pPr>
                <w:r>
                  <w:rPr>
                    <w:color w:val="000000"/>
                    <w:szCs w:val="24"/>
                    <w:lang w:eastAsia="lt-LT"/>
                  </w:rPr>
                  <w:t xml:space="preserve">Pirmadienis     </w:t>
                </w:r>
              </w:p>
              <w:p>
                <w:pPr>
                  <w:rPr>
                    <w:szCs w:val="24"/>
                    <w:lang w:eastAsia="lt-LT"/>
                  </w:rPr>
                </w:pPr>
              </w:p>
              <w:p>
                <w:pPr>
                  <w:jc w:val="center"/>
                  <w:rPr>
                    <w:szCs w:val="24"/>
                    <w:lang w:eastAsia="lt-LT"/>
                  </w:rPr>
                </w:pPr>
                <w:r>
                  <w:rPr>
                    <w:color w:val="000000"/>
                    <w:szCs w:val="24"/>
                    <w:lang w:eastAsia="lt-LT"/>
                  </w:rPr>
                  <w:t xml:space="preserve">Maitinimas        val. </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w:t>
                </w:r>
                <w:r>
                  <w:rPr>
                    <w:color w:val="000000"/>
                    <w:sz w:val="32"/>
                    <w:szCs w:val="32"/>
                    <w:lang w:eastAsia="lt-LT"/>
                  </w:rPr>
                  <w:t xml:space="preserve"> </w:t>
                </w:r>
                <w:r>
                  <w:rPr>
                    <w:color w:val="000000"/>
                    <w:szCs w:val="24"/>
                    <w:lang w:eastAsia="lt-LT"/>
                  </w:rPr>
                  <w:t>vertė, kcal*</w:t>
                </w:r>
              </w:p>
            </w:tc>
          </w:tr>
          <w:tr>
            <w:trPr>
              <w:trHeight w:val="570"/>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center"/>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851" w:type="dxa"/>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angliavandeniai, g</w:t>
                </w:r>
              </w:p>
            </w:tc>
            <w:tc>
              <w:tcPr>
                <w:tcW w:w="1134" w:type="dxa"/>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jc w:val="right"/>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00"/>
            </w:trPr>
            <w:tc>
              <w:tcPr>
                <w:tcW w:w="8823" w:type="dxa"/>
                <w:gridSpan w:val="7"/>
                <w:tcBorders>
                  <w:top w:val="nil"/>
                  <w:left w:val="nil"/>
                  <w:bottom w:val="single" w:sz="8" w:space="0" w:color="auto"/>
                  <w:right w:val="nil"/>
                </w:tcBorders>
                <w:noWrap/>
                <w:tcMar>
                  <w:top w:w="0" w:type="dxa"/>
                  <w:left w:w="108" w:type="dxa"/>
                  <w:bottom w:w="0" w:type="dxa"/>
                  <w:right w:w="108" w:type="dxa"/>
                </w:tcMar>
                <w:vAlign w:val="bottom"/>
              </w:tcPr>
              <w:p>
                <w:pPr>
                  <w:jc w:val="center"/>
                  <w:rPr>
                    <w:color w:val="000000"/>
                    <w:szCs w:val="24"/>
                    <w:lang w:eastAsia="lt-LT"/>
                  </w:rPr>
                </w:pPr>
              </w:p>
              <w:p>
                <w:pPr>
                  <w:jc w:val="center"/>
                  <w:rPr>
                    <w:szCs w:val="24"/>
                    <w:lang w:eastAsia="lt-LT"/>
                  </w:rPr>
                </w:pPr>
                <w:r>
                  <w:rPr>
                    <w:color w:val="000000"/>
                    <w:szCs w:val="24"/>
                    <w:lang w:eastAsia="lt-LT"/>
                  </w:rPr>
                  <w:t xml:space="preserve">Maitinimas        val.</w:t>
                </w:r>
              </w:p>
            </w:tc>
          </w:tr>
          <w:tr>
            <w:trPr>
              <w:trHeight w:val="300"/>
            </w:trPr>
            <w:tc>
              <w:tcPr>
                <w:tcW w:w="145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Patiekalo pavadinimas</w:t>
                </w:r>
              </w:p>
            </w:tc>
            <w:tc>
              <w:tcPr>
                <w:tcW w:w="708"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Rp. Nr.</w:t>
                </w:r>
              </w:p>
            </w:tc>
            <w:tc>
              <w:tcPr>
                <w:tcW w:w="851"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Išeiga</w:t>
                </w:r>
              </w:p>
            </w:tc>
            <w:tc>
              <w:tcPr>
                <w:tcW w:w="4678" w:type="dxa"/>
                <w:gridSpan w:val="3"/>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color w:val="000000"/>
                    <w:szCs w:val="24"/>
                    <w:lang w:eastAsia="lt-LT"/>
                  </w:rPr>
                  <w:t>Patiekalo maistinė vertė, g</w:t>
                </w:r>
              </w:p>
            </w:tc>
            <w:tc>
              <w:tcPr>
                <w:tcW w:w="1134"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Energinė vertė, kcal</w:t>
                </w:r>
              </w:p>
            </w:tc>
          </w:tr>
          <w:tr>
            <w:trPr>
              <w:trHeight w:val="585"/>
            </w:trPr>
            <w:tc>
              <w:tcPr>
                <w:tcW w:w="8823" w:type="dxa"/>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08" w:type="dxa"/>
                <w:vMerge/>
                <w:tcBorders>
                  <w:top w:val="nil"/>
                  <w:left w:val="nil"/>
                  <w:bottom w:val="single" w:sz="8" w:space="0" w:color="auto"/>
                  <w:right w:val="single" w:sz="8" w:space="0" w:color="auto"/>
                </w:tcBorders>
                <w:vAlign w:val="center"/>
                <w:hideMark/>
              </w:tcPr>
              <w:p>
                <w:pPr>
                  <w:rPr>
                    <w:szCs w:val="24"/>
                    <w:lang w:eastAsia="lt-LT"/>
                  </w:rPr>
                </w:pPr>
              </w:p>
            </w:tc>
            <w:tc>
              <w:tcPr>
                <w:tcW w:w="851" w:type="dxa"/>
                <w:vMerge/>
                <w:tcBorders>
                  <w:top w:val="nil"/>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baltymai, g</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riebalai, g</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bottom"/>
                <w:hideMark/>
              </w:tcPr>
              <w:p>
                <w:pPr>
                  <w:jc w:val="center"/>
                  <w:rPr>
                    <w:szCs w:val="24"/>
                    <w:lang w:eastAsia="lt-LT"/>
                  </w:rPr>
                </w:pPr>
                <w:r>
                  <w:rPr>
                    <w:color w:val="000000"/>
                    <w:szCs w:val="24"/>
                    <w:lang w:eastAsia="lt-LT"/>
                  </w:rPr>
                  <w:t>angliavandeniai, g</w:t>
                </w:r>
              </w:p>
            </w:tc>
            <w:tc>
              <w:tcPr>
                <w:tcW w:w="1134" w:type="dxa"/>
                <w:vMerge/>
                <w:tcBorders>
                  <w:top w:val="nil"/>
                  <w:left w:val="nil"/>
                  <w:bottom w:val="single" w:sz="8" w:space="0" w:color="auto"/>
                  <w:right w:val="single" w:sz="8" w:space="0" w:color="auto"/>
                </w:tcBorders>
                <w:vAlign w:val="center"/>
                <w:hideMark/>
              </w:tcPr>
              <w:p>
                <w:pPr>
                  <w:rPr>
                    <w:szCs w:val="24"/>
                    <w:lang w:eastAsia="lt-LT"/>
                  </w:rPr>
                </w:pP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00"/>
            </w:trPr>
            <w:tc>
              <w:tcPr>
                <w:tcW w:w="145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70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98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pPr>
                  <w:ind w:firstLine="60"/>
                  <w:rPr>
                    <w:szCs w:val="24"/>
                    <w:lang w:eastAsia="lt-LT"/>
                  </w:rPr>
                </w:pPr>
                <w:r>
                  <w:rPr>
                    <w:color w:val="000000"/>
                    <w:szCs w:val="24"/>
                    <w:lang w:eastAsia="lt-LT"/>
                  </w:rPr>
                  <w:t> </w:t>
                </w:r>
              </w:p>
            </w:tc>
          </w:tr>
          <w:tr>
            <w:trPr>
              <w:trHeight w:val="315"/>
            </w:trPr>
            <w:tc>
              <w:tcPr>
                <w:tcW w:w="3011" w:type="dxa"/>
                <w:gridSpan w:val="3"/>
                <w:tcBorders>
                  <w:top w:val="nil"/>
                  <w:left w:val="single" w:sz="8" w:space="0" w:color="auto"/>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w:t>
                </w:r>
              </w:p>
            </w:tc>
            <w:tc>
              <w:tcPr>
                <w:tcW w:w="1417"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nil"/>
                  <w:left w:val="nil"/>
                  <w:bottom w:val="nil"/>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r>
            <w:trPr>
              <w:trHeight w:val="315"/>
            </w:trPr>
            <w:tc>
              <w:tcPr>
                <w:tcW w:w="3011" w:type="dxa"/>
                <w:gridSpan w:val="3"/>
                <w:tcBorders>
                  <w:top w:val="single" w:sz="8" w:space="0" w:color="auto"/>
                  <w:left w:val="single" w:sz="8" w:space="0" w:color="auto"/>
                  <w:bottom w:val="single" w:sz="8" w:space="0" w:color="auto"/>
                  <w:right w:val="single" w:sz="8" w:space="0" w:color="000000"/>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Iš viso (dienos davinio):</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27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98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pPr>
                  <w:jc w:val="right"/>
                  <w:rPr>
                    <w:szCs w:val="24"/>
                    <w:lang w:eastAsia="lt-LT"/>
                  </w:rPr>
                </w:pPr>
                <w:r>
                  <w:rPr>
                    <w:color w:val="000000"/>
                    <w:szCs w:val="24"/>
                    <w:lang w:eastAsia="lt-LT"/>
                  </w:rPr>
                  <w:t>0</w:t>
                </w:r>
              </w:p>
            </w:tc>
          </w:tr>
        </w:tbl>
        <w:p>
          <w:pPr>
            <w:rPr>
              <w:rFonts w:eastAsia="Calibri"/>
              <w:szCs w:val="24"/>
            </w:rPr>
          </w:pPr>
          <w:r>
            <w:rPr>
              <w:szCs w:val="24"/>
            </w:rPr>
            <w:t>* – neprivaloma nurodyti bendrojo ugdymo programas vykdančioms įstaigoms, organizuojančioms tik pietus.</w:t>
          </w:r>
        </w:p>
        <w:p>
          <w:pPr>
            <w:rPr>
              <w:rFonts w:ascii="Calibri" w:hAnsi="Calibri"/>
              <w:sz w:val="22"/>
              <w:szCs w:val="22"/>
            </w:rPr>
          </w:pPr>
          <w:r>
            <w:rPr>
              <w:lang w:eastAsia="lt-LT"/>
            </w:rPr>
            <w:drawing>
              <wp:inline distT="0" distB="0" distL="0" distR="0">
                <wp:extent cx="6121400" cy="171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1400" cy="171450"/>
                        </a:xfrm>
                        <a:prstGeom prst="rect">
                          <a:avLst/>
                        </a:prstGeom>
                        <a:noFill/>
                        <a:ln>
                          <a:noFill/>
                        </a:ln>
                      </pic:spPr>
                    </pic:pic>
                  </a:graphicData>
                </a:graphic>
              </wp:inline>
            </w:drawing>
          </w: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rPr>
              <w:color w:val="000000"/>
            </w:rPr>
          </w:pPr>
        </w:p>
        <w:p>
          <w:pPr>
            <w:keepNext/>
            <w:tabs>
              <w:tab w:val="left" w:pos="1304"/>
              <w:tab w:val="left" w:pos="1457"/>
              <w:tab w:val="left" w:pos="1604"/>
              <w:tab w:val="left" w:pos="1757"/>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2847d01ce411eabe008ea93139d588">
            <w:r w:rsidRPr="00532B9F">
              <w:rPr>
                <w:rFonts w:ascii="Times New Roman" w:eastAsia="MS Mincho" w:hAnsi="Times New Roman"/>
                <w:sz w:val="20"/>
                <w:i/>
                <w:iCs/>
                <w:color w:val="0000FF" w:themeColor="hyperlink"/>
                <w:u w:val="single"/>
              </w:rPr>
              <w:t>V-1430</w:t>
            </w:r>
          </w:fldSimple>
          <w:r>
            <w:rPr>
              <w:rFonts w:ascii="Times New Roman" w:eastAsia="MS Mincho" w:hAnsi="Times New Roman"/>
              <w:sz w:val="20"/>
              <w:i/>
              <w:iCs/>
            </w:rPr>
            <w:t>,
2019-12-11,
paskelbta TAR 2019-12-12, i. k. 2019-20056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2847d01ce411eabe008ea93139d588">
            <w:r w:rsidRPr="00532B9F">
              <w:rPr>
                <w:rFonts w:ascii="Times New Roman" w:eastAsia="MS Mincho" w:hAnsi="Times New Roman"/>
                <w:sz w:val="20"/>
                <w:iCs/>
                <w:color w:val="0000FF" w:themeColor="hyperlink"/>
                <w:u w:val="single"/>
              </w:rPr>
              <w:t>V-1430</w:t>
            </w:r>
          </w:fldSimple>
          <w:r>
            <w:rPr>
              <w:rFonts w:ascii="Times New Roman" w:eastAsia="MS Mincho" w:hAnsi="Times New Roman"/>
              <w:sz w:val="20"/>
              <w:iCs/>
            </w:rPr>
            <w:t>,
2019-12-11,
paskelbta TAR 2019-12-12, i. k. 2019-20056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8ba7b0480e11ea8895faf9aa6b1770">
            <w:r w:rsidRPr="00532B9F">
              <w:rPr>
                <w:rFonts w:ascii="Times New Roman" w:eastAsia="MS Mincho" w:hAnsi="Times New Roman"/>
                <w:sz w:val="20"/>
                <w:iCs/>
                <w:color w:val="0000FF" w:themeColor="hyperlink"/>
                <w:u w:val="single"/>
              </w:rPr>
              <w:t>V-109</w:t>
            </w:r>
          </w:fldSimple>
          <w:r>
            <w:rPr>
              <w:rFonts w:ascii="Times New Roman" w:eastAsia="MS Mincho" w:hAnsi="Times New Roman"/>
              <w:sz w:val="20"/>
              <w:iCs/>
            </w:rPr>
            <w:t>,
2020-02-03,
paskelbta TAR 2020-02-05, i. k. 2020-02605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5</w:t>
    </w:r>
    <w:r>
      <w:rPr>
        <w:sz w:val="20"/>
        <w:szCs w:val="24"/>
        <w:lang w:val="en-GB" w:eastAsia="x-none"/>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10</w:t>
    </w:r>
    <w:r>
      <w:rPr>
        <w:sz w:val="20"/>
        <w:szCs w:val="24"/>
        <w:lang w:val="en-GB" w:eastAsia="x-none"/>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926F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header" Target="header13.xml"/>
  <Relationship Id="rId17" Type="http://schemas.openxmlformats.org/officeDocument/2006/relationships/header" Target="header14.xml"/>
  <Relationship Id="rId18" Type="http://schemas.openxmlformats.org/officeDocument/2006/relationships/footer" Target="footer13.xml"/>
  <Relationship Id="rId19" Type="http://schemas.openxmlformats.org/officeDocument/2006/relationships/footer" Target="footer14.xml"/>
  <Relationship Id="rId2" Type="http://schemas.openxmlformats.org/officeDocument/2006/relationships/fontTable" Target="fontTable.xml"/>
  <Relationship Id="rId20" Type="http://schemas.openxmlformats.org/officeDocument/2006/relationships/header" Target="header15.xml"/>
  <Relationship Id="rId21" Type="http://schemas.openxmlformats.org/officeDocument/2006/relationships/footer" Target="footer15.xml"/>
  <Relationship Id="rId22" Type="http://schemas.openxmlformats.org/officeDocument/2006/relationships/image" Target="media/image1.emf"/>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3b7ba95eab214293bb0be94ed054ff18">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8aece18b4d7d4ee4b0a7cdb25ad7de7e"/>
        <Part Type="papunktis" Nr="5.11" Abbr="5.11 pp." DocPartId="2ab8f2837ee1466b967a47f69b945a3f" PartId="8ad9918baebd442595d299b2cbac4075"/>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f37c6f382b854fdeb7aa84acef506894"/>
      <Part Type="punktas" Nr="9" Abbr="9 p." DocPartId="e8594434105e482db11b6c1405773e8c" PartId="33533c95f8904800abbfaf4f64eb5588"/>
      <Part Type="punktas" Nr="10" Abbr="10 p." DocPartId="436db4bdd9ac4f29b00da0a0e2403b8a" PartId="6b57318747744f7c894f8e089dc1358a"/>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d4045b5df5c84814b6d0e2ffe608cf97"/>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fb01610058c6400f8bf1989d69c6e7c4"/>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827976cab2a94a8b90d33ca51faf47a4"/>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547dba5f82de40f5b37a160b46203350"/>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eaddb284d3174d63b1dd550be3af0309"/>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55cb7cad958a434087dfdff7049ef196"/>
          <Part Type="papunktis" Nr="30.3.4" Abbr="30.3.4 pp." DocPartId="9ce242fe9f7b4518a0f318e890edcfb0" PartId="0661fd41fbc94f39963a7824f7c76843"/>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f43285b2d0484e0180f8646332dfa63f"/>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20bfdf485b6748deb9e5c3d9dbb5fc0d"/>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8ab8bd9641ba44bd800a2089b3c62d7e"/>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850c688504164fd590098c0240642d52"/>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3aa633a005754c2eb99fda24c3e972d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11a5652c288945d2b71be4dfae9152ab"/>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361035924ab04f52b068613b6e08fecf">
        <Part Type="papunktis" Nr="49.1" Abbr="49.1 pp." DocPartId="d0214ff953ff48a1a2b5589e198e363d" PartId="e31826e62ba94ebe8a09b2648c80c0c7"/>
        <Part Type="papunktis" Nr="49.2" Abbr="49.2 pp." DocPartId="c4851966ab8c41ab97a6ebe142abf3bf" PartId="dfc19d45efb94993ae0c766f8cc091ea"/>
        <Part Type="papunktis" Nr="49.3" Abbr="49.3 pp." DocPartId="f8b6726d97d440bf8096bf9382b61e28" PartId="44efdbda4c94410f985c2dac5071e4ea"/>
      </Part>
      <Part Type="punktas" Nr="50" Abbr="50 p." DocPartId="5cf4074581fd41e281536e0f0fd53bda" PartId="8843bc0dc27749ada48791f9b09bcc10"/>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2cd7fb897a9447009b8aaacb649a410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fee746dac1464edb932cb19718afa2d9"/>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25b7412c01ed4fe991ac42fa57ad36cb"/>
  <Part Type="priedas" Nr="7" Abbr="7 pr." Title="VAIKAMS MAITINTI TIEKIAMŲ MAISTO PRODUKTŲ IR PATIEKALŲ DAŽNUMAS¹" DocPartId="dc1a1fde23f44882b351e14c02163f1f" PartId="f73ec1f8e7c14baeae8930382b284e89">
    <Part Type="pabaiga" DocPartId="564e45f3049e458e9cecac3057ec4224" PartId="25fc98ed683d4eaa8801aa1b8aa71c57"/>
  </Part>
  <Part Type="priedas" Nr="8" Title="Valgiaraščio formos pavyzdys" DocPartId="3b0db604f5c040ca9d438e691abb54c0" PartId="d203c67f42b246289d48c4940a87fd9b"/>
</Parts>
</file>

<file path=customXml/itemProps1.xml><?xml version="1.0" encoding="utf-8"?>
<ds:datastoreItem xmlns:ds="http://schemas.openxmlformats.org/officeDocument/2006/customXml" ds:itemID="{6065D3B3-885C-408C-9724-088EC3060991}">
  <ds:schemaRefs>
    <ds:schemaRef ds:uri="http://lrs.lt/TAIS/DocParts"/>
  </ds:schemaRefs>
</ds:datastoreItem>
</file>

<file path=docProps/app.xml><?xml version="1.0" encoding="utf-8"?>
<Properties xmlns="http://schemas.openxmlformats.org/officeDocument/2006/extended-properties">
  <Template>Normal.dotm</Template>
  <TotalTime>53</TotalTime>
  <Pages>25</Pages>
  <Words>39124</Words>
  <Characters>22302</Characters>
  <Application>Microsoft Office Word</Application>
  <DocSecurity>0</DocSecurity>
  <Lines>185</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61304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TAMALIŪNIENĖ Vilija</lastModifiedBy>
  <dcterms:modified xsi:type="dcterms:W3CDTF">2020-02-06T08:41:00Z</dcterms:modified>
  <revision>30</revision>
  <dc:title>LIETUVOS RESPUBLIKOS SVEIKATOS APSAUGOS MINISTRO</dc:title>
</coreProperties>
</file>