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2018-09-01 iki 2018-09-21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cdf8bb12dc7d4a20a2eb001e0b89ddec"/>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cdf8bb12dc7d4a20a2eb001e0b89ddec"/>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5511b2c8c3a04c1da2f81ae59933b1bc"/>
                    <w:lock w:val="sdtLocked"/>
                    <w:richText/>
                  </w:sdtPr>
                  <w:sdtContent>
                    <w:p>
                      <w:pPr>
                        <w:widowControl w:val="0"/>
                        <w:suppressAutoHyphens/>
                        <w:ind w:firstLine="851"/>
                        <w:jc w:val="both"/>
                        <w:rPr>
                          <w:color w:val="000000"/>
                        </w:rPr>
                      </w:pPr>
                      <w:sdt>
                        <w:sdtPr>
                          <w:alias w:val="Numeris"/>
                          <w:tag w:val="nr_5511b2c8c3a04c1da2f81ae59933b1bc"/>
                          <w:lock w:val="sdtLocked"/>
                          <w:richText/>
                        </w:sdtPr>
                        <w:sdtContent>
                          <w:r>
                            <w:rPr>
                              <w:bCs/>
                              <w:color w:val="000000"/>
                            </w:rPr>
                            <w:t>5.10</w:t>
                          </w:r>
                        </w:sdtContent>
                      </w:sdt>
                      <w:r>
                        <w:rPr>
                          <w:bCs/>
                          <w:color w:val="000000"/>
                        </w:rPr>
                        <w:t>.</w:t>
                      </w:r>
                      <w:r>
                        <w:rPr>
                          <w:b/>
                          <w:bCs/>
                          <w:color w:val="000000"/>
                        </w:rPr>
                        <w:t xml:space="preserve"> Valgiaraštis </w:t>
                      </w:r>
                      <w:r>
                        <w:rPr>
                          <w:color w:val="000000"/>
                        </w:rPr>
                        <w:t>– patiekiamų vartoti dienos maisto produktų ir patiekalų sąrašas.</w:t>
                      </w:r>
                    </w:p>
                  </w:sdtContent>
                </w:sdt>
                <w:sdt>
                  <w:sdtPr>
                    <w:alias w:val="5.11 pp."/>
                    <w:tag w:val="part_f0adb6cffab140d4a95179cee42dcc09"/>
                    <w:lock w:val="sdtLocked"/>
                    <w:richText/>
                  </w:sdtPr>
                  <w:sdtContent>
                    <w:p>
                      <w:pPr>
                        <w:widowControl w:val="0"/>
                        <w:suppressAutoHyphens/>
                        <w:ind w:firstLine="851"/>
                        <w:jc w:val="both"/>
                        <w:rPr>
                          <w:color w:val="000000"/>
                        </w:rPr>
                      </w:pPr>
                      <w:sdt>
                        <w:sdtPr>
                          <w:alias w:val="Numeris"/>
                          <w:tag w:val="nr_f0adb6cffab140d4a95179cee42dcc09"/>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w:t>
                      </w:r>
                      <w:r>
                        <w:rPr>
                          <w:i/>
                          <w:iCs/>
                          <w:color w:val="000000"/>
                        </w:rPr>
                        <w:t xml:space="preserve">2004 m. specialusis leidimas, </w:t>
                      </w:r>
                      <w:r>
                        <w:rPr>
                          <w:color w:val="000000"/>
                        </w:rPr>
                        <w:t xml:space="preserve">3 skyrius, 45 tomas, p. 14) (toliau ‒ Reglamentas (EB) Nr. 853/2004), Lietuvos Respublikos produktų saugos įstatyme, Lietuvos Respublikos maisto įstatyme, Lietuvos Respublikos visuomenės sveikatos priežiūros įstatyme, Lietuvos Respublikos švietimo įstatyme,  </w:t>
                      </w:r>
                      <w:r>
                        <w:rPr>
                          <w:color w:val="000000"/>
                          <w:szCs w:val="24"/>
                        </w:rPr>
                        <w:t xml:space="preserve">Lietuvos  Respublikos  sveikatos  apsaugos  ministro 2009 m. rugsėjo 1 d. įsakyme Nr. V-714 „Dėl Lietuvos higienos normos HN 124:2014 „Vaikų socialinės globos įstaigos: bendrieji sveikatos saugos reikalavimai“ patvirtinimo“, </w:t>
                      </w:r>
                      <w:r>
                        <w:rPr>
                          <w:color w:val="000000"/>
                        </w:rPr>
                        <w:t xml:space="preserve">Lietuvos Respublikos sveikatos apsaugos ministro 2010 m. balandžio 22 d. įsakyme Nr. V-313 „Dėl </w:t>
                      </w:r>
                      <w:r>
                        <w:t xml:space="preserve">Lietuvos higienos normos HN 75:2016 „Ikimokyklinio ir priešmokyklinio ugdymo programų vykdymo bendrieji sveikatos saugos reikalavimai“ </w:t>
                      </w:r>
                      <w:r>
                        <w:rPr>
                          <w:color w:val="000000"/>
                        </w:rPr>
                        <w:t xml:space="preserve">patvirtinimo“, Lietuvos Respublikos sveikatos apsaugos ministro  2010 m. gegužės 13 d. įsakyme Nr. V-432 „</w:t>
                      </w:r>
                      <w:r>
                        <w:rPr>
                          <w:bCs/>
                        </w:rPr>
                        <w:t xml:space="preserve">Dėl  Lietuvos  higienos  normos  HN 17:2016 „Maisto papildai“ patvirtinimo“,  </w:t>
                      </w:r>
                      <w:r>
                        <w:t xml:space="preserve">Lietuvos Respublikos sveikatos apsaugos ministro 2010 m. rugsėjo 7 d. įsakyme Nr. V-765 „Dėl Lietuvos higienos normos HN 79:2010 „Vaikų poilsio stovykla. Bendrieji sveikatos saugos reikalavimai“ patvirtinimo“, </w:t>
                      </w:r>
                      <w:r>
                        <w:rPr>
                          <w:rFonts w:eastAsia="Calibri"/>
                          <w:bCs/>
                          <w:szCs w:val="24"/>
                        </w:rPr>
                        <w:t xml:space="preserve"> Lietuvos Respublikos sveikatos apsaugos ministro 2014 m. sausio 22 d. įsakyme Nr. V-50 „Dėl </w:t>
                      </w:r>
                      <w:r>
                        <w:rPr>
                          <w:rFonts w:eastAsia="Calibri"/>
                          <w:bCs/>
                          <w:spacing w:val="5"/>
                          <w:szCs w:val="24"/>
                          <w:lang w:eastAsia="sv-SE"/>
                        </w:rPr>
                        <w:t xml:space="preserve">Maisto produktų ženklinimo simboliu „Rakto skylutė“ </w:t>
                      </w:r>
                      <w:r>
                        <w:rPr>
                          <w:color w:val="000000"/>
                          <w:szCs w:val="24"/>
                        </w:rPr>
                        <w:t xml:space="preserve">(toliau ‒ </w:t>
                      </w:r>
                      <w:r>
                        <w:rPr>
                          <w:rFonts w:eastAsia="Calibri"/>
                          <w:bCs/>
                          <w:spacing w:val="5"/>
                          <w:szCs w:val="24"/>
                          <w:lang w:eastAsia="sv-SE"/>
                        </w:rPr>
                        <w:t>„Rakto skylutė“</w:t>
                      </w:r>
                      <w:r>
                        <w:rPr>
                          <w:color w:val="000000"/>
                          <w:szCs w:val="24"/>
                        </w:rPr>
                        <w:t>)</w:t>
                      </w:r>
                      <w:r>
                        <w:rPr>
                          <w:rFonts w:eastAsia="Calibri"/>
                          <w:bCs/>
                          <w:spacing w:val="5"/>
                          <w:szCs w:val="24"/>
                          <w:lang w:eastAsia="sv-SE"/>
                        </w:rPr>
                        <w:t xml:space="preserve"> ir</w:t>
                      </w:r>
                      <w:r>
                        <w:rPr>
                          <w:color w:val="000000"/>
                        </w:rPr>
                        <w:t xml:space="preserve"> Lietuvos Respublikos žemės ūkio ministro 1999 m. liepos 1 d. įsakyme Nr. 288 „Dėl Privalomųjų kakavos ir šokolado produktų kokybės reikalavimų“ ir Tvarkos aprašo 4 priede išvardytuose teisės aktuose vartojamas sąvokas.</w:t>
                      </w:r>
                    </w:p>
                    <w:p>
                      <w:pPr>
                        <w:ind w:firstLine="851"/>
                        <w:rPr>
                          <w:szCs w:val="24"/>
                        </w:rPr>
                      </w:pPr>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f44ea9a6682471a8c99e9fc37e573ca"/>
                <w:lock w:val="sdtLocked"/>
                <w:richText/>
              </w:sdtPr>
              <w:sdtContent>
                <w:p>
                  <w:pPr>
                    <w:widowControl w:val="0"/>
                    <w:suppressAutoHyphens/>
                    <w:ind w:firstLine="851"/>
                    <w:jc w:val="both"/>
                    <w:rPr>
                      <w:color w:val="000000"/>
                    </w:rPr>
                  </w:pPr>
                  <w:sdt>
                    <w:sdtPr>
                      <w:alias w:val="Numeris"/>
                      <w:tag w:val="nr_cf44ea9a6682471a8c99e9fc37e573ca"/>
                      <w:lock w:val="sdtLocked"/>
                      <w:richText/>
                    </w:sdtPr>
                    <w:sdtContent>
                      <w:r>
                        <w:rPr>
                          <w:color w:val="000000"/>
                        </w:rPr>
                        <w:t>8</w:t>
                      </w:r>
                    </w:sdtContent>
                  </w:sdt>
                  <w:r>
                    <w:rPr>
                      <w:color w:val="000000"/>
                    </w:rPr>
                    <w:t xml:space="preserve">. </w:t>
                  </w:r>
                  <w:r>
                    <w:rPr>
                      <w:color w:val="000000"/>
                      <w:szCs w:val="24"/>
                    </w:rPr>
                    <w:t xml:space="preserve">Vaikų maitinimą, išskyrus, kai maistas gaminamas vaikų socialinės globos namų atskirose virtuvėse, gali organizuoti tik maisto tvarkymo subjektai, kuriems </w:t>
                  </w:r>
                  <w:r>
                    <w:rPr>
                      <w:color w:val="000000"/>
                    </w:rPr>
                    <w:t>Lietuvos Respublikos valstybinės maisto ir veterinarijos tarnybos direktoriaus 2008 m. spalio 15 d. įsakyme Nr. B1-527 „Dėl Maisto tvarkymo subjektų patvirtinimo ir registravimo reikalavimų patvirtinimo“</w:t>
                  </w:r>
                  <w:r>
                    <w:rPr>
                      <w:color w:val="000000"/>
                      <w:szCs w:val="24"/>
                    </w:rPr>
                    <w:t xml:space="preserve">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6b57318747744f7c894f8e089dc1358a"/>
                <w:lock w:val="sdtLocked"/>
                <w:richText/>
              </w:sdtPr>
              <w:sdtContent>
                <w:p>
                  <w:pPr>
                    <w:suppressAutoHyphens/>
                    <w:ind w:firstLine="851"/>
                    <w:jc w:val="both"/>
                    <w:textAlignment w:val="center"/>
                    <w:rPr>
                      <w:color w:val="000000"/>
                    </w:rPr>
                  </w:pPr>
                  <w:sdt>
                    <w:sdtPr>
                      <w:alias w:val="Numeris"/>
                      <w:tag w:val="nr_6b57318747744f7c894f8e089dc1358a"/>
                      <w:lock w:val="sdtLocked"/>
                      <w:richText/>
                    </w:sdtPr>
                    <w:sdtContent>
                      <w:r>
                        <w:rPr>
                          <w:color w:val="000000"/>
                          <w:szCs w:val="24"/>
                        </w:rPr>
                        <w:t>10</w:t>
                      </w:r>
                    </w:sdtContent>
                  </w:sdt>
                  <w:r>
                    <w:rPr>
                      <w:color w:val="000000"/>
                      <w:szCs w:val="24"/>
                    </w:rPr>
                    <w:t xml:space="preserve">. Sudarant sutartis dėl vaikų maitinimo paslaugų teikimo mokyklose, </w:t>
                  </w:r>
                  <w:r>
                    <w:rPr>
                      <w:color w:val="000000"/>
                    </w:rPr>
                    <w:t>poilsio stovyklose</w:t>
                  </w:r>
                  <w:r>
                    <w:rPr>
                      <w:color w:val="000000"/>
                      <w:szCs w:val="24"/>
                    </w:rPr>
                    <w:t xml:space="preserve"> ar vaikų socialinės globos namuose (toliau – Sutartis), Sutartyje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w:t>
                  </w:r>
                  <w:r>
                    <w:rPr>
                      <w:color w:val="000000"/>
                    </w:rPr>
                    <w:t xml:space="preserve">Jei sudaroma sutartis su vaiko atstovais pagal įstatymą, dėl vaiko maitinimo iš namų atsineštu maistu, už maisto saugą ir kokybę atsako </w:t>
                  </w:r>
                  <w:r>
                    <w:rPr>
                      <w:rFonts w:eastAsia="Calibri"/>
                      <w:szCs w:val="24"/>
                    </w:rPr>
                    <w:t>vaiko atstovai pagal įstatymą</w:t>
                  </w:r>
                  <w:r>
                    <w:rPr>
                      <w:color w:val="000000"/>
                    </w:rPr>
                    <w:t>. Sutartyje dėl vaiko maitinimo iš namų atsineštu maistu, turi būti</w:t>
                  </w:r>
                  <w:r>
                    <w:rPr>
                      <w:color w:val="000000"/>
                      <w:szCs w:val="24"/>
                    </w:rPr>
                    <w:t xml:space="preserve"> nuostata apie draudžiamus atnešti maisto produktus, išvardytus Tvarkos aprašo 19 punkte. </w:t>
                  </w:r>
                  <w:r>
                    <w:rPr>
                      <w:color w:val="000000"/>
                    </w:rPr>
                    <w:t xml:space="preserve">Sutartis dėl vaiko maitinimo iš namų atsineštu maistu turi teisę sudaryti </w:t>
                  </w:r>
                  <w:r>
                    <w:t xml:space="preserve">ikimokyklinio ir (ar) priešmokyklinio </w:t>
                  </w:r>
                  <w:r>
                    <w:rPr>
                      <w:color w:val="000000"/>
                      <w:szCs w:val="24"/>
                    </w:rPr>
                    <w:t xml:space="preserve">ugdymo programas įgyvendinančios įstaigos, </w:t>
                  </w:r>
                  <w:r>
                    <w:t>veiklą vykdančios lauko sąlygomis (toliau ‒ lauko darželiai),</w:t>
                  </w:r>
                  <w:r>
                    <w:rPr>
                      <w:b/>
                    </w:rPr>
                    <w:t xml:space="preserve"> </w:t>
                  </w:r>
                  <w:r>
                    <w:t>arba</w:t>
                  </w:r>
                  <w:r>
                    <w:rPr>
                      <w:color w:val="000000"/>
                    </w:rPr>
                    <w:t xml:space="preserve"> kuriose ugdomi vaikai, kuriems reikalingas pritaikytas maitinimas. </w:t>
                  </w:r>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d4045b5df5c84814b6d0e2ffe608cf97"/>
                <w:lock w:val="sdtLocked"/>
                <w:richText/>
              </w:sdtPr>
              <w:sdtContent>
                <w:p>
                  <w:pPr>
                    <w:widowControl w:val="0"/>
                    <w:suppressAutoHyphens/>
                    <w:ind w:firstLine="851"/>
                    <w:jc w:val="both"/>
                    <w:rPr>
                      <w:color w:val="000000"/>
                    </w:rPr>
                  </w:pPr>
                  <w:sdt>
                    <w:sdtPr>
                      <w:alias w:val="Numeris"/>
                      <w:tag w:val="nr_d4045b5df5c84814b6d0e2ffe608cf97"/>
                      <w:lock w:val="sdtLocked"/>
                      <w:richText/>
                    </w:sdt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aa47f9cb8170410691aa9059b9ecad6d"/>
                    <w:lock w:val="sdtLocked"/>
                    <w:richText/>
                  </w:sdtPr>
                  <w:sdtContent>
                    <w:p>
                      <w:pPr>
                        <w:ind w:firstLine="851"/>
                        <w:jc w:val="both"/>
                        <w:rPr>
                          <w:szCs w:val="24"/>
                          <w:lang w:eastAsia="lt-LT"/>
                        </w:rPr>
                      </w:pPr>
                      <w:sdt>
                        <w:sdtPr>
                          <w:alias w:val="Numeris"/>
                          <w:tag w:val="nr_aa47f9cb8170410691aa9059b9ecad6d"/>
                          <w:lock w:val="sdtLocked"/>
                          <w:richText/>
                        </w:sdtPr>
                        <w:sdtContent>
                          <w:r>
                            <w:rPr>
                              <w:rFonts w:eastAsia="Calibri"/>
                              <w:szCs w:val="24"/>
                            </w:rPr>
                            <w:t>22.1</w:t>
                          </w:r>
                        </w:sdtContent>
                      </w:sdt>
                      <w:r>
                        <w:rPr>
                          <w:rFonts w:eastAsia="Calibri"/>
                          <w:szCs w:val="24"/>
                        </w:rPr>
                        <w:t xml:space="preserve"> </w:t>
                      </w:r>
                      <w:r>
                        <w:rPr>
                          <w:szCs w:val="24"/>
                          <w:lang w:eastAsia="lt-LT"/>
                        </w:rPr>
                        <w:t xml:space="preserve">patiekiamas šiltas maistas turi būti gaminamas ir patiekiamas tą pačią kalendorinę dieną. Šaldytus pusgaminius ar atvėsintą maistą nuo jų pagaminimo patiekti per 24 valandas kaip šiltą maistą leidžiama bendrojo </w:t>
                      </w:r>
                      <w:r>
                        <w:rPr>
                          <w:color w:val="000000"/>
                          <w:szCs w:val="24"/>
                        </w:rPr>
                        <w:t>ugdymo programas įgyvendinančiose įstaigose ir</w:t>
                      </w:r>
                      <w:r>
                        <w:rPr>
                          <w:szCs w:val="24"/>
                          <w:lang w:eastAsia="lt-LT"/>
                        </w:rPr>
                        <w:t xml:space="preserve"> poilsio stovyklose, kurių virtuvėse yra galimybės tik pašildyti maistą;</w:t>
                      </w:r>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eb84afd5661847018d4b1a99d3a4f72c"/>
                    <w:lock w:val="sdtLocked"/>
                    <w:richText/>
                  </w:sdtPr>
                  <w:sdtContent>
                    <w:p>
                      <w:pPr>
                        <w:ind w:firstLine="851"/>
                        <w:jc w:val="both"/>
                        <w:rPr>
                          <w:rFonts w:eastAsia="Calibri"/>
                          <w:szCs w:val="24"/>
                        </w:rPr>
                      </w:pPr>
                      <w:sdt>
                        <w:sdtPr>
                          <w:alias w:val="Numeris"/>
                          <w:tag w:val="nr_eb84afd5661847018d4b1a99d3a4f72c"/>
                          <w:lock w:val="sdtLocked"/>
                          <w:richText/>
                        </w:sdtPr>
                        <w:sdtContent>
                          <w:r>
                            <w:rPr>
                              <w:rFonts w:eastAsia="Calibri"/>
                              <w:bCs/>
                              <w:iCs/>
                              <w:szCs w:val="24"/>
                            </w:rPr>
                            <w:t>22.10</w:t>
                          </w:r>
                        </w:sdtContent>
                      </w:sdt>
                      <w:r>
                        <w:rPr>
                          <w:rFonts w:eastAsia="Calibri"/>
                          <w:bCs/>
                          <w:iCs/>
                          <w:szCs w:val="24"/>
                        </w:rPr>
                        <w:t xml:space="preserve">. tas pats </w:t>
                      </w:r>
                      <w:r>
                        <w:rPr>
                          <w:rFonts w:eastAsia="Calibri"/>
                          <w:szCs w:val="24"/>
                        </w:rPr>
                        <w:t>patiekalas neturi būti tiekiamas dažniau nei kartą per savaitę, išskyrus gėrimus, garnyrus ir šaltus užkandžius (reikalavimas netaikomas pritaikyto maitinimo valgiaraščiams), ir atsižvelgiant į Tvarkos aprašo 7 priedo reikalavimus;</w:t>
                      </w:r>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9a04ef04b2e9446fa8291cfc887e2375"/>
                    <w:lock w:val="sdtLocked"/>
                    <w:richText/>
                  </w:sdtPr>
                  <w:sdtContent>
                    <w:p>
                      <w:pPr>
                        <w:ind w:firstLine="851"/>
                        <w:jc w:val="both"/>
                        <w:rPr>
                          <w:color w:val="000000"/>
                        </w:rPr>
                      </w:pPr>
                      <w:sdt>
                        <w:sdtPr>
                          <w:alias w:val="Numeris"/>
                          <w:tag w:val="nr_9a04ef04b2e9446fa8291cfc887e2375"/>
                          <w:lock w:val="sdtLocked"/>
                          <w:richText/>
                        </w:sdtPr>
                        <w:sdtContent>
                          <w:r>
                            <w:rPr>
                              <w:rFonts w:eastAsia="Calibri"/>
                              <w:szCs w:val="24"/>
                            </w:rPr>
                            <w:t>25.1</w:t>
                          </w:r>
                        </w:sdtContent>
                      </w:sdt>
                      <w:r>
                        <w:rPr>
                          <w:rFonts w:eastAsia="Calibri"/>
                          <w:szCs w:val="24"/>
                        </w:rPr>
                        <w:t>. einamosios savaitės valgiaraščiai (nurodant visus patiekalus ir gėrimus),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df32239b347a460aaaf6c62e825e1f60"/>
                    <w:lock w:val="sdtLocked"/>
                    <w:richText/>
                  </w:sdtPr>
                  <w:sdtContent>
                    <w:p>
                      <w:pPr>
                        <w:widowControl w:val="0"/>
                        <w:suppressAutoHyphens/>
                        <w:ind w:firstLine="851"/>
                        <w:jc w:val="both"/>
                        <w:rPr>
                          <w:color w:val="000000"/>
                        </w:rPr>
                      </w:pPr>
                      <w:sdt>
                        <w:sdtPr>
                          <w:alias w:val="Numeris"/>
                          <w:tag w:val="nr_df32239b347a460aaaf6c62e825e1f60"/>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sudaromus kas mėnesį pagal Tvarkos aprašo 31 punkte pateiktus reikalavimus, jei gydytojas raštiškai nerekomendavo kitaip (Forma Nr. 027-1/a). Valgiaraštyje turi būti nurodytos kiekvieno vaiko maitinimo valandos, motinos pieno ar pradinio (tolesnio) maitinimo kūdikių mišinio (toliau – kūdikių mišinys), kito maisto kiekiai;</w:t>
                      </w:r>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2b69373347244baa8e1db15e1a4c876c"/>
                        <w:lock w:val="sdtLocked"/>
                        <w:richText/>
                      </w:sdtPr>
                      <w:sdtContent>
                        <w:p>
                          <w:pPr>
                            <w:ind w:firstLine="851"/>
                            <w:jc w:val="both"/>
                            <w:rPr>
                              <w:color w:val="000000"/>
                            </w:rPr>
                          </w:pPr>
                          <w:sdt>
                            <w:sdtPr>
                              <w:alias w:val="Numeris"/>
                              <w:tag w:val="nr_2b69373347244baa8e1db15e1a4c876c"/>
                              <w:lock w:val="sdtLocked"/>
                              <w:richText/>
                            </w:sdtPr>
                            <w:sdtContent>
                              <w:r>
                                <w:rPr>
                                  <w:rFonts w:eastAsia="Calibri"/>
                                  <w:szCs w:val="24"/>
                                  <w:lang w:eastAsia="lt-LT"/>
                                </w:rPr>
                                <w:t>30.</w:t>
                              </w:r>
                              <w:r>
                                <w:rPr>
                                  <w:color w:val="000000"/>
                                </w:rPr>
                                <w:t>3</w:t>
                              </w:r>
                              <w:r>
                                <w:rPr>
                                  <w:rFonts w:eastAsia="Calibri"/>
                                  <w:szCs w:val="24"/>
                                  <w:lang w:eastAsia="lt-LT"/>
                                </w:rPr>
                                <w:t>.3</w:t>
                              </w:r>
                            </w:sdtContent>
                          </w:sdt>
                          <w:r>
                            <w:rPr>
                              <w:rFonts w:eastAsia="Calibri"/>
                              <w:szCs w:val="24"/>
                              <w:lang w:eastAsia="lt-LT"/>
                            </w:rPr>
                            <w:t xml:space="preserve">. </w:t>
                          </w:r>
                          <w:r>
                            <w:rPr>
                              <w:rFonts w:eastAsia="Calibri"/>
                              <w:szCs w:val="24"/>
                            </w:rPr>
                            <w:t>atvėsintas</w:t>
                          </w:r>
                          <w:r>
                            <w:rPr>
                              <w:rFonts w:eastAsia="Calibri"/>
                              <w:szCs w:val="24"/>
                              <w:lang w:eastAsia="lt-LT"/>
                            </w:rPr>
                            <w:t xml:space="preserve"> </w:t>
                          </w:r>
                          <w:r>
                            <w:rPr>
                              <w:rFonts w:eastAsia="Calibri"/>
                              <w:szCs w:val="24"/>
                            </w:rPr>
                            <w:t xml:space="preserve">ar </w:t>
                          </w:r>
                          <w:r>
                            <w:rPr>
                              <w:rFonts w:eastAsia="Calibri"/>
                              <w:szCs w:val="24"/>
                              <w:lang w:eastAsia="lt-LT"/>
                            </w:rPr>
                            <w:t>su</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Atšildytą motinos pieną pakartotinai sušaldyti draudžiama;</w:t>
                          </w:r>
                          <w:r>
                            <w:t xml:space="preserve"> </w:t>
                          </w:r>
                        </w:p>
                      </w:sdtContent>
                    </w:sdt>
                    <w:sdt>
                      <w:sdtPr>
                        <w:alias w:val="30.3.4 pp."/>
                        <w:tag w:val="part_c0e29dc3d5394377b7616f9e46c2b725"/>
                        <w:lock w:val="sdtLocked"/>
                        <w:richText/>
                      </w:sdtPr>
                      <w:sdtContent>
                        <w:p>
                          <w:pPr>
                            <w:widowControl w:val="0"/>
                            <w:suppressAutoHyphens/>
                            <w:ind w:firstLine="851"/>
                            <w:jc w:val="both"/>
                            <w:rPr>
                              <w:color w:val="000000"/>
                              <w:spacing w:val="-4"/>
                            </w:rPr>
                          </w:pPr>
                          <w:sdt>
                            <w:sdtPr>
                              <w:alias w:val="Numeris"/>
                              <w:tag w:val="nr_c0e29dc3d5394377b7616f9e46c2b725"/>
                              <w:lock w:val="sdtLocked"/>
                              <w:richText/>
                            </w:sdtPr>
                            <w:sdtContent>
                              <w:r>
                                <w:rPr>
                                  <w:color w:val="000000"/>
                                  <w:spacing w:val="-4"/>
                                </w:rPr>
                                <w:t>30.</w:t>
                              </w:r>
                              <w:r>
                                <w:rPr>
                                  <w:color w:val="000000"/>
                                </w:rPr>
                                <w:t>3</w:t>
                              </w:r>
                              <w:r>
                                <w:rPr>
                                  <w:color w:val="000000"/>
                                  <w:spacing w:val="-4"/>
                                </w:rPr>
                                <w:t>.4</w:t>
                              </w:r>
                            </w:sdtContent>
                          </w:sdt>
                          <w:r>
                            <w:rPr>
                              <w:color w:val="000000"/>
                              <w:spacing w:val="-4"/>
                            </w:rPr>
                            <w:t xml:space="preserve">. virtuvėlėje esantis pieno šildytuvų kiekis turi užtikrinti motinos pienu maitinamų vaikų maitinimą pagal valgiaraščius; </w:t>
                          </w:r>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58885119881546a8b5b944d8173084b3"/>
                    <w:lock w:val="sdtLocked"/>
                    <w:richText/>
                  </w:sdtPr>
                  <w:sdtContent>
                    <w:p>
                      <w:pPr>
                        <w:ind w:firstLine="851"/>
                        <w:jc w:val="both"/>
                      </w:pPr>
                      <w:sdt>
                        <w:sdtPr>
                          <w:alias w:val="Numeris"/>
                          <w:tag w:val="nr_58885119881546a8b5b944d8173084b3"/>
                          <w:lock w:val="sdtLocked"/>
                          <w:richText/>
                        </w:sdtPr>
                        <w:sdtContent>
                          <w:r>
                            <w:t>31.4</w:t>
                          </w:r>
                        </w:sdtContent>
                      </w:sdt>
                      <w:r>
                        <w:t xml:space="preserve">. 8‒9 mėn. amžiaus vaikams turi būti tiekiamas </w:t>
                      </w:r>
                      <w:r>
                        <w:rPr>
                          <w:color w:val="000000"/>
                        </w:rPr>
                        <w:t xml:space="preserve">motinos pienas jo nesant </w:t>
                      </w:r>
                      <w:r>
                        <w:t>mišinys; dviejų‒trijų daržovių (bulvių, cukinijų, moliūgų, morkų, ropių, burokėlių, brokolių, žiedinių kopūstų, kopūstų, šparaginių pupelių, špinatų, žirnių ar avinžirnių) trintos košės; smulkintų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b5008d5b66234bbca26ffda42209dda9"/>
                    <w:lock w:val="sdtLocked"/>
                    <w:richText/>
                  </w:sdtPr>
                  <w:sdtContent>
                    <w:p>
                      <w:pPr>
                        <w:ind w:firstLine="851"/>
                        <w:jc w:val="both"/>
                        <w:rPr>
                          <w:rFonts w:eastAsia="Calibri"/>
                          <w:szCs w:val="24"/>
                        </w:rPr>
                      </w:pPr>
                      <w:sdt>
                        <w:sdtPr>
                          <w:alias w:val="Numeris"/>
                          <w:tag w:val="nr_b5008d5b66234bbca26ffda42209dda9"/>
                          <w:lock w:val="sdtLocked"/>
                          <w:richText/>
                        </w:sdtPr>
                        <w:sdtContent>
                          <w:r>
                            <w:rPr>
                              <w:rFonts w:eastAsia="Calibri"/>
                              <w:szCs w:val="24"/>
                            </w:rPr>
                            <w:t>32.4</w:t>
                          </w:r>
                        </w:sdtContent>
                      </w:sdt>
                      <w:r>
                        <w:rPr>
                          <w:rFonts w:eastAsia="Calibri"/>
                          <w:szCs w:val="24"/>
                        </w:rPr>
                        <w:t xml:space="preserve">. pagal gydytojo raštiškus nurodymus formoje Nr. 027-1/a </w:t>
                      </w:r>
                      <w:r>
                        <w:rPr>
                          <w:bCs/>
                          <w:color w:val="000000"/>
                          <w:szCs w:val="24"/>
                          <w:lang w:eastAsia="lt-LT"/>
                        </w:rPr>
                        <w:t>„Vaiko sveikatos pažymėjimas“</w:t>
                      </w:r>
                      <w:r>
                        <w:rPr>
                          <w:rFonts w:eastAsia="Calibri"/>
                          <w:szCs w:val="24"/>
                        </w:rPr>
                        <w:t xml:space="preserve">, patvirtintoje  </w:t>
                      </w:r>
                      <w:r>
                        <w:rPr>
                          <w:color w:val="000000"/>
                        </w:rPr>
                        <w:t xml:space="preserve">Lietuvos  Respublikos sveikatos apsaugos ministro  2004 m. gruodžio 24 d. įsakymu Nr. V-951 „Dėl</w:t>
                      </w:r>
                      <w:r>
                        <w:rPr>
                          <w:rFonts w:eastAsia="Calibri"/>
                          <w:szCs w:val="24"/>
                        </w:rPr>
                        <w:t xml:space="preserve"> </w:t>
                      </w:r>
                      <w:r>
                        <w:rPr>
                          <w:bCs/>
                          <w:color w:val="000000"/>
                          <w:szCs w:val="24"/>
                          <w:lang w:eastAsia="lt-LT"/>
                        </w:rPr>
                        <w:t>statistinės apskaitos formos Nr. 027-1/a „Vaiko sveikatos pažymėjimas“ patvirtinimo</w:t>
                      </w:r>
                      <w:r>
                        <w:rPr>
                          <w:rFonts w:eastAsia="Calibri"/>
                          <w:szCs w:val="24"/>
                        </w:rPr>
                        <w:t xml:space="preserve"> (toliau ‒ Forma Nr. 027-1/a) turi būti organizuojamas pritaikytas maitinimas;</w:t>
                      </w:r>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a2e30633c6dc4550ad99b16752fce633"/>
                <w:lock w:val="sdtLocked"/>
                <w:richText/>
              </w:sdtPr>
              <w:sdtContent>
                <w:p>
                  <w:pPr>
                    <w:ind w:firstLine="851"/>
                    <w:jc w:val="both"/>
                  </w:pPr>
                  <w:sdt>
                    <w:sdtPr>
                      <w:alias w:val="Numeris"/>
                      <w:tag w:val="nr_a2e30633c6dc4550ad99b16752fce633"/>
                      <w:lock w:val="sdtLocked"/>
                      <w:richText/>
                    </w:sdtPr>
                    <w:sdtContent>
                      <w:r>
                        <w:rPr>
                          <w:rFonts w:eastAsia="Calibri"/>
                          <w:szCs w:val="24"/>
                        </w:rPr>
                        <w:t>38</w:t>
                      </w:r>
                    </w:sdtContent>
                  </w:sdt>
                  <w:r>
                    <w:rPr>
                      <w:rFonts w:eastAsia="Calibri"/>
                      <w:szCs w:val="24"/>
                    </w:rPr>
                    <w:t>. Vaikams, pateikusiems gydytojo raštiškus nurodymus (Forma Nr. 027-1/a), turi būti organizuojamas pritaikytas maitinimas.</w:t>
                  </w:r>
                  <w:r>
                    <w:t xml:space="preserve"> </w:t>
                  </w:r>
                </w:p>
                <w:p>
                  <w:pPr>
                    <w:ind w:firstLine="851"/>
                    <w:jc w:val="both"/>
                  </w:pPr>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993a91c408a94bbf8db7e3b15a0f62fa"/>
                <w:lock w:val="sdtLocked"/>
                <w:richText/>
              </w:sdtPr>
              <w:sdtContent>
                <w:p>
                  <w:pPr>
                    <w:ind w:firstLine="794"/>
                    <w:jc w:val="both"/>
                    <w:rPr>
                      <w:color w:val="000000"/>
                    </w:rPr>
                  </w:pPr>
                  <w:sdt>
                    <w:sdtPr>
                      <w:alias w:val="Numeris"/>
                      <w:tag w:val="nr_993a91c408a94bbf8db7e3b15a0f62fa"/>
                      <w:lock w:val="sdtLocked"/>
                      <w:richText/>
                    </w:sdtPr>
                    <w:sdtContent>
                      <w:r>
                        <w:rPr>
                          <w:rFonts w:eastAsia="Calibri"/>
                          <w:szCs w:val="24"/>
                        </w:rPr>
                        <w:t>40</w:t>
                      </w:r>
                    </w:sdtContent>
                  </w:sdt>
                  <w:r>
                    <w:rPr>
                      <w:rFonts w:eastAsia="Calibri"/>
                      <w:szCs w:val="24"/>
                    </w:rPr>
                    <w:t>. Vaikams, pateikusiems gydytojo raštiškus nurodymus (Forma Nr. 027-1/a), turi būti organizuojamas pritaikytas maitinimas.</w:t>
                  </w:r>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26f92d0d5b404c59aa92e6b8aea48aa3"/>
                    <w:lock w:val="sdtLocked"/>
                    <w:richText/>
                  </w:sdtPr>
                  <w:sdtContent>
                    <w:p>
                      <w:pPr>
                        <w:widowControl w:val="0"/>
                        <w:suppressAutoHyphens/>
                        <w:ind w:firstLine="794"/>
                        <w:jc w:val="both"/>
                        <w:rPr>
                          <w:color w:val="000000"/>
                        </w:rPr>
                      </w:pPr>
                      <w:sdt>
                        <w:sdtPr>
                          <w:alias w:val="Numeris"/>
                          <w:tag w:val="nr_26f92d0d5b404c59aa92e6b8aea48aa3"/>
                          <w:lock w:val="sdtLocked"/>
                          <w:richText/>
                        </w:sdtPr>
                        <w:sdtContent>
                          <w:r>
                            <w:rPr>
                              <w:color w:val="000000"/>
                            </w:rPr>
                            <w:t>44.5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06d65047a8a24ba5b9a9058564572875"/>
                    <w:lock w:val="sdtLocked"/>
                    <w:richText/>
                  </w:sdtPr>
                  <w:sdtContent>
                    <w:p>
                      <w:pPr>
                        <w:widowControl w:val="0"/>
                        <w:suppressAutoHyphens/>
                        <w:ind w:firstLine="794"/>
                        <w:jc w:val="both"/>
                        <w:rPr>
                          <w:color w:val="000000"/>
                        </w:rPr>
                      </w:pPr>
                      <w:sdt>
                        <w:sdtPr>
                          <w:alias w:val="Numeris"/>
                          <w:tag w:val="nr_06d65047a8a24ba5b9a9058564572875"/>
                          <w:lock w:val="sdtLocked"/>
                          <w:richText/>
                        </w:sdtPr>
                        <w:sdtContent>
                          <w:r>
                            <w:rPr>
                              <w:color w:val="000000"/>
                            </w:rPr>
                            <w:t>45.4</w:t>
                          </w:r>
                        </w:sdtContent>
                      </w:sdt>
                      <w:r>
                        <w:rPr>
                          <w:color w:val="000000"/>
                        </w:rPr>
                        <w:t>. pagal gydytojo raštiškus nurodymus (Forma Nr. 027-1/a) turi būti organizuojamas pritaikytas maitinimas.</w:t>
                      </w:r>
                    </w:p>
                    <w:p>
                      <w:pPr>
                        <w:widowControl w:val="0"/>
                        <w:suppressAutoHyphens/>
                        <w:ind w:firstLine="794"/>
                        <w:jc w:val="both"/>
                        <w:rPr>
                          <w:color w:val="000000"/>
                          <w:sz w:val="20"/>
                        </w:rPr>
                      </w:pPr>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e009bc060de6486cb5231553576c1d90"/>
                <w:lock w:val="sdtLocked"/>
                <w:richText/>
              </w:sdtPr>
              <w:sdtContent>
                <w:p>
                  <w:pPr>
                    <w:widowControl w:val="0"/>
                    <w:suppressAutoHyphens/>
                    <w:ind w:firstLine="851"/>
                    <w:jc w:val="both"/>
                    <w:rPr>
                      <w:color w:val="000000"/>
                    </w:rPr>
                  </w:pPr>
                  <w:sdt>
                    <w:sdtPr>
                      <w:alias w:val="Numeris"/>
                      <w:tag w:val="nr_e009bc060de6486cb5231553576c1d90"/>
                      <w:lock w:val="sdtLocked"/>
                      <w:richText/>
                    </w:sdtPr>
                    <w:sdtContent>
                      <w:r>
                        <w:rPr>
                          <w:color w:val="000000"/>
                        </w:rPr>
                        <w:t>49</w:t>
                      </w:r>
                    </w:sdtContent>
                  </w:sdt>
                  <w:r>
                    <w:rPr>
                      <w:color w:val="000000"/>
                    </w:rPr>
                    <w:t>. Vaikų nuo 1 iki 18 metų amžiaus maitinimo valgiaraščiai sudaromi (pasirinktinai):</w:t>
                  </w:r>
                </w:p>
                <w:sdt>
                  <w:sdtPr>
                    <w:alias w:val="49.1 pp."/>
                    <w:tag w:val="part_5d388bbcc6844f13aee3abd5390cf100"/>
                    <w:lock w:val="sdtLocked"/>
                    <w:richText/>
                  </w:sdtPr>
                  <w:sdtContent>
                    <w:p>
                      <w:pPr>
                        <w:widowControl w:val="0"/>
                        <w:suppressAutoHyphens/>
                        <w:ind w:firstLine="851"/>
                        <w:jc w:val="both"/>
                        <w:rPr>
                          <w:color w:val="000000"/>
                          <w:spacing w:val="-8"/>
                        </w:rPr>
                      </w:pPr>
                      <w:sdt>
                        <w:sdtPr>
                          <w:alias w:val="Numeris"/>
                          <w:tag w:val="nr_5d388bbcc6844f13aee3abd5390cf100"/>
                          <w:lock w:val="sdtLocked"/>
                          <w:richText/>
                        </w:sdtPr>
                        <w:sdtContent>
                          <w:r>
                            <w:rPr>
                              <w:color w:val="000000"/>
                              <w:spacing w:val="-8"/>
                            </w:rPr>
                            <w:t>49.1</w:t>
                          </w:r>
                        </w:sdtContent>
                      </w:sdt>
                      <w:r>
                        <w:rPr>
                          <w:color w:val="000000"/>
                          <w:spacing w:val="-8"/>
                        </w:rPr>
                        <w:t>. pagal patiekalų receptūrų pavyzdžius, pateiktus interneto svetainėje adresu www.smlpc.lt/lt/mityba_ir_fizinis_aktyvumas/rekomenduojami_perspektyviniai_valgiaraščiai;</w:t>
                      </w:r>
                    </w:p>
                  </w:sdtContent>
                </w:sdt>
                <w:sdt>
                  <w:sdtPr>
                    <w:alias w:val="49.2 pp."/>
                    <w:tag w:val="part_2cba6833de5141eab9d926c979ac08fd"/>
                    <w:lock w:val="sdtLocked"/>
                    <w:richText/>
                  </w:sdtPr>
                  <w:sdtContent>
                    <w:p>
                      <w:pPr>
                        <w:ind w:firstLine="851"/>
                        <w:jc w:val="both"/>
                        <w:rPr>
                          <w:color w:val="000000"/>
                        </w:rPr>
                      </w:pPr>
                      <w:sdt>
                        <w:sdtPr>
                          <w:alias w:val="Numeris"/>
                          <w:tag w:val="nr_2cba6833de5141eab9d926c979ac08fd"/>
                          <w:lock w:val="sdtLocked"/>
                          <w:richText/>
                        </w:sdtPr>
                        <w:sdtContent>
                          <w:r>
                            <w:rPr>
                              <w:rFonts w:eastAsia="Calibri"/>
                              <w:szCs w:val="24"/>
                            </w:rPr>
                            <w:t>49.2</w:t>
                          </w:r>
                        </w:sdtContent>
                      </w:sdt>
                      <w:r>
                        <w:rPr>
                          <w:rFonts w:eastAsia="Calibri"/>
                          <w:szCs w:val="24"/>
                        </w:rPr>
                        <w:t>. pagal juridinių ar fizinių asmenų parengtus ir su Sveikatos apsaugos ministerija raštu suderintus patiekalų receptūrų rinkinius (rinkinyje turi būti pateiktas Sveikatos apsaugos ministerijos suderinimo raštas) ar jų ir Tvarkos aprašo 49.1 papunktyje pateiktų receptūrų kombinacijas;</w:t>
                      </w:r>
                      <w:r>
                        <w:t xml:space="preserve"> </w:t>
                      </w:r>
                    </w:p>
                  </w:sdtContent>
                </w:sdt>
                <w:sdt>
                  <w:sdtPr>
                    <w:alias w:val="49.3 pp."/>
                    <w:tag w:val="part_eda57387eb954005be39f457fdea09a4"/>
                    <w:lock w:val="sdtLocked"/>
                    <w:richText/>
                  </w:sdtPr>
                  <w:sdtContent>
                    <w:p>
                      <w:pPr>
                        <w:widowControl w:val="0"/>
                        <w:suppressAutoHyphens/>
                        <w:ind w:firstLine="851"/>
                        <w:jc w:val="both"/>
                        <w:rPr>
                          <w:color w:val="000000"/>
                        </w:rPr>
                      </w:pPr>
                      <w:sdt>
                        <w:sdtPr>
                          <w:alias w:val="Numeris"/>
                          <w:tag w:val="nr_eda57387eb954005be39f457fdea09a4"/>
                          <w:lock w:val="sdtLocked"/>
                          <w:richText/>
                        </w:sdtPr>
                        <w:sdtContent>
                          <w:r>
                            <w:rPr>
                              <w:color w:val="000000"/>
                            </w:rPr>
                            <w:t>49.3</w:t>
                          </w:r>
                        </w:sdtContent>
                      </w:sdt>
                      <w:r>
                        <w:rPr>
                          <w:color w:val="000000"/>
                        </w:rPr>
                        <w:t xml:space="preserve">. savarankiškai maitinimo paslaugos teikėjo, vadovaujantis Tvarkos aprašo reikalavimais; </w:t>
                      </w:r>
                    </w:p>
                  </w:sdtContent>
                </w:sdt>
                <w:sdt>
                  <w:sdtPr>
                    <w:alias w:val="49.4 pp."/>
                    <w:tag w:val="part_c00dda1372b94d3bbdf391ce7c8f9afb"/>
                    <w:lock w:val="sdtLocked"/>
                    <w:richText/>
                  </w:sdtPr>
                  <w:sdtContent>
                    <w:p>
                      <w:pPr>
                        <w:widowControl w:val="0"/>
                        <w:suppressAutoHyphens/>
                        <w:ind w:firstLine="851"/>
                        <w:jc w:val="both"/>
                        <w:rPr>
                          <w:color w:val="000000"/>
                        </w:rPr>
                      </w:pPr>
                      <w:sdt>
                        <w:sdtPr>
                          <w:alias w:val="Numeris"/>
                          <w:tag w:val="nr_c00dda1372b94d3bbdf391ce7c8f9afb"/>
                          <w:lock w:val="sdtLocked"/>
                          <w:richText/>
                        </w:sdtPr>
                        <w:sdtContent>
                          <w:r>
                            <w:rPr>
                              <w:color w:val="000000"/>
                            </w:rPr>
                            <w:t>49.4</w:t>
                          </w:r>
                        </w:sdtContent>
                      </w:sdt>
                      <w:r>
                        <w:rPr>
                          <w:color w:val="000000"/>
                        </w:rPr>
                        <w:t>. pagal gydytojo raštiškas rekomendacijas (</w:t>
                      </w:r>
                      <w:r>
                        <w:rPr>
                          <w:rFonts w:eastAsia="Calibri"/>
                          <w:szCs w:val="24"/>
                        </w:rPr>
                        <w:t>Forma Nr. 027-1/a</w:t>
                      </w:r>
                      <w:r>
                        <w:rPr>
                          <w:color w:val="000000"/>
                        </w:rPr>
                        <w:t>).</w:t>
                      </w:r>
                    </w:p>
                  </w:sdtContent>
                </w:sdt>
              </w:sdtContent>
            </w:sdt>
            <w:sdt>
              <w:sdtPr>
                <w:alias w:val="50 p."/>
                <w:tag w:val="part_f69b69945084494ba4d9760b7e1d2cdd"/>
                <w:lock w:val="sdtLocked"/>
                <w:richText/>
              </w:sdtPr>
              <w:sdtContent>
                <w:p>
                  <w:pPr>
                    <w:ind w:firstLine="851"/>
                    <w:jc w:val="both"/>
                  </w:pPr>
                  <w:sdt>
                    <w:sdtPr>
                      <w:alias w:val="Numeris"/>
                      <w:tag w:val="nr_f69b69945084494ba4d9760b7e1d2cdd"/>
                      <w:lock w:val="sdtLocked"/>
                      <w:richText/>
                    </w:sdtPr>
                    <w:sdtContent>
                      <w:r>
                        <w:rPr>
                          <w:szCs w:val="24"/>
                          <w:lang w:eastAsia="lt-LT"/>
                        </w:rPr>
                        <w:t>50</w:t>
                      </w:r>
                    </w:sdtContent>
                  </w:sdt>
                  <w:r>
                    <w:rPr>
                      <w:szCs w:val="24"/>
                      <w:lang w:eastAsia="lt-LT"/>
                    </w:rPr>
                    <w:t xml:space="preserve">. Valgiaraščiai  derinami  </w:t>
                  </w:r>
                  <w:r>
                    <w:t xml:space="preserve">Valstybinės maisto ir veterinarijos tarnybos  2015  m. birželio 22 d. direktoriaus įsakyme Nr. B1-610 „Dėl Vaikų ugdymo įstaigų, vaikų socialinės globos namų ir vaikų poilsio stovyklų valgiaraščių derinimo tvarkos aprašo patvirtinimo“ nustatyta tvarka.</w:t>
                  </w:r>
                </w:p>
                <w:p>
                  <w:pPr>
                    <w:ind w:firstLine="851"/>
                    <w:jc w:val="both"/>
                    <w:rPr>
                      <w:sz w:val="20"/>
                      <w:lang w:eastAsia="lt-LT"/>
                    </w:rPr>
                  </w:pPr>
                </w:p>
                <w:p>
                  <w:pPr>
                    <w:ind w:firstLine="851"/>
                    <w:jc w:val="both"/>
                    <w:rPr>
                      <w:sz w:val="20"/>
                      <w:lang w:eastAsia="lt-LT"/>
                    </w:rPr>
                  </w:pPr>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8b17556c94de48d9b7fdccf1bf092330"/>
                <w:lock w:val="sdtLocked"/>
                <w:richText/>
              </w:sdtPr>
              <w:sdtContent>
                <w:p>
                  <w:pPr>
                    <w:ind w:firstLine="851"/>
                    <w:jc w:val="both"/>
                    <w:rPr>
                      <w:rFonts w:eastAsia="Calibri"/>
                      <w:szCs w:val="24"/>
                      <w:lang w:eastAsia="lt-LT"/>
                    </w:rPr>
                  </w:pPr>
                  <w:sdt>
                    <w:sdtPr>
                      <w:alias w:val="Numeris"/>
                      <w:tag w:val="nr_8b17556c94de48d9b7fdccf1bf09233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(Forma Nr. 027-1/a) organizuojamas pritaikytas maitinimas </w:t>
                  </w:r>
                  <w:r>
                    <w:rPr>
                      <w:szCs w:val="24"/>
                      <w:lang w:eastAsia="lt-LT"/>
                    </w:rPr>
                    <w:t>(Tvarkos aprašo 32.4 papunktis ir 38 punktas)</w:t>
                  </w:r>
                  <w:r>
                    <w:rPr>
                      <w:rFonts w:eastAsia="Calibri"/>
                      <w:szCs w:val="24"/>
                    </w:rPr>
                    <w:t>;</w:t>
                  </w:r>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087f4e7d115e4b5784acedb4694cea0e"/>
            <w:lock w:val="sdtLocked"/>
            <w:richText/>
          </w:sdtPr>
          <w:sdtContent>
            <w:p>
              <w:pPr>
                <w:ind w:firstLine="851"/>
                <w:jc w:val="both"/>
                <w:rPr>
                  <w:szCs w:val="24"/>
                  <w:lang w:eastAsia="lt-LT"/>
                </w:rPr>
              </w:pPr>
              <w:sdt>
                <w:sdtPr>
                  <w:alias w:val="Numeris"/>
                  <w:tag w:val="nr_087f4e7d115e4b5784acedb4694cea0e"/>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p>
              <w:pPr>
                <w:jc w:val="both"/>
                <w:rPr>
                  <w:szCs w:val="24"/>
                  <w:lang w:eastAsia="lt-LT"/>
                </w:rPr>
              </w:pP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595f06736b47458b9965ae9c47ad45aa"/>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3261"/>
            <w:rPr>
              <w:rFonts w:eastAsia="Calibri"/>
              <w:szCs w:val="24"/>
            </w:rPr>
          </w:pPr>
          <w:r>
            <w:rPr>
              <w:rFonts w:eastAsia="Calibri"/>
              <w:szCs w:val="24"/>
            </w:rPr>
            <w:t>Vaikų maitinimo organizavimo tvarkos aprašo</w:t>
          </w:r>
        </w:p>
        <w:p>
          <w:pPr>
            <w:ind w:firstLine="3261"/>
            <w:rPr>
              <w:rFonts w:eastAsia="Calibri"/>
              <w:szCs w:val="24"/>
            </w:rPr>
          </w:pPr>
          <w:sdt>
            <w:sdtPr>
              <w:alias w:val="Numeris"/>
              <w:tag w:val="nr_595f06736b47458b9965ae9c47ad45aa"/>
              <w:lock w:val="sdtLocked"/>
              <w:richText/>
            </w:sdtPr>
            <w:sdtContent>
              <w:r>
                <w:rPr>
                  <w:rFonts w:eastAsia="Calibri"/>
                  <w:szCs w:val="24"/>
                </w:rPr>
                <w:t>6</w:t>
              </w:r>
            </w:sdtContent>
          </w:sdt>
          <w:r>
            <w:rPr>
              <w:rFonts w:eastAsia="Calibri"/>
              <w:szCs w:val="24"/>
            </w:rPr>
            <w:t xml:space="preserve"> priedas</w:t>
          </w:r>
        </w:p>
        <w:p>
          <w:pPr>
            <w:rPr>
              <w:szCs w:val="24"/>
            </w:rPr>
          </w:pPr>
        </w:p>
        <w:p>
          <w:pPr>
            <w:ind w:firstLine="357"/>
            <w:jc w:val="center"/>
            <w:rPr>
              <w:b/>
              <w:szCs w:val="22"/>
            </w:rPr>
          </w:pPr>
          <w:sdt>
            <w:sdtPr>
              <w:alias w:val="Pavadinimas"/>
              <w:tag w:val="title_595f06736b47458b9965ae9c47ad45aa"/>
              <w:lock w:val="sdtLocked"/>
              <w:richText/>
            </w:sdtPr>
            <w:sdtContent>
              <w:r>
                <w:rPr>
                  <w:b/>
                </w:rPr>
                <w:t>MAISTO PRODUKTŲ IR PATIEKALŲ VAIKAMS MAITINTI PATIEKIMAS</w:t>
              </w:r>
            </w:sdtContent>
          </w:sdt>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1.1. Pirmenybė teikiama šviežioms, sezoninėms daržovėms. </w:t>
                </w:r>
              </w:p>
              <w:p>
                <w:pPr>
                  <w:rPr>
                    <w:szCs w:val="24"/>
                  </w:rPr>
                </w:pPr>
                <w:r>
                  <w:rPr>
                    <w:szCs w:val="24"/>
                  </w:rPr>
                  <w:t>1.2. Tiekiamos kuo įvairesnės daržovės.</w:t>
                </w:r>
              </w:p>
              <w:p>
                <w:pPr>
                  <w:rPr>
                    <w:szCs w:val="24"/>
                  </w:rPr>
                </w:pPr>
                <w:r>
                  <w:rPr>
                    <w:szCs w:val="24"/>
                  </w:rPr>
                  <w:t xml:space="preserve">1.3. Šviežių daržovių salotos tiekiamos su aliejaus ar nesaldinto jogurto padažu. </w:t>
                </w:r>
              </w:p>
              <w:p>
                <w:pPr>
                  <w:rPr>
                    <w:szCs w:val="24"/>
                  </w:rPr>
                </w:pPr>
                <w:r>
                  <w:rPr>
                    <w:szCs w:val="24"/>
                  </w:rPr>
                  <w:t>1.4. Termiškai apdorotos daržovės (šviežios arba šaldytos) tiekiamos kaip garnyras, sriuba, apkepas ir t. t.).</w:t>
                </w:r>
              </w:p>
              <w:p>
                <w:pPr>
                  <w:rPr>
                    <w:szCs w:val="24"/>
                  </w:rPr>
                </w:pPr>
                <w:r>
                  <w:rPr>
                    <w:szCs w:val="24"/>
                  </w:rPr>
                  <w:t>1.5. Per dieną vieną daržovių porciją galima pakeisti 100‒200 ml daržovių sulčių.</w:t>
                </w:r>
              </w:p>
              <w:p>
                <w:pPr>
                  <w:rPr>
                    <w:szCs w:val="24"/>
                  </w:rPr>
                </w:pPr>
                <w:r>
                  <w:rPr>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2.1. Pirmenybė teikiama šviežiems, sezoniniams vaisiams ir uogoms. </w:t>
                </w:r>
              </w:p>
              <w:p>
                <w:pPr>
                  <w:rPr>
                    <w:szCs w:val="24"/>
                  </w:rPr>
                </w:pPr>
                <w:r>
                  <w:rPr>
                    <w:szCs w:val="24"/>
                  </w:rPr>
                  <w:t>2.2. Per savaitę vieną vaisių porciją galima pakeisti 100‒200 ml vaisių sulčių.</w:t>
                </w:r>
              </w:p>
              <w:p>
                <w:pPr>
                  <w:rPr>
                    <w:szCs w:val="24"/>
                  </w:rPr>
                </w:pPr>
                <w:r>
                  <w:rPr>
                    <w:szCs w:val="24"/>
                  </w:rPr>
                  <w:t>2.3. Vaikams patiekiami taip, kad galėtų sukramtyti.</w:t>
                </w:r>
              </w:p>
              <w:p>
                <w:pPr>
                  <w:rPr>
                    <w:szCs w:val="24"/>
                  </w:rPr>
                </w:pPr>
                <w:r>
                  <w:rPr>
                    <w:szCs w:val="24"/>
                  </w:rPr>
                  <w:t>2.4. Ikimokyklinio amžiaus vaikams vaisiai</w:t>
                </w:r>
                <w:r>
                  <w:rPr>
                    <w:b/>
                    <w:szCs w:val="24"/>
                  </w:rPr>
                  <w:t xml:space="preserve"> </w:t>
                </w:r>
                <w:r>
                  <w:rPr>
                    <w:szCs w:val="24"/>
                  </w:rPr>
                  <w:t>ar uogos</w:t>
                </w:r>
                <w:r>
                  <w:rPr>
                    <w:b/>
                    <w:szCs w:val="24"/>
                  </w:rPr>
                  <w:t xml:space="preserve"> </w:t>
                </w:r>
                <w:r>
                  <w:rPr>
                    <w:szCs w:val="24"/>
                  </w:rPr>
                  <w:t>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3. Bulvės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3.1. Jei bulvių patiekalai tiekiami su padažais, jie turi būti neriebūs (nesaldinto jogurto, pomidorų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4.1. Pirmenybė teikiama viso grūdo arba iš dalies viso grūdo produktams.</w:t>
                </w:r>
              </w:p>
              <w:p>
                <w:pPr>
                  <w:rPr>
                    <w:szCs w:val="24"/>
                  </w:rPr>
                </w:pPr>
                <w:r>
                  <w:rPr>
                    <w:szCs w:val="24"/>
                  </w:rPr>
                  <w:t xml:space="preserve">4.2. Tiekiamos kuo įvairesnės kruopos ar kruopų dribsniai (avižų, grikių, ryžių, kvietinės, miežinės, perlinės, kukurūzų, sorų ir kt.). </w:t>
                </w:r>
              </w:p>
              <w:p>
                <w:pPr>
                  <w:rPr>
                    <w:szCs w:val="24"/>
                  </w:rPr>
                </w:pPr>
                <w:r>
                  <w:rPr>
                    <w:color w:val="000000"/>
                    <w:szCs w:val="24"/>
                  </w:rPr>
                  <w:t>4.3. Pirmenybė teikiama ruginei duonai (ne mažiau kaip 30 proc. sausos produkto masės sudaro rugiai).</w:t>
                </w:r>
              </w:p>
              <w:p>
                <w:pPr>
                  <w:rPr>
                    <w:szCs w:val="24"/>
                  </w:rPr>
                </w:pPr>
                <w:r>
                  <w:rPr>
                    <w:szCs w:val="24"/>
                  </w:rPr>
                  <w:t>4.4. Apkepų, blynų, bandelių tešlai aukščiausios rūšies miltus rekomenduojama maišyti su viso grūdo miltais, sėlenomis.</w:t>
                </w:r>
              </w:p>
              <w:p>
                <w:pPr>
                  <w:rPr>
                    <w:color w:val="000000"/>
                    <w:szCs w:val="24"/>
                  </w:rPr>
                </w:pPr>
                <w:r>
                  <w:rPr>
                    <w:color w:val="000000"/>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5.1. Pirmenybė teikiama šviežiai, atvėsintai mėsai: paukštienai, triušienai, veršienai, jautienai, kiaulienai, avienai.</w:t>
                </w:r>
              </w:p>
              <w:p>
                <w:pPr>
                  <w:rPr>
                    <w:szCs w:val="24"/>
                  </w:rPr>
                </w:pPr>
                <w:r>
                  <w:rPr>
                    <w:szCs w:val="24"/>
                  </w:rPr>
                  <w:t>5.2. Tiekiama liesa mėsa.</w:t>
                </w:r>
              </w:p>
              <w:p>
                <w:pPr>
                  <w:rPr>
                    <w:szCs w:val="24"/>
                  </w:rPr>
                </w:pPr>
                <w:r>
                  <w:rPr>
                    <w:szCs w:val="24"/>
                  </w:rPr>
                  <w:t>5.3. Paukštiena patiekalų gamybai naudojama be odos.</w:t>
                </w:r>
              </w:p>
              <w:p>
                <w:pPr>
                  <w:rPr>
                    <w:szCs w:val="24"/>
                  </w:rPr>
                </w:pPr>
                <w:r>
                  <w:rPr>
                    <w:szCs w:val="24"/>
                  </w:rPr>
                  <w:t>5.4. Mėsos gaminiai tiekiami tik aukščiausios rūšies.</w:t>
                </w:r>
              </w:p>
              <w:p>
                <w:pPr>
                  <w:rPr>
                    <w:szCs w:val="24"/>
                  </w:rPr>
                </w:pPr>
                <w:r>
                  <w:rPr>
                    <w:szCs w:val="24"/>
                  </w:rPr>
                  <w:t>5.5. Rūkyti mėsos gaminiai tiekiami ne jaunesniems kaip 3 metų amžiaus vaikams.</w:t>
                </w:r>
              </w:p>
              <w:p>
                <w:pPr>
                  <w:rPr>
                    <w:szCs w:val="24"/>
                  </w:rPr>
                </w:pPr>
                <w:r>
                  <w:rPr>
                    <w:szCs w:val="24"/>
                  </w:rPr>
                  <w:t>5.6.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6. Žuvis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6.1. Pakaitomis tiekiama riebi ir liesa jūrinė arba gėlo vandens žuvis.</w:t>
                </w:r>
              </w:p>
              <w:p>
                <w:pPr>
                  <w:rPr>
                    <w:szCs w:val="24"/>
                  </w:rPr>
                </w:pPr>
                <w:r>
                  <w:rPr>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7. Kiaušiniai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7.1. Kiaušiniai patiekiami virti arba gaminiuose.</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8.1. Ikimokyklinio amžiaus vaikams rekomenduojama (jei gydytojas nerekomendavo kitaip) patiekti ne mažiau kaip 200 ml pasterizuoto pieno arba atitinkamą pagal kalcio kiekį pieno produktų kiekį per dieną.</w:t>
                </w:r>
              </w:p>
              <w:p>
                <w:pPr>
                  <w:rPr>
                    <w:szCs w:val="24"/>
                  </w:rPr>
                </w:pPr>
                <w:r>
                  <w:rPr>
                    <w:szCs w:val="24"/>
                  </w:rPr>
                  <w:t>8.2. Tiekiamas ne didesnio nei 2,5 proc. riebumo pasterizuotas pienas.</w:t>
                </w:r>
              </w:p>
              <w:p>
                <w:pPr>
                  <w:rPr>
                    <w:szCs w:val="24"/>
                  </w:rPr>
                </w:pPr>
                <w:r>
                  <w:rPr>
                    <w:szCs w:val="24"/>
                  </w:rPr>
                  <w:t>8.3. R</w:t>
                </w:r>
                <w:r>
                  <w:rPr>
                    <w:rFonts w:eastAsia="Calibri"/>
                    <w:color w:val="000000"/>
                    <w:szCs w:val="24"/>
                  </w:rPr>
                  <w:t>auginti pieno gaminiai</w:t>
                </w:r>
                <w:r>
                  <w:rPr>
                    <w:szCs w:val="24"/>
                  </w:rPr>
                  <w:t xml:space="preserve"> tiekiami po rauginimo termiškai neapdoroti.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w:t>
                </w:r>
                <w:r>
                  <w:rPr>
                    <w:b/>
                    <w:szCs w:val="24"/>
                  </w:rPr>
                  <w:t xml:space="preserve"> </w:t>
                </w:r>
                <w:r>
                  <w:rPr>
                    <w:szCs w:val="24"/>
                  </w:rPr>
                  <w:t>(rapsų, alyvuogių, linų sėmenų ir kt.).</w:t>
                </w:r>
              </w:p>
              <w:p>
                <w:pPr>
                  <w:rPr>
                    <w:szCs w:val="24"/>
                  </w:rPr>
                </w:pPr>
                <w:r>
                  <w:rPr>
                    <w:szCs w:val="24"/>
                  </w:rPr>
                  <w:t>10.2. Kepimui naudojamas kepti tinkantis aliejus.</w:t>
                </w:r>
              </w:p>
              <w:p>
                <w:pPr>
                  <w:rPr>
                    <w:szCs w:val="24"/>
                  </w:rPr>
                </w:pPr>
                <w:r>
                  <w:rPr>
                    <w:szCs w:val="24"/>
                  </w:rPr>
                  <w:t>10.3. 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12. Prieskoniai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12.1. Pirmenybė teikiama žaliems lapiniams prieskoniams (petražolės, krapai, raudonėlis, bazilikas ir kt.).</w:t>
                </w:r>
              </w:p>
              <w:p>
                <w:pPr>
                  <w:rPr>
                    <w:szCs w:val="24"/>
                  </w:rPr>
                </w:pPr>
                <w:r>
                  <w:rPr>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13. Gėrimai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13.1. Pirmenybė teikiama geriamajam vandeniui. </w:t>
                </w:r>
              </w:p>
              <w:p>
                <w:pPr>
                  <w:rPr>
                    <w:b/>
                    <w:szCs w:val="24"/>
                  </w:rPr>
                </w:pPr>
                <w:r>
                  <w:rPr>
                    <w:szCs w:val="24"/>
                  </w:rPr>
                  <w:t>13.2. Su patiekalais sultys ir gėrimai, kuriuose yra pridėtinių cukrų, netiekiami.</w:t>
                </w:r>
                <w:r>
                  <w:rPr>
                    <w:b/>
                    <w:szCs w:val="24"/>
                  </w:rPr>
                  <w:t xml:space="preserve">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t>14. Saldumynai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14.1. Viso grūdo pyragai, bandelės, desertai vaisių, pieno produktų pagrindu, </w:t>
                </w:r>
                <w:r>
                  <w:rPr>
                    <w:color w:val="000000"/>
                    <w:szCs w:val="24"/>
                  </w:rPr>
                  <w:t>pudingai.</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15. Sriubos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15.1. Jei tiekiamos su kitu maistu,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17. Kiti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17.1. Medus, grybai tiekiami ne jaunesniems kaip 3 metų amžiaus vaikams.</w:t>
                </w:r>
              </w:p>
            </w:tc>
          </w:tr>
        </w:tbl>
        <w:p>
          <w:pPr>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rPr>
              <w:sz w:val="10"/>
              <w:szCs w:val="10"/>
            </w:rPr>
          </w:pPr>
        </w:p>
        <w:sdt>
          <w:sdtPr>
            <w:alias w:val="pabaiga"/>
            <w:tag w:val="part_98c69a18ec83412db619111d9db6bd39"/>
            <w:lock w:val="sdtLocked"/>
            <w:richText/>
          </w:sdtPr>
          <w:sdtContent>
            <w:p>
              <w:pPr>
                <w:jc w:val="center"/>
              </w:pPr>
              <w:r>
                <w:rPr>
                  <w:sz w:val="8"/>
                  <w:szCs w:val="8"/>
                </w:rP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7 pr."/>
        <w:tag w:val="part_3348ea6c192748ce86afb3214182b65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3348ea6c192748ce86afb3214182b65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3348ea6c192748ce86afb3214182b65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valgiaraščius maisto produktų ir patiekalų patiekimo dažnumo reikalavimai netaikomi.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32fe22e8a40c4e569c76451e0e4ddc32"/>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537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cdf8bb12dc7d4a20a2eb001e0b89ddec">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5511b2c8c3a04c1da2f81ae59933b1bc"/>
        <Part Type="papunktis" Nr="5.11" Abbr="5.11 pp." DocPartId="2ab8f2837ee1466b967a47f69b945a3f" PartId="f0adb6cffab140d4a95179cee42dcc09"/>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f44ea9a6682471a8c99e9fc37e573ca"/>
      <Part Type="punktas" Nr="9" Abbr="9 p." DocPartId="e8594434105e482db11b6c1405773e8c" PartId="33533c95f8904800abbfaf4f64eb5588"/>
      <Part Type="punktas" Nr="10" Abbr="10 p." DocPartId="436db4bdd9ac4f29b00da0a0e2403b8a" PartId="6b57318747744f7c894f8e089dc1358a"/>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d4045b5df5c84814b6d0e2ffe608cf97"/>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aa47f9cb8170410691aa9059b9ecad6d"/>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eb84afd5661847018d4b1a99d3a4f72c"/>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9a04ef04b2e9446fa8291cfc887e2375"/>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df32239b347a460aaaf6c62e825e1f60"/>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2b69373347244baa8e1db15e1a4c876c"/>
          <Part Type="papunktis" Nr="30.3.4" Abbr="30.3.4 pp." DocPartId="9ce242fe9f7b4518a0f318e890edcfb0" PartId="c0e29dc3d5394377b7616f9e46c2b725"/>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58885119881546a8b5b944d8173084b3"/>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b5008d5b66234bbca26ffda42209dda9"/>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a2e30633c6dc4550ad99b16752fce633"/>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993a91c408a94bbf8db7e3b15a0f62fa"/>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26f92d0d5b404c59aa92e6b8aea48aa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06d65047a8a24ba5b9a9058564572875"/>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e009bc060de6486cb5231553576c1d90">
        <Part Type="papunktis" Nr="49.1" Abbr="49.1 pp." DocPartId="c8115e153a82421aabdddc97ede14b78" PartId="5d388bbcc6844f13aee3abd5390cf100"/>
        <Part Type="papunktis" Nr="49.2" Abbr="49.2 pp." DocPartId="c686c40c480b42aaae1c608360f6501a" PartId="2cba6833de5141eab9d926c979ac08fd"/>
        <Part Type="papunktis" Nr="49.3" Abbr="49.3 pp." DocPartId="b48092228f2249a08a920ad00101fcea" PartId="eda57387eb954005be39f457fdea09a4"/>
        <Part Type="papunktis" Nr="49.4" Abbr="49.4 pp." DocPartId="38e9652c231f4b329fd102ab36f50e12" PartId="c00dda1372b94d3bbdf391ce7c8f9afb"/>
      </Part>
      <Part Type="punktas" Nr="50" Abbr="50 p." DocPartId="5cf4074581fd41e281536e0f0fd53bda" PartId="f69b69945084494ba4d9760b7e1d2cdd"/>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8b17556c94de48d9b7fdccf1bf09233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087f4e7d115e4b5784acedb4694cea0e"/>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595f06736b47458b9965ae9c47ad45aa">
    <Part Type="pabaiga" DocPartId="434334c265d849e9bf97c7bc92d19c5d" PartId="98c69a18ec83412db619111d9db6bd39"/>
  </Part>
  <Part Type="priedas" Nr="7" Abbr="7 pr." Title="VAIKAMS MAITINTI TIEKIAMŲ MAISTO PRODUKTŲ IR PATIEKALŲ DAŽNUMAS¹" DocPartId="dc1a1fde23f44882b351e14c02163f1f" PartId="3348ea6c192748ce86afb3214182b659">
    <Part Type="pabaiga" DocPartId="c90821a185de4bdaa4fd3086c68cbc30" PartId="32fe22e8a40c4e569c76451e0e4ddc32"/>
  </Part>
</Parts>
</file>

<file path=customXml/itemProps1.xml><?xml version="1.0" encoding="utf-8"?>
<ds:datastoreItem xmlns:ds="http://schemas.openxmlformats.org/officeDocument/2006/customXml" ds:itemID="{3538D578-0EC6-46B5-8447-F341BD300927}">
  <ds:schemaRefs>
    <ds:schemaRef ds:uri="http://lrs.lt/TAIS/DocParts"/>
  </ds:schemaRefs>
</ds:datastoreItem>
</file>

<file path=docProps/app.xml><?xml version="1.0" encoding="utf-8"?>
<Properties xmlns="http://schemas.openxmlformats.org/officeDocument/2006/extended-properties">
  <Template>Normal.dotm</Template>
  <TotalTime>34</TotalTime>
  <Pages>28</Pages>
  <Words>43003</Words>
  <Characters>24512</Characters>
  <Application>Microsoft Office Word</Application>
  <DocSecurity>0</DocSecurity>
  <Lines>204</Lines>
  <Paragraphs>134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67381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2018-07-17T08:16:00Z</dcterms:modified>
  <revision>14</revision>
  <dc:title>LIETUVOS RESPUBLIKOS SVEIKATOS APSAUGOS MINISTRO</dc:title>
</coreProperties>
</file>