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2020-01-01 iki 2020-02-05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Suvestinė teisės akto redakcija atlikta nepilnai (keičiamas nesamas papunktis  49.4 p.p)</w:t>
          </w:r>
        </w:p>
        <w:p>
          <w:pPr>
            <w:pStyle w:val="PlainText"/>
            <w:rPr>
              <w:rFonts w:ascii="Times New Roman" w:eastAsia="MS Mincho" w:hAnsi="Times New Roman"/>
              <w:sz w:val="20"/>
              <w:i/>
              <w:iCs/>
            </w:rPr>
          </w:pPr>
          <w:r>
            <w:rPr>
              <w:rFonts w:ascii="Times New Roman" w:eastAsia="MS Mincho" w:hAnsi="Times New Roman"/>
              <w:sz w:val="20"/>
              <w:i/>
              <w:iCs/>
            </w:rPr>
            <w:t>Lietuvos Respublikos sveikatos apsaugos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Pr>
            <w:pStyle w:val="PlainText"/>
            <w:rPr>
              <w:rFonts w:ascii="Times New Roman" w:eastAsia="MS Mincho" w:hAnsi="Times New Roman"/>
              <w:sz w:val="20"/>
              <w:i/>
              <w:iCs/>
            </w:rPr>
          </w:pPr>
          <w:r>
            <w:rPr>
              <w:rFonts w:ascii="Times New Roman" w:eastAsia="MS Mincho" w:hAnsi="Times New Roman"/>
              <w:sz w:val="20"/>
              <w:i/>
              <w:iCs/>
            </w:rPr>
            <w:t>Dėl Lietuvos Respublikos sveikatos apsaugos ministro 2011 m. lapkričio 11 d. įsakymo Nr. V-964 "Dėl Vaikų maitinimo organizavimo tvarkos aprašo patvirtinimo" pakeitimo</w:t>
          </w:r>
        </w:p>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cdf8bb12dc7d4a20a2eb001e0b89ddec"/>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cdf8bb12dc7d4a20a2eb001e0b89ddec"/>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8ad9918baebd442595d299b2cbac4075"/>
                    <w:lock w:val="sdtLocked"/>
                    <w:richText/>
                  </w:sdtPr>
                  <w:sdtContent>
                    <w:p>
                      <w:pPr>
                        <w:ind w:firstLine="851"/>
                        <w:jc w:val="both"/>
                        <w:rPr>
                          <w:szCs w:val="24"/>
                        </w:rPr>
                      </w:pPr>
                      <w:sdt>
                        <w:sdtPr>
                          <w:alias w:val="Numeris"/>
                          <w:tag w:val="nr_8ad9918baebd442595d299b2cbac4075"/>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specialusis leidimas, 3 skyrius, 45 tomas, p. 14) (toliau ‒ Reglamentas (EB) Nr. 853/2004),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6b57318747744f7c894f8e089dc1358a"/>
                <w:lock w:val="sdtLocked"/>
                <w:richText/>
              </w:sdtPr>
              <w:sdtContent>
                <w:p>
                  <w:pPr>
                    <w:suppressAutoHyphens/>
                    <w:ind w:firstLine="851"/>
                    <w:jc w:val="both"/>
                    <w:textAlignment w:val="center"/>
                    <w:rPr>
                      <w:color w:val="000000"/>
                    </w:rPr>
                  </w:pPr>
                  <w:sdt>
                    <w:sdtPr>
                      <w:alias w:val="Numeris"/>
                      <w:tag w:val="nr_6b57318747744f7c894f8e089dc1358a"/>
                      <w:lock w:val="sdtLocked"/>
                      <w:richText/>
                    </w:sdtPr>
                    <w:sdtContent>
                      <w:r>
                        <w:rPr>
                          <w:color w:val="000000"/>
                          <w:szCs w:val="24"/>
                        </w:rPr>
                        <w:t>10</w:t>
                      </w:r>
                    </w:sdtContent>
                  </w:sdt>
                  <w:r>
                    <w:rPr>
                      <w:color w:val="000000"/>
                      <w:szCs w:val="24"/>
                    </w:rPr>
                    <w:t xml:space="preserve">. Sudarant sutartis dėl vaikų maitinimo paslaugų teikimo mokyklose, </w:t>
                  </w:r>
                  <w:r>
                    <w:rPr>
                      <w:color w:val="000000"/>
                    </w:rPr>
                    <w:t>poilsio stovyklose</w:t>
                  </w:r>
                  <w:r>
                    <w:rPr>
                      <w:color w:val="000000"/>
                      <w:szCs w:val="24"/>
                    </w:rPr>
                    <w:t xml:space="preserve"> ar vaikų socialinės globos namuose (toliau – Sutartis), Sutartyje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w:t>
                  </w:r>
                  <w:r>
                    <w:rPr>
                      <w:color w:val="000000"/>
                    </w:rPr>
                    <w:t xml:space="preserve">Jei sudaroma sutartis su vaiko atstovais pagal įstatymą, dėl vaiko maitinimo iš namų atsineštu maistu, už maisto saugą ir kokybę atsako </w:t>
                  </w:r>
                  <w:r>
                    <w:rPr>
                      <w:rFonts w:eastAsia="Calibri"/>
                      <w:szCs w:val="24"/>
                    </w:rPr>
                    <w:t>vaiko atstovai pagal įstatymą</w:t>
                  </w:r>
                  <w:r>
                    <w:rPr>
                      <w:color w:val="000000"/>
                    </w:rPr>
                    <w:t>. Sutartyje dėl vaiko maitinimo iš namų atsineštu maistu, turi būti</w:t>
                  </w:r>
                  <w:r>
                    <w:rPr>
                      <w:color w:val="000000"/>
                      <w:szCs w:val="24"/>
                    </w:rPr>
                    <w:t xml:space="preserve"> nuostata apie draudžiamus atnešti maisto produktus, išvardytus Tvarkos aprašo 19 punkte. </w:t>
                  </w:r>
                  <w:r>
                    <w:rPr>
                      <w:color w:val="000000"/>
                    </w:rPr>
                    <w:t xml:space="preserve">Sutartis dėl vaiko maitinimo iš namų atsineštu maistu turi teisę sudaryti </w:t>
                  </w:r>
                  <w:r>
                    <w:t xml:space="preserve">ikimokyklinio ir (ar) priešmokyklinio </w:t>
                  </w:r>
                  <w:r>
                    <w:rPr>
                      <w:color w:val="000000"/>
                      <w:szCs w:val="24"/>
                    </w:rPr>
                    <w:t xml:space="preserve">ugdymo programas įgyvendinančios įstaigos, </w:t>
                  </w:r>
                  <w:r>
                    <w:t>veiklą vykdančios lauko sąlygomis (toliau ‒ lauko darželiai),</w:t>
                  </w:r>
                  <w:r>
                    <w:rPr>
                      <w:b/>
                    </w:rPr>
                    <w:t xml:space="preserve"> </w:t>
                  </w:r>
                  <w:r>
                    <w:t>arba</w:t>
                  </w:r>
                  <w:r>
                    <w:rPr>
                      <w:color w:val="000000"/>
                    </w:rPr>
                    <w:t xml:space="preserve"> kuriose ugdomi vaikai, kuriems reikalingas pritaikytas maitinimas. </w:t>
                  </w:r>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d4045b5df5c84814b6d0e2ffe608cf97"/>
                <w:lock w:val="sdtLocked"/>
                <w:richText/>
              </w:sdtPr>
              <w:sdtContent>
                <w:p>
                  <w:pPr>
                    <w:widowControl w:val="0"/>
                    <w:suppressAutoHyphens/>
                    <w:ind w:firstLine="851"/>
                    <w:jc w:val="both"/>
                    <w:rPr>
                      <w:color w:val="000000"/>
                    </w:rPr>
                  </w:pPr>
                  <w:sdt>
                    <w:sdtPr>
                      <w:alias w:val="Numeris"/>
                      <w:tag w:val="nr_d4045b5df5c84814b6d0e2ffe608cf97"/>
                      <w:lock w:val="sdtLocked"/>
                      <w:richText/>
                    </w:sdt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c1c0bf7fb3924bc3acd394cfce34441b"/>
                <w:lock w:val="sdtLocked"/>
                <w:richText/>
              </w:sdtPr>
              <w:sdtContent>
                <w:p>
                  <w:pPr>
                    <w:widowControl w:val="0"/>
                    <w:suppressAutoHyphens/>
                    <w:ind w:firstLine="851"/>
                    <w:jc w:val="both"/>
                    <w:rPr>
                      <w:color w:val="000000"/>
                    </w:rPr>
                  </w:pPr>
                  <w:sdt>
                    <w:sdtPr>
                      <w:alias w:val="Numeris"/>
                      <w:tag w:val="nr_c1c0bf7fb3924bc3acd394cfce34441b"/>
                      <w:lock w:val="sdtLocked"/>
                      <w:richText/>
                    </w:sdtPr>
                    <w:sdtContent>
                      <w:r>
                        <w:rPr>
                          <w:color w:val="000000"/>
                        </w:rPr>
                        <w:t>49</w:t>
                      </w:r>
                    </w:sdtContent>
                  </w:sdt>
                  <w:r>
                    <w:rPr>
                      <w:color w:val="000000"/>
                    </w:rPr>
                    <w:t>. Vaikų nuo 1 iki 18 metų amžiaus maitinimo valgiaraščiai sudaromi (pasirinktinai):</w:t>
                  </w:r>
                </w:p>
                <w:sdt>
                  <w:sdtPr>
                    <w:alias w:val="49.1 pp."/>
                    <w:tag w:val="part_c7d02ff660d949089299430f641f666a"/>
                    <w:lock w:val="sdtLocked"/>
                    <w:richText/>
                  </w:sdtPr>
                  <w:sdtContent>
                    <w:p>
                      <w:pPr>
                        <w:widowControl w:val="0"/>
                        <w:suppressAutoHyphens/>
                        <w:ind w:firstLine="851"/>
                        <w:jc w:val="both"/>
                        <w:rPr>
                          <w:color w:val="000000"/>
                          <w:spacing w:val="-8"/>
                        </w:rPr>
                      </w:pPr>
                      <w:sdt>
                        <w:sdtPr>
                          <w:alias w:val="Numeris"/>
                          <w:tag w:val="nr_c7d02ff660d949089299430f641f666a"/>
                          <w:lock w:val="sdtLocked"/>
                          <w:richText/>
                        </w:sdtPr>
                        <w:sdtContent>
                          <w:r>
                            <w:rPr>
                              <w:color w:val="000000"/>
                              <w:spacing w:val="-8"/>
                            </w:rPr>
                            <w:t>49.1</w:t>
                          </w:r>
                        </w:sdtContent>
                      </w:sdt>
                      <w:r>
                        <w:rPr>
                          <w:color w:val="000000"/>
                          <w:spacing w:val="-8"/>
                        </w:rPr>
                        <w:t xml:space="preserve">. pagal patiekalų receptūrų pavyzdžius, pateiktus interneto svetainėje adresu </w:t>
                      </w:r>
                      <w:r>
                        <w:rPr>
                          <w:spacing w:val="-8"/>
                        </w:rPr>
                        <w:t xml:space="preserve">www.smlpc.lt/lt/mityba_ir_fizinis_aktyvumas/rekomenduojami_perspektyviniai_valgiaraščiai arba </w:t>
                      </w:r>
                      <w:r>
                        <w:t>http://sam.lrv.lt/lt/veiklos-sritys/visuomenes-sveikatos-prieziura/mityba-ir-fizinis-aktyvumas-2/valgiarasciai-ir-technologines-korteles-ugdymo-bei-gydymo-istaigoms</w:t>
                      </w:r>
                      <w:r>
                        <w:rPr>
                          <w:spacing w:val="-8"/>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9.2 pp."/>
                    <w:tag w:val="part_9e938702082c47169c3ea0629592537d"/>
                    <w:lock w:val="sdtLocked"/>
                    <w:richText/>
                  </w:sdtPr>
                  <w:sdtContent>
                    <w:p>
                      <w:pPr>
                        <w:widowControl w:val="0"/>
                        <w:suppressAutoHyphens/>
                        <w:ind w:firstLine="851"/>
                        <w:jc w:val="both"/>
                        <w:rPr>
                          <w:color w:val="000000"/>
                        </w:rPr>
                      </w:pPr>
                      <w:sdt>
                        <w:sdtPr>
                          <w:alias w:val="Numeris"/>
                          <w:tag w:val="nr_9e938702082c47169c3ea0629592537d"/>
                          <w:lock w:val="sdtLocked"/>
                          <w:richText/>
                        </w:sdtPr>
                        <w:sdtContent>
                          <w:r>
                            <w:rPr>
                              <w:color w:val="000000"/>
                            </w:rPr>
                            <w:t>49.2</w:t>
                          </w:r>
                        </w:sdtContent>
                      </w:sdt>
                      <w:r>
                        <w:rPr>
                          <w:color w:val="000000"/>
                        </w:rPr>
                        <w:t xml:space="preserve">. savarankiškai maitinimo paslaugos teikėjo, vadovaujantis Tvarkos aprašo reikalavimais; </w:t>
                      </w:r>
                    </w:p>
                  </w:sdtContent>
                </w:sdt>
                <w:sdt>
                  <w:sdtPr>
                    <w:alias w:val="49.3 pp."/>
                    <w:tag w:val="part_788a06849eb84252aae4ea17e519dcf0"/>
                    <w:lock w:val="sdtLocked"/>
                    <w:richText/>
                  </w:sdtPr>
                  <w:sdtContent>
                    <w:p>
                      <w:pPr>
                        <w:widowControl w:val="0"/>
                        <w:suppressAutoHyphens/>
                        <w:ind w:firstLine="851"/>
                        <w:jc w:val="both"/>
                        <w:rPr>
                          <w:color w:val="000000"/>
                        </w:rPr>
                      </w:pPr>
                      <w:sdt>
                        <w:sdtPr>
                          <w:alias w:val="Numeris"/>
                          <w:tag w:val="nr_788a06849eb84252aae4ea17e519dcf0"/>
                          <w:lock w:val="sdtLocked"/>
                          <w:richText/>
                        </w:sdtPr>
                        <w:sdtContent>
                          <w:r>
                            <w:rPr>
                              <w:color w:val="000000"/>
                            </w:rPr>
                            <w:t>49.3</w:t>
                          </w:r>
                        </w:sdtContent>
                      </w:sdt>
                      <w:r>
                        <w:rPr>
                          <w:color w:val="000000"/>
                        </w:rPr>
                        <w:t>. pagal gydytojo raštiškas rekomendacijas (</w:t>
                      </w:r>
                      <w:r>
                        <w:rPr>
                          <w:rFonts w:eastAsia="Calibri"/>
                          <w:szCs w:val="24"/>
                        </w:rPr>
                        <w:t>Forma Nr. 027-1/a</w:t>
                      </w:r>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B65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cdf8bb12dc7d4a20a2eb001e0b89ddec">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8ad9918baebd442595d299b2cbac4075"/>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Nr="10" Abbr="10 p." DocPartId="436db4bdd9ac4f29b00da0a0e2403b8a" PartId="6b57318747744f7c894f8e089dc1358a"/>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d4045b5df5c84814b6d0e2ffe608cf97"/>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c1c0bf7fb3924bc3acd394cfce34441b">
        <Part Type="papunktis" Nr="49.1" Abbr="49.1 pp." DocPartId="be295840b42d4243af1d9a6fa5318204" PartId="c7d02ff660d949089299430f641f666a"/>
        <Part Type="papunktis" Nr="49.2" Abbr="49.2 pp." DocPartId="c0aa00d617fd496c9d4a57de5ab62e30" PartId="9e938702082c47169c3ea0629592537d"/>
        <Part Type="papunktis" Nr="49.3" Abbr="49.3 pp." DocPartId="49817f3cc20b48599ee72cedd032c907" PartId="788a06849eb84252aae4ea17e519dcf0"/>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C8A8F75F-CABE-4691-8B8E-4F0F29B8D7D7}">
  <ds:schemaRefs>
    <ds:schemaRef ds:uri="http://lrs.lt/TAIS/DocParts"/>
  </ds:schemaRefs>
</ds:datastoreItem>
</file>

<file path=docProps/app.xml><?xml version="1.0" encoding="utf-8"?>
<Properties xmlns="http://schemas.openxmlformats.org/officeDocument/2006/extended-properties">
  <Template>Normal.dotm</Template>
  <TotalTime>54</TotalTime>
  <Pages>33</Pages>
  <Words>49014</Words>
  <Characters>27939</Characters>
  <Application>Microsoft Office Word</Application>
  <DocSecurity>0</DocSecurity>
  <Lines>232</Lines>
  <Paragraphs>153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76800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2020-02-20T07:32:00Z</dcterms:modified>
  <revision>30</revision>
  <dc:title>LIETUVOS RESPUBLIKOS SVEIKATOS APSAUGOS MINISTRO</dc:title>
</coreProperties>
</file>