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9a9af09dd14460abaa2bab22aa306e1"/>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8B81F2228D01">
            <w:r w:rsidRPr="00532B9F">
              <w:rPr>
                <w:rFonts w:ascii="Times New Roman" w:eastAsia="MS Mincho" w:hAnsi="Times New Roman"/>
                <w:sz w:val="20"/>
                <w:i/>
                <w:iCs/>
                <w:color w:val="0000FF" w:themeColor="hyperlink"/>
                <w:u w:val="single"/>
              </w:rPr>
              <w:t>101-4777</w:t>
            </w:r>
          </w:fldSimple>
          <w:r>
            <w:rPr>
              <w:rFonts w:ascii="Times New Roman" w:eastAsia="MS Mincho" w:hAnsi="Times New Roman"/>
              <w:sz w:val="20"/>
              <w:i/>
              <w:iCs/>
            </w:rPr>
            <w:t>, i. k. 111106ANUTA00O3-235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2024-04-01:</w:t>
          </w:r>
        </w:p>
        <w:p>
          <w:pPr>
            <w:rPr>
              <w:rFonts w:ascii="Times New Roman" w:hAnsi="Times New Roman"/>
              <w:sz w:val="20"/>
              <w:i/>
            </w:rPr>
          </w:pPr>
          <w:r>
            <w:rPr>
              <w:rFonts w:ascii="Times New Roman" w:hAnsi="Times New Roman"/>
              <w:sz w:val="20"/>
              <w:i/>
            </w:rPr>
            <w:t xml:space="preserve">Nr. </w:t>
          </w:r>
          <w:fldSimple w:instr="HYPERLINK https://www.e-tar.lt/portal/legalAct.html?documentId=89f9eb00ca6c11eea5a28c81c82193a8">
            <w:r w:rsidRPr="00532B9F">
              <w:rPr>
                <w:rFonts w:ascii="Times New Roman" w:eastAsia="MS Mincho" w:hAnsi="Times New Roman"/>
                <w:sz w:val="20"/>
                <w:i/>
                <w:iCs/>
                <w:color w:val="0000FF" w:themeColor="hyperlink"/>
                <w:u w:val="single"/>
              </w:rPr>
              <w:t>O3E-168</w:t>
            </w:r>
          </w:fldSimple>
          <w:r>
            <w:rPr>
              <w:rFonts w:ascii="Times New Roman" w:eastAsia="MS Mincho" w:hAnsi="Times New Roman"/>
              <w:sz w:val="20"/>
              <w:i/>
              <w:iCs/>
            </w:rPr>
            <w:t>,
2024-02-13,
paskelbta TAR 2024-02-13, i. k. 2024-02686                </w:t>
          </w:r>
        </w:p>
        <w:p>
          <w:pPr>
            <w:rPr>
              <w:rFonts w:ascii="Times New Roman" w:hAnsi="Times New Roman"/>
              <w:sz w:val="22"/>
            </w:rPr>
          </w:pPr>
        </w:p>
        <w:p>
          <w:pPr>
            <w:keepLines/>
            <w:spacing w:line="276" w:lineRule="auto"/>
            <w:jc w:val="center"/>
            <w:rPr>
              <w:b/>
              <w:bCs/>
              <w:caps/>
              <w:color w:val="000000"/>
              <w:szCs w:val="24"/>
              <w:lang w:eastAsia="lt-LT"/>
            </w:rPr>
          </w:pPr>
          <w:sdt>
            <w:sdtPr>
              <w:alias w:val="Pavadinimas"/>
              <w:tag w:val="title_59a9af09dd14460abaa2bab22aa306e1"/>
              <w:lock w:val="sdtLocked"/>
              <w:richText/>
            </w:sdtPr>
            <w:sdtContent>
              <w:r>
                <w:rPr>
                  <w:b/>
                  <w:bCs/>
                  <w:caps/>
                  <w:color w:val="000000"/>
                  <w:szCs w:val="24"/>
                  <w:lang w:eastAsia="lt-LT"/>
                </w:rPr>
                <w:t>VALSTYBINĖ</w:t>
              </w:r>
              <w:r>
                <w:rPr>
                  <w:caps/>
                  <w:color w:val="000000"/>
                  <w:szCs w:val="24"/>
                  <w:lang w:eastAsia="lt-LT"/>
                </w:rPr>
                <w:t xml:space="preserve"> </w:t>
              </w:r>
              <w:r>
                <w:rPr>
                  <w:b/>
                  <w:bCs/>
                  <w:caps/>
                  <w:color w:val="000000"/>
                  <w:szCs w:val="24"/>
                  <w:lang w:eastAsia="lt-LT"/>
                </w:rPr>
                <w:t>ENERGETIKOS</w:t>
              </w:r>
              <w:r>
                <w:rPr>
                  <w:caps/>
                  <w:color w:val="000000"/>
                  <w:szCs w:val="24"/>
                  <w:lang w:eastAsia="lt-LT"/>
                </w:rPr>
                <w:t xml:space="preserve"> </w:t>
              </w:r>
              <w:r>
                <w:rPr>
                  <w:b/>
                  <w:bCs/>
                  <w:caps/>
                  <w:color w:val="000000"/>
                  <w:szCs w:val="24"/>
                  <w:lang w:eastAsia="lt-LT"/>
                </w:rPr>
                <w:t>reguliavimo taryba</w:t>
              </w:r>
            </w:sdtContent>
          </w:sdt>
        </w:p>
        <w:p>
          <w:pPr>
            <w:keepLines/>
            <w:spacing w:line="276" w:lineRule="auto"/>
            <w:jc w:val="center"/>
            <w:rPr>
              <w:b/>
              <w:bCs/>
              <w:caps/>
              <w:color w:val="000000"/>
              <w:szCs w:val="24"/>
              <w:lang w:eastAsia="lt-LT"/>
            </w:rPr>
          </w:pPr>
        </w:p>
        <w:p>
          <w:pPr>
            <w:keepLines/>
            <w:spacing w:line="276" w:lineRule="auto"/>
            <w:jc w:val="center"/>
            <w:rPr>
              <w:color w:val="000000"/>
              <w:szCs w:val="24"/>
              <w:lang w:eastAsia="lt-LT"/>
            </w:rPr>
          </w:pPr>
          <w:r>
            <w:rPr>
              <w:b/>
              <w:bCs/>
              <w:caps/>
              <w:color w:val="000000"/>
              <w:szCs w:val="24"/>
              <w:lang w:eastAsia="lt-LT"/>
            </w:rPr>
            <w:t>Nutarimas</w:t>
          </w:r>
        </w:p>
        <w:p>
          <w:pPr>
            <w:keepLines/>
            <w:spacing w:line="276" w:lineRule="auto"/>
            <w:jc w:val="center"/>
            <w:rPr>
              <w:b/>
              <w:bCs/>
              <w:caps/>
              <w:color w:val="000000"/>
              <w:szCs w:val="24"/>
              <w:lang w:eastAsia="lt-LT"/>
            </w:rPr>
          </w:pPr>
          <w:r>
            <w:rPr>
              <w:b/>
              <w:bCs/>
              <w:caps/>
              <w:color w:val="000000"/>
              <w:szCs w:val="24"/>
              <w:lang w:eastAsia="lt-LT"/>
            </w:rPr>
            <w:t>DĖL ELEKTROS ENERGIJOS ĮRENGINIŲ PRIJUNGIMO PRIE ELEKTROS TINKLŲ ĮKAINIŲ NUSTATYMO METODIKOS patvirtinimo</w:t>
          </w:r>
        </w:p>
        <w:p>
          <w:pPr>
            <w:keepLines/>
            <w:spacing w:line="276" w:lineRule="auto"/>
            <w:jc w:val="center"/>
            <w:rPr>
              <w:b/>
              <w:bCs/>
              <w:caps/>
              <w:color w:val="000000"/>
              <w:szCs w:val="24"/>
              <w:lang w:eastAsia="lt-LT"/>
            </w:rPr>
          </w:pPr>
        </w:p>
        <w:p>
          <w:pPr>
            <w:keepLines/>
            <w:spacing w:line="276" w:lineRule="auto"/>
            <w:jc w:val="center"/>
            <w:rPr>
              <w:color w:val="000000"/>
            </w:rPr>
          </w:pPr>
          <w:r>
            <w:rPr>
              <w:color w:val="000000"/>
            </w:rPr>
            <w:t>2011 m. liepos 29 d. Nr. O3-235</w:t>
          </w:r>
        </w:p>
        <w:p>
          <w:pPr>
            <w:keepLines/>
            <w:spacing w:line="276" w:lineRule="auto"/>
            <w:jc w:val="center"/>
            <w:rPr>
              <w:b/>
              <w:bCs/>
              <w:caps/>
              <w:color w:val="000000"/>
              <w:szCs w:val="24"/>
              <w:lang w:eastAsia="lt-LT"/>
            </w:rPr>
          </w:pPr>
          <w:r>
            <w:rPr>
              <w:color w:val="000000"/>
            </w:rPr>
            <w:t>Vilnius</w:t>
          </w:r>
        </w:p>
        <w:p>
          <w:pPr>
            <w:spacing w:line="276" w:lineRule="auto"/>
            <w:rPr>
              <w:color w:val="000000"/>
              <w:szCs w:val="24"/>
              <w:lang w:eastAsia="lt-LT"/>
            </w:rPr>
          </w:pPr>
        </w:p>
        <w:sdt>
          <w:sdtPr>
            <w:alias w:val="preambule"/>
            <w:tag w:val="part_4b88623e7ca040709c961907f93aa8a5"/>
            <w:lock w:val="sdtLocked"/>
            <w:richText/>
          </w:sdtPr>
          <w:sdtContent>
            <w:p>
              <w:pPr>
                <w:spacing w:line="252" w:lineRule="auto"/>
                <w:ind w:firstLine="720"/>
                <w:jc w:val="both"/>
                <w:rPr>
                  <w:color w:val="000000"/>
                  <w:szCs w:val="24"/>
                </w:rPr>
              </w:pPr>
              <w:r>
                <w:rPr>
                  <w:color w:val="000000"/>
                  <w:shd w:val="clear" w:color="auto" w:fill="FFFFFF"/>
                </w:rPr>
                <w:t>Vadovaudamasi Lietuvos Respublikos energetikos įstatymo 8 straipsnio 11 dalies 4 punktu, Lietuvos Respublikos elektros energetikos įstatymo 9 straipsnio 3 dalies 9 punktu, 67 straipsnio 5–11 dalimis, Lietuvos Respublikos atsinaujinančių išteklių energetikos įstatymo</w:t>
              </w:r>
              <w:r>
                <w:rPr>
                  <w:b/>
                  <w:bCs/>
                  <w:color w:val="000000"/>
                  <w:shd w:val="clear" w:color="auto" w:fill="FFFFFF"/>
                </w:rPr>
                <w:t xml:space="preserve"> </w:t>
              </w:r>
              <w:r>
                <w:rPr>
                  <w:color w:val="000000"/>
                  <w:shd w:val="clear" w:color="auto" w:fill="FFFFFF"/>
                </w:rPr>
                <w:t>20</w:t>
              </w:r>
              <w:r>
                <w:rPr>
                  <w:color w:val="000000"/>
                  <w:szCs w:val="24"/>
                  <w:shd w:val="clear" w:color="auto" w:fill="FFFFFF"/>
                  <w:vertAlign w:val="superscript"/>
                </w:rPr>
                <w:t>1</w:t>
              </w:r>
              <w:r>
                <w:rPr>
                  <w:color w:val="000000"/>
                  <w:shd w:val="clear" w:color="auto" w:fill="FFFFFF"/>
                </w:rPr>
                <w:t xml:space="preserve"> straipsnio 11, 12 dalimis, 21 straipsnio 1, 4 dalimis ir atsižvelgdama į Elektros energijos gamintojų ir vartotojų elektros įrenginių prijungimo prie elektros tinklų tvarkos aprašą, patvirtintą Lietuvos Respublikos energetikos ministro 2012 m. liepos 4 d. įsakymu Nr. 1-127 „Dėl Elektros energijos gamintojų ir vartotojų elektros įrenginių prijungimo prie elektros tinklų tvarkos aprašo patvirtinimo“, Naujų buitinių vartotojų elektros įrenginių prijungimo prie elektros tinklų sutarčių standartinių sąlygų aprašą, patvirtintą Lietuvos Respublikos energetikos ministro 2010 m. spalio 6 d. įsakymu Nr. 1-280 „Dėl Naujų buitinių vartotojų elektros įrenginių prijungimo prie elektros tinklų sutarčių standartinių sąlygų aprašo patvirtinimo“, Elektros įrenginių įrengimo bendrąsias taisykles, patvirtintas Lietuvos Respublikos energetikos ministro 2012 m. vasario 3 d. įsakymu Nr. 1-22 „Dėl Elektros įrenginių įrengimo bendrųjų taisyklių patvirtinimo“, </w:t>
              </w:r>
              <w:r>
                <w:rPr>
                  <w:rFonts w:cs="TimesLT"/>
                  <w:color w:val="000000"/>
                  <w:szCs w:val="24"/>
                </w:rPr>
                <w:t>ir Valstybinės energetikos reguliavimo tarybos (toliau ‒ Taryba) Dujų ir elektros departamento Elektros skyriaus 2024 m. vasario 7 d. pažymą Nr. O5E-107 „Dėl Valstybinės energetikos reguliavimo tarybos 2011 m. liepos 29 d. nutarimo Nr. O3-235 „Dėl Elektros energijos įrenginių prijungimo prie elektros tinklų įkainių nustatymo metodikos“ pakeitimo“ Taryba</w:t>
              </w:r>
              <w:r>
                <w:rPr>
                  <w:rFonts w:cs="TimesLT"/>
                  <w:b/>
                  <w:bCs/>
                  <w:color w:val="000000"/>
                  <w:szCs w:val="24"/>
                </w:rPr>
                <w:t xml:space="preserve"> </w:t>
              </w:r>
              <w:r>
                <w:rPr>
                  <w:rFonts w:cs="TimesLT"/>
                  <w:color w:val="000000"/>
                  <w:szCs w:val="24"/>
                </w:rPr>
                <w:t>n u t a r i a:</w:t>
              </w:r>
            </w:p>
          </w:sdtContent>
        </w:sdt>
        <w:sdt>
          <w:sdtPr>
            <w:alias w:val="1 p."/>
            <w:tag w:val="part_a3a9c99c54124ed893cf5a0bf7d06cbe"/>
            <w:lock w:val="sdtLocked"/>
            <w:richText/>
          </w:sdtPr>
          <w:sdtContent>
            <w:p>
              <w:pPr>
                <w:spacing w:line="276" w:lineRule="auto"/>
                <w:ind w:firstLine="720"/>
                <w:jc w:val="both"/>
              </w:pPr>
              <w:sdt>
                <w:sdtPr>
                  <w:alias w:val="Numeris"/>
                  <w:tag w:val="nr_a3a9c99c54124ed893cf5a0bf7d06cbe"/>
                  <w:lock w:val="sdtLocked"/>
                  <w:richText/>
                </w:sdtPr>
                <w:sdtContent>
                  <w:r>
                    <w:rPr>
                      <w:rFonts w:cs="TimesLT"/>
                      <w:color w:val="000000"/>
                      <w:szCs w:val="24"/>
                    </w:rPr>
                    <w:t>1</w:t>
                  </w:r>
                </w:sdtContent>
              </w:sdt>
              <w:r>
                <w:rPr>
                  <w:rFonts w:cs="TimesLT"/>
                  <w:color w:val="000000"/>
                  <w:szCs w:val="24"/>
                </w:rPr>
                <w:t>. Patvirtinti Elektros energijos įrenginių prijungimo prie elektros tinklų įkainių nustatymo metodiką (pridedama).</w:t>
              </w:r>
              <w:r>
                <w:t xml:space="preserve"> </w:t>
              </w:r>
            </w:p>
          </w:sdtContent>
        </w:sdt>
        <w:sdt>
          <w:sdtPr>
            <w:alias w:val="signatura"/>
            <w:tag w:val="part_cc934faff31d416f8e82632a91f0992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Komisijos pirmininkė </w:t>
                <w:tab/>
                <w:t>Diana Korsakaitė</w:t>
              </w:r>
            </w:p>
          </w:sdtContent>
        </w:sdt>
        <w:p/>
      </w:sdtContent>
    </w:sdt>
    <w:sdt>
      <w:sdtPr>
        <w:alias w:val="patvirtinta"/>
        <w:tag w:val="part_22d0cbf7f28b4e449024809049d7f5f1"/>
        <w:lock w:val="sdtLocked"/>
        <w:richText/>
      </w:sdtPr>
      <w:sdtContent>
        <w:p>
          <w:pPr>
            <w:tabs>
              <w:tab w:val="left" w:pos="709"/>
              <w:tab w:val="left" w:pos="1276"/>
            </w:tabs>
            <w:jc w:val="right"/>
            <w:sectPr>
              <w:headerReference w:type="even" r:id="rId8"/>
              <w:headerReference w:type="default" r:id="rId9"/>
              <w:footerReference w:type="even" r:id="rId10"/>
              <w:footerReference w:type="default" r:id="rId11"/>
              <w:headerReference w:type="first" r:id="rId12"/>
              <w:footerReference w:type="first" r:id="rId13"/>
              <w:pgSz w:w="11907" w:h="16840" w:code="9"/>
              <w:pgMar w:top="1701" w:right="567" w:bottom="1134" w:left="1701" w:header="567" w:footer="284" w:gutter="0"/>
              <w:pgNumType w:start="1"/>
              <w:cols w:space="1296"/>
              <w:titlePg/>
              <w:docGrid w:linePitch="360"/>
            </w:sectPr>
          </w:pPr>
        </w:p>
        <w:p>
          <w:pPr>
            <w:tabs>
              <w:tab w:val="left" w:pos="709"/>
              <w:tab w:val="left" w:pos="1276"/>
            </w:tabs>
            <w:jc w:val="right"/>
            <w:rPr>
              <w:color w:val="000000"/>
              <w:szCs w:val="24"/>
            </w:rPr>
          </w:pPr>
          <w:r>
            <w:rPr>
              <w:color w:val="000000"/>
              <w:szCs w:val="24"/>
            </w:rPr>
            <w:t>PATVIRTINTA</w:t>
          </w:r>
        </w:p>
        <w:p>
          <w:pPr>
            <w:tabs>
              <w:tab w:val="left" w:pos="709"/>
              <w:tab w:val="left" w:pos="1276"/>
            </w:tabs>
            <w:jc w:val="right"/>
            <w:rPr>
              <w:color w:val="000000"/>
              <w:szCs w:val="24"/>
            </w:rPr>
          </w:pPr>
          <w:r>
            <w:rPr>
              <w:color w:val="000000"/>
              <w:szCs w:val="24"/>
            </w:rPr>
            <w:t>Valstybinės kainų ir energetikos kontrolės komisijos</w:t>
          </w:r>
        </w:p>
        <w:p>
          <w:pPr>
            <w:tabs>
              <w:tab w:val="left" w:pos="709"/>
              <w:tab w:val="left" w:pos="1276"/>
            </w:tabs>
            <w:jc w:val="right"/>
            <w:rPr>
              <w:color w:val="000000"/>
              <w:szCs w:val="24"/>
            </w:rPr>
          </w:pPr>
          <w:r>
            <w:rPr>
              <w:color w:val="000000"/>
              <w:szCs w:val="24"/>
            </w:rPr>
            <w:t>2011 m. liepos 29 d. nutarimu Nr. O3-235</w:t>
          </w:r>
        </w:p>
        <w:p>
          <w:pPr>
            <w:tabs>
              <w:tab w:val="left" w:pos="709"/>
              <w:tab w:val="left" w:pos="1276"/>
            </w:tabs>
            <w:jc w:val="right"/>
            <w:rPr>
              <w:color w:val="000000"/>
              <w:szCs w:val="24"/>
            </w:rPr>
          </w:pPr>
          <w:r>
            <w:rPr>
              <w:color w:val="000000"/>
              <w:szCs w:val="24"/>
            </w:rPr>
            <w:t>(Valstybinės energetikos reguliavimo tarybos</w:t>
          </w:r>
        </w:p>
        <w:p>
          <w:pPr>
            <w:tabs>
              <w:tab w:val="left" w:pos="709"/>
              <w:tab w:val="left" w:pos="1276"/>
            </w:tabs>
            <w:jc w:val="right"/>
            <w:rPr>
              <w:color w:val="000000"/>
              <w:szCs w:val="24"/>
            </w:rPr>
          </w:pPr>
          <w:r>
            <w:rPr>
              <w:color w:val="000000"/>
              <w:szCs w:val="24"/>
            </w:rPr>
            <w:t xml:space="preserve">2024 m. vasario 13 d. nutarimo Nr. O3E-168 </w:t>
          </w:r>
        </w:p>
        <w:p>
          <w:pPr>
            <w:tabs>
              <w:tab w:val="left" w:pos="709"/>
              <w:tab w:val="left" w:pos="1276"/>
            </w:tabs>
            <w:jc w:val="right"/>
            <w:rPr>
              <w:color w:val="000000"/>
              <w:szCs w:val="24"/>
            </w:rPr>
          </w:pPr>
          <w:r>
            <w:rPr>
              <w:color w:val="000000"/>
              <w:szCs w:val="24"/>
            </w:rPr>
            <w:t xml:space="preserve">redakcija) </w:t>
          </w:r>
        </w:p>
        <w:p>
          <w:pPr>
            <w:tabs>
              <w:tab w:val="left" w:pos="709"/>
            </w:tabs>
            <w:jc w:val="center"/>
            <w:rPr>
              <w:b/>
              <w:bCs/>
              <w:color w:val="000000"/>
              <w:szCs w:val="24"/>
            </w:rPr>
          </w:pPr>
        </w:p>
        <w:p>
          <w:pPr>
            <w:tabs>
              <w:tab w:val="left" w:pos="709"/>
            </w:tabs>
            <w:jc w:val="center"/>
            <w:rPr>
              <w:b/>
              <w:color w:val="000000"/>
              <w:szCs w:val="24"/>
            </w:rPr>
          </w:pPr>
          <w:sdt>
            <w:sdtPr>
              <w:alias w:val="Pavadinimas"/>
              <w:tag w:val="title_22d0cbf7f28b4e449024809049d7f5f1"/>
              <w:lock w:val="sdtLocked"/>
              <w:richText/>
            </w:sdtPr>
            <w:sdtContent>
              <w:r>
                <w:rPr>
                  <w:b/>
                  <w:color w:val="000000"/>
                  <w:szCs w:val="24"/>
                </w:rPr>
                <w:t>ELEKTROS ENERGIJOS ĮRENGINIŲ PRIJUNGIMO PRIE ELEKTROS TINKLŲ ĮKAINIŲ NUSTATYMO METODIKA</w:t>
              </w:r>
            </w:sdtContent>
          </w:sdt>
        </w:p>
        <w:p>
          <w:pPr>
            <w:tabs>
              <w:tab w:val="left" w:pos="709"/>
            </w:tabs>
            <w:jc w:val="center"/>
            <w:rPr>
              <w:b/>
              <w:color w:val="000000"/>
              <w:szCs w:val="24"/>
            </w:rPr>
          </w:pPr>
        </w:p>
        <w:p>
          <w:pPr>
            <w:rPr>
              <w:color w:val="000000"/>
              <w:sz w:val="20"/>
            </w:rPr>
          </w:pPr>
        </w:p>
        <w:sdt>
          <w:sdtPr>
            <w:alias w:val="skyrius"/>
            <w:tag w:val="part_280b432360424d9891486a2a17780f60"/>
            <w:lock w:val="sdtLocked"/>
            <w:richText/>
          </w:sdtPr>
          <w:sdtContent>
            <w:p>
              <w:pPr>
                <w:keepNext/>
                <w:keepLines/>
                <w:widowControl w:val="0"/>
                <w:suppressAutoHyphens/>
                <w:jc w:val="center"/>
                <w:rPr>
                  <w:b/>
                  <w:bCs/>
                  <w:caps/>
                  <w:color w:val="000000"/>
                  <w:szCs w:val="32"/>
                </w:rPr>
              </w:pPr>
              <w:sdt>
                <w:sdtPr>
                  <w:alias w:val="Numeris"/>
                  <w:tag w:val="nr_280b432360424d9891486a2a17780f60"/>
                  <w:lock w:val="sdtLocked"/>
                  <w:richText/>
                </w:sdtPr>
                <w:sdtContent>
                  <w:r>
                    <w:rPr>
                      <w:b/>
                      <w:bCs/>
                      <w:caps/>
                      <w:color w:val="000000"/>
                      <w:szCs w:val="32"/>
                    </w:rPr>
                    <w:t>I</w:t>
                  </w:r>
                </w:sdtContent>
              </w:sdt>
              <w:r>
                <w:rPr>
                  <w:b/>
                  <w:bCs/>
                  <w:caps/>
                  <w:color w:val="000000"/>
                  <w:szCs w:val="32"/>
                </w:rPr>
                <w:t xml:space="preserve"> SKYRIUS</w:t>
              </w:r>
            </w:p>
            <w:p>
              <w:pPr>
                <w:keepNext/>
                <w:keepLines/>
                <w:widowControl w:val="0"/>
                <w:suppressAutoHyphens/>
                <w:jc w:val="center"/>
                <w:rPr>
                  <w:b/>
                  <w:bCs/>
                  <w:caps/>
                  <w:color w:val="000000"/>
                  <w:szCs w:val="32"/>
                </w:rPr>
              </w:pPr>
              <w:sdt>
                <w:sdtPr>
                  <w:alias w:val="Pavadinimas"/>
                  <w:tag w:val="title_280b432360424d9891486a2a17780f60"/>
                  <w:lock w:val="sdtLocked"/>
                  <w:richText/>
                </w:sdtPr>
                <w:sdtContent>
                  <w:r>
                    <w:rPr>
                      <w:b/>
                      <w:bCs/>
                      <w:caps/>
                      <w:color w:val="000000"/>
                      <w:szCs w:val="32"/>
                    </w:rPr>
                    <w:t>BENDROSIOS NUOSTATOS</w:t>
                  </w:r>
                </w:sdtContent>
              </w:sdt>
            </w:p>
            <w:p>
              <w:pPr>
                <w:widowControl w:val="0"/>
                <w:suppressAutoHyphens/>
                <w:jc w:val="both"/>
                <w:rPr>
                  <w:color w:val="000000"/>
                </w:rPr>
              </w:pPr>
            </w:p>
            <w:sdt>
              <w:sdtPr>
                <w:alias w:val="1 p."/>
                <w:tag w:val="part_005f4ddaecec42a29a46100fd2c84108"/>
                <w:lock w:val="sdtLocked"/>
                <w:richText/>
              </w:sdtPr>
              <w:sdtContent>
                <w:p>
                  <w:pPr>
                    <w:widowControl w:val="0"/>
                    <w:suppressAutoHyphens/>
                    <w:spacing w:line="252" w:lineRule="auto"/>
                    <w:ind w:firstLine="720"/>
                    <w:jc w:val="both"/>
                    <w:rPr>
                      <w:color w:val="000000"/>
                    </w:rPr>
                  </w:pPr>
                  <w:sdt>
                    <w:sdtPr>
                      <w:alias w:val="Numeris"/>
                      <w:tag w:val="nr_005f4ddaecec42a29a46100fd2c84108"/>
                      <w:lock w:val="sdtLocked"/>
                      <w:richText/>
                    </w:sdtPr>
                    <w:sdtContent>
                      <w:r>
                        <w:rPr>
                          <w:color w:val="000000"/>
                        </w:rPr>
                        <w:t>1</w:t>
                      </w:r>
                    </w:sdtContent>
                  </w:sdt>
                  <w:r>
                    <w:rPr>
                      <w:color w:val="000000"/>
                    </w:rPr>
                    <w:t>.</w:t>
                    <w:tab/>
                    <w:t>Elektros energijos įrenginių prijungimo prie elektros tinklų įkainių nustatymo metodika (toliau – Metodika) reglamentuoja elektros energijos vartojimo, gamybos ir kaupimo įrenginių (toliau – elektros energijos įrenginiai) prijungimo prie elektros tinklų įkainių ir įmokų nustatymo tvarką</w:t>
                  </w:r>
                  <w:r>
                    <w:rPr>
                      <w:color w:val="000000"/>
                      <w:szCs w:val="24"/>
                      <w:lang w:eastAsia="lt-LT"/>
                    </w:rPr>
                    <w:t xml:space="preserve"> </w:t>
                  </w:r>
                  <w:r>
                    <w:rPr>
                      <w:color w:val="000000"/>
                    </w:rPr>
                    <w:t>ir sąlygas.</w:t>
                  </w:r>
                </w:p>
              </w:sdtContent>
            </w:sdt>
            <w:sdt>
              <w:sdtPr>
                <w:alias w:val="2 p."/>
                <w:tag w:val="part_555f77bee67a466aa1f8eaaa757de3d3"/>
                <w:lock w:val="sdtLocked"/>
                <w:richText/>
              </w:sdtPr>
              <w:sdtContent>
                <w:p>
                  <w:pPr>
                    <w:widowControl w:val="0"/>
                    <w:suppressAutoHyphens/>
                    <w:spacing w:line="252" w:lineRule="auto"/>
                    <w:ind w:firstLine="720"/>
                    <w:jc w:val="both"/>
                    <w:rPr>
                      <w:color w:val="000000"/>
                    </w:rPr>
                  </w:pPr>
                  <w:sdt>
                    <w:sdtPr>
                      <w:alias w:val="Numeris"/>
                      <w:tag w:val="nr_555f77bee67a466aa1f8eaaa757de3d3"/>
                      <w:lock w:val="sdtLocked"/>
                      <w:richText/>
                    </w:sdtPr>
                    <w:sdtContent>
                      <w:r>
                        <w:rPr>
                          <w:color w:val="000000"/>
                        </w:rPr>
                        <w:t>2</w:t>
                      </w:r>
                    </w:sdtContent>
                  </w:sdt>
                  <w:r>
                    <w:rPr>
                      <w:color w:val="000000"/>
                    </w:rPr>
                    <w:t>.</w:t>
                    <w:tab/>
                    <w:t xml:space="preserve">Valstybinė energetikos reguliavimo taryba (toliau – Taryba), vadovaudamasi Metodika, nustato elektros energijos vartotojų (toliau – vartotojai) ir elektros tinklų naudotojų (toliau – tinklų naudotojai) elektros energijos įrenginių prijungimo prie elektros energijos tinklų įkainius, o elektros tinklų operatoriai (toliau – operatoriai, perdavimo sistemos operatorius, skirstomųjų tinklų operatoriai) apskaičiuoja vartotojų, gamintojų ir elektros energiją iš atsinaujinančių išteklių gaminančių vartotojų (toliau – gaminantys vartotojai), asmenų, siekiančių tapti gaminančiais vartotojais, asmenų, pageidaujančių prijungti energijos kaupimo įrenginius ir elektromobilių įkrovimo prieigas, elektros energijos įrenginių prijungimo prie elektros energijos tinklų bei kitų prijungimo paslaugų kainas (prijungimo įmokas). </w:t>
                  </w:r>
                </w:p>
              </w:sdtContent>
            </w:sdt>
            <w:sdt>
              <w:sdtPr>
                <w:alias w:val="3 p."/>
                <w:tag w:val="part_c64e47aaa8de45dcaf36f27fcdbedcad"/>
                <w:lock w:val="sdtLocked"/>
                <w:richText/>
              </w:sdtPr>
              <w:sdtContent>
                <w:p>
                  <w:pPr>
                    <w:widowControl w:val="0"/>
                    <w:suppressAutoHyphens/>
                    <w:spacing w:line="252" w:lineRule="auto"/>
                    <w:ind w:firstLine="720"/>
                    <w:jc w:val="both"/>
                    <w:rPr>
                      <w:color w:val="000000"/>
                    </w:rPr>
                  </w:pPr>
                  <w:sdt>
                    <w:sdtPr>
                      <w:alias w:val="Numeris"/>
                      <w:tag w:val="nr_c64e47aaa8de45dcaf36f27fcdbedcad"/>
                      <w:lock w:val="sdtLocked"/>
                      <w:richText/>
                    </w:sdtPr>
                    <w:sdtContent>
                      <w:r>
                        <w:rPr>
                          <w:color w:val="000000"/>
                        </w:rPr>
                        <w:t>3</w:t>
                      </w:r>
                    </w:sdtContent>
                  </w:sdt>
                  <w:r>
                    <w:rPr>
                      <w:color w:val="000000"/>
                    </w:rPr>
                    <w:t>.</w:t>
                    <w:tab/>
                    <w:t>Metodikoje vartojamos sąvokos:</w:t>
                  </w:r>
                </w:p>
                <w:sdt>
                  <w:sdtPr>
                    <w:alias w:val="3.1 pp."/>
                    <w:tag w:val="part_ada89fc549144504b23b75d64e563fed"/>
                    <w:lock w:val="sdtLocked"/>
                    <w:richText/>
                  </w:sdtPr>
                  <w:sdtContent>
                    <w:p>
                      <w:pPr>
                        <w:widowControl w:val="0"/>
                        <w:suppressAutoHyphens/>
                        <w:spacing w:line="252" w:lineRule="auto"/>
                        <w:ind w:firstLine="720"/>
                        <w:jc w:val="both"/>
                        <w:rPr>
                          <w:color w:val="000000"/>
                        </w:rPr>
                      </w:pPr>
                      <w:sdt>
                        <w:sdtPr>
                          <w:alias w:val="Numeris"/>
                          <w:tag w:val="nr_ada89fc549144504b23b75d64e563fed"/>
                          <w:lock w:val="sdtLocked"/>
                          <w:richText/>
                        </w:sdtPr>
                        <w:sdtContent>
                          <w:r>
                            <w:rPr>
                              <w:color w:val="000000"/>
                            </w:rPr>
                            <w:t>3.1</w:t>
                          </w:r>
                        </w:sdtContent>
                      </w:sdt>
                      <w:r>
                        <w:rPr>
                          <w:color w:val="000000"/>
                        </w:rPr>
                        <w:t>.</w:t>
                        <w:tab/>
                      </w:r>
                      <w:r>
                        <w:rPr>
                          <w:b/>
                          <w:color w:val="000000"/>
                        </w:rPr>
                        <w:t>Prijungimo paslauga</w:t>
                      </w:r>
                      <w:r>
                        <w:rPr>
                          <w:color w:val="000000"/>
                        </w:rPr>
                        <w:t xml:space="preserve"> – naujų vartotojų, gaminančių vartotojų ar asmenų, siekiančių tapti gaminančiais vartotojais, asmenų, pageidaujančių prijungti energijos kaupimo įrenginius ir elektromobilių įkrovimo prieigas, ar gamintojų elektros energetikos įrenginių prijungimo prie elektros tinklų, esamų vartotojų naujų įrenginių prijungimo bei su tuo susijusių operatorių elektros tinklų darbų atlikimo, kai yra didinama arba mažinama vartotojų įrenginių galia, vienfazis atvadas keičiamas trifaziu arba trifazis atvadas keičiamas vienfaziu, </w:t>
                      </w:r>
                      <w:r>
                        <w:t xml:space="preserve">esamų ir naujų vartotojų užsakoma tiesioginės skirstymo ar rezervinės linijos įrengimo </w:t>
                      </w:r>
                      <w:r>
                        <w:rPr>
                          <w:color w:val="000000"/>
                        </w:rPr>
                        <w:t>paslaugos, taip pat skirstomųjų tinklų įrengimas statytojo (užsakovo) prašymu nenumačius vartotojų (parengiant teritorijos infrastruktūrą būsimai plėtrai) bei perdavimo ir (ar) skirstomųjų tinklų rekonstravimas ir perkėlimas.</w:t>
                      </w:r>
                    </w:p>
                  </w:sdtContent>
                </w:sdt>
                <w:sdt>
                  <w:sdtPr>
                    <w:alias w:val="3.2 pp."/>
                    <w:tag w:val="part_ef57646586ff4339a016468e80f6f091"/>
                    <w:lock w:val="sdtLocked"/>
                    <w:richText/>
                  </w:sdtPr>
                  <w:sdtContent>
                    <w:p>
                      <w:pPr>
                        <w:widowControl w:val="0"/>
                        <w:suppressAutoHyphens/>
                        <w:spacing w:line="252" w:lineRule="auto"/>
                        <w:ind w:firstLine="720"/>
                        <w:jc w:val="both"/>
                        <w:rPr>
                          <w:color w:val="000000"/>
                        </w:rPr>
                      </w:pPr>
                      <w:sdt>
                        <w:sdtPr>
                          <w:alias w:val="Numeris"/>
                          <w:tag w:val="nr_ef57646586ff4339a016468e80f6f091"/>
                          <w:lock w:val="sdtLocked"/>
                          <w:richText/>
                        </w:sdtPr>
                        <w:sdtContent>
                          <w:r>
                            <w:rPr>
                              <w:color w:val="000000"/>
                            </w:rPr>
                            <w:t>3.2</w:t>
                          </w:r>
                        </w:sdtContent>
                      </w:sdt>
                      <w:r>
                        <w:rPr>
                          <w:color w:val="000000"/>
                        </w:rPr>
                        <w:t>.</w:t>
                        <w:tab/>
                      </w:r>
                      <w:r>
                        <w:rPr>
                          <w:b/>
                          <w:bCs/>
                          <w:color w:val="000000"/>
                        </w:rPr>
                        <w:t>Prijungimo įkainis</w:t>
                      </w:r>
                      <w:r>
                        <w:rPr>
                          <w:color w:val="000000"/>
                        </w:rPr>
                        <w:t xml:space="preserve"> – Tarybos nustatytas įkainis už suteiktas prijungimo paslaugas. </w:t>
                      </w:r>
                    </w:p>
                  </w:sdtContent>
                </w:sdt>
                <w:sdt>
                  <w:sdtPr>
                    <w:alias w:val="3.3 pp."/>
                    <w:tag w:val="part_a9512db50e0f4c2baaabad12cb1c6853"/>
                    <w:lock w:val="sdtLocked"/>
                    <w:richText/>
                  </w:sdtPr>
                  <w:sdtContent>
                    <w:p>
                      <w:pPr>
                        <w:widowControl w:val="0"/>
                        <w:suppressAutoHyphens/>
                        <w:spacing w:line="252" w:lineRule="auto"/>
                        <w:ind w:firstLine="720"/>
                        <w:jc w:val="both"/>
                        <w:rPr>
                          <w:color w:val="000000"/>
                        </w:rPr>
                      </w:pPr>
                      <w:sdt>
                        <w:sdtPr>
                          <w:alias w:val="Numeris"/>
                          <w:tag w:val="nr_a9512db50e0f4c2baaabad12cb1c6853"/>
                          <w:lock w:val="sdtLocked"/>
                          <w:richText/>
                        </w:sdtPr>
                        <w:sdtContent>
                          <w:r>
                            <w:rPr>
                              <w:color w:val="000000"/>
                            </w:rPr>
                            <w:t>3.3</w:t>
                          </w:r>
                        </w:sdtContent>
                      </w:sdt>
                      <w:r>
                        <w:rPr>
                          <w:color w:val="000000"/>
                        </w:rPr>
                        <w:t>.</w:t>
                        <w:tab/>
                      </w:r>
                      <w:r>
                        <w:rPr>
                          <w:b/>
                          <w:bCs/>
                          <w:color w:val="000000"/>
                        </w:rPr>
                        <w:t>Prijungimo įmoka</w:t>
                      </w:r>
                      <w:r>
                        <w:rPr>
                          <w:color w:val="000000"/>
                        </w:rPr>
                        <w:t> – operatorių apskaičiuota įmoka, mokama už suteiktas prijungimo paslaugas.</w:t>
                      </w:r>
                    </w:p>
                  </w:sdtContent>
                </w:sdt>
                <w:sdt>
                  <w:sdtPr>
                    <w:alias w:val="3.4 pp."/>
                    <w:tag w:val="part_ed47852e452148a18d03f8587dde4a81"/>
                    <w:lock w:val="sdtLocked"/>
                    <w:richText/>
                  </w:sdtPr>
                  <w:sdtContent>
                    <w:p>
                      <w:pPr>
                        <w:spacing w:line="252" w:lineRule="auto"/>
                        <w:ind w:firstLine="720"/>
                        <w:jc w:val="both"/>
                        <w:rPr>
                          <w:color w:val="000000"/>
                        </w:rPr>
                      </w:pPr>
                      <w:sdt>
                        <w:sdtPr>
                          <w:alias w:val="Numeris"/>
                          <w:tag w:val="nr_ed47852e452148a18d03f8587dde4a81"/>
                          <w:lock w:val="sdtLocked"/>
                          <w:richText/>
                        </w:sdtPr>
                        <w:sdtContent>
                          <w:r>
                            <w:rPr>
                              <w:color w:val="000000"/>
                            </w:rPr>
                            <w:t>3.4</w:t>
                          </w:r>
                        </w:sdtContent>
                      </w:sdt>
                      <w:r>
                        <w:rPr>
                          <w:color w:val="000000"/>
                        </w:rPr>
                        <w:t>.</w:t>
                        <w:tab/>
                      </w:r>
                      <w:r>
                        <w:rPr>
                          <w:b/>
                          <w:bCs/>
                          <w:color w:val="000000"/>
                        </w:rPr>
                        <w:t>Suminė leistina naudoti galia</w:t>
                      </w:r>
                      <w:r>
                        <w:rPr>
                          <w:color w:val="000000"/>
                        </w:rPr>
                        <w:t xml:space="preserve"> – </w:t>
                      </w:r>
                      <w:r>
                        <w:rPr>
                          <w:color w:val="000000"/>
                          <w:szCs w:val="24"/>
                          <w:shd w:val="clear" w:color="auto" w:fill="FFFFFF"/>
                          <w:lang w:eastAsia="lt-LT" w:bidi="bn-IN"/>
                        </w:rPr>
                        <w:t>leistina</w:t>
                      </w:r>
                      <w:r>
                        <w:rPr>
                          <w:b/>
                          <w:bCs/>
                          <w:color w:val="000000"/>
                          <w:szCs w:val="24"/>
                          <w:shd w:val="clear" w:color="auto" w:fill="FFFFFF"/>
                          <w:lang w:eastAsia="lt-LT" w:bidi="bn-IN"/>
                        </w:rPr>
                        <w:t xml:space="preserve"> </w:t>
                      </w:r>
                      <w:r>
                        <w:rPr>
                          <w:color w:val="000000"/>
                          <w:szCs w:val="24"/>
                          <w:shd w:val="clear" w:color="auto" w:fill="FFFFFF"/>
                          <w:lang w:eastAsia="lt-LT" w:bidi="bn-IN"/>
                        </w:rPr>
                        <w:t>naudoti galia, kai elektros įrenginiai prie elektros tinklo prijungiami pagal bendras (vieningas) prijungimo sąlygas, vieną projektą ir vieną sutartį.</w:t>
                      </w:r>
                    </w:p>
                  </w:sdtContent>
                </w:sdt>
                <w:sdt>
                  <w:sdtPr>
                    <w:alias w:val="3.5 pp."/>
                    <w:tag w:val="part_64b58056fd8f40519657b8578fcd7602"/>
                    <w:lock w:val="sdtLocked"/>
                    <w:richText/>
                  </w:sdtPr>
                  <w:sdtContent>
                    <w:p>
                      <w:pPr>
                        <w:spacing w:line="252" w:lineRule="auto"/>
                        <w:ind w:firstLine="720"/>
                        <w:jc w:val="both"/>
                        <w:rPr>
                          <w:color w:val="000000"/>
                          <w:sz w:val="20"/>
                        </w:rPr>
                      </w:pPr>
                      <w:sdt>
                        <w:sdtPr>
                          <w:alias w:val="Numeris"/>
                          <w:tag w:val="nr_64b58056fd8f40519657b8578fcd7602"/>
                          <w:lock w:val="sdtLocked"/>
                          <w:richText/>
                        </w:sdtPr>
                        <w:sdtContent>
                          <w:r>
                            <w:rPr>
                              <w:color w:val="000000"/>
                              <w:shd w:val="clear" w:color="auto" w:fill="FFFFFF"/>
                            </w:rPr>
                            <w:t>3.5</w:t>
                          </w:r>
                        </w:sdtContent>
                      </w:sdt>
                      <w:r>
                        <w:rPr>
                          <w:color w:val="000000"/>
                          <w:shd w:val="clear" w:color="auto" w:fill="FFFFFF"/>
                        </w:rPr>
                        <w:t xml:space="preserve">. </w:t>
                      </w:r>
                      <w:r>
                        <w:rPr>
                          <w:color w:val="000000"/>
                        </w:rPr>
                        <w:t xml:space="preserve">Kitos Metodikoje vartojamos sąvokos suprantamos taip, kaip jos apibrėžtos </w:t>
                      </w:r>
                      <w:r>
                        <w:rPr>
                          <w:color w:val="000000"/>
                          <w:spacing w:val="10"/>
                        </w:rPr>
                        <w:t xml:space="preserve">ir </w:t>
                      </w:r>
                      <w:r>
                        <w:rPr>
                          <w:color w:val="000000"/>
                        </w:rPr>
                        <w:t xml:space="preserve">(ar) aiškinamos Lietuvos Respublikos energetikos įstatyme, Lietuvos Respublikos elektros energetikos įstatyme, Lietuvos Respublikos atsinaujinančių išteklių energetikos įstatyme, Elektros energijos gamintojų ir vartotojų elektros įrenginių prijungimo prie elektros tinklų tvarkos apraše, patvirtintame Lietuvos Respublikos energetikos ministro 2012 m. liepos 4 d. įsakymu Nr. 1-127 „Dėl Elektros energijos gamintojų ir vartotojų elektros įrenginių prijungimo prie elektros tinklų tvarkos aprašo patvirtinimo“ (toliau – Aprašas), Naujų buitinių vartotojų elektros įrenginių prijungimo prie elektros tinklų sutarčių standartinių sąlygų apraše, patvirtintame Lietuvos Respublikos energetikos ministro 2010 m. spalio 6 d. įsakymu Nr. 1-280 „Dėl Naujų buitinių vartotojų elektros įrenginių prijungimo prie elektros tinklų sutarčių standartinių sąlygų aprašo patvirtinimo“ (toliau – Prijungimo sutarčių aprašas), </w:t>
                      </w:r>
                      <w:r>
                        <w:rPr>
                          <w:color w:val="000000"/>
                          <w:shd w:val="clear" w:color="auto" w:fill="FFFFFF"/>
                        </w:rPr>
                        <w:t>Elektros įrenginių įrengimo bendrosiose taisyklėse, patvirtintose Lietuvos Respublikos energetikos ministro 2012 m. vasario 3 d. įsakymu Nr. 1-22 „Dėl Elektros įrenginių įrengimo bendrųjų taisyklių patvirtinimo“ (toliau – Taisyklės),</w:t>
                      </w:r>
                      <w:r>
                        <w:rPr>
                          <w:color w:val="000000"/>
                        </w:rPr>
                        <w:t xml:space="preserve"> ir kituose elektros energetikos sektorių reglamentuojančiuose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Content>
            </w:sdt>
          </w:sdtContent>
        </w:sdt>
        <w:sdt>
          <w:sdtPr>
            <w:alias w:val="skyrius"/>
            <w:tag w:val="part_278b826ea230430cadbe9edeaea957e6"/>
            <w:lock w:val="sdtLocked"/>
            <w:richText/>
          </w:sdtPr>
          <w:sdtContent>
            <w:p>
              <w:pPr>
                <w:keepNext/>
                <w:keepLines/>
                <w:widowControl w:val="0"/>
                <w:suppressAutoHyphens/>
                <w:spacing w:line="252" w:lineRule="auto"/>
                <w:jc w:val="center"/>
                <w:rPr>
                  <w:b/>
                  <w:bCs/>
                  <w:caps/>
                  <w:color w:val="000000"/>
                  <w:szCs w:val="32"/>
                  <w:lang w:eastAsia="lt-LT"/>
                </w:rPr>
              </w:pPr>
              <w:sdt>
                <w:sdtPr>
                  <w:alias w:val="Numeris"/>
                  <w:tag w:val="nr_278b826ea230430cadbe9edeaea957e6"/>
                  <w:lock w:val="sdtLocked"/>
                  <w:richText/>
                </w:sdtPr>
                <w:sdtContent>
                  <w:r>
                    <w:rPr>
                      <w:b/>
                      <w:caps/>
                      <w:color w:val="000000"/>
                      <w:szCs w:val="32"/>
                      <w:lang w:eastAsia="lt-LT"/>
                    </w:rPr>
                    <w:t>II</w:t>
                  </w:r>
                </w:sdtContent>
              </w:sdt>
              <w:r>
                <w:rPr>
                  <w:b/>
                  <w:caps/>
                  <w:color w:val="000000"/>
                  <w:szCs w:val="32"/>
                  <w:lang w:eastAsia="lt-LT"/>
                </w:rPr>
                <w:t xml:space="preserve"> SKYRIUS</w:t>
              </w:r>
            </w:p>
            <w:p>
              <w:pPr>
                <w:keepNext/>
                <w:keepLines/>
                <w:widowControl w:val="0"/>
                <w:suppressAutoHyphens/>
                <w:spacing w:line="252" w:lineRule="auto"/>
                <w:jc w:val="center"/>
                <w:rPr>
                  <w:b/>
                  <w:bCs/>
                  <w:caps/>
                  <w:color w:val="000000"/>
                  <w:szCs w:val="32"/>
                  <w:lang w:eastAsia="lt-LT"/>
                </w:rPr>
              </w:pPr>
              <w:sdt>
                <w:sdtPr>
                  <w:alias w:val="Pavadinimas"/>
                  <w:tag w:val="title_278b826ea230430cadbe9edeaea957e6"/>
                  <w:lock w:val="sdtLocked"/>
                  <w:richText/>
                </w:sdtPr>
                <w:sdtContent>
                  <w:r>
                    <w:rPr>
                      <w:b/>
                      <w:bCs/>
                      <w:caps/>
                      <w:color w:val="000000"/>
                      <w:szCs w:val="32"/>
                      <w:lang w:eastAsia="lt-LT"/>
                    </w:rPr>
                    <w:t>Vartotojų elektros įrenginių prijungimo kainodara ir sąlygos</w:t>
                  </w:r>
                </w:sdtContent>
              </w:sdt>
            </w:p>
            <w:p>
              <w:pPr>
                <w:keepNext/>
                <w:keepLines/>
                <w:widowControl w:val="0"/>
                <w:suppressAutoHyphens/>
                <w:spacing w:line="252" w:lineRule="auto"/>
                <w:jc w:val="center"/>
                <w:rPr>
                  <w:b/>
                  <w:bCs/>
                  <w:caps/>
                  <w:color w:val="000000"/>
                  <w:szCs w:val="32"/>
                  <w:lang w:eastAsia="lt-LT"/>
                </w:rPr>
              </w:pPr>
            </w:p>
            <w:sdt>
              <w:sdtPr>
                <w:alias w:val="skirsnis"/>
                <w:tag w:val="part_b6a6314e41c2469083ffa1cfa6a08fe6"/>
                <w:lock w:val="sdtLocked"/>
                <w:richText/>
              </w:sdtPr>
              <w:sdtContent>
                <w:p>
                  <w:pPr>
                    <w:keepNext/>
                    <w:keepLines/>
                    <w:widowControl w:val="0"/>
                    <w:suppressAutoHyphens/>
                    <w:spacing w:line="252" w:lineRule="auto"/>
                    <w:jc w:val="center"/>
                    <w:rPr>
                      <w:b/>
                      <w:caps/>
                      <w:color w:val="000000"/>
                      <w:szCs w:val="32"/>
                      <w:lang w:eastAsia="lt-LT"/>
                    </w:rPr>
                  </w:pPr>
                  <w:sdt>
                    <w:sdtPr>
                      <w:alias w:val="Numeris"/>
                      <w:tag w:val="nr_b6a6314e41c2469083ffa1cfa6a08fe6"/>
                      <w:lock w:val="sdtLocked"/>
                      <w:richText/>
                    </w:sdtPr>
                    <w:sdtContent>
                      <w:r>
                        <w:rPr>
                          <w:b/>
                          <w:bCs/>
                          <w:caps/>
                          <w:color w:val="000000"/>
                          <w:szCs w:val="32"/>
                          <w:lang w:eastAsia="lt-LT"/>
                        </w:rPr>
                        <w:t>PIRMASIS</w:t>
                      </w:r>
                    </w:sdtContent>
                  </w:sdt>
                  <w:r>
                    <w:rPr>
                      <w:b/>
                      <w:bCs/>
                      <w:caps/>
                      <w:color w:val="000000"/>
                      <w:szCs w:val="32"/>
                      <w:lang w:eastAsia="lt-LT"/>
                    </w:rPr>
                    <w:t xml:space="preserve"> SKIRSNIS</w:t>
                  </w:r>
                </w:p>
                <w:p>
                  <w:pPr>
                    <w:keepNext/>
                    <w:keepLines/>
                    <w:widowControl w:val="0"/>
                    <w:suppressAutoHyphens/>
                    <w:spacing w:line="252" w:lineRule="auto"/>
                    <w:jc w:val="center"/>
                    <w:rPr>
                      <w:b/>
                      <w:caps/>
                      <w:color w:val="000000"/>
                      <w:szCs w:val="32"/>
                    </w:rPr>
                  </w:pPr>
                  <w:sdt>
                    <w:sdtPr>
                      <w:alias w:val="Pavadinimas"/>
                      <w:tag w:val="title_b6a6314e41c2469083ffa1cfa6a08fe6"/>
                      <w:lock w:val="sdtLocked"/>
                      <w:richText/>
                    </w:sdtPr>
                    <w:sdtContent>
                      <w:r>
                        <w:rPr>
                          <w:b/>
                          <w:caps/>
                          <w:color w:val="000000"/>
                          <w:szCs w:val="32"/>
                        </w:rPr>
                        <w:t>VARTOTOJŲ ELEKTROS ENERGIJOS ĮRENGINIŲ PRIJUNGIMO ĮKAINIŲ NUSTATYMO TVARKA</w:t>
                      </w:r>
                    </w:sdtContent>
                  </w:sdt>
                </w:p>
                <w:p>
                  <w:pPr>
                    <w:spacing w:line="252" w:lineRule="auto"/>
                    <w:rPr>
                      <w:color w:val="000000"/>
                      <w:szCs w:val="24"/>
                    </w:rPr>
                  </w:pPr>
                </w:p>
                <w:sdt>
                  <w:sdtPr>
                    <w:alias w:val="4 p."/>
                    <w:tag w:val="part_4349704cc5d043d3a625b813002bb705"/>
                    <w:lock w:val="sdtLocked"/>
                    <w:richText/>
                  </w:sdtPr>
                  <w:sdtContent>
                    <w:p>
                      <w:pPr>
                        <w:widowControl w:val="0"/>
                        <w:suppressAutoHyphens/>
                        <w:spacing w:line="252" w:lineRule="auto"/>
                        <w:ind w:firstLine="720"/>
                        <w:jc w:val="both"/>
                        <w:rPr>
                          <w:color w:val="000000"/>
                        </w:rPr>
                      </w:pPr>
                      <w:sdt>
                        <w:sdtPr>
                          <w:alias w:val="Numeris"/>
                          <w:tag w:val="nr_4349704cc5d043d3a625b813002bb705"/>
                          <w:lock w:val="sdtLocked"/>
                          <w:richText/>
                        </w:sdtPr>
                        <w:sdtContent>
                          <w:r>
                            <w:rPr>
                              <w:color w:val="000000"/>
                            </w:rPr>
                            <w:t>4</w:t>
                          </w:r>
                        </w:sdtContent>
                      </w:sdt>
                      <w:r>
                        <w:rPr>
                          <w:color w:val="000000"/>
                        </w:rPr>
                        <w:t>.</w:t>
                        <w:tab/>
                        <w:t>Taryba nustato:</w:t>
                      </w:r>
                    </w:p>
                    <w:sdt>
                      <w:sdtPr>
                        <w:alias w:val="4.1 pp."/>
                        <w:tag w:val="part_1333b375a66b478096b4197f26e3ed7b"/>
                        <w:lock w:val="sdtLocked"/>
                        <w:richText/>
                      </w:sdtPr>
                      <w:sdtContent>
                        <w:p>
                          <w:pPr>
                            <w:widowControl w:val="0"/>
                            <w:suppressAutoHyphens/>
                            <w:spacing w:line="252" w:lineRule="auto"/>
                            <w:ind w:firstLine="720"/>
                            <w:jc w:val="both"/>
                            <w:rPr>
                              <w:color w:val="000000"/>
                            </w:rPr>
                          </w:pPr>
                          <w:sdt>
                            <w:sdtPr>
                              <w:alias w:val="Numeris"/>
                              <w:tag w:val="nr_1333b375a66b478096b4197f26e3ed7b"/>
                              <w:lock w:val="sdtLocked"/>
                              <w:richText/>
                            </w:sdtPr>
                            <w:sdtContent>
                              <w:r>
                                <w:rPr>
                                  <w:color w:val="000000"/>
                                </w:rPr>
                                <w:t>4.1</w:t>
                              </w:r>
                            </w:sdtContent>
                          </w:sdt>
                          <w:r>
                            <w:rPr>
                              <w:color w:val="000000"/>
                            </w:rPr>
                            <w:t>.</w:t>
                            <w:tab/>
                            <w:t>prijungimo įkainį 1 kW elektros energijos įrenginių leistinos naudoti galios įrengti ar padidinti, kaip investicijų į įrenginius, medžiagas ir darbus, susijusius su leistinos naudoti galios įrengimu ar padidinimu, elektros tinklo tiesimu, elektros tinklų įrengimo ir (ar) rekonstrukcijos projektų parengimu, atitinkamoje vartotojų grupėje, sumos santykį su įrengta leistina naudoti galia, papildomai pridedant apskaičiuotą 1 kW tinklų plėtros įkainį, ir taikomą Metodikos 5 punkte nurodytoms vartotojų grupėms. Nustatant įkainį nevertinamos kompensacijos, mokamos žemės ar nekilnojamojo turto savininkams už operatoriaus naudai nustatytus servitutus ar specialiąsias žemės naudojimo sąlygas;</w:t>
                          </w:r>
                        </w:p>
                      </w:sdtContent>
                    </w:sdt>
                    <w:sdt>
                      <w:sdtPr>
                        <w:alias w:val="4.2 pp."/>
                        <w:tag w:val="part_6bcb91455ab245d495df0a97f1d07832"/>
                        <w:lock w:val="sdtLocked"/>
                        <w:richText/>
                      </w:sdtPr>
                      <w:sdtContent>
                        <w:p>
                          <w:pPr>
                            <w:spacing w:line="252" w:lineRule="auto"/>
                            <w:ind w:firstLine="720"/>
                            <w:jc w:val="both"/>
                            <w:rPr>
                              <w:color w:val="000000"/>
                            </w:rPr>
                          </w:pPr>
                          <w:sdt>
                            <w:sdtPr>
                              <w:alias w:val="Numeris"/>
                              <w:tag w:val="nr_6bcb91455ab245d495df0a97f1d07832"/>
                              <w:lock w:val="sdtLocked"/>
                              <w:richText/>
                            </w:sdtPr>
                            <w:sdtContent>
                              <w:r>
                                <w:rPr>
                                  <w:color w:val="000000"/>
                                </w:rPr>
                                <w:t>4.2</w:t>
                              </w:r>
                            </w:sdtContent>
                          </w:sdt>
                          <w:r>
                            <w:rPr>
                              <w:color w:val="000000"/>
                            </w:rPr>
                            <w:t>.</w:t>
                            <w:tab/>
                            <w:t>1 kW tinklų plėtros įkainį, kaip atitinkamo laikotarpio investicijų į įrenginius, medžiagas ir darbus, susijusius su tinklų plėtra, santykį su atitinkamu laikotarpiu įrengta leistina naudoti galia, apskaičiuotą Metodikos 11.1 papunktyje nurodyta tvarka ir taikomą Metodikos 5 ir 6 punktuose nurodytiems vartotojams, kaip apibrėžta Metodikos 8.1.5 ir 8.2.3 papunkčiuose. Visoms vartotojų grupėms, nurodytoms Metodikos 5 ir 6 punktuose, nustatomas bendras 1 kW tinklų plėtros įkainis;</w:t>
                          </w:r>
                        </w:p>
                      </w:sdtContent>
                    </w:sdt>
                    <w:sdt>
                      <w:sdtPr>
                        <w:alias w:val="4.3 pp."/>
                        <w:tag w:val="part_56123c481b8d4cf4bfdcee52ce973b5d"/>
                        <w:lock w:val="sdtLocked"/>
                        <w:richText/>
                      </w:sdtPr>
                      <w:sdtContent>
                        <w:p>
                          <w:pPr>
                            <w:spacing w:line="252" w:lineRule="auto"/>
                            <w:ind w:firstLine="720"/>
                            <w:jc w:val="both"/>
                            <w:rPr>
                              <w:color w:val="000000"/>
                            </w:rPr>
                          </w:pPr>
                          <w:sdt>
                            <w:sdtPr>
                              <w:alias w:val="Numeris"/>
                              <w:tag w:val="nr_56123c481b8d4cf4bfdcee52ce973b5d"/>
                              <w:lock w:val="sdtLocked"/>
                              <w:richText/>
                            </w:sdtPr>
                            <w:sdtContent>
                              <w:r>
                                <w:rPr>
                                  <w:color w:val="000000"/>
                                </w:rPr>
                                <w:t>4.3</w:t>
                              </w:r>
                            </w:sdtContent>
                          </w:sdt>
                          <w:r>
                            <w:rPr>
                              <w:color w:val="000000"/>
                            </w:rPr>
                            <w:t>.</w:t>
                            <w:tab/>
                            <w:t>maksimalius kompensuotinus projektavimo dydžius, taikomus, kai vartotojas savo lėšomis organizuoja</w:t>
                          </w:r>
                          <w:r>
                            <w:t xml:space="preserve"> </w:t>
                          </w:r>
                          <w:r>
                            <w:rPr>
                              <w:color w:val="000000"/>
                            </w:rPr>
                            <w:t>prijungimo prie elektros tinklų projektavimo darbus:</w:t>
                          </w:r>
                        </w:p>
                        <w:sdt>
                          <w:sdtPr>
                            <w:alias w:val="4.3.1 pp."/>
                            <w:tag w:val="part_a4f00ec95abf41b282632c7e3a06af98"/>
                            <w:lock w:val="sdtLocked"/>
                            <w:richText/>
                          </w:sdtPr>
                          <w:sdtContent>
                            <w:p>
                              <w:pPr>
                                <w:spacing w:line="252" w:lineRule="auto"/>
                                <w:ind w:firstLine="720"/>
                                <w:jc w:val="both"/>
                                <w:rPr>
                                  <w:color w:val="000000"/>
                                </w:rPr>
                              </w:pPr>
                              <w:sdt>
                                <w:sdtPr>
                                  <w:alias w:val="Numeris"/>
                                  <w:tag w:val="nr_a4f00ec95abf41b282632c7e3a06af98"/>
                                  <w:lock w:val="sdtLocked"/>
                                  <w:richText/>
                                </w:sdtPr>
                                <w:sdtContent>
                                  <w:r>
                                    <w:rPr>
                                      <w:color w:val="000000"/>
                                    </w:rPr>
                                    <w:t>4.3.1</w:t>
                                  </w:r>
                                </w:sdtContent>
                              </w:sdt>
                              <w:r>
                                <w:rPr>
                                  <w:color w:val="000000"/>
                                </w:rPr>
                                <w:t>. maksimalią kompensuotiną skirstomųjų elektros tinklų projektavimo kainą, kaip sąnaudų, susijusių su skirstomųjų elektros tinklų projektų parengimu atitinkamoje vartotojų grupėje, sumos santykį su atitinkamu laikotarpiu parengtų projektų skaičiumi;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4.3.2 pp."/>
                            <w:tag w:val="part_df73d59d12504f3dac59ab591dc0ecf7"/>
                            <w:lock w:val="sdtLocked"/>
                            <w:richText/>
                          </w:sdtPr>
                          <w:sdtContent>
                            <w:p>
                              <w:pPr>
                                <w:spacing w:line="252" w:lineRule="auto"/>
                                <w:ind w:firstLine="720"/>
                                <w:jc w:val="both"/>
                                <w:rPr>
                                  <w:color w:val="000000"/>
                                </w:rPr>
                              </w:pPr>
                              <w:sdt>
                                <w:sdtPr>
                                  <w:alias w:val="Numeris"/>
                                  <w:tag w:val="nr_df73d59d12504f3dac59ab591dc0ecf7"/>
                                  <w:lock w:val="sdtLocked"/>
                                  <w:richText/>
                                </w:sdtPr>
                                <w:sdtContent>
                                  <w:r>
                                    <w:rPr>
                                      <w:color w:val="000000"/>
                                    </w:rPr>
                                    <w:t>4.3.2</w:t>
                                  </w:r>
                                </w:sdtContent>
                              </w:sdt>
                              <w:r>
                                <w:rPr>
                                  <w:color w:val="000000"/>
                                </w:rPr>
                                <w:t>.</w:t>
                                <w:tab/>
                                <w:t xml:space="preserve"> maksimalų kompensuotiną projektavimo įkainį, kaip sąnaudų, susijusių su elektros tinklų projektų parengimu atitinkamoje vartotojų grupėje, sumos santykį su atitinkamu laikotarpiu įrengta leistina naudoti galia;</w:t>
                              </w:r>
                            </w:p>
                          </w:sdtContent>
                        </w:sdt>
                      </w:sdtContent>
                    </w:sdt>
                    <w:sdt>
                      <w:sdtPr>
                        <w:alias w:val="4.4 pp."/>
                        <w:tag w:val="part_01d9aeff4ba1450fb4177fb0ef370d07"/>
                        <w:lock w:val="sdtLocked"/>
                        <w:richText/>
                      </w:sdtPr>
                      <w:sdtContent>
                        <w:p>
                          <w:pPr>
                            <w:spacing w:line="252" w:lineRule="auto"/>
                            <w:ind w:firstLine="720"/>
                            <w:jc w:val="both"/>
                            <w:rPr>
                              <w:color w:val="000000"/>
                            </w:rPr>
                          </w:pPr>
                          <w:sdt>
                            <w:sdtPr>
                              <w:alias w:val="Numeris"/>
                              <w:tag w:val="nr_01d9aeff4ba1450fb4177fb0ef370d07"/>
                              <w:lock w:val="sdtLocked"/>
                              <w:richText/>
                            </w:sdtPr>
                            <w:sdtContent>
                              <w:r>
                                <w:rPr>
                                  <w:color w:val="000000"/>
                                </w:rPr>
                                <w:t>4.4</w:t>
                              </w:r>
                            </w:sdtContent>
                          </w:sdt>
                          <w:r>
                            <w:rPr>
                              <w:color w:val="000000"/>
                            </w:rPr>
                            <w:t>.</w:t>
                            <w:tab/>
                            <w:t>Metodikos 4.1–4.3 papunkčiuose nurodytus įkainius, vadovaudamasi skirstomųjų tinklų operatoriaus pagal Metodikos 49 punktą pateiktais duomenimis.</w:t>
                          </w:r>
                        </w:p>
                      </w:sdtContent>
                    </w:sdt>
                  </w:sdtContent>
                </w:sdt>
                <w:sdt>
                  <w:sdtPr>
                    <w:alias w:val="5 p."/>
                    <w:tag w:val="part_d97216c0a2fe4b9ea84ad6b5321c614a"/>
                    <w:lock w:val="sdtLocked"/>
                    <w:richText/>
                  </w:sdtPr>
                  <w:sdtContent>
                    <w:p>
                      <w:pPr>
                        <w:spacing w:line="252" w:lineRule="auto"/>
                        <w:ind w:firstLine="720"/>
                        <w:jc w:val="both"/>
                        <w:rPr>
                          <w:color w:val="000000"/>
                          <w:szCs w:val="24"/>
                        </w:rPr>
                      </w:pPr>
                      <w:sdt>
                        <w:sdtPr>
                          <w:alias w:val="Numeris"/>
                          <w:tag w:val="nr_d97216c0a2fe4b9ea84ad6b5321c614a"/>
                          <w:lock w:val="sdtLocked"/>
                          <w:richText/>
                        </w:sdtPr>
                        <w:sdtContent>
                          <w:r>
                            <w:rPr>
                              <w:color w:val="000000"/>
                              <w:szCs w:val="24"/>
                            </w:rPr>
                            <w:t>5</w:t>
                          </w:r>
                        </w:sdtContent>
                      </w:sdt>
                      <w:r>
                        <w:rPr>
                          <w:color w:val="000000"/>
                          <w:szCs w:val="24"/>
                        </w:rPr>
                        <w:t>.</w:t>
                        <w:tab/>
                        <w:t>Taryba Metodikos 4.1 ir 4.3 papunkčiuose nurodytus įkainius diferencijuoja pagal šias vartotojų grupes:</w:t>
                      </w:r>
                    </w:p>
                    <w:sdt>
                      <w:sdtPr>
                        <w:alias w:val="5.1 pp."/>
                        <w:tag w:val="part_c804c6e68138407fb1c35f780ff361e3"/>
                        <w:lock w:val="sdtLocked"/>
                        <w:richText/>
                      </w:sdtPr>
                      <w:sdtContent>
                        <w:p>
                          <w:pPr>
                            <w:spacing w:line="252" w:lineRule="auto"/>
                            <w:ind w:firstLine="720"/>
                            <w:jc w:val="both"/>
                            <w:rPr>
                              <w:color w:val="000000"/>
                              <w:lang w:eastAsia="lt-LT" w:bidi="bn-IN"/>
                            </w:rPr>
                          </w:pPr>
                          <w:sdt>
                            <w:sdtPr>
                              <w:alias w:val="Numeris"/>
                              <w:tag w:val="nr_c804c6e68138407fb1c35f780ff361e3"/>
                              <w:lock w:val="sdtLocked"/>
                              <w:richText/>
                            </w:sdtPr>
                            <w:sdtContent>
                              <w:r>
                                <w:rPr>
                                  <w:color w:val="000000"/>
                                  <w:lang w:eastAsia="lt-LT" w:bidi="bn-IN"/>
                                </w:rPr>
                                <w:t>5.1</w:t>
                              </w:r>
                            </w:sdtContent>
                          </w:sdt>
                          <w:r>
                            <w:rPr>
                              <w:color w:val="000000"/>
                              <w:lang w:eastAsia="lt-LT" w:bidi="bn-IN"/>
                            </w:rPr>
                            <w:t>.</w:t>
                            <w:tab/>
                            <w:t xml:space="preserve">I grupė – vartotojai, kurių prijungiamų elektros įrenginių leistina naudoti galia ar didinama elektros įrenginių leistina naudoti galia arba suminė leistina naudoti galia yra ne didesnė nei 500 kW </w:t>
                          </w:r>
                          <w:r>
                            <w:rPr>
                              <w:color w:val="000000"/>
                              <w:szCs w:val="24"/>
                              <w:lang w:eastAsia="lt-LT" w:bidi="bn-IN"/>
                            </w:rPr>
                            <w:t>ir kurių geometrinis atstumas nuo įvadinės elektros apskaitos spintos (elektros tinklų nuosavybės ribos) iki artimiausios 0,4/(6)10kV transformatorinės yra ne didesnis nei 100 m (imtinai)</w:t>
                          </w:r>
                          <w:r>
                            <w:rPr>
                              <w:color w:val="000000"/>
                            </w:rPr>
                            <w:t>;</w:t>
                          </w:r>
                        </w:p>
                      </w:sdtContent>
                    </w:sdt>
                    <w:sdt>
                      <w:sdtPr>
                        <w:alias w:val="5.2 pp."/>
                        <w:tag w:val="part_7628bd4baabb49299c20dcfacb995180"/>
                        <w:lock w:val="sdtLocked"/>
                        <w:richText/>
                      </w:sdtPr>
                      <w:sdtContent>
                        <w:p>
                          <w:pPr>
                            <w:spacing w:line="252" w:lineRule="auto"/>
                            <w:ind w:firstLine="720"/>
                            <w:jc w:val="both"/>
                            <w:rPr>
                              <w:color w:val="000000"/>
                              <w:szCs w:val="24"/>
                              <w:lang w:eastAsia="lt-LT" w:bidi="bn-IN"/>
                            </w:rPr>
                          </w:pPr>
                          <w:sdt>
                            <w:sdtPr>
                              <w:alias w:val="Numeris"/>
                              <w:tag w:val="nr_7628bd4baabb49299c20dcfacb995180"/>
                              <w:lock w:val="sdtLocked"/>
                              <w:richText/>
                            </w:sdtPr>
                            <w:sdtContent>
                              <w:r>
                                <w:rPr>
                                  <w:color w:val="000000"/>
                                  <w:szCs w:val="24"/>
                                  <w:lang w:eastAsia="lt-LT" w:bidi="bn-IN"/>
                                </w:rPr>
                                <w:t>5.2</w:t>
                              </w:r>
                            </w:sdtContent>
                          </w:sdt>
                          <w:r>
                            <w:rPr>
                              <w:color w:val="000000"/>
                              <w:szCs w:val="24"/>
                              <w:lang w:eastAsia="lt-LT" w:bidi="bn-IN"/>
                            </w:rPr>
                            <w:t>.</w:t>
                            <w:tab/>
                            <w:t>II grupė – vartotojai, kurių prijungiamų elektros įrenginių leistina naudoti galia ar didinama elektros įrenginių leistina naudoti galia arba suminė leistina naudoti galia yra ne didesnė nei 500 kW ir kurių geometrinis atstumas nuo įvadinės elektros apskaitos spintos (elektros tinklų nuosavybės ribos) iki artimiausios 0,4/(6)10kV transformatorinės yra virš 100 m iki 400 m (imtinai);</w:t>
                          </w:r>
                        </w:p>
                      </w:sdtContent>
                    </w:sdt>
                    <w:sdt>
                      <w:sdtPr>
                        <w:alias w:val="5.3 pp."/>
                        <w:tag w:val="part_796d46b2e8094418a55690b1c109b8f3"/>
                        <w:lock w:val="sdtLocked"/>
                        <w:richText/>
                      </w:sdtPr>
                      <w:sdtContent>
                        <w:p>
                          <w:pPr>
                            <w:spacing w:line="252" w:lineRule="auto"/>
                            <w:ind w:firstLine="720"/>
                            <w:jc w:val="both"/>
                            <w:rPr>
                              <w:color w:val="000000"/>
                            </w:rPr>
                          </w:pPr>
                          <w:sdt>
                            <w:sdtPr>
                              <w:alias w:val="Numeris"/>
                              <w:tag w:val="nr_796d46b2e8094418a55690b1c109b8f3"/>
                              <w:lock w:val="sdtLocked"/>
                              <w:richText/>
                            </w:sdtPr>
                            <w:sdtContent>
                              <w:r>
                                <w:rPr>
                                  <w:color w:val="000000"/>
                                </w:rPr>
                                <w:t>5.3</w:t>
                              </w:r>
                            </w:sdtContent>
                          </w:sdt>
                          <w:r>
                            <w:rPr>
                              <w:color w:val="000000"/>
                            </w:rPr>
                            <w:t>.</w:t>
                            <w:tab/>
                          </w:r>
                          <w:r>
                            <w:rPr>
                              <w:color w:val="000000"/>
                              <w:szCs w:val="24"/>
                              <w:lang w:eastAsia="lt-LT" w:bidi="bn-IN"/>
                            </w:rPr>
                            <w:t xml:space="preserve">III grupė – vartotojai, kurių prijungiamų elektros įrenginių leistina naudoti galia ar didinama elektros įrenginių leistina naudoti galia arba suminė leistina naudoti galia yra ne didesnė nei 500 kW ir geometrinis atstumas nuo įvadinės elektros apskaitos spintos (elektros tinklų nuosavybės ribos) iki artimiausios 0,4/(6)10kV transformatorinės yra virš 400 m iki 1 000 m (imtinai). </w:t>
                          </w:r>
                        </w:p>
                      </w:sdtContent>
                    </w:sdt>
                  </w:sdtContent>
                </w:sdt>
                <w:sdt>
                  <w:sdtPr>
                    <w:alias w:val="6 p."/>
                    <w:tag w:val="part_89e8146b014e4d71b054385b6f0650b8"/>
                    <w:lock w:val="sdtLocked"/>
                    <w:richText/>
                  </w:sdtPr>
                  <w:sdtContent>
                    <w:p>
                      <w:pPr>
                        <w:spacing w:line="252" w:lineRule="auto"/>
                        <w:ind w:firstLine="720"/>
                        <w:jc w:val="both"/>
                        <w:rPr>
                          <w:color w:val="000000"/>
                        </w:rPr>
                      </w:pPr>
                      <w:sdt>
                        <w:sdtPr>
                          <w:alias w:val="Numeris"/>
                          <w:tag w:val="nr_89e8146b014e4d71b054385b6f0650b8"/>
                          <w:lock w:val="sdtLocked"/>
                          <w:richText/>
                        </w:sdtPr>
                        <w:sdtContent>
                          <w:r>
                            <w:rPr>
                              <w:color w:val="000000"/>
                            </w:rPr>
                            <w:t>6</w:t>
                          </w:r>
                        </w:sdtContent>
                      </w:sdt>
                      <w:r>
                        <w:rPr>
                          <w:color w:val="000000"/>
                        </w:rPr>
                        <w:t>.</w:t>
                        <w:tab/>
                        <w:t xml:space="preserve">Prijungimo įkainiai vartotojams, kurių prijungiamų elektros įrenginių leistina naudoti galia, didinama </w:t>
                      </w:r>
                      <w:r>
                        <w:rPr>
                          <w:color w:val="000000"/>
                          <w:lang w:eastAsia="lt-LT" w:bidi="bn-IN"/>
                        </w:rPr>
                        <w:t xml:space="preserve">elektros įrenginių leistina naudoti </w:t>
                      </w:r>
                      <w:r>
                        <w:rPr>
                          <w:color w:val="000000"/>
                        </w:rPr>
                        <w:t xml:space="preserve">galia ar suminė leistina naudoti galia yra didesnė nei 500 kW arba mažesnė nei 500 kW ir geometrinis atstumas nuo įvadinės elektros apskaitos spintos (elektros tinklų nuosavybės ribos) iki artimiausios 0,4/(6)10kV transformatorinės didesnis nei 1 000 m, nėra nustatomi, bet šiems vartotojams apskaičiuojami ir nustatomi maksimalūs kompensuotini projektavimo dydžiai ir 1 kW tinklų plėtros įkainis. </w:t>
                      </w:r>
                    </w:p>
                    <w:p>
                      <w:pPr>
                        <w:spacing w:line="252" w:lineRule="auto"/>
                        <w:ind w:firstLine="720"/>
                        <w:jc w:val="both"/>
                        <w:rPr>
                          <w:color w:val="000000"/>
                        </w:rPr>
                      </w:pPr>
                    </w:p>
                  </w:sdtContent>
                </w:sdt>
              </w:sdtContent>
            </w:sdt>
            <w:sdt>
              <w:sdtPr>
                <w:alias w:val="skirsnis"/>
                <w:tag w:val="part_641f8e887b5241f582e842542684206d"/>
                <w:lock w:val="sdtLocked"/>
                <w:richText/>
              </w:sdtPr>
              <w:sdtContent>
                <w:p>
                  <w:pPr>
                    <w:spacing w:line="252" w:lineRule="auto"/>
                    <w:jc w:val="center"/>
                    <w:rPr>
                      <w:b/>
                      <w:color w:val="000000"/>
                    </w:rPr>
                  </w:pPr>
                  <w:sdt>
                    <w:sdtPr>
                      <w:alias w:val="Numeris"/>
                      <w:tag w:val="nr_641f8e887b5241f582e842542684206d"/>
                      <w:lock w:val="sdtLocked"/>
                      <w:richText/>
                    </w:sdtPr>
                    <w:sdtContent>
                      <w:r>
                        <w:rPr>
                          <w:b/>
                          <w:color w:val="000000"/>
                        </w:rPr>
                        <w:t>ANTRASIS</w:t>
                      </w:r>
                    </w:sdtContent>
                  </w:sdt>
                  <w:r>
                    <w:rPr>
                      <w:b/>
                      <w:color w:val="000000"/>
                    </w:rPr>
                    <w:t xml:space="preserve"> SKIRSNIS</w:t>
                  </w:r>
                </w:p>
                <w:p>
                  <w:pPr>
                    <w:spacing w:line="252" w:lineRule="auto"/>
                    <w:jc w:val="center"/>
                    <w:rPr>
                      <w:b/>
                      <w:color w:val="000000"/>
                    </w:rPr>
                  </w:pPr>
                  <w:sdt>
                    <w:sdtPr>
                      <w:alias w:val="Pavadinimas"/>
                      <w:tag w:val="title_641f8e887b5241f582e842542684206d"/>
                      <w:lock w:val="sdtLocked"/>
                      <w:richText/>
                    </w:sdtPr>
                    <w:sdtContent>
                      <w:r>
                        <w:rPr>
                          <w:b/>
                          <w:bCs/>
                          <w:color w:val="000000"/>
                        </w:rPr>
                        <w:t xml:space="preserve">VARTOTOJŲ </w:t>
                      </w:r>
                      <w:r>
                        <w:rPr>
                          <w:b/>
                          <w:color w:val="000000"/>
                        </w:rPr>
                        <w:t>PRIJUNGIMO ĮMOKŲ APSKAIČIAVIMO BŪDAI IR SĄLYGOS</w:t>
                      </w:r>
                    </w:sdtContent>
                  </w:sdt>
                </w:p>
                <w:p>
                  <w:pPr>
                    <w:spacing w:line="252" w:lineRule="auto"/>
                    <w:jc w:val="center"/>
                    <w:rPr>
                      <w:b/>
                      <w:bCs/>
                      <w:color w:val="000000"/>
                    </w:rPr>
                  </w:pPr>
                </w:p>
                <w:sdt>
                  <w:sdtPr>
                    <w:alias w:val="7 p."/>
                    <w:tag w:val="part_33908b8e35744732b8191a0530d4fb25"/>
                    <w:lock w:val="sdtLocked"/>
                    <w:richText/>
                  </w:sdtPr>
                  <w:sdtContent>
                    <w:p>
                      <w:pPr>
                        <w:spacing w:line="252" w:lineRule="auto"/>
                        <w:ind w:firstLine="720"/>
                        <w:jc w:val="both"/>
                        <w:rPr>
                          <w:color w:val="000000"/>
                          <w:lang w:eastAsia="lt-LT"/>
                        </w:rPr>
                      </w:pPr>
                      <w:sdt>
                        <w:sdtPr>
                          <w:alias w:val="Numeris"/>
                          <w:tag w:val="nr_33908b8e35744732b8191a0530d4fb25"/>
                          <w:lock w:val="sdtLocked"/>
                          <w:richText/>
                        </w:sdtPr>
                        <w:sdtContent>
                          <w:r>
                            <w:rPr>
                              <w:color w:val="000000"/>
                              <w:lang w:eastAsia="lt-LT"/>
                            </w:rPr>
                            <w:t>7</w:t>
                          </w:r>
                        </w:sdtContent>
                      </w:sdt>
                      <w:r>
                        <w:rPr>
                          <w:color w:val="000000"/>
                          <w:lang w:eastAsia="lt-LT"/>
                        </w:rPr>
                        <w:t>.</w:t>
                        <w:tab/>
                        <w:t>Operatorius teisės aktų nustatyta tvarka su vartotoju sudaro prijungimo prie elektros tinklų paslaugos suteikimo sutartį, joje nurodydamas vartotojo įrenginių prijungimo įmokos apskaičiavimo būdą (pagal operatoriaus faktines išlaidas ar Tarybos nustatytus įkainius, apskaičiuotus pagal Metodikos 49 punkto duomenis) ir prijungimo įmokos sumą (kai Apraše nurodytais atvejais prijungimo paslaugos sudarymo metu nėra galimybės nustatyti prijungimo įmokos sumos – nurodomas preliminarus jos dydis), kurią apmoka vartotojas. Operatorius prijungimo įmoką apskaičiuoja:</w:t>
                      </w:r>
                    </w:p>
                    <w:sdt>
                      <w:sdtPr>
                        <w:alias w:val="7.1 pp."/>
                        <w:tag w:val="part_e726b37e4a794dd8a86daa3e2138c84b"/>
                        <w:lock w:val="sdtLocked"/>
                        <w:richText/>
                      </w:sdtPr>
                      <w:sdtContent>
                        <w:p>
                          <w:pPr>
                            <w:spacing w:line="252" w:lineRule="auto"/>
                            <w:ind w:firstLine="720"/>
                            <w:jc w:val="both"/>
                            <w:rPr>
                              <w:color w:val="000000"/>
                              <w:szCs w:val="24"/>
                              <w:lang w:eastAsia="lt-LT"/>
                            </w:rPr>
                          </w:pPr>
                          <w:sdt>
                            <w:sdtPr>
                              <w:alias w:val="Numeris"/>
                              <w:tag w:val="nr_e726b37e4a794dd8a86daa3e2138c84b"/>
                              <w:lock w:val="sdtLocked"/>
                              <w:richText/>
                            </w:sdtPr>
                            <w:sdtContent>
                              <w:r>
                                <w:rPr>
                                  <w:color w:val="000000"/>
                                  <w:szCs w:val="24"/>
                                  <w:lang w:eastAsia="lt-LT"/>
                                </w:rPr>
                                <w:t>7.1</w:t>
                              </w:r>
                            </w:sdtContent>
                          </w:sdt>
                          <w:r>
                            <w:rPr>
                              <w:color w:val="000000"/>
                              <w:szCs w:val="24"/>
                              <w:lang w:eastAsia="lt-LT"/>
                            </w:rPr>
                            <w:t>.</w:t>
                            <w:tab/>
                            <w:t xml:space="preserve">Vadovaudamasis Tarybos nustatytais Metodikos 4.1 papunktyje nurodytais prijungimo įkainiais, kai: </w:t>
                          </w:r>
                        </w:p>
                        <w:sdt>
                          <w:sdtPr>
                            <w:alias w:val="7.1.1 pp."/>
                            <w:tag w:val="part_d1f052db1dfa4614acebdb8588575edb"/>
                            <w:lock w:val="sdtLocked"/>
                            <w:richText/>
                          </w:sdtPr>
                          <w:sdtContent>
                            <w:p>
                              <w:pPr>
                                <w:spacing w:line="252" w:lineRule="auto"/>
                                <w:ind w:firstLine="720"/>
                                <w:jc w:val="both"/>
                                <w:rPr>
                                  <w:color w:val="000000"/>
                                  <w:szCs w:val="24"/>
                                  <w:lang w:eastAsia="lt-LT"/>
                                </w:rPr>
                              </w:pPr>
                              <w:sdt>
                                <w:sdtPr>
                                  <w:alias w:val="Numeris"/>
                                  <w:tag w:val="nr_d1f052db1dfa4614acebdb8588575edb"/>
                                  <w:lock w:val="sdtLocked"/>
                                  <w:richText/>
                                </w:sdtPr>
                                <w:sdtContent>
                                  <w:r>
                                    <w:rPr>
                                      <w:color w:val="000000"/>
                                      <w:szCs w:val="24"/>
                                      <w:lang w:eastAsia="lt-LT"/>
                                    </w:rPr>
                                    <w:t>7.1.1</w:t>
                                  </w:r>
                                </w:sdtContent>
                              </w:sdt>
                              <w:r>
                                <w:rPr>
                                  <w:color w:val="000000"/>
                                  <w:szCs w:val="24"/>
                                  <w:lang w:eastAsia="lt-LT"/>
                                </w:rPr>
                                <w:t>.</w:t>
                                <w:tab/>
                                <w:t xml:space="preserve"> vartotojo elektros įrenginiai prijungiami prie operatoriaus tinklo pirmą kartą ir jiems suteikiama leistina naudoti galia neviršija 500 kW (imtinai) ir geometrinis atstumas nuo vartotojo įvadinės elektros apskaitos spintos (elektros tinklų nuosavybės ribos) iki artimiausios 0,4/(6)10kV  transformatorinės yra ne didesnis nei 1000 m;</w:t>
                              </w:r>
                            </w:p>
                          </w:sdtContent>
                        </w:sdt>
                        <w:sdt>
                          <w:sdtPr>
                            <w:alias w:val="7.1.2 pp."/>
                            <w:tag w:val="part_4ca8162ea9534db9bffe3dae07bee6b4"/>
                            <w:lock w:val="sdtLocked"/>
                            <w:richText/>
                          </w:sdtPr>
                          <w:sdtContent>
                            <w:p>
                              <w:pPr>
                                <w:spacing w:line="252" w:lineRule="auto"/>
                                <w:ind w:firstLine="720"/>
                                <w:jc w:val="both"/>
                                <w:rPr>
                                  <w:color w:val="000000"/>
                                </w:rPr>
                              </w:pPr>
                              <w:sdt>
                                <w:sdtPr>
                                  <w:alias w:val="Numeris"/>
                                  <w:tag w:val="nr_4ca8162ea9534db9bffe3dae07bee6b4"/>
                                  <w:lock w:val="sdtLocked"/>
                                  <w:richText/>
                                </w:sdtPr>
                                <w:sdtContent>
                                  <w:r>
                                    <w:rPr>
                                      <w:color w:val="000000"/>
                                    </w:rPr>
                                    <w:t>7.1.2</w:t>
                                  </w:r>
                                </w:sdtContent>
                              </w:sdt>
                              <w:r>
                                <w:rPr>
                                  <w:color w:val="000000"/>
                                </w:rPr>
                                <w:t>.</w:t>
                                <w:tab/>
                                <w:t xml:space="preserve"> vartotojas didina prijungtų prie tinklo elektros įrenginių leistiną naudoti galią arba suminę leistiną naudoti galią ne daugiau kaip 500 kW (imtinai) </w:t>
                              </w:r>
                              <w:r>
                                <w:rPr>
                                  <w:color w:val="000000"/>
                                  <w:szCs w:val="24"/>
                                  <w:lang w:eastAsia="lt-LT"/>
                                </w:rPr>
                                <w:t>ir geometrinis</w:t>
                              </w:r>
                              <w:r>
                                <w:rPr>
                                  <w:b/>
                                  <w:color w:val="000000"/>
                                  <w:szCs w:val="24"/>
                                  <w:lang w:eastAsia="lt-LT"/>
                                </w:rPr>
                                <w:t xml:space="preserve"> </w:t>
                              </w:r>
                              <w:r>
                                <w:rPr>
                                  <w:color w:val="000000"/>
                                  <w:szCs w:val="24"/>
                                  <w:lang w:eastAsia="lt-LT"/>
                                </w:rPr>
                                <w:t>atstumas nuo vartotojo įvadinės elektros apskaitos spintos (elektros tinklų nuosavybės ribos) iki artimiausios 0,4/(6)10kV transformatorinės yra ne didesnis nei 1000 m;</w:t>
                              </w:r>
                            </w:p>
                          </w:sdtContent>
                        </w:sdt>
                        <w:sdt>
                          <w:sdtPr>
                            <w:alias w:val="7.1.3 pp."/>
                            <w:tag w:val="part_8d104d8807324b29ab69ef659a092e30"/>
                            <w:lock w:val="sdtLocked"/>
                            <w:richText/>
                          </w:sdtPr>
                          <w:sdtContent>
                            <w:p>
                              <w:pPr>
                                <w:spacing w:line="252" w:lineRule="auto"/>
                                <w:ind w:firstLine="720"/>
                                <w:jc w:val="both"/>
                                <w:rPr>
                                  <w:color w:val="000000"/>
                                </w:rPr>
                              </w:pPr>
                              <w:sdt>
                                <w:sdtPr>
                                  <w:alias w:val="Numeris"/>
                                  <w:tag w:val="nr_8d104d8807324b29ab69ef659a092e30"/>
                                  <w:lock w:val="sdtLocked"/>
                                  <w:richText/>
                                </w:sdtPr>
                                <w:sdtContent>
                                  <w:r>
                                    <w:rPr>
                                      <w:color w:val="000000"/>
                                    </w:rPr>
                                    <w:t>7.1.3</w:t>
                                  </w:r>
                                </w:sdtContent>
                              </w:sdt>
                              <w:r>
                                <w:rPr>
                                  <w:color w:val="000000"/>
                                </w:rPr>
                                <w:t>.</w:t>
                                <w:tab/>
                                <w:t xml:space="preserve">vartotojas keičia vienfazį atvadą trifaziu arba trifazį atvadą vienfaziu, keisdamas leistiną naudoti galią. </w:t>
                              </w:r>
                            </w:p>
                          </w:sdtContent>
                        </w:sdt>
                      </w:sdtContent>
                    </w:sdt>
                    <w:sdt>
                      <w:sdtPr>
                        <w:alias w:val="7.2 pp."/>
                        <w:tag w:val="part_61e0af8b55bc483eac1350fd626b33d7"/>
                        <w:lock w:val="sdtLocked"/>
                        <w:richText/>
                      </w:sdtPr>
                      <w:sdtContent>
                        <w:p>
                          <w:pPr>
                            <w:spacing w:line="252" w:lineRule="auto"/>
                            <w:ind w:firstLine="720"/>
                            <w:jc w:val="both"/>
                            <w:rPr>
                              <w:color w:val="000000"/>
                            </w:rPr>
                          </w:pPr>
                          <w:sdt>
                            <w:sdtPr>
                              <w:alias w:val="Numeris"/>
                              <w:tag w:val="nr_61e0af8b55bc483eac1350fd626b33d7"/>
                              <w:lock w:val="sdtLocked"/>
                              <w:richText/>
                            </w:sdtPr>
                            <w:sdtContent>
                              <w:r>
                                <w:rPr>
                                  <w:color w:val="000000"/>
                                </w:rPr>
                                <w:t>7.2</w:t>
                              </w:r>
                            </w:sdtContent>
                          </w:sdt>
                          <w:r>
                            <w:rPr>
                              <w:color w:val="000000"/>
                            </w:rPr>
                            <w:t>.</w:t>
                            <w:tab/>
                            <w:t>Metodikos 7.1 papunkčio atveju taikomos Metodikos 5 punkto, 8.1, 8.3, 10.1, 10.3, 10.4 papunkčių ir 11 punkto nuostatos.</w:t>
                          </w:r>
                        </w:p>
                      </w:sdtContent>
                    </w:sdt>
                    <w:sdt>
                      <w:sdtPr>
                        <w:alias w:val="7.3 pp."/>
                        <w:tag w:val="part_834eccf756aa4772bfdd7b4bfb14f37e"/>
                        <w:lock w:val="sdtLocked"/>
                        <w:richText/>
                      </w:sdtPr>
                      <w:sdtContent>
                        <w:p>
                          <w:pPr>
                            <w:spacing w:line="252" w:lineRule="auto"/>
                            <w:ind w:firstLine="720"/>
                            <w:jc w:val="both"/>
                            <w:rPr>
                              <w:color w:val="000000"/>
                              <w:szCs w:val="24"/>
                              <w:lang w:eastAsia="lt-LT"/>
                            </w:rPr>
                          </w:pPr>
                          <w:sdt>
                            <w:sdtPr>
                              <w:alias w:val="Numeris"/>
                              <w:tag w:val="nr_834eccf756aa4772bfdd7b4bfb14f37e"/>
                              <w:lock w:val="sdtLocked"/>
                              <w:richText/>
                            </w:sdtPr>
                            <w:sdtContent>
                              <w:r>
                                <w:rPr>
                                  <w:color w:val="000000"/>
                                  <w:szCs w:val="24"/>
                                  <w:lang w:eastAsia="lt-LT"/>
                                </w:rPr>
                                <w:t>7.3</w:t>
                              </w:r>
                            </w:sdtContent>
                          </w:sdt>
                          <w:r>
                            <w:rPr>
                              <w:color w:val="000000"/>
                              <w:szCs w:val="24"/>
                              <w:lang w:eastAsia="lt-LT"/>
                            </w:rPr>
                            <w:t>.</w:t>
                            <w:tab/>
                            <w:t>pagal operatoriaus patirtas faktines išlaidas, kai:</w:t>
                          </w:r>
                        </w:p>
                        <w:sdt>
                          <w:sdtPr>
                            <w:alias w:val="7.3.1 pp."/>
                            <w:tag w:val="part_60f7b770e9f74051b471ca6638f9326f"/>
                            <w:lock w:val="sdtLocked"/>
                            <w:richText/>
                          </w:sdtPr>
                          <w:sdtContent>
                            <w:p>
                              <w:pPr>
                                <w:spacing w:line="252" w:lineRule="auto"/>
                                <w:ind w:firstLine="720"/>
                                <w:jc w:val="both"/>
                                <w:rPr>
                                  <w:color w:val="000000"/>
                                </w:rPr>
                              </w:pPr>
                              <w:sdt>
                                <w:sdtPr>
                                  <w:alias w:val="Numeris"/>
                                  <w:tag w:val="nr_60f7b770e9f74051b471ca6638f9326f"/>
                                  <w:lock w:val="sdtLocked"/>
                                  <w:richText/>
                                </w:sdtPr>
                                <w:sdtContent>
                                  <w:r>
                                    <w:rPr>
                                      <w:color w:val="000000"/>
                                    </w:rPr>
                                    <w:t>7.3.1</w:t>
                                  </w:r>
                                </w:sdtContent>
                              </w:sdt>
                              <w:r>
                                <w:rPr>
                                  <w:color w:val="000000"/>
                                </w:rPr>
                                <w:t>.</w:t>
                                <w:tab/>
                              </w:r>
                              <w:r>
                                <w:rPr>
                                  <w:color w:val="000000"/>
                                  <w:lang w:eastAsia="lt-LT"/>
                                </w:rPr>
                                <w:t xml:space="preserve">naujai prijungiamų vartotojo elektros įrenginių leistina naudoti galia ar didinama prijungtų elektros įrenginių leistina naudoti galia </w:t>
                              </w:r>
                              <w:r>
                                <w:rPr>
                                  <w:color w:val="000000"/>
                                  <w:lang w:eastAsia="lt-LT" w:bidi="bn-IN"/>
                                </w:rPr>
                                <w:t xml:space="preserve">arba suminė leistina naudoti galia </w:t>
                              </w:r>
                              <w:r>
                                <w:rPr>
                                  <w:color w:val="000000"/>
                                  <w:lang w:eastAsia="lt-LT"/>
                                </w:rPr>
                                <w:t>yra didesnė kaip 500 kW arba geometrinis atstumas nuo vartotojo įvadinės elektros apskaitos spintos (elektros tinklų nuosavybės ribos) iki artimiausios 0,4/(6)10kV transformatorinės didesnis nei 1000 m;</w:t>
                              </w:r>
                            </w:p>
                          </w:sdtContent>
                        </w:sdt>
                        <w:sdt>
                          <w:sdtPr>
                            <w:alias w:val="7.3.2 pp."/>
                            <w:tag w:val="part_bc3e955cf4e74aeea416dec3e344757b"/>
                            <w:lock w:val="sdtLocked"/>
                            <w:richText/>
                          </w:sdtPr>
                          <w:sdtContent>
                            <w:p>
                              <w:pPr>
                                <w:spacing w:line="252" w:lineRule="auto"/>
                                <w:ind w:firstLine="720"/>
                                <w:jc w:val="both"/>
                                <w:rPr>
                                  <w:color w:val="000000"/>
                                </w:rPr>
                              </w:pPr>
                              <w:sdt>
                                <w:sdtPr>
                                  <w:alias w:val="Numeris"/>
                                  <w:tag w:val="nr_bc3e955cf4e74aeea416dec3e344757b"/>
                                  <w:lock w:val="sdtLocked"/>
                                  <w:richText/>
                                </w:sdtPr>
                                <w:sdtContent>
                                  <w:r>
                                    <w:rPr>
                                      <w:color w:val="000000"/>
                                    </w:rPr>
                                    <w:t>7.3.2</w:t>
                                  </w:r>
                                </w:sdtContent>
                              </w:sdt>
                              <w:r>
                                <w:rPr>
                                  <w:color w:val="000000"/>
                                </w:rPr>
                                <w:t>.</w:t>
                                <w:tab/>
                              </w:r>
                              <w:r>
                                <w:rPr>
                                  <w:color w:val="000000"/>
                                  <w:szCs w:val="24"/>
                                  <w:lang w:eastAsia="lt-LT"/>
                                </w:rPr>
                                <w:t xml:space="preserve">vartotojas dėl jam priklausančiame sklype esančio arba naujai formuojamo nekilnojamojo turto ar jo dalies, suformuojant nekilnojamąjį daiktą kaip nurodyta Lietuvos Respublikos nekilnojamojo turto kadastro įstatymo 7 straipsnio 1 dalyje, perleidimo asmeniui arba dėl nekilnojamojo turto suformavimo kaip nurodyta Lietuvos Respublikos nekilnojamojo turto kadastro įstatymo 7 straipsnio 1 dalyje atsisako </w:t>
                              </w:r>
                              <w:r>
                                <w:rPr>
                                  <w:rFonts w:eastAsia="Arial"/>
                                  <w:color w:val="000000"/>
                                  <w:szCs w:val="24"/>
                                  <w:lang w:eastAsia="lt-LT"/>
                                </w:rPr>
                                <w:t>tokiu pačiu pagrindu įgytos</w:t>
                              </w:r>
                              <w:r>
                                <w:rPr>
                                  <w:color w:val="000000"/>
                                  <w:szCs w:val="24"/>
                                  <w:lang w:eastAsia="lt-LT"/>
                                </w:rPr>
                                <w:t xml:space="preserve"> leistinos naudoti galios ar jos dalies, ir asmens, įgijusio teisę valdyti šį turtą ar jo dalį, arba to paties asmens naujai suformuoto nekilnojamojo turto ar jo dalies elektros įrenginiai, kurių leistina naudoti galia ne didesnė nei atsisakytoji, jungiami tame pačiame prijungimo taške kaip ir leistinos naudoti galios atsisakiusio vartotojo buvę įrenginiai</w:t>
                              </w:r>
                              <w:r>
                                <w:rPr>
                                  <w:color w:val="000000"/>
                                </w:rPr>
                                <w:t xml:space="preserve"> </w:t>
                              </w:r>
                              <w:r>
                                <w:rPr>
                                  <w:color w:val="000000"/>
                                  <w:szCs w:val="24"/>
                                  <w:lang w:eastAsia="lt-LT"/>
                                </w:rPr>
                                <w:t>arba kartu ir didinama leistina naudoti galia. Prijungimo paslaugos vykdymui pradėti turėtų būti gautos visos šios paraiškos – leistinos naudoti galios atsisakančio asmens dėl leistinos naudoti galios ar jos dalies atsisakymo ir, jei turtas perleidžiamas kitam asmeniui, šio asmens ar asmenų, įgijusių teisę valdyti šį turtą ar jo dalį, dėl leistinos naudoti galios perėmimo;</w:t>
                              </w:r>
                            </w:p>
                          </w:sdtContent>
                        </w:sdt>
                        <w:sdt>
                          <w:sdtPr>
                            <w:alias w:val="7.3.3 pp."/>
                            <w:tag w:val="part_28ab4b814a33437b85a043a21c25ec32"/>
                            <w:lock w:val="sdtLocked"/>
                            <w:richText/>
                          </w:sdtPr>
                          <w:sdtContent>
                            <w:p>
                              <w:pPr>
                                <w:spacing w:line="252" w:lineRule="auto"/>
                                <w:ind w:firstLine="720"/>
                                <w:jc w:val="both"/>
                                <w:rPr>
                                  <w:color w:val="000000"/>
                                  <w:szCs w:val="24"/>
                                  <w:lang w:eastAsia="lt-LT"/>
                                </w:rPr>
                              </w:pPr>
                              <w:sdt>
                                <w:sdtPr>
                                  <w:alias w:val="Numeris"/>
                                  <w:tag w:val="nr_28ab4b814a33437b85a043a21c25ec32"/>
                                  <w:lock w:val="sdtLocked"/>
                                  <w:richText/>
                                </w:sdtPr>
                                <w:sdtContent>
                                  <w:r>
                                    <w:rPr>
                                      <w:color w:val="000000"/>
                                      <w:szCs w:val="24"/>
                                      <w:lang w:eastAsia="lt-LT"/>
                                    </w:rPr>
                                    <w:t>7.3.3</w:t>
                                  </w:r>
                                </w:sdtContent>
                              </w:sdt>
                              <w:r>
                                <w:rPr>
                                  <w:color w:val="000000"/>
                                  <w:szCs w:val="24"/>
                                  <w:lang w:eastAsia="lt-LT"/>
                                </w:rPr>
                                <w:t>.</w:t>
                                <w:tab/>
                                <w:t>vartotojas keičia vienfazį atvadą trifaziu arba trifazį atvadą vienfaziu, nekeisdamas leistinos naudoti galios;</w:t>
                              </w:r>
                            </w:p>
                          </w:sdtContent>
                        </w:sdt>
                        <w:sdt>
                          <w:sdtPr>
                            <w:alias w:val="7.3.4 pp."/>
                            <w:tag w:val="part_a1df9dc78bde430e8b185e8cc4e14c77"/>
                            <w:lock w:val="sdtLocked"/>
                            <w:richText/>
                          </w:sdtPr>
                          <w:sdtContent>
                            <w:p>
                              <w:pPr>
                                <w:tabs>
                                  <w:tab w:val="left" w:pos="709"/>
                                </w:tabs>
                                <w:spacing w:line="276" w:lineRule="auto"/>
                                <w:ind w:firstLine="691"/>
                                <w:jc w:val="both"/>
                              </w:pPr>
                              <w:sdt>
                                <w:sdtPr>
                                  <w:alias w:val="Numeris"/>
                                  <w:tag w:val="nr_a1df9dc78bde430e8b185e8cc4e14c77"/>
                                  <w:lock w:val="sdtLocked"/>
                                  <w:richText/>
                                </w:sdtPr>
                                <w:sdtContent>
                                  <w:r>
                                    <w:rPr>
                                      <w:kern w:val="2"/>
                                      <w:szCs w:val="24"/>
                                      <w:lang w:eastAsia="zh-TW"/>
                                    </w:rPr>
                                    <w:t>7.3.4</w:t>
                                  </w:r>
                                </w:sdtContent>
                              </w:sdt>
                              <w:r>
                                <w:rPr>
                                  <w:kern w:val="2"/>
                                  <w:szCs w:val="24"/>
                                  <w:lang w:eastAsia="zh-TW"/>
                                </w:rPr>
                                <w:t>. Metodikos 10.14‒10.19 papunkčiuose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
                          <w:sdtPr>
                            <w:alias w:val="7.3.5 pp."/>
                            <w:tag w:val="part_dcf729392e924a52b4b1d4e1cae64f5f"/>
                            <w:lock w:val="sdtLocked"/>
                            <w:richText/>
                          </w:sdtPr>
                          <w:sdtContent>
                            <w:p>
                              <w:pPr>
                                <w:spacing w:line="252" w:lineRule="auto"/>
                                <w:ind w:firstLine="720"/>
                                <w:jc w:val="both"/>
                                <w:rPr>
                                  <w:color w:val="000000"/>
                                  <w:szCs w:val="24"/>
                                  <w:lang w:eastAsia="lt-LT"/>
                                </w:rPr>
                              </w:pPr>
                              <w:sdt>
                                <w:sdtPr>
                                  <w:alias w:val="Numeris"/>
                                  <w:tag w:val="nr_dcf729392e924a52b4b1d4e1cae64f5f"/>
                                  <w:lock w:val="sdtLocked"/>
                                  <w:richText/>
                                </w:sdtPr>
                                <w:sdtContent>
                                  <w:r>
                                    <w:rPr>
                                      <w:color w:val="000000"/>
                                      <w:szCs w:val="24"/>
                                      <w:lang w:eastAsia="lt-LT"/>
                                    </w:rPr>
                                    <w:t>7.3.5</w:t>
                                  </w:r>
                                </w:sdtContent>
                              </w:sdt>
                              <w:r>
                                <w:rPr>
                                  <w:color w:val="000000"/>
                                  <w:szCs w:val="24"/>
                                  <w:lang w:eastAsia="lt-LT"/>
                                </w:rPr>
                                <w:t>. Metodikos 11</w:t>
                              </w:r>
                              <w:r>
                                <w:rPr>
                                  <w:color w:val="000000"/>
                                  <w:szCs w:val="24"/>
                                  <w:vertAlign w:val="superscript"/>
                                  <w:lang w:eastAsia="lt-LT"/>
                                </w:rPr>
                                <w:t>1</w:t>
                              </w:r>
                              <w:r>
                                <w:rPr>
                                  <w:color w:val="000000"/>
                                  <w:szCs w:val="24"/>
                                  <w:lang w:eastAsia="lt-LT"/>
                                </w:rPr>
                                <w:t xml:space="preserve"> papunktyje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Content>
                    </w:sdt>
                    <w:sdt>
                      <w:sdtPr>
                        <w:alias w:val="7.4 pp."/>
                        <w:tag w:val="part_a647bba78875423fa433d954bd78fece"/>
                        <w:lock w:val="sdtLocked"/>
                        <w:richText/>
                      </w:sdtPr>
                      <w:sdtContent>
                        <w:p>
                          <w:pPr>
                            <w:spacing w:line="252" w:lineRule="auto"/>
                            <w:ind w:firstLine="720"/>
                            <w:jc w:val="both"/>
                            <w:rPr>
                              <w:color w:val="000000"/>
                              <w:szCs w:val="24"/>
                              <w:lang w:eastAsia="lt-LT"/>
                            </w:rPr>
                          </w:pPr>
                          <w:sdt>
                            <w:sdtPr>
                              <w:alias w:val="Numeris"/>
                              <w:tag w:val="nr_a647bba78875423fa433d954bd78fece"/>
                              <w:lock w:val="sdtLocked"/>
                              <w:richText/>
                            </w:sdtPr>
                            <w:sdtContent>
                              <w:r>
                                <w:rPr>
                                  <w:color w:val="000000"/>
                                  <w:szCs w:val="24"/>
                                  <w:lang w:eastAsia="lt-LT"/>
                                </w:rPr>
                                <w:t>7.4</w:t>
                              </w:r>
                            </w:sdtContent>
                          </w:sdt>
                          <w:r>
                            <w:rPr>
                              <w:color w:val="000000"/>
                              <w:szCs w:val="24"/>
                              <w:lang w:eastAsia="lt-LT"/>
                            </w:rPr>
                            <w:t>.</w:t>
                            <w:tab/>
                            <w:t xml:space="preserve">Metodikos 7.3.1-7.3.3 papunkčių atvejais taikomos Metodikos 8.2, 8.3, 10.1-10.4 papunkčių ir 11 punkto nuostatos. </w:t>
                          </w:r>
                        </w:p>
                      </w:sdtContent>
                    </w:sdt>
                  </w:sdtContent>
                </w:sdt>
                <w:sdt>
                  <w:sdtPr>
                    <w:alias w:val="8 p."/>
                    <w:tag w:val="part_daf02e38a301414cb46d6dec3bf7de5f"/>
                    <w:lock w:val="sdtLocked"/>
                    <w:richText/>
                  </w:sdtPr>
                  <w:sdtContent>
                    <w:p>
                      <w:pPr>
                        <w:spacing w:line="252" w:lineRule="auto"/>
                        <w:ind w:firstLine="720"/>
                        <w:jc w:val="both"/>
                        <w:rPr>
                          <w:bCs/>
                          <w:color w:val="000000"/>
                        </w:rPr>
                      </w:pPr>
                      <w:sdt>
                        <w:sdtPr>
                          <w:alias w:val="Numeris"/>
                          <w:tag w:val="nr_daf02e38a301414cb46d6dec3bf7de5f"/>
                          <w:lock w:val="sdtLocked"/>
                          <w:richText/>
                        </w:sdtPr>
                        <w:sdtContent>
                          <w:r>
                            <w:rPr>
                              <w:color w:val="000000"/>
                            </w:rPr>
                            <w:t>8</w:t>
                          </w:r>
                        </w:sdtContent>
                      </w:sdt>
                      <w:r>
                        <w:rPr>
                          <w:color w:val="000000"/>
                        </w:rPr>
                        <w:t>.</w:t>
                        <w:tab/>
                      </w:r>
                      <w:r>
                        <w:rPr>
                          <w:bCs/>
                          <w:color w:val="000000"/>
                        </w:rPr>
                        <w:t>Apskaičiuojant prijungimo paslaugos kainą (prijungimo įmoką), taikomos šios sąlygos:</w:t>
                      </w:r>
                    </w:p>
                    <w:sdt>
                      <w:sdtPr>
                        <w:alias w:val="8.1 pp."/>
                        <w:tag w:val="part_8518c42c66c34598a81e17fe20459080"/>
                        <w:lock w:val="sdtLocked"/>
                        <w:richText/>
                      </w:sdtPr>
                      <w:sdtContent>
                        <w:p>
                          <w:pPr>
                            <w:spacing w:line="252" w:lineRule="auto"/>
                            <w:ind w:firstLine="720"/>
                            <w:jc w:val="both"/>
                            <w:rPr>
                              <w:bCs/>
                              <w:color w:val="000000"/>
                            </w:rPr>
                          </w:pPr>
                          <w:sdt>
                            <w:sdtPr>
                              <w:alias w:val="Numeris"/>
                              <w:tag w:val="nr_8518c42c66c34598a81e17fe20459080"/>
                              <w:lock w:val="sdtLocked"/>
                              <w:richText/>
                            </w:sdtPr>
                            <w:sdtContent>
                              <w:r>
                                <w:rPr>
                                  <w:bCs/>
                                  <w:color w:val="000000"/>
                                </w:rPr>
                                <w:t>8.1</w:t>
                              </w:r>
                            </w:sdtContent>
                          </w:sdt>
                          <w:r>
                            <w:rPr>
                              <w:bCs/>
                              <w:color w:val="000000"/>
                            </w:rPr>
                            <w:t>.</w:t>
                            <w:tab/>
                            <w:t>Metodikos 7.1 papunktyje nurodytais atvejais:</w:t>
                          </w:r>
                        </w:p>
                        <w:sdt>
                          <w:sdtPr>
                            <w:alias w:val="8.1.1 pp."/>
                            <w:tag w:val="part_ee884bd24a8544c7b01f433a61a3c743"/>
                            <w:lock w:val="sdtLocked"/>
                            <w:richText/>
                          </w:sdtPr>
                          <w:sdtContent>
                            <w:p>
                              <w:pPr>
                                <w:spacing w:line="252" w:lineRule="auto"/>
                                <w:ind w:firstLine="720"/>
                                <w:jc w:val="both"/>
                                <w:rPr>
                                  <w:color w:val="000000"/>
                                  <w:szCs w:val="24"/>
                                </w:rPr>
                              </w:pPr>
                              <w:sdt>
                                <w:sdtPr>
                                  <w:alias w:val="Numeris"/>
                                  <w:tag w:val="nr_ee884bd24a8544c7b01f433a61a3c743"/>
                                  <w:lock w:val="sdtLocked"/>
                                  <w:richText/>
                                </w:sdtPr>
                                <w:sdtContent>
                                  <w:r>
                                    <w:rPr>
                                      <w:color w:val="000000"/>
                                      <w:szCs w:val="24"/>
                                    </w:rPr>
                                    <w:t>8.1.1</w:t>
                                  </w:r>
                                </w:sdtContent>
                              </w:sdt>
                              <w:r>
                                <w:rPr>
                                  <w:color w:val="000000"/>
                                  <w:szCs w:val="24"/>
                                </w:rPr>
                                <w:t>.</w:t>
                                <w:tab/>
                              </w:r>
                              <w:r>
                                <w:rPr>
                                  <w:bCs/>
                                  <w:color w:val="000000"/>
                                </w:rPr>
                                <w:t xml:space="preserve">prijungimo </w:t>
                              </w:r>
                              <w:r>
                                <w:rPr>
                                  <w:color w:val="000000"/>
                                  <w:szCs w:val="24"/>
                                </w:rPr>
                                <w:t>prie tinklo paslaugos kainą (prijungimo įmoką) prijungiantis operatorius apskaičiuoja vadovaudamasis Tarybos nustatytais prijungimo įkainiais pagal šią formulę:</w:t>
                              </w:r>
                            </w:p>
                            <w:p>
                              <w:pPr>
                                <w:spacing w:line="252" w:lineRule="auto"/>
                                <w:jc w:val="both"/>
                                <w:rPr>
                                  <w:color w:val="000000"/>
                                  <w:szCs w:val="24"/>
                                </w:rPr>
                              </w:pPr>
                            </w:p>
                            <w:tbl>
                              <w:tblPr>
                                <w:tblW w:w="0" w:type="auto"/>
                                <w:tblInd w:w="567" w:type="dxa"/>
                                <w:tblLook w:val="04A0" w:firstRow="1" w:lastRow="0" w:firstColumn="1" w:lastColumn="0" w:noHBand="0" w:noVBand="1"/>
                              </w:tblPr>
                              <w:tblGrid>
                                <w:gridCol w:w="6663"/>
                                <w:gridCol w:w="2255"/>
                              </w:tblGrid>
                              <w:tr>
                                <w:tc>
                                  <w:tcPr>
                                    <w:tcW w:w="6663" w:type="dxa"/>
                                  </w:tcPr>
                                  <w:p>
                                    <w:pPr>
                                      <w:spacing w:line="252" w:lineRule="auto"/>
                                      <w:ind w:firstLine="720"/>
                                      <w:jc w:val="both"/>
                                      <w:rPr>
                                        <w:color w:val="000000"/>
                                        <w:szCs w:val="24"/>
                                      </w:rPr>
                                    </w:pPr>
                                    <w:r>
                                      <w:rPr>
                                        <w:color w:val="000000"/>
                                        <w:szCs w:val="24"/>
                                      </w:rPr>
                                      <w:t xml:space="preserve">S = </w:t>
                                    </w:r>
                                    <m:oMath>
                                      <m:sSub>
                                        <m:sSubPr>
                                          <m:ctrlPr>
                                            <w:rPr>
                                              <w:rFonts w:ascii="Cambria Math" w:hAnsi="Cambria Math"/>
                                              <w:i/>
                                              <w:color w:val="000000" w:themeColor="text1"/>
                                            </w:rPr>
                                          </m:ctrlPr>
                                        </m:sSubPr>
                                        <m:e>
                                          <m:r>
                                            <m:rPr>
                                              <m:nor/>
                                            </m:rPr>
                                            <w:rPr>
                                              <w:color w:val="000000" w:themeColor="text1"/>
                                            </w:rPr>
                                            <m:t>m</m:t>
                                          </m:r>
                                        </m:e>
                                        <m:sub>
                                          <m:r>
                                            <m:rPr>
                                              <m:nor/>
                                            </m:rPr>
                                            <w:rPr>
                                              <w:color w:val="000000" w:themeColor="text1"/>
                                            </w:rPr>
                                            <m:t>P</m:t>
                                          </m:r>
                                        </m:sub>
                                      </m:sSub>
                                    </m:oMath>
                                    <w:r>
                                      <w:rPr>
                                        <w:color w:val="000000"/>
                                        <w:szCs w:val="24"/>
                                      </w:rPr>
                                      <w:t xml:space="preserve"> × P – </w:t>
                                    </w:r>
                                    <m:oMath>
                                      <m:r>
                                        <w:rPr>
                                          <w:rFonts w:ascii="Cambria Math" w:hAnsi="Cambria Math"/>
                                          <w:color w:val="000000"/>
                                          <w:szCs w:val="24"/>
                                        </w:rPr>
                                        <m:t>(</m:t>
                                      </m:r>
                                      <m:r>
                                        <m:rPr>
                                          <m:nor/>
                                        </m:rPr>
                                        <w:rPr>
                                          <w:rFonts w:ascii="Cambria Math" w:hAnsi="Cambria Math"/>
                                          <w:color w:val="000000"/>
                                          <w:szCs w:val="24"/>
                                        </w:rPr>
                                        <m:t>P ×</m:t>
                                      </m:r>
                                      <m:sSub>
                                        <m:sSubPr>
                                          <m:ctrlPr>
                                            <w:rPr>
                                              <w:rFonts w:ascii="Cambria Math" w:hAnsi="Cambria Math"/>
                                              <w:i/>
                                              <w:color w:val="000000"/>
                                              <w:szCs w:val="24"/>
                                            </w:rPr>
                                          </m:ctrlPr>
                                        </m:sSubPr>
                                        <m:e>
                                          <m:r>
                                            <w:rPr>
                                              <w:rFonts w:ascii="Cambria Math" w:hAnsi="Cambria Math"/>
                                              <w:color w:val="000000"/>
                                              <w:szCs w:val="24"/>
                                            </w:rPr>
                                            <m:t xml:space="preserve"> m</m:t>
                                          </m:r>
                                        </m:e>
                                        <m:sub>
                                          <m:r>
                                            <w:rPr>
                                              <w:rFonts w:ascii="Cambria Math" w:hAnsi="Cambria Math"/>
                                              <w:color w:val="000000"/>
                                              <w:szCs w:val="24"/>
                                            </w:rPr>
                                            <m:t>maks. proj.įkainis</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m</m:t>
                                          </m:r>
                                        </m:e>
                                        <m:sub>
                                          <m:r>
                                            <w:rPr>
                                              <w:rFonts w:ascii="Cambria Math" w:hAnsi="Cambria Math"/>
                                              <w:color w:val="000000" w:themeColor="text1"/>
                                            </w:rPr>
                                            <m:t>maks.proj. kaina</m:t>
                                          </m:r>
                                        </m:sub>
                                      </m:sSub>
                                    </m:oMath>
                                    <w:r>
                                      <w:rPr>
                                        <w:color w:val="000000"/>
                                      </w:rPr>
                                      <w:t>)</w:t>
                                    </w:r>
                                  </w:p>
                                </w:tc>
                                <w:tc>
                                  <w:tcPr>
                                    <w:tcW w:w="2255" w:type="dxa"/>
                                  </w:tcPr>
                                  <w:p>
                                    <w:pPr>
                                      <w:spacing w:line="252" w:lineRule="auto"/>
                                      <w:ind w:firstLine="720"/>
                                      <w:jc w:val="right"/>
                                      <w:rPr>
                                        <w:color w:val="000000"/>
                                        <w:szCs w:val="24"/>
                                      </w:rPr>
                                    </w:pPr>
                                    <w:r>
                                      <w:rPr>
                                        <w:color w:val="000000"/>
                                        <w:szCs w:val="24"/>
                                      </w:rPr>
                                      <w:t>(1)</w:t>
                                    </w:r>
                                  </w:p>
                                </w:tc>
                              </w:tr>
                            </w:tbl>
                            <w:p>
                              <w:pPr>
                                <w:spacing w:line="252" w:lineRule="auto"/>
                                <w:jc w:val="both"/>
                                <w:rPr>
                                  <w:color w:val="000000"/>
                                </w:rPr>
                              </w:pPr>
                            </w:p>
                            <w:p>
                              <w:pPr>
                                <w:spacing w:line="252" w:lineRule="auto"/>
                                <w:ind w:firstLine="720"/>
                                <w:jc w:val="both"/>
                                <w:rPr>
                                  <w:color w:val="000000"/>
                                  <w:szCs w:val="24"/>
                                </w:rPr>
                              </w:pPr>
                              <w:r>
                                <w:rPr>
                                  <w:color w:val="000000"/>
                                  <w:szCs w:val="24"/>
                                </w:rPr>
                                <w:t>čia:</w:t>
                              </w:r>
                            </w:p>
                            <w:p>
                              <w:pPr>
                                <w:spacing w:line="252" w:lineRule="auto"/>
                                <w:ind w:firstLine="720"/>
                                <w:jc w:val="both"/>
                                <w:rPr>
                                  <w:color w:val="000000"/>
                                  <w:szCs w:val="24"/>
                                </w:rPr>
                              </w:pPr>
                              <w:r>
                                <w:rPr>
                                  <w:color w:val="000000"/>
                                  <w:szCs w:val="24"/>
                                </w:rPr>
                                <w:t>S – elektros energijos vartotojo įrenginių prijungimo prie tinklo paslaugos kaina (prijungimo įmoka), Eur;</w:t>
                              </w:r>
                            </w:p>
                            <w:p>
                              <w:pPr>
                                <w:spacing w:line="252" w:lineRule="auto"/>
                                <w:ind w:firstLine="720"/>
                                <w:jc w:val="both"/>
                                <w:rPr>
                                  <w:color w:val="000000"/>
                                  <w:szCs w:val="24"/>
                                </w:rPr>
                              </w:pPr>
                              <m:oMath>
                                <m:sSub>
                                  <m:sSubPr>
                                    <m:ctrlPr>
                                      <w:rPr>
                                        <w:rFonts w:ascii="Cambria Math" w:hAnsi="Cambria Math"/>
                                        <w:color w:val="000000" w:themeColor="text1"/>
                                      </w:rPr>
                                    </m:ctrlPr>
                                  </m:sSubPr>
                                  <m:e>
                                    <m:r>
                                      <m:rPr>
                                        <m:nor/>
                                      </m:rPr>
                                      <w:rPr>
                                        <w:color w:val="000000" w:themeColor="text1"/>
                                      </w:rPr>
                                      <m:t>m</m:t>
                                    </m:r>
                                  </m:e>
                                  <m:sub>
                                    <m:r>
                                      <m:rPr>
                                        <m:nor/>
                                      </m:rPr>
                                      <w:rPr>
                                        <w:color w:val="000000" w:themeColor="text1"/>
                                      </w:rPr>
                                      <m:t>P</m:t>
                                    </m:r>
                                  </m:sub>
                                </m:sSub>
                                <m:r>
                                  <w:rPr>
                                    <w:rFonts w:ascii="Cambria Math" w:hAnsi="Cambria Math"/>
                                    <w:color w:val="000000" w:themeColor="text1"/>
                                  </w:rPr>
                                  <m:t xml:space="preserve"> </m:t>
                                </m:r>
                              </m:oMath>
                              <w:r>
                                <w:rPr>
                                  <w:color w:val="000000"/>
                                  <w:szCs w:val="24"/>
                                </w:rPr>
                                <w:t>– Tarybos nustatytas prijungimo įkainis 1 kW elektros energijos įrenginių leistinos naudoti galios įrengti ar padidinti pagal atitinkamą vartotojų grupę ir</w:t>
                              </w:r>
                              <w:r>
                                <w:rPr>
                                  <w:b/>
                                  <w:bCs/>
                                  <w:color w:val="000000"/>
                                  <w:sz w:val="20"/>
                                  <w:lang w:eastAsia="lt-LT"/>
                                </w:rPr>
                                <w:t xml:space="preserve"> </w:t>
                              </w:r>
                              <w:r>
                                <w:rPr>
                                  <w:color w:val="000000"/>
                                  <w:szCs w:val="24"/>
                                  <w:lang w:eastAsia="lt-LT"/>
                                </w:rPr>
                                <w:t>pagal Metodikos 10 punkte numatytą atitinkamą procentinį dydį, Eur/kW</w:t>
                              </w:r>
                              <w:r>
                                <w:rPr>
                                  <w:color w:val="000000"/>
                                  <w:szCs w:val="24"/>
                                </w:rPr>
                                <w:t xml:space="preserve">; </w:t>
                              </w:r>
                            </w:p>
                            <w:p>
                              <w:pPr>
                                <w:spacing w:line="252" w:lineRule="auto"/>
                                <w:ind w:firstLine="720"/>
                                <w:jc w:val="both"/>
                                <w:rPr>
                                  <w:color w:val="000000"/>
                                  <w:szCs w:val="24"/>
                                </w:rPr>
                              </w:pPr>
                              <w:r>
                                <w:rPr>
                                  <w:color w:val="000000"/>
                                  <w:szCs w:val="24"/>
                                </w:rPr>
                                <w:t xml:space="preserve">P – vartotojui naujai įrengiama arba didinama leistina naudoti galia, kW. </w:t>
                              </w:r>
                              <w:r>
                                <w:rPr>
                                  <w:bCs/>
                                  <w:color w:val="000000"/>
                                  <w:szCs w:val="24"/>
                                </w:rPr>
                                <w:t>Didinama leistina naudoti galia suprantama kaip papildomai prašoma įrengti leistina naudoti galia, nevertinant jau įrengto leistinos naudoti galios dydžio.</w:t>
                              </w:r>
                              <w:r>
                                <w:rPr>
                                  <w:color w:val="000000"/>
                                  <w:szCs w:val="24"/>
                                </w:rPr>
                                <w:t xml:space="preserve"> Kai vartotojo pasirinkta leistina naudoti galia patenka į Taisyklių 31, 32 lentelėse nurodytos leistinos naudoti galios verčių intervalą, P reikšmė nustatoma kaip atitinkamo intervalo didžiausia reikšmė (vartotojui naujai įrengiama arba didinama leistina naudoti galia, atitinkanti intervalo didžiausią reikšmę), išskyrus atvejus, kai pasirinkta leistina naudoti galia yra lygi arba didesnė už 60 kW. Tokiu atveju (kai pasirinkta leistina naudoti galia yra lygi arba didesnė už 60 kW), P reikšmė atitinka vartotojo pasirinktą leistiną naudoti galią.</w:t>
                              </w:r>
                              <w:r>
                                <w:rPr>
                                  <w:color w:val="000000"/>
                                  <w:szCs w:val="24"/>
                                  <w:lang w:eastAsia="lt-LT"/>
                                </w:rPr>
                                <w:t xml:space="preserve"> Vartotojams, kurie paraiškas dėl elektros įrenginių prijungimo, elektros įrenginių leistinos naudoti galios padidinimo ar sumažinimo bei elektros energijos tiekimo patikimumo kategorijos pakeitimo į žemesnę pateikė iki 2020 m. balandžio 1 d., </w:t>
                              </w:r>
                              <w:r>
                                <w:rPr>
                                  <w:color w:val="000000"/>
                                  <w:szCs w:val="24"/>
                                </w:rPr>
                                <w:t>P reikšmė nustatoma atsižvelgiant į iki 2020 m. liepos 30 d. galiojusios redakcijos Taisyklių 31, 32 lentelėse nurodytos leistinos naudoti galios verčių intervalus;</w:t>
                              </w:r>
                            </w:p>
                            <w:p>
                              <w:pPr>
                                <w:spacing w:line="252" w:lineRule="auto"/>
                                <w:ind w:firstLine="720"/>
                                <w:jc w:val="both"/>
                                <w:rPr>
                                  <w:color w:val="000000"/>
                                  <w:szCs w:val="24"/>
                                </w:rPr>
                              </w:pPr>
                              <m:oMath>
                                <m:sSub>
                                  <m:sSubPr>
                                    <m:ctrlPr>
                                      <w:rPr>
                                        <w:rFonts w:ascii="Cambria Math" w:hAnsi="Cambria Math"/>
                                        <w:color w:val="000000" w:themeColor="text1"/>
                                      </w:rPr>
                                    </m:ctrlPr>
                                  </m:sSubPr>
                                  <m:e>
                                    <m:r>
                                      <m:rPr>
                                        <m:nor/>
                                      </m:rPr>
                                      <w:rPr>
                                        <w:iCs/>
                                        <w:color w:val="000000" w:themeColor="text1"/>
                                      </w:rPr>
                                      <m:t>m</m:t>
                                    </m:r>
                                  </m:e>
                                  <m:sub>
                                    <m:r>
                                      <m:rPr>
                                        <m:nor/>
                                      </m:rPr>
                                      <w:rPr>
                                        <w:rFonts w:ascii="Cambria Math"/>
                                        <w:iCs/>
                                        <w:color w:val="000000" w:themeColor="text1"/>
                                      </w:rPr>
                                      <m:t>maks.</m:t>
                                    </m:r>
                                    <m:r>
                                      <m:rPr>
                                        <m:nor/>
                                      </m:rPr>
                                      <w:rPr>
                                        <w:iCs/>
                                        <w:color w:val="000000" w:themeColor="text1"/>
                                      </w:rPr>
                                      <m:t>proj</m:t>
                                    </m:r>
                                    <m:r>
                                      <m:rPr>
                                        <m:nor/>
                                      </m:rPr>
                                      <w:rPr>
                                        <w:rFonts w:ascii="Cambria Math"/>
                                        <w:iCs/>
                                        <w:color w:val="000000" w:themeColor="text1"/>
                                      </w:rPr>
                                      <m:t>.</m:t>
                                    </m:r>
                                    <m:r>
                                      <m:rPr>
                                        <m:nor/>
                                      </m:rPr>
                                      <w:rPr>
                                        <w:rFonts w:ascii="Cambria Math"/>
                                        <w:iCs/>
                                        <w:color w:val="000000" w:themeColor="text1"/>
                                      </w:rPr>
                                      <m:t>į</m:t>
                                    </m:r>
                                    <m:r>
                                      <m:rPr>
                                        <m:nor/>
                                      </m:rPr>
                                      <w:rPr>
                                        <w:rFonts w:ascii="Cambria Math"/>
                                        <w:iCs/>
                                        <w:color w:val="000000" w:themeColor="text1"/>
                                      </w:rPr>
                                      <m:t>kainis</m:t>
                                    </m:r>
                                  </m:sub>
                                </m:sSub>
                                <m:r>
                                  <w:rPr>
                                    <w:rFonts w:ascii="Cambria Math" w:hAnsi="Cambria Math"/>
                                    <w:color w:val="000000" w:themeColor="text1"/>
                                  </w:rPr>
                                  <m:t xml:space="preserve"> </m:t>
                                </m:r>
                              </m:oMath>
                              <w:r>
                                <w:rPr>
                                  <w:color w:val="000000"/>
                                  <w:szCs w:val="24"/>
                                </w:rPr>
                                <w:t xml:space="preserve">– Tarybos atitinkamai vartotojų grupei pagal Metodikos 10 punkte numatytą atitinkamą procentinį dydį nustatytas maksimalus kompensuotinas elektros tinklų įrengimo ir (ar) rekonstrukcijos projekto parengimo įkainis </w:t>
                              </w:r>
                              <w:r>
                                <w:rPr>
                                  <w:shd w:val="clear" w:color="auto" w:fill="FFFFFF"/>
                                </w:rPr>
                                <w:t>1 kW leistinos naudoti galios įrengti</w:t>
                              </w:r>
                              <w:r>
                                <w:rPr>
                                  <w:color w:val="000000"/>
                                  <w:szCs w:val="24"/>
                                </w:rPr>
                                <w:t xml:space="preserve">, kai vartotojas savo lėšomis </w:t>
                              </w:r>
                              <w:r>
                                <w:rPr>
                                  <w:rFonts w:eastAsia="Arial Unicode MS"/>
                                  <w:color w:val="000000"/>
                                  <w:szCs w:val="24"/>
                                  <w:bdr w:val="nil"/>
                                </w:rPr>
                                <w:t>organizuoja prijungimo prie elektros tinklų projektavimo darbus</w:t>
                              </w:r>
                              <w:r>
                                <w:rPr>
                                  <w:color w:val="000000"/>
                                  <w:szCs w:val="24"/>
                                </w:rPr>
                                <w:t>;</w:t>
                              </w:r>
                            </w:p>
                            <w:p>
                              <w:pPr>
                                <w:spacing w:line="252" w:lineRule="auto"/>
                                <w:ind w:firstLine="782"/>
                                <w:jc w:val="both"/>
                                <w:rPr>
                                  <w:color w:val="000000"/>
                                  <w:szCs w:val="24"/>
                                </w:rPr>
                              </w:pPr>
                              <m:oMath>
                                <m:sSub>
                                  <m:sSubPr>
                                    <m:ctrlPr>
                                      <w:rPr>
                                        <w:rFonts w:ascii="Cambria Math" w:hAnsi="Cambria Math"/>
                                        <w:color w:val="000000" w:themeColor="text1"/>
                                      </w:rPr>
                                    </m:ctrlPr>
                                  </m:sSubPr>
                                  <m:e>
                                    <m:r>
                                      <m:rPr>
                                        <m:nor/>
                                      </m:rPr>
                                      <w:rPr>
                                        <w:iCs/>
                                        <w:color w:val="000000" w:themeColor="text1"/>
                                      </w:rPr>
                                      <m:t>m</m:t>
                                    </m:r>
                                  </m:e>
                                  <m:sub>
                                    <m:r>
                                      <m:rPr>
                                        <m:nor/>
                                      </m:rPr>
                                      <w:rPr>
                                        <w:rFonts w:ascii="Cambria Math"/>
                                        <w:iCs/>
                                        <w:color w:val="000000" w:themeColor="text1"/>
                                      </w:rPr>
                                      <m:t>maks.</m:t>
                                    </m:r>
                                    <m:r>
                                      <m:rPr>
                                        <m:nor/>
                                      </m:rPr>
                                      <w:rPr>
                                        <w:iCs/>
                                        <w:color w:val="000000" w:themeColor="text1"/>
                                      </w:rPr>
                                      <m:t>proj</m:t>
                                    </m:r>
                                    <m:r>
                                      <m:rPr>
                                        <m:nor/>
                                      </m:rPr>
                                      <w:rPr>
                                        <w:rFonts w:ascii="Cambria Math"/>
                                        <w:iCs/>
                                        <w:color w:val="000000" w:themeColor="text1"/>
                                      </w:rPr>
                                      <m:t>.kaina</m:t>
                                    </m:r>
                                  </m:sub>
                                </m:sSub>
                              </m:oMath>
                              <w:r>
                                <w:rPr>
                                  <w:color w:val="000000"/>
                                  <w:szCs w:val="24"/>
                                </w:rPr>
                                <w:t xml:space="preserve">– Tarybos atitinkamai vartotojų grupei pagal Metodikos 10 punkte numatytą atitinkamą procentinį dydį nustatyta maksimali kompensuotina elektros tinklų įrengimo ir (ar) rekonstrukcijos projekto parengimo kaina, kai vartotojas savo lėšomis </w:t>
                              </w:r>
                              <w:r>
                                <w:rPr>
                                  <w:rFonts w:eastAsia="Arial Unicode MS"/>
                                  <w:color w:val="000000"/>
                                  <w:szCs w:val="24"/>
                                  <w:bdr w:val="nil"/>
                                </w:rPr>
                                <w:t>organizuoja prijungimo prie elektros tinklų projektavimo darbus</w:t>
                              </w:r>
                              <w:r>
                                <w:rPr>
                                  <w:color w:val="000000"/>
                                  <w:szCs w:val="24"/>
                                </w:rPr>
                                <w:t xml:space="preserve">. </w:t>
                              </w:r>
                            </w:p>
                            <w:p>
                              <w:pPr>
                                <w:spacing w:line="252" w:lineRule="auto"/>
                                <w:ind w:firstLine="720"/>
                                <w:jc w:val="both"/>
                                <w:rPr>
                                  <w:color w:val="000000"/>
                                </w:rPr>
                              </w:pPr>
                              <w:r>
                                <w:rPr>
                                  <w:color w:val="000000"/>
                                  <w:szCs w:val="24"/>
                                </w:rPr>
                                <w:t>Tuo atveju, kai vartotojas jungia mažos galios (iki 1 kW) elektros įrenginius, prijungimo įmokos dalis už leistiną naudoti galią apskaičiuojama nurodant, jog P = 1 kW.</w:t>
                              </w:r>
                              <w:r>
                                <w:rPr>
                                  <w:color w:val="000000"/>
                                </w:rPr>
                                <w:t xml:space="preserve"> </w:t>
                              </w:r>
                            </w:p>
                          </w:sdtContent>
                        </w:sdt>
                        <w:sdt>
                          <w:sdtPr>
                            <w:alias w:val="8.1.2 pp."/>
                            <w:tag w:val="part_20e32539112f47af92376fc1db6ef8aa"/>
                            <w:lock w:val="sdtLocked"/>
                            <w:richText/>
                          </w:sdtPr>
                          <w:sdtContent>
                            <w:p>
                              <w:pPr>
                                <w:widowControl w:val="0"/>
                                <w:ind w:firstLine="720"/>
                                <w:jc w:val="both"/>
                                <w:rPr>
                                  <w:sz w:val="20"/>
                                  <w:lang w:eastAsia="lt-LT"/>
                                </w:rPr>
                              </w:pPr>
                              <w:sdt>
                                <w:sdtPr>
                                  <w:alias w:val="Numeris"/>
                                  <w:tag w:val="nr_20e32539112f47af92376fc1db6ef8aa"/>
                                  <w:lock w:val="sdtLocked"/>
                                  <w:richText/>
                                </w:sdtPr>
                                <w:sdtContent>
                                  <w:r>
                                    <w:rPr>
                                      <w:szCs w:val="24"/>
                                      <w:lang w:eastAsia="lt-LT"/>
                                    </w:rPr>
                                    <w:t>8.1.2</w:t>
                                  </w:r>
                                </w:sdtContent>
                              </w:sdt>
                              <w:r>
                                <w:rPr>
                                  <w:szCs w:val="24"/>
                                  <w:lang w:eastAsia="lt-LT"/>
                                </w:rPr>
                                <w:t>. vartotojui apskaičiuota prijungimo įmoka sumažinama maksimalia kompensuotina projektavimo suma, kuri apskaičiuojama kaip naujai įsirengiamos ar didinamos leistinos naudoti galios ir maksimalaus kompensuotino projektavimo įkainio sandauga, pridedant maksimalią kompensuotiną skirstomųjų elektros tinklų projektavimo kainą, tuo atveju, kai yra reikalingas tik skirstomųjų elektros tinklų įrengimo ir (ar) rekonstrukcijos projekto parengimas ir kai vartotojas savo lėšomis organizuoja prijungimo prie elektros tinklų projektavimo darbus. Tais atvejais, kai dėl prijungimo prie elektros skirstomųjų tinklų reikalinga perdavimo elektros tinklų plėtra ir kai vartotojas savo lėšomis organizuoja prijungimo prie elektros tinklų projektavimo darbus, taip pat įvertinama maksimali kompensuotina perdavimo elektros tinklų projektavimo kaina (neviršijant faktinės perdavimo elektros tinklų projektavimo paslaugų kainos, pagrįstos vartotojo), apskaičiuojama atsižvelgiant į projekto statybos vertę:</w:t>
                              </w:r>
                            </w:p>
                            <w:p>
                              <w:pPr>
                                <w:widowControl w:val="0"/>
                                <w:suppressAutoHyphens/>
                                <w:spacing w:line="259" w:lineRule="auto"/>
                                <w:jc w:val="both"/>
                                <w:rPr>
                                  <w:szCs w:val="24"/>
                                  <w:lang w:eastAsia="lt-LT"/>
                                </w:rPr>
                              </w:pPr>
                            </w:p>
                            <w:tbl>
                              <w:tblPr>
                                <w:tblW w:w="5023" w:type="pct"/>
                                <w:tblCellMar>
                                  <w:left w:w="0" w:type="dxa"/>
                                  <w:right w:w="0" w:type="dxa"/>
                                </w:tblCellMar>
                                <w:tblLook w:val="04A0" w:firstRow="1" w:lastRow="0" w:firstColumn="1" w:lastColumn="0" w:noHBand="0" w:noVBand="1"/>
                              </w:tblPr>
                              <w:tblGrid>
                                <w:gridCol w:w="1951"/>
                                <w:gridCol w:w="1337"/>
                                <w:gridCol w:w="2093"/>
                                <w:gridCol w:w="1511"/>
                                <w:gridCol w:w="1572"/>
                                <w:gridCol w:w="1436"/>
                              </w:tblGrid>
                              <w:tr>
                                <w:trPr>
                                  <w:trHeight w:val="1304"/>
                                </w:trPr>
                                <w:tc>
                                  <w:tcPr>
                                    <w:tcW w:w="98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widowControl w:val="0"/>
                                      <w:suppressAutoHyphens/>
                                      <w:spacing w:line="259" w:lineRule="auto"/>
                                      <w:jc w:val="center"/>
                                      <w:rPr>
                                        <w:szCs w:val="24"/>
                                        <w:lang w:val="en" w:eastAsia="lt-LT"/>
                                      </w:rPr>
                                    </w:pPr>
                                    <w:r>
                                      <w:rPr>
                                        <w:szCs w:val="24"/>
                                        <w:lang w:val="en" w:eastAsia="lt-LT"/>
                                      </w:rPr>
                                      <w:t>Projekto statybos vertė tūkst. Eur be PVM</w:t>
                                    </w:r>
                                  </w:p>
                                </w:tc>
                                <w:tc>
                                  <w:tcPr>
                                    <w:tcW w:w="675"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widowControl w:val="0"/>
                                      <w:suppressAutoHyphens/>
                                      <w:spacing w:line="259" w:lineRule="auto"/>
                                      <w:jc w:val="center"/>
                                      <w:rPr>
                                        <w:szCs w:val="24"/>
                                        <w:lang w:val="en" w:eastAsia="lt-LT"/>
                                      </w:rPr>
                                    </w:pPr>
                                    <w:r>
                                      <w:rPr>
                                        <w:szCs w:val="24"/>
                                        <w:lang w:val="en" w:eastAsia="lt-LT"/>
                                      </w:rPr>
                                      <w:t>Mažiau nei 500</w:t>
                                    </w:r>
                                  </w:p>
                                </w:tc>
                                <w:tc>
                                  <w:tcPr>
                                    <w:tcW w:w="105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widowControl w:val="0"/>
                                      <w:suppressAutoHyphens/>
                                      <w:spacing w:line="259" w:lineRule="auto"/>
                                      <w:jc w:val="center"/>
                                      <w:rPr>
                                        <w:szCs w:val="24"/>
                                        <w:lang w:val="en" w:eastAsia="lt-LT"/>
                                      </w:rPr>
                                    </w:pPr>
                                    <w:r>
                                      <w:rPr>
                                        <w:szCs w:val="24"/>
                                        <w:lang w:val="en" w:eastAsia="lt-LT"/>
                                      </w:rPr>
                                      <w:t>Ne mažiau nei 500, bet mažiau nei 1 000</w:t>
                                    </w:r>
                                  </w:p>
                                </w:tc>
                                <w:tc>
                                  <w:tcPr>
                                    <w:tcW w:w="76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widowControl w:val="0"/>
                                      <w:suppressAutoHyphens/>
                                      <w:spacing w:line="259" w:lineRule="auto"/>
                                      <w:jc w:val="center"/>
                                      <w:rPr>
                                        <w:szCs w:val="24"/>
                                        <w:lang w:val="en" w:eastAsia="lt-LT"/>
                                      </w:rPr>
                                    </w:pPr>
                                    <w:r>
                                      <w:rPr>
                                        <w:szCs w:val="24"/>
                                        <w:lang w:val="en" w:eastAsia="lt-LT"/>
                                      </w:rPr>
                                      <w:t>Ne mažiau nei 1 000, bet mažiau nei 2 000</w:t>
                                    </w:r>
                                  </w:p>
                                </w:tc>
                                <w:tc>
                                  <w:tcPr>
                                    <w:tcW w:w="794"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widowControl w:val="0"/>
                                      <w:suppressAutoHyphens/>
                                      <w:spacing w:line="259" w:lineRule="auto"/>
                                      <w:jc w:val="center"/>
                                      <w:rPr>
                                        <w:szCs w:val="24"/>
                                        <w:lang w:val="en" w:eastAsia="lt-LT"/>
                                      </w:rPr>
                                    </w:pPr>
                                    <w:r>
                                      <w:rPr>
                                        <w:szCs w:val="24"/>
                                        <w:lang w:val="en" w:eastAsia="lt-LT"/>
                                      </w:rPr>
                                      <w:t>Ne mažiau nei 2 000, bet mažiau nei 5000</w:t>
                                    </w:r>
                                  </w:p>
                                </w:tc>
                                <w:tc>
                                  <w:tcPr>
                                    <w:tcW w:w="726"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widowControl w:val="0"/>
                                      <w:suppressAutoHyphens/>
                                      <w:spacing w:line="259" w:lineRule="auto"/>
                                      <w:jc w:val="center"/>
                                      <w:rPr>
                                        <w:szCs w:val="24"/>
                                        <w:lang w:val="en" w:eastAsia="lt-LT"/>
                                      </w:rPr>
                                    </w:pPr>
                                    <w:r>
                                      <w:rPr>
                                        <w:szCs w:val="24"/>
                                        <w:lang w:val="en" w:eastAsia="lt-LT"/>
                                      </w:rPr>
                                      <w:t>Ne mažiau nei 5 000</w:t>
                                    </w:r>
                                  </w:p>
                                </w:tc>
                              </w:tr>
                              <w:tr>
                                <w:tc>
                                  <w:tcPr>
                                    <w:tcW w:w="98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pPr>
                                      <w:widowControl w:val="0"/>
                                      <w:suppressAutoHyphens/>
                                      <w:spacing w:line="259" w:lineRule="auto"/>
                                      <w:jc w:val="both"/>
                                      <w:rPr>
                                        <w:szCs w:val="24"/>
                                        <w:lang w:val="en" w:eastAsia="lt-LT"/>
                                      </w:rPr>
                                    </w:pPr>
                                    <w:r>
                                      <w:rPr>
                                        <w:szCs w:val="24"/>
                                        <w:lang w:val="en" w:eastAsia="lt-LT"/>
                                      </w:rPr>
                                      <w:t>Taikomas maksimalus proc.</w:t>
                                    </w:r>
                                  </w:p>
                                </w:tc>
                                <w:tc>
                                  <w:tcPr>
                                    <w:tcW w:w="675"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widowControl w:val="0"/>
                                      <w:suppressAutoHyphens/>
                                      <w:spacing w:line="259" w:lineRule="auto"/>
                                      <w:jc w:val="center"/>
                                      <w:rPr>
                                        <w:szCs w:val="24"/>
                                        <w:lang w:val="en" w:eastAsia="lt-LT"/>
                                      </w:rPr>
                                    </w:pPr>
                                    <w:r>
                                      <w:rPr>
                                        <w:szCs w:val="24"/>
                                        <w:lang w:val="en" w:eastAsia="lt-LT"/>
                                      </w:rPr>
                                      <w:t>8 %</w:t>
                                    </w:r>
                                  </w:p>
                                </w:tc>
                                <w:tc>
                                  <w:tcPr>
                                    <w:tcW w:w="105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widowControl w:val="0"/>
                                      <w:suppressAutoHyphens/>
                                      <w:spacing w:line="259" w:lineRule="auto"/>
                                      <w:jc w:val="center"/>
                                      <w:rPr>
                                        <w:szCs w:val="24"/>
                                        <w:lang w:val="en" w:eastAsia="lt-LT"/>
                                      </w:rPr>
                                    </w:pPr>
                                    <w:r>
                                      <w:rPr>
                                        <w:szCs w:val="24"/>
                                        <w:lang w:val="en" w:eastAsia="lt-LT"/>
                                      </w:rPr>
                                      <w:t>6 %</w:t>
                                    </w:r>
                                  </w:p>
                                </w:tc>
                                <w:tc>
                                  <w:tcPr>
                                    <w:tcW w:w="76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widowControl w:val="0"/>
                                      <w:suppressAutoHyphens/>
                                      <w:spacing w:line="259" w:lineRule="auto"/>
                                      <w:jc w:val="center"/>
                                      <w:rPr>
                                        <w:szCs w:val="24"/>
                                        <w:lang w:val="en" w:eastAsia="lt-LT"/>
                                      </w:rPr>
                                    </w:pPr>
                                    <w:r>
                                      <w:rPr>
                                        <w:szCs w:val="24"/>
                                        <w:lang w:val="en" w:eastAsia="lt-LT"/>
                                      </w:rPr>
                                      <w:t>5 %</w:t>
                                    </w:r>
                                  </w:p>
                                </w:tc>
                                <w:tc>
                                  <w:tcPr>
                                    <w:tcW w:w="794"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widowControl w:val="0"/>
                                      <w:suppressAutoHyphens/>
                                      <w:spacing w:line="259" w:lineRule="auto"/>
                                      <w:jc w:val="center"/>
                                      <w:rPr>
                                        <w:szCs w:val="24"/>
                                        <w:lang w:val="en" w:eastAsia="lt-LT"/>
                                      </w:rPr>
                                    </w:pPr>
                                    <w:r>
                                      <w:rPr>
                                        <w:szCs w:val="24"/>
                                        <w:lang w:val="en" w:eastAsia="lt-LT"/>
                                      </w:rPr>
                                      <w:t>4 %</w:t>
                                    </w:r>
                                  </w:p>
                                </w:tc>
                                <w:tc>
                                  <w:tcPr>
                                    <w:tcW w:w="726"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widowControl w:val="0"/>
                                      <w:suppressAutoHyphens/>
                                      <w:spacing w:line="259" w:lineRule="auto"/>
                                      <w:jc w:val="center"/>
                                      <w:rPr>
                                        <w:szCs w:val="24"/>
                                        <w:lang w:val="en" w:eastAsia="lt-LT"/>
                                      </w:rPr>
                                    </w:pPr>
                                    <w:r>
                                      <w:rPr>
                                        <w:szCs w:val="24"/>
                                        <w:lang w:val="en" w:eastAsia="lt-LT"/>
                                      </w:rPr>
                                      <w:t>3 %</w:t>
                                    </w:r>
                                  </w:p>
                                </w:tc>
                              </w:tr>
                            </w:tbl>
                            <w:p>
                              <w:pPr>
                                <w:spacing w:line="252" w:lineRule="auto"/>
                                <w:ind w:firstLine="720"/>
                                <w:jc w:val="right"/>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1.2-1 pp."/>
                            <w:tag w:val="part_16fc46e8ceec4ad982de023d0096bee5"/>
                            <w:lock w:val="sdtLocked"/>
                            <w:richText/>
                          </w:sdtPr>
                          <w:sdtContent>
                            <w:p>
                              <w:pPr>
                                <w:widowControl w:val="0"/>
                                <w:suppressAutoHyphens/>
                                <w:spacing w:line="259" w:lineRule="auto"/>
                                <w:ind w:firstLine="720"/>
                                <w:jc w:val="both"/>
                              </w:pPr>
                              <w:sdt>
                                <w:sdtPr>
                                  <w:alias w:val="Numeris"/>
                                  <w:tag w:val="nr_16fc46e8ceec4ad982de023d0096bee5"/>
                                  <w:lock w:val="sdtLocked"/>
                                  <w:richText/>
                                </w:sdtPr>
                                <w:sdtContent>
                                  <w:r>
                                    <w:rPr>
                                      <w:szCs w:val="24"/>
                                      <w:lang w:eastAsia="lt-LT"/>
                                    </w:rPr>
                                    <w:t>8.1.2</w:t>
                                  </w:r>
                                  <w:r>
                                    <w:rPr>
                                      <w:szCs w:val="24"/>
                                      <w:vertAlign w:val="superscript"/>
                                      <w:lang w:eastAsia="lt-LT"/>
                                    </w:rPr>
                                    <w:t>1</w:t>
                                  </w:r>
                                </w:sdtContent>
                              </w:sdt>
                              <w:r>
                                <w:rPr>
                                  <w:szCs w:val="24"/>
                                  <w:lang w:eastAsia="lt-LT"/>
                                </w:rPr>
                                <w:t>. Projekto statybos verte, nurodyta Metodikos 8.1.2 papunktyje, laikoma rangovo, laimėjusio operatoriaus paskelbtą viešąjį pirkimą dėl elektros energijos įrenginių prijungimo prie elektros perdavimo tinklų, faktiškai atliktų elektros perdavimo tinklų statybos (įrengimo) darbų ir operatoriaus ir (ar) rangovo sunaudotų medžiagų faktinė kaina. Jei įgyvendinus projektą faktinė projekto statybos vertė nuo prijungimo sutarties su vartotojų sudarymo metu nurodytos vertės skiriasi ne daugiau nei 10 proc., maksimali kompensuotina perdavimo elektros tinklų projektavimo kaina neperskaičiuojama.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1.2-2 pp."/>
                            <w:tag w:val="part_471d7318345f4dc5979d8052577928db"/>
                            <w:lock w:val="sdtLocked"/>
                            <w:richText/>
                          </w:sdtPr>
                          <w:sdtContent>
                            <w:p>
                              <w:pPr>
                                <w:widowControl w:val="0"/>
                                <w:suppressAutoHyphens/>
                                <w:spacing w:line="259" w:lineRule="auto"/>
                                <w:ind w:firstLine="720"/>
                                <w:jc w:val="both"/>
                                <w:rPr>
                                  <w:bCs/>
                                  <w:color w:val="000000"/>
                                </w:rPr>
                              </w:pPr>
                              <w:sdt>
                                <w:sdtPr>
                                  <w:alias w:val="Numeris"/>
                                  <w:tag w:val="nr_471d7318345f4dc5979d8052577928db"/>
                                  <w:lock w:val="sdtLocked"/>
                                  <w:richText/>
                                </w:sdtPr>
                                <w:sdtContent>
                                  <w:r>
                                    <w:rPr>
                                      <w:szCs w:val="24"/>
                                      <w:lang w:eastAsia="lt-LT"/>
                                    </w:rPr>
                                    <w:t>8.1.2</w:t>
                                  </w:r>
                                  <w:r>
                                    <w:rPr>
                                      <w:szCs w:val="24"/>
                                      <w:vertAlign w:val="superscript"/>
                                      <w:lang w:eastAsia="lt-LT"/>
                                    </w:rPr>
                                    <w:t>2</w:t>
                                  </w:r>
                                </w:sdtContent>
                              </w:sdt>
                              <w:r>
                                <w:rPr>
                                  <w:szCs w:val="24"/>
                                  <w:lang w:eastAsia="lt-LT"/>
                                </w:rPr>
                                <w:t>. Maksimali kompensuotina skirstomųjų ir perdavimo elektros tinklų projektavimo kaina nevertinama (prilyginama nuliui), kai vartotojas padengia 100 procentų skirstomųjų tinklų operatoriaus prijungimo paslaugos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1.3 pp."/>
                            <w:tag w:val="part_64e69f98f5d24d05b69d3fc185469003"/>
                            <w:lock w:val="sdtLocked"/>
                            <w:richText/>
                          </w:sdtPr>
                          <w:sdtContent>
                            <w:p>
                              <w:pPr>
                                <w:spacing w:line="252" w:lineRule="auto"/>
                                <w:ind w:firstLine="720"/>
                                <w:jc w:val="both"/>
                                <w:rPr>
                                  <w:color w:val="000000"/>
                                </w:rPr>
                              </w:pPr>
                              <w:sdt>
                                <w:sdtPr>
                                  <w:alias w:val="Numeris"/>
                                  <w:tag w:val="nr_64e69f98f5d24d05b69d3fc185469003"/>
                                  <w:lock w:val="sdtLocked"/>
                                  <w:richText/>
                                </w:sdtPr>
                                <w:sdtContent>
                                  <w:r>
                                    <w:rPr>
                                      <w:color w:val="000000"/>
                                    </w:rPr>
                                    <w:t>8.1.3</w:t>
                                  </w:r>
                                </w:sdtContent>
                              </w:sdt>
                              <w:r>
                                <w:rPr>
                                  <w:color w:val="000000"/>
                                </w:rPr>
                                <w:t>. vartotojui apskaičiuota prijungimo įmoka, operatoriui pabaigus prijungimo paslaugos teikimą, nėra perskaičiuojama, išskyrus Metodikos 8.4 papunktyje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1.4 pp."/>
                            <w:tag w:val="part_b758a78f450b4654a7d5369a67b2392f"/>
                            <w:lock w:val="sdtLocked"/>
                            <w:richText/>
                          </w:sdtPr>
                          <w:sdtContent>
                            <w:p>
                              <w:pPr>
                                <w:spacing w:line="252" w:lineRule="auto"/>
                                <w:ind w:firstLine="720"/>
                                <w:jc w:val="both"/>
                                <w:rPr>
                                  <w:bCs/>
                                  <w:color w:val="000000"/>
                                </w:rPr>
                              </w:pPr>
                              <w:sdt>
                                <w:sdtPr>
                                  <w:alias w:val="Numeris"/>
                                  <w:tag w:val="nr_b758a78f450b4654a7d5369a67b2392f"/>
                                  <w:lock w:val="sdtLocked"/>
                                  <w:richText/>
                                </w:sdtPr>
                                <w:sdtContent>
                                  <w:r>
                                    <w:rPr>
                                      <w:bCs/>
                                      <w:color w:val="000000"/>
                                    </w:rPr>
                                    <w:t>8.1.4</w:t>
                                  </w:r>
                                </w:sdtContent>
                              </w:sdt>
                              <w:r>
                                <w:rPr>
                                  <w:bCs/>
                                  <w:color w:val="000000"/>
                                </w:rPr>
                                <w:t>.</w:t>
                                <w:tab/>
                                <w:t xml:space="preserve"> jei vartotojas keičia vienfazį atvadą trifaziu arba trifazį atvadą vienfaziu, kartu keisdamas leistiną naudoti galią, operatorius paslaugos kainai (prijungimo įmokai) apskaičiuoti naudoja vartotojui naujai suteikiamą leistiną naudoti galią, taikydamas Metodikos 8.1.1 papunktyje nurodytas P reikšmės apskaičiavimo nuostatas;</w:t>
                              </w:r>
                            </w:p>
                          </w:sdtContent>
                        </w:sdt>
                        <w:sdt>
                          <w:sdtPr>
                            <w:alias w:val="8.1.5 pp."/>
                            <w:tag w:val="part_3c1a1db57089496fbbea9350773ebf28"/>
                            <w:lock w:val="sdtLocked"/>
                            <w:richText/>
                          </w:sdtPr>
                          <w:sdtContent>
                            <w:p>
                              <w:pPr>
                                <w:spacing w:line="252" w:lineRule="auto"/>
                                <w:ind w:firstLine="720"/>
                                <w:jc w:val="both"/>
                                <w:rPr>
                                  <w:color w:val="000000"/>
                                </w:rPr>
                              </w:pPr>
                              <w:sdt>
                                <w:sdtPr>
                                  <w:alias w:val="Numeris"/>
                                  <w:tag w:val="nr_3c1a1db57089496fbbea9350773ebf28"/>
                                  <w:lock w:val="sdtLocked"/>
                                  <w:richText/>
                                </w:sdtPr>
                                <w:sdtContent>
                                  <w:r>
                                    <w:rPr>
                                      <w:color w:val="000000"/>
                                    </w:rPr>
                                    <w:t>8.1.5</w:t>
                                  </w:r>
                                </w:sdtContent>
                              </w:sdt>
                              <w:r>
                                <w:rPr>
                                  <w:color w:val="000000"/>
                                </w:rPr>
                                <w:t>.</w:t>
                                <w:tab/>
                              </w:r>
                              <w:r>
                                <w:rPr>
                                  <w:bCs/>
                                  <w:color w:val="000000"/>
                                </w:rPr>
                                <w:t>Metodikos 7.1.1-7.1.3 papunkčių atvejais vartotojas, proporcingai įrengiamai ar didinamai leistinai naudoti galiai, per Metodikos 10 punkte numatyto procentinio dydžio 1 kW leistinos naudoti galios įrengimo ar padidinimo įkainį, kuriame įskaičiuotas ir 1 kW tinklų plėtros įkainis, apmoka Metodikos 11 punkte nurodytų įrenginių plėtros, rekonstrukcijos, keitimo sąnaudas.</w:t>
                              </w:r>
                            </w:p>
                          </w:sdtContent>
                        </w:sdt>
                      </w:sdtContent>
                    </w:sdt>
                    <w:sdt>
                      <w:sdtPr>
                        <w:alias w:val="8.2 pp."/>
                        <w:tag w:val="part_b24d034efbc244fab553dba0c1b033b5"/>
                        <w:lock w:val="sdtLocked"/>
                        <w:richText/>
                      </w:sdtPr>
                      <w:sdtContent>
                        <w:p>
                          <w:pPr>
                            <w:spacing w:line="252" w:lineRule="auto"/>
                            <w:ind w:firstLine="720"/>
                            <w:jc w:val="both"/>
                            <w:rPr>
                              <w:color w:val="000000"/>
                            </w:rPr>
                          </w:pPr>
                          <w:sdt>
                            <w:sdtPr>
                              <w:alias w:val="Numeris"/>
                              <w:tag w:val="nr_b24d034efbc244fab553dba0c1b033b5"/>
                              <w:lock w:val="sdtLocked"/>
                              <w:richText/>
                            </w:sdtPr>
                            <w:sdtContent>
                              <w:r>
                                <w:rPr>
                                  <w:color w:val="000000"/>
                                </w:rPr>
                                <w:t>8.2</w:t>
                              </w:r>
                            </w:sdtContent>
                          </w:sdt>
                          <w:r>
                            <w:rPr>
                              <w:color w:val="000000"/>
                            </w:rPr>
                            <w:t>.</w:t>
                            <w:tab/>
                            <w:t>Metodikos 7.3 papunktyje nurodytais atvejais:</w:t>
                          </w:r>
                        </w:p>
                        <w:sdt>
                          <w:sdtPr>
                            <w:alias w:val="8.2.1 pp."/>
                            <w:tag w:val="part_07b25fafb46c4715893c4e3e83e631bf"/>
                            <w:lock w:val="sdtLocked"/>
                            <w:richText/>
                          </w:sdtPr>
                          <w:sdtContent>
                            <w:p>
                              <w:pPr>
                                <w:spacing w:line="252" w:lineRule="auto"/>
                                <w:ind w:firstLine="720"/>
                                <w:jc w:val="both"/>
                                <w:rPr>
                                  <w:color w:val="000000"/>
                                </w:rPr>
                              </w:pPr>
                              <w:sdt>
                                <w:sdtPr>
                                  <w:alias w:val="Numeris"/>
                                  <w:tag w:val="nr_07b25fafb46c4715893c4e3e83e631bf"/>
                                  <w:lock w:val="sdtLocked"/>
                                  <w:richText/>
                                </w:sdtPr>
                                <w:sdtContent>
                                  <w:r>
                                    <w:rPr>
                                      <w:color w:val="000000"/>
                                    </w:rPr>
                                    <w:t>8.2.1</w:t>
                                  </w:r>
                                </w:sdtContent>
                              </w:sdt>
                              <w:r>
                                <w:rPr>
                                  <w:color w:val="000000"/>
                                </w:rPr>
                                <w:t>.</w:t>
                                <w:tab/>
                                <w:t>vartotojo elektros energijos įrenginių prijungimo prie tinklo kaina (prijungimo įmoka) apskaičiuojama pagal rangovo, laimėjusio operatoriaus paskelbtą viešąjį pirkimą dėl vartotojo elektros energijos įrenginių prijungimo prie tinklo, atliktų darbų bei operatoriaus ir (ar) rangovo sunaudotų medžiagų ir kitų išlaidų, tiesiogiai susijusių su vartotojo elektros įrenginių prijungimu (pvz., kapitalizuotų darbuotojų darbo užmokesčio sąnaudų, kurios nebuvo įvertintos skirstymo</w:t>
                              </w:r>
                              <w:r>
                                <w:rPr>
                                  <w:b/>
                                  <w:bCs/>
                                  <w:color w:val="000000"/>
                                </w:rPr>
                                <w:t> </w:t>
                              </w:r>
                              <w:r>
                                <w:rPr>
                                  <w:color w:val="000000"/>
                                </w:rPr>
                                <w:t>ar perdavimo paslaugų kainose, išlaidų valstybės institucijų leidimams, pažymoms, notarinių sandorių sudarymui, servituto registravimui (išskyrus kompensacijas, mokamas žemės ar nekilnojamojo turto savininkams už operatoriaus naudai nustatytus servitutus ir specialiąsias žemės naudojimo sąlygas), archeologiniams tyrinėjimams, projektavimo darbams,</w:t>
                              </w:r>
                              <w:r>
                                <w:rPr>
                                  <w:b/>
                                  <w:bCs/>
                                  <w:color w:val="000000"/>
                                </w:rPr>
                                <w:t> </w:t>
                              </w:r>
                              <w:r>
                                <w:rPr>
                                  <w:color w:val="000000"/>
                                </w:rPr>
                                <w:t>techninei priežiūrai, techninio prižiūrėtojo draudimui, projekto ekspertizei), faktinę kainą;</w:t>
                              </w:r>
                            </w:p>
                          </w:sdtContent>
                        </w:sdt>
                        <w:sdt>
                          <w:sdtPr>
                            <w:alias w:val="8.2.2 pp."/>
                            <w:tag w:val="part_c360bee0691d46ddb6123bd638c0d1e8"/>
                            <w:lock w:val="sdtLocked"/>
                            <w:richText/>
                          </w:sdtPr>
                          <w:sdtContent>
                            <w:p>
                              <w:pPr>
                                <w:ind w:firstLine="720"/>
                                <w:jc w:val="both"/>
                                <w:rPr>
                                  <w:szCs w:val="24"/>
                                </w:rPr>
                              </w:pPr>
                              <w:sdt>
                                <w:sdtPr>
                                  <w:alias w:val="Numeris"/>
                                  <w:tag w:val="nr_c360bee0691d46ddb6123bd638c0d1e8"/>
                                  <w:lock w:val="sdtLocked"/>
                                  <w:richText/>
                                </w:sdtPr>
                                <w:sdtContent>
                                  <w:r>
                                    <w:rPr>
                                      <w:szCs w:val="24"/>
                                    </w:rPr>
                                    <w:t>8.2.2</w:t>
                                  </w:r>
                                </w:sdtContent>
                              </w:sdt>
                              <w:r>
                                <w:rPr>
                                  <w:szCs w:val="24"/>
                                </w:rPr>
                                <w:t>. vartotojui apskaičiuota prijungimo įmoka sumažinama maksimalia kompensuotina skirstomųjų elektros tinklų projektavimo kaina, kai vartotojas savo lėšomis organizuoja prijungimo prie skirstomųjų elektros tinklų projektavimo darbus. Tais atvejais, kai dėl prijungimo prie elektros skirstomųjų tinklų reikalinga perdavimo elektros tinklų plėtra ir kai vartotojas savo lėšomis organizuoja prijungimo prie elektros tinklų projektavimo darbus, taip pat įvertinama maksimali kompensuotina perdavimo elektros tinklų projektavimo kaina (neviršijant faktinės perdavimo elektros tinklų projektavimo paslaugų kainos, pagrįstos vartotojo), apskaičiuojama atsižvelgiant į projekto statybos vertę:</w:t>
                              </w:r>
                            </w:p>
                            <w:p>
                              <w:pPr>
                                <w:ind w:firstLine="720"/>
                                <w:jc w:val="both"/>
                                <w:rPr>
                                  <w:szCs w:val="24"/>
                                </w:rPr>
                              </w:pPr>
                            </w:p>
                            <w:tbl>
                              <w:tblPr>
                                <w:tblW w:w="4943" w:type="pct"/>
                                <w:tblCellMar>
                                  <w:left w:w="0" w:type="dxa"/>
                                  <w:right w:w="0" w:type="dxa"/>
                                </w:tblCellMar>
                                <w:tblLook w:val="04A0" w:firstRow="1" w:lastRow="0" w:firstColumn="1" w:lastColumn="0" w:noHBand="0" w:noVBand="1"/>
                              </w:tblPr>
                              <w:tblGrid>
                                <w:gridCol w:w="2458"/>
                                <w:gridCol w:w="1610"/>
                                <w:gridCol w:w="1380"/>
                                <w:gridCol w:w="1329"/>
                                <w:gridCol w:w="1510"/>
                                <w:gridCol w:w="1456"/>
                              </w:tblGrid>
                              <w:tr>
                                <w:tc>
                                  <w:tcPr>
                                    <w:tcW w:w="126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suppressAutoHyphens/>
                                      <w:spacing w:line="259" w:lineRule="auto"/>
                                      <w:jc w:val="center"/>
                                      <w:rPr>
                                        <w:szCs w:val="24"/>
                                      </w:rPr>
                                    </w:pPr>
                                    <w:r>
                                      <w:rPr>
                                        <w:szCs w:val="24"/>
                                      </w:rPr>
                                      <w:t>Projekto statybos vertė tūkst. Eur be PVM</w:t>
                                    </w:r>
                                  </w:p>
                                </w:tc>
                                <w:tc>
                                  <w:tcPr>
                                    <w:tcW w:w="826"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spacing w:line="259" w:lineRule="auto"/>
                                      <w:jc w:val="center"/>
                                      <w:rPr>
                                        <w:szCs w:val="24"/>
                                      </w:rPr>
                                    </w:pPr>
                                    <w:r>
                                      <w:rPr>
                                        <w:szCs w:val="24"/>
                                      </w:rPr>
                                      <w:t>Mažiau nei 500</w:t>
                                    </w:r>
                                  </w:p>
                                </w:tc>
                                <w:tc>
                                  <w:tcPr>
                                    <w:tcW w:w="70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spacing w:line="259" w:lineRule="auto"/>
                                      <w:jc w:val="center"/>
                                      <w:rPr>
                                        <w:szCs w:val="24"/>
                                      </w:rPr>
                                    </w:pPr>
                                    <w:r>
                                      <w:rPr>
                                        <w:szCs w:val="24"/>
                                      </w:rPr>
                                      <w:t>Ne mažiau nei 500, bet mažiau nei 1 000</w:t>
                                    </w:r>
                                  </w:p>
                                </w:tc>
                                <w:tc>
                                  <w:tcPr>
                                    <w:tcW w:w="68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spacing w:line="259" w:lineRule="auto"/>
                                      <w:jc w:val="center"/>
                                      <w:rPr>
                                        <w:szCs w:val="24"/>
                                      </w:rPr>
                                    </w:pPr>
                                    <w:r>
                                      <w:rPr>
                                        <w:szCs w:val="24"/>
                                      </w:rPr>
                                      <w:t>Ne mažiau nei 1 000, bet mažiau nei 2 000</w:t>
                                    </w:r>
                                  </w:p>
                                </w:tc>
                                <w:tc>
                                  <w:tcPr>
                                    <w:tcW w:w="775"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spacing w:line="259" w:lineRule="auto"/>
                                      <w:jc w:val="center"/>
                                      <w:rPr>
                                        <w:szCs w:val="24"/>
                                      </w:rPr>
                                    </w:pPr>
                                    <w:r>
                                      <w:rPr>
                                        <w:szCs w:val="24"/>
                                      </w:rPr>
                                      <w:t>Ne mažiau nei 2 000, bet mažiau nei 5 000</w:t>
                                    </w:r>
                                  </w:p>
                                </w:tc>
                                <w:tc>
                                  <w:tcPr>
                                    <w:tcW w:w="74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spacing w:line="259" w:lineRule="auto"/>
                                      <w:jc w:val="center"/>
                                      <w:rPr>
                                        <w:szCs w:val="24"/>
                                      </w:rPr>
                                    </w:pPr>
                                    <w:r>
                                      <w:rPr>
                                        <w:szCs w:val="24"/>
                                      </w:rPr>
                                      <w:t>Ne mažiau nei 5 000</w:t>
                                    </w:r>
                                  </w:p>
                                </w:tc>
                              </w:tr>
                              <w:tr>
                                <w:tc>
                                  <w:tcPr>
                                    <w:tcW w:w="126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pPr>
                                      <w:suppressAutoHyphens/>
                                      <w:spacing w:line="259" w:lineRule="auto"/>
                                      <w:jc w:val="both"/>
                                      <w:rPr>
                                        <w:szCs w:val="24"/>
                                      </w:rPr>
                                    </w:pPr>
                                    <w:r>
                                      <w:rPr>
                                        <w:szCs w:val="24"/>
                                      </w:rPr>
                                      <w:t>Taikomas maksimalus proc.</w:t>
                                    </w:r>
                                  </w:p>
                                </w:tc>
                                <w:tc>
                                  <w:tcPr>
                                    <w:tcW w:w="826"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suppressAutoHyphens/>
                                      <w:spacing w:line="259" w:lineRule="auto"/>
                                      <w:jc w:val="both"/>
                                      <w:rPr>
                                        <w:szCs w:val="24"/>
                                      </w:rPr>
                                    </w:pPr>
                                    <w:r>
                                      <w:rPr>
                                        <w:szCs w:val="24"/>
                                      </w:rPr>
                                      <w:t>8 %</w:t>
                                    </w:r>
                                  </w:p>
                                </w:tc>
                                <w:tc>
                                  <w:tcPr>
                                    <w:tcW w:w="708"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suppressAutoHyphens/>
                                      <w:spacing w:line="259" w:lineRule="auto"/>
                                      <w:jc w:val="both"/>
                                      <w:rPr>
                                        <w:szCs w:val="24"/>
                                      </w:rPr>
                                    </w:pPr>
                                    <w:r>
                                      <w:rPr>
                                        <w:szCs w:val="24"/>
                                      </w:rPr>
                                      <w:t>6 %</w:t>
                                    </w:r>
                                  </w:p>
                                </w:tc>
                                <w:tc>
                                  <w:tcPr>
                                    <w:tcW w:w="682"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suppressAutoHyphens/>
                                      <w:spacing w:line="259" w:lineRule="auto"/>
                                      <w:jc w:val="both"/>
                                      <w:rPr>
                                        <w:szCs w:val="24"/>
                                      </w:rPr>
                                    </w:pPr>
                                    <w:r>
                                      <w:rPr>
                                        <w:szCs w:val="24"/>
                                      </w:rPr>
                                      <w:t>5 %</w:t>
                                    </w:r>
                                  </w:p>
                                </w:tc>
                                <w:tc>
                                  <w:tcPr>
                                    <w:tcW w:w="775"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suppressAutoHyphens/>
                                      <w:spacing w:line="259" w:lineRule="auto"/>
                                      <w:jc w:val="both"/>
                                      <w:rPr>
                                        <w:szCs w:val="24"/>
                                      </w:rPr>
                                    </w:pPr>
                                    <w:r>
                                      <w:rPr>
                                        <w:szCs w:val="24"/>
                                      </w:rPr>
                                      <w:t>4 %</w:t>
                                    </w:r>
                                  </w:p>
                                </w:tc>
                                <w:tc>
                                  <w:tcPr>
                                    <w:tcW w:w="747"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suppressAutoHyphens/>
                                      <w:spacing w:line="259" w:lineRule="auto"/>
                                      <w:jc w:val="both"/>
                                      <w:rPr>
                                        <w:szCs w:val="24"/>
                                      </w:rPr>
                                    </w:pPr>
                                    <w:r>
                                      <w:rPr>
                                        <w:szCs w:val="24"/>
                                      </w:rPr>
                                      <w:t>3 %</w:t>
                                    </w:r>
                                  </w:p>
                                </w:tc>
                              </w:tr>
                            </w:tbl>
                            <w:p>
                              <w:pPr>
                                <w:spacing w:line="252" w:lineRule="auto"/>
                                <w:ind w:firstLine="720"/>
                                <w:jc w:val="right"/>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2.2-1 pp."/>
                            <w:tag w:val="part_cfa5887c1d3848acb1848ed02f4bed46"/>
                            <w:lock w:val="sdtLocked"/>
                            <w:richText/>
                          </w:sdtPr>
                          <w:sdtContent>
                            <w:p>
                              <w:pPr>
                                <w:ind w:firstLine="720"/>
                                <w:jc w:val="both"/>
                              </w:pPr>
                              <w:sdt>
                                <w:sdtPr>
                                  <w:alias w:val="Numeris"/>
                                  <w:tag w:val="nr_cfa5887c1d3848acb1848ed02f4bed46"/>
                                  <w:lock w:val="sdtLocked"/>
                                  <w:richText/>
                                </w:sdtPr>
                                <w:sdtContent>
                                  <w:r>
                                    <w:rPr>
                                      <w:szCs w:val="24"/>
                                    </w:rPr>
                                    <w:t>8.2.2</w:t>
                                  </w:r>
                                  <w:r>
                                    <w:rPr>
                                      <w:szCs w:val="24"/>
                                      <w:vertAlign w:val="superscript"/>
                                    </w:rPr>
                                    <w:t>1</w:t>
                                  </w:r>
                                </w:sdtContent>
                              </w:sdt>
                              <w:r>
                                <w:rPr>
                                  <w:szCs w:val="24"/>
                                </w:rPr>
                                <w:t>. Projekto statybos verte, nurodyta Metodikos 8.2.2 papunktyje, laikoma rangovo, laimėjusio operatoriaus paskelbtą viešąjį pirkimą dėl elektros energijos įrenginių prijungimo prie elektros perdavimo tinklų, faktiškai atliktų elektros perdavimo tinklų statybos (įrengimo) darbų ir operatoriaus ir (ar) rangovo sunaudotų medžiagų faktinė kaina. Jei įgyvendinus projektą faktinė projekto statybos vertė nuo prijungimo sutarties su vartotojų sudarymo metu nurodytos vertės skiriasi ne daugiau nei 10 proc., maksimali kompensuotina perdavimo elektros tinklų projektavimo kaina neperskaičiuojama.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2.2-2 pp."/>
                            <w:tag w:val="part_d641372d2696441699049ef036e8c9ed"/>
                            <w:lock w:val="sdtLocked"/>
                            <w:richText/>
                          </w:sdtPr>
                          <w:sdtContent>
                            <w:p>
                              <w:pPr>
                                <w:ind w:firstLine="720"/>
                                <w:jc w:val="both"/>
                                <w:rPr>
                                  <w:color w:val="000000"/>
                                </w:rPr>
                              </w:pPr>
                              <w:sdt>
                                <w:sdtPr>
                                  <w:alias w:val="Numeris"/>
                                  <w:tag w:val="nr_d641372d2696441699049ef036e8c9ed"/>
                                  <w:lock w:val="sdtLocked"/>
                                  <w:richText/>
                                </w:sdtPr>
                                <w:sdtContent>
                                  <w:r>
                                    <w:rPr>
                                      <w:szCs w:val="24"/>
                                    </w:rPr>
                                    <w:t>8.2.2</w:t>
                                  </w:r>
                                  <w:r>
                                    <w:rPr>
                                      <w:szCs w:val="24"/>
                                      <w:vertAlign w:val="superscript"/>
                                    </w:rPr>
                                    <w:t>2</w:t>
                                  </w:r>
                                </w:sdtContent>
                              </w:sdt>
                              <w:r>
                                <w:rPr>
                                  <w:szCs w:val="24"/>
                                </w:rPr>
                                <w:t>. Maksimali kompensuotina skirstomųjų ir perdavimo elektros tinklų projektavimo kaina nevertinama (prilyginama nuliui), kai vartotojas padengia 100 procentų skirstomųjų tinklų operatoriaus prijungimo paslaugos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2.3 pp."/>
                            <w:tag w:val="part_05db57a206a545f6ba8019f3a87c0571"/>
                            <w:lock w:val="sdtLocked"/>
                            <w:richText/>
                          </w:sdtPr>
                          <w:sdtContent>
                            <w:p>
                              <w:pPr>
                                <w:spacing w:line="252" w:lineRule="auto"/>
                                <w:ind w:firstLine="720"/>
                                <w:jc w:val="both"/>
                                <w:rPr>
                                  <w:color w:val="000000"/>
                                </w:rPr>
                              </w:pPr>
                              <w:sdt>
                                <w:sdtPr>
                                  <w:alias w:val="Numeris"/>
                                  <w:tag w:val="nr_05db57a206a545f6ba8019f3a87c0571"/>
                                  <w:lock w:val="sdtLocked"/>
                                  <w:richText/>
                                </w:sdtPr>
                                <w:sdtContent>
                                  <w:r>
                                    <w:rPr>
                                      <w:color w:val="000000"/>
                                    </w:rPr>
                                    <w:t>8.2.3</w:t>
                                  </w:r>
                                </w:sdtContent>
                              </w:sdt>
                              <w:r>
                                <w:rPr>
                                  <w:color w:val="000000"/>
                                </w:rPr>
                                <w:t>.</w:t>
                                <w:tab/>
                              </w:r>
                              <w:r>
                                <w:rPr>
                                  <w:bCs/>
                                  <w:color w:val="000000"/>
                                </w:rPr>
                                <w:t xml:space="preserve">Metodikos 7.3.1 papunkčio atveju vartotojas proporcingai įrengiamai ar didinamai leistinai naudoti galiai pagal Tarybos patvirtintą 1 kW tinklų plėtros įkainį ir  Metodikos 10 punkte numatytą procentinį dydį apmoka Metodikos 11 punkte nurodytų įrenginių plėtros, rekonstrukcijos, keitimo sąnaudas, kurios įskaičiuojamos į faktinę atliekamų darbų kainą;</w:t>
                              </w:r>
                            </w:p>
                          </w:sdtContent>
                        </w:sdt>
                        <w:sdt>
                          <w:sdtPr>
                            <w:alias w:val="8.2.4 pp."/>
                            <w:tag w:val="part_331f00ddc27844dfb9d4fea9c292bae4"/>
                            <w:lock w:val="sdtLocked"/>
                            <w:richText/>
                          </w:sdtPr>
                          <w:sdtContent>
                            <w:p>
                              <w:pPr>
                                <w:spacing w:line="252" w:lineRule="auto"/>
                                <w:ind w:firstLine="720"/>
                                <w:jc w:val="both"/>
                                <w:rPr>
                                  <w:color w:val="000000"/>
                                </w:rPr>
                              </w:pPr>
                              <w:sdt>
                                <w:sdtPr>
                                  <w:alias w:val="Numeris"/>
                                  <w:tag w:val="nr_331f00ddc27844dfb9d4fea9c292bae4"/>
                                  <w:lock w:val="sdtLocked"/>
                                  <w:richText/>
                                </w:sdtPr>
                                <w:sdtContent>
                                  <w:r>
                                    <w:rPr>
                                      <w:color w:val="000000"/>
                                    </w:rPr>
                                    <w:t>8.2.4</w:t>
                                  </w:r>
                                </w:sdtContent>
                              </w:sdt>
                              <w:r>
                                <w:rPr>
                                  <w:color w:val="000000"/>
                                </w:rPr>
                                <w:t>. vartotojui apskaičiuota prijungimo įmoka gali būti perskaičiuojama Prijungimo sutarčių apraše, Metodikoje ir (ar) prijungimo paslaugos suteikimo sutartyje nustatytais atvejais. Tuo atveju, kai projektavimo darbus organizuoja operatorius ir po projekto parengimo: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sdt>
                              <w:sdtPr>
                                <w:alias w:val="8.2.4.1 pp."/>
                                <w:tag w:val="part_ac74f9f44a6a44b29a983b2536bc689b"/>
                                <w:lock w:val="sdtLocked"/>
                                <w:richText/>
                              </w:sdtPr>
                              <w:sdtContent>
                                <w:p>
                                  <w:pPr>
                                    <w:tabs>
                                      <w:tab w:val="left" w:pos="1560"/>
                                    </w:tabs>
                                    <w:spacing w:line="252" w:lineRule="auto"/>
                                    <w:ind w:firstLine="720"/>
                                    <w:jc w:val="both"/>
                                    <w:rPr>
                                      <w:color w:val="000000"/>
                                    </w:rPr>
                                  </w:pPr>
                                  <w:sdt>
                                    <w:sdtPr>
                                      <w:alias w:val="Numeris"/>
                                      <w:tag w:val="nr_ac74f9f44a6a44b29a983b2536bc689b"/>
                                      <w:lock w:val="sdtLocked"/>
                                      <w:richText/>
                                    </w:sdtPr>
                                    <w:sdtContent>
                                      <w:r>
                                        <w:rPr>
                                          <w:color w:val="000000"/>
                                        </w:rPr>
                                        <w:t>8.2.4.1</w:t>
                                      </w:r>
                                    </w:sdtContent>
                                  </w:sdt>
                                  <w:r>
                                    <w:rPr>
                                      <w:color w:val="000000"/>
                                    </w:rPr>
                                    <w:t>.</w:t>
                                    <w:tab/>
                                    <w:t>elektros tinklų projekto įgyvendinimo kaina padidėja dėl aplinkybių, kurios operatoriaus galėjo būti įvertintos preliminarios prijungimo įmokos apskaičiavimo metu, tačiau nebuvo įvertintos ar buvo įvertinos netinkamai (t. y. dėl kitų, nepriskiriamų objektyvioms, priežasčių), vartotojui tęsiant prijungimo paslaugos procesą vartotojo prijungimo įmoka nėra keičiama, o susidariusį prijungimo sąnaudų skirtumą tarp preliminarios ir perskaičiuotos prijungimo įmokos pilna apimtimi dengia operatorius. Objektyviomis priežastimis galėtų būti laikomos tokios aplinkybės kaip negauti žemės sklypų sutikimai dėl servitutų nustatymo, nesuteikti leidimai ar sutikimai iš valstybinių institucijų ar įstaigų, įvykę viešieji pirkimai, kurių metu gautas pasiūlymas didesnis nei projekto sąmatinė vertė, pasikeičia tiesiamas tinklo atstumas (pavyzdžiui, reikia apeiti privačius sklypus negavus sutikimo) ir kitos objektyvios aplinkybės;</w:t>
                                  </w:r>
                                </w:p>
                              </w:sdtContent>
                            </w:sdt>
                            <w:sdt>
                              <w:sdtPr>
                                <w:alias w:val="8.2.4.2 pp."/>
                                <w:tag w:val="part_f443cca94abf4124a136f31341d23de6"/>
                                <w:lock w:val="sdtLocked"/>
                                <w:richText/>
                              </w:sdtPr>
                              <w:sdtContent>
                                <w:p>
                                  <w:pPr>
                                    <w:spacing w:line="252" w:lineRule="auto"/>
                                    <w:ind w:firstLine="720"/>
                                    <w:jc w:val="both"/>
                                    <w:rPr>
                                      <w:color w:val="000000"/>
                                    </w:rPr>
                                  </w:pPr>
                                  <w:sdt>
                                    <w:sdtPr>
                                      <w:alias w:val="Numeris"/>
                                      <w:tag w:val="nr_f443cca94abf4124a136f31341d23de6"/>
                                      <w:lock w:val="sdtLocked"/>
                                      <w:richText/>
                                    </w:sdtPr>
                                    <w:sdtContent>
                                      <w:r>
                                        <w:rPr>
                                          <w:color w:val="000000"/>
                                        </w:rPr>
                                        <w:t>8.2.4.2</w:t>
                                      </w:r>
                                    </w:sdtContent>
                                  </w:sdt>
                                  <w:r>
                                    <w:rPr>
                                      <w:color w:val="000000"/>
                                    </w:rPr>
                                    <w:t>. perskaičiuota prijungimo įmoka padidėja dėl aplinkybių, kurios operatoriaus galėjo būti įvertintos preliminarios prijungimo įmokos apskaičiavimo metu, tačiau nebuvo įvertintos ar buvo įvertinos netinkamai (t. y. dėl kitų, nepriskiriamų objektyvioms, priežasčių) arba perskaičiavus įmoką dėl objektyvių aplinkybių ji padidėja 10 proc. ir daugiau, ir vartotojas iki rangos darbų pradžios priima sprendimą nutraukti prijungimo paslaugos sutartį, patirtas projektavimo sąnaudas pilna apimtimi padengia operatorius, dėl kurio padidėja projektavimo sąnaudos. Jei perskaičiuota prijungimo įmoka daugiau nei 10 proc. padidėja dėl kelių tinklų operatorių atsakomybės, tinklų operatoriai patirtas projektavimo sąnaudas padengia proporcingai tinklų operatorių išlaidų daliai;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Content>
                        </w:sdt>
                        <w:sdt>
                          <w:sdtPr>
                            <w:alias w:val="8.2.5 pp."/>
                            <w:tag w:val="part_08c11a5a8a954d11b93111f12424e49c"/>
                            <w:lock w:val="sdtLocked"/>
                            <w:richText/>
                          </w:sdtPr>
                          <w:sdtContent>
                            <w:p>
                              <w:pPr>
                                <w:spacing w:line="252" w:lineRule="auto"/>
                                <w:ind w:firstLine="720"/>
                                <w:jc w:val="both"/>
                                <w:rPr>
                                  <w:color w:val="000000"/>
                                </w:rPr>
                              </w:pPr>
                              <w:sdt>
                                <w:sdtPr>
                                  <w:alias w:val="Numeris"/>
                                  <w:tag w:val="nr_08c11a5a8a954d11b93111f12424e49c"/>
                                  <w:lock w:val="sdtLocked"/>
                                  <w:richText/>
                                </w:sdtPr>
                                <w:sdtContent>
                                  <w:r>
                                    <w:rPr>
                                      <w:szCs w:val="24"/>
                                    </w:rPr>
                                    <w:t>8.2.5</w:t>
                                  </w:r>
                                </w:sdtContent>
                              </w:sdt>
                              <w:r>
                                <w:rPr>
                                  <w:szCs w:val="24"/>
                                </w:rPr>
                                <w:t>. kai vartotojo įrenginių prijungimo prie elektros tinklų projektavimo darbus organizuoja operatorius, operatorius, teikdamas vartotojui informaciją apie apskaičiuotą preliminarią ir perskaičiuotą prijungimo kainą, nurodo iš kokių sąnaudų pogrupių susidaro vartotojui apskaičiuota prijungimo įmoka (pvz., atskirai nurodo sumines darbų, medžiagų, investicijų į įrenginius sąnaudas, ar kitų pagrindinių sąnaudų grupių dalis, priklausomai nuo teikiamos paslaugos specifikos) ir, kai prijungimo kaina yra perskaičiuojama, vartotojui nurodo perskaičiavimo priežastis bei sąnaudų grupę (-es), kuri (-ios) turėjo esminę įtaką prijungimo kainos perskaičiavimui;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2.6 pp."/>
                            <w:tag w:val="part_09015efa84244e7ba853f050bf16710f"/>
                            <w:lock w:val="sdtLocked"/>
                            <w:richText/>
                          </w:sdtPr>
                          <w:sdtContent>
                            <w:p>
                              <w:pPr>
                                <w:spacing w:line="252" w:lineRule="auto"/>
                                <w:ind w:firstLine="720"/>
                                <w:jc w:val="both"/>
                                <w:rPr>
                                  <w:color w:val="000000"/>
                                </w:rPr>
                              </w:pPr>
                              <w:sdt>
                                <w:sdtPr>
                                  <w:alias w:val="Numeris"/>
                                  <w:tag w:val="nr_09015efa84244e7ba853f050bf16710f"/>
                                  <w:lock w:val="sdtLocked"/>
                                  <w:richText/>
                                </w:sdtPr>
                                <w:sdtContent>
                                  <w:r>
                                    <w:rPr>
                                      <w:color w:val="000000"/>
                                    </w:rPr>
                                    <w:t>8.2.6</w:t>
                                  </w:r>
                                </w:sdtContent>
                              </w:sdt>
                              <w:r>
                                <w:rPr>
                                  <w:color w:val="000000"/>
                                </w:rPr>
                                <w:t>. kai vartotojo įrenginių prijungimo prie elektros tinklų projektavimo darbus savo lėšomis organizuoja vartotojas, operatorius tikslesnei planuojamų darbų sąmatai apskaičiuoti ir preliminariai prijungimo įmokai po projekto parengimo nustatyti pateikia vartotojui ar projektavimo darbus atliekančiam rangovui galiojančių rangos sutarčių įkainius. Jei vartotojas neatsižvelgia į šiuos įkainius, dėl to susidariusį prijungimo įmokos skirtumą apmoka vartotojas;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2.7 pp."/>
                            <w:tag w:val="part_a49149808c2944b8ad09616d2f5c2892"/>
                            <w:lock w:val="sdtLocked"/>
                            <w:richText/>
                          </w:sdtPr>
                          <w:sdtContent>
                            <w:p>
                              <w:pPr>
                                <w:spacing w:line="252" w:lineRule="auto"/>
                                <w:ind w:firstLine="720"/>
                                <w:jc w:val="both"/>
                                <w:rPr>
                                  <w:color w:val="000000"/>
                                </w:rPr>
                              </w:pPr>
                              <w:sdt>
                                <w:sdtPr>
                                  <w:alias w:val="Numeris"/>
                                  <w:tag w:val="nr_a49149808c2944b8ad09616d2f5c2892"/>
                                  <w:lock w:val="sdtLocked"/>
                                  <w:richText/>
                                </w:sdtPr>
                                <w:sdtContent>
                                  <w:r>
                                    <w:rPr>
                                      <w:color w:val="000000"/>
                                    </w:rPr>
                                    <w:t>8.2.7</w:t>
                                  </w:r>
                                </w:sdtContent>
                              </w:sdt>
                              <w:r>
                                <w:rPr>
                                  <w:color w:val="000000"/>
                                </w:rPr>
                                <w:t>.</w:t>
                                <w:tab/>
                                <w:t xml:space="preserve"> jei vartotojui pateikus paraišką dėl prijungimo prie elektros tinklų ar leistinos naudoti galios padidinimo, nustatoma, kad dar neprijungus vartotojo elektros įrenginių ar nepadidinus įrenginių leistinos naudoti galios tinklų operatoriaus tinklo techniniai parametrai ir persiunčiamos elektros energijos kokybė neatitinka teisės aktų reikalavimų, </w:t>
                              </w:r>
                              <w:r>
                                <w:rPr>
                                  <w:szCs w:val="24"/>
                                </w:rPr>
                                <w:t>įskaitant Lietuvos standarto LST EN 50160:2010 „Viešųjų elektros tinklų įtampos charakteristikos“ reikalavimų</w:t>
                              </w:r>
                              <w:r>
                                <w:rPr>
                                  <w:color w:val="000000"/>
                                  <w:szCs w:val="24"/>
                                </w:rPr>
                                <w:t>,</w:t>
                              </w:r>
                              <w:r>
                                <w:rPr>
                                  <w:color w:val="000000"/>
                                </w:rPr>
                                <w:t xml:space="preserve"> elektros tinklų techniniai parametrai gerinami ir tinklų rekonstrukcija atliekama tinklų operatoriaus lėšomis. Apskaičiuojant paslaugos kainą vartotojui vertinama tik ta faktinių darbų sąnaudų dalis, kuri sąlygota vartotojo įrenginių prijungimo ar leistinos naudoti galios padidinimo. Šio papunkčio nuostatos taip pat taikomos gamintojams, gaminantiems vartotojams</w:t>
                              </w:r>
                              <w:r>
                                <w:rPr>
                                  <w:sz w:val="20"/>
                                  <w:lang w:eastAsia="lt-LT"/>
                                </w:rPr>
                                <w:t xml:space="preserve"> </w:t>
                              </w:r>
                              <w:r>
                                <w:rPr>
                                  <w:szCs w:val="24"/>
                                  <w:lang w:eastAsia="lt-LT"/>
                                </w:rPr>
                                <w:t xml:space="preserve">ir </w:t>
                              </w:r>
                              <w:r>
                                <w:rPr>
                                  <w:rFonts w:eastAsia="Arial Unicode MS"/>
                                  <w:szCs w:val="24"/>
                                  <w:bdr w:val="nil"/>
                                  <w:lang w:eastAsia="lt-LT"/>
                                </w:rPr>
                                <w:t>asmenims, siekiantiems prijungti energijos kaupimo įrenginius</w:t>
                              </w:r>
                              <w:r>
                                <w:rPr>
                                  <w:color w:val="000000"/>
                                </w:rPr>
                                <w:t>.</w:t>
                              </w:r>
                            </w:p>
                          </w:sdtContent>
                        </w:sdt>
                      </w:sdtContent>
                    </w:sdt>
                    <w:sdt>
                      <w:sdtPr>
                        <w:alias w:val="8.3 pp."/>
                        <w:tag w:val="part_032a3553cfb641a79c94e58c60c3d45b"/>
                        <w:lock w:val="sdtLocked"/>
                        <w:richText/>
                      </w:sdtPr>
                      <w:sdtContent>
                        <w:p>
                          <w:pPr>
                            <w:spacing w:line="252" w:lineRule="auto"/>
                            <w:ind w:firstLine="720"/>
                            <w:jc w:val="both"/>
                          </w:pPr>
                          <w:sdt>
                            <w:sdtPr>
                              <w:alias w:val="Numeris"/>
                              <w:tag w:val="nr_032a3553cfb641a79c94e58c60c3d45b"/>
                              <w:lock w:val="sdtLocked"/>
                              <w:richText/>
                            </w:sdtPr>
                            <w:sdtContent>
                              <w:r>
                                <w:rPr>
                                  <w:color w:val="000000"/>
                                </w:rPr>
                                <w:t>8.3</w:t>
                              </w:r>
                            </w:sdtContent>
                          </w:sdt>
                          <w:r>
                            <w:rPr>
                              <w:color w:val="000000"/>
                            </w:rPr>
                            <w:t>.</w:t>
                            <w:tab/>
                            <w:t xml:space="preserve">Metodikos 7.1 papunkčio atveju prijungimo tašku </w:t>
                          </w:r>
                          <w:r>
                            <w:rPr>
                              <w:rFonts w:eastAsia="Arial Unicode MS"/>
                              <w:color w:val="000000"/>
                              <w:szCs w:val="24"/>
                              <w:bdr w:val="nil"/>
                            </w:rPr>
                            <w:t xml:space="preserve">yra laikoma artimiausia </w:t>
                          </w:r>
                          <w:r>
                            <w:rPr>
                              <w:rFonts w:eastAsia="Arial Unicode MS"/>
                              <w:szCs w:val="24"/>
                              <w:bdr w:val="nil"/>
                              <w:shd w:val="clear" w:color="auto" w:fill="FFFFFF"/>
                            </w:rPr>
                            <w:t>0,4/(6)10kV transformatorinė</w:t>
                          </w:r>
                          <w:r>
                            <w:rPr>
                              <w:rFonts w:eastAsia="Arial Unicode MS"/>
                              <w:color w:val="000000"/>
                              <w:szCs w:val="24"/>
                              <w:bdr w:val="nil"/>
                            </w:rPr>
                            <w:t xml:space="preserve">, Metodikos 7.3 papunkčio atveju – </w:t>
                          </w:r>
                          <w:r>
                            <w:rPr>
                              <w:color w:val="000000"/>
                            </w:rPr>
                            <w:t>ekonomiškai ir techniškai palankiausi atitinkamos įtampos konkretūs operatoriaus energetikos objektai (transformatorių pastotės, transformatorinės, skirstomieji punktai, elektros linijų atramos ir kt.), nuo kurių bus prijungiami plečiami ir / ar rekonstruojami tinklai (įrenginiai), būtini vartotojo elektros energijos įrenginiams prijungti.</w:t>
                          </w:r>
                        </w:p>
                      </w:sdtContent>
                    </w:sdt>
                    <w:sdt>
                      <w:sdtPr>
                        <w:alias w:val="8.4 pp."/>
                        <w:tag w:val="part_bc239f7debb8489aaa6962d433239c06"/>
                        <w:lock w:val="sdtLocked"/>
                        <w:richText/>
                      </w:sdtPr>
                      <w:sdtContent>
                        <w:p>
                          <w:pPr>
                            <w:spacing w:line="252" w:lineRule="auto"/>
                            <w:ind w:firstLine="720"/>
                            <w:jc w:val="both"/>
                          </w:pPr>
                          <w:sdt>
                            <w:sdtPr>
                              <w:alias w:val="Numeris"/>
                              <w:tag w:val="nr_bc239f7debb8489aaa6962d433239c06"/>
                              <w:lock w:val="sdtLocked"/>
                              <w:richText/>
                            </w:sdtPr>
                            <w:sdtContent>
                              <w:r>
                                <w:rPr>
                                  <w:rFonts w:eastAsia="Arial Unicode MS"/>
                                  <w:szCs w:val="24"/>
                                  <w:bdr w:val="nil"/>
                                  <w:lang w:eastAsia="lt-LT"/>
                                </w:rPr>
                                <w:t>8.4</w:t>
                              </w:r>
                            </w:sdtContent>
                          </w:sdt>
                          <w:r>
                            <w:rPr>
                              <w:rFonts w:eastAsia="Arial Unicode MS"/>
                              <w:szCs w:val="24"/>
                              <w:bdr w:val="nil"/>
                              <w:lang w:eastAsia="lt-LT"/>
                            </w:rPr>
                            <w:t>. Jei paaiškėja, kad dėl asmens, kuris kreipiasi dėl prijungimo paslaugos suteikimo, pateiktos informacijos neatitikimo faktinėms aplinkybėms (pavyzdžiui, nurodomi kiti nei faktiškai prijungiami elektros įrenginiai, nurodomas faktinės vietos neatitinkantis prijungimo taškas) ar dėl nepateiktos informacijos prijungimo įmoka buvo apskaičiuota neteisingai (neatitinka pagal prijungimo kainodarą reglamentuojančių teisės aktų), įmoka perskaičiuojama pakeičiant asmens, kuris kreipiasi dėl prijungimo paslaugos suteikimo, padengtiną prijungimo sąnaudų dalį, prijungimo įmokos apskaičiavimo būdą (nurodytą Metodikos 7.1 arba 7.3 papunkčiuose) ir (arba) Metodikos 5 punkte nurodytą vartotojų grupę į atitinkančią faktinę situaciją. Jei susidaręs prijungimo sąnaudų skirtumas yra didesnis nei preliminari prijungimo įmoka, susidariusį prijungimo sąnaudų skirtumą tarp preliminarios ir perskaičiuotos prijungimo įmokos visa apimtimi dengia asmuo, kuris kreipiasi dėl prijungimo paslaugos suteikimo. Jei susidaręs prijungimo sąnaudų skirtumas yra mažesnis nei preliminari prijungimo įmoka, operatorius permoką grąžina asmeniui, kuris kreipėsi dėl prijungimo paslaugos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8.5 pp."/>
                        <w:tag w:val="part_f477ad7db94b4e198e93f96a775bc2e2"/>
                        <w:lock w:val="sdtLocked"/>
                        <w:richText/>
                      </w:sdtPr>
                      <w:sdtContent>
                        <w:p>
                          <w:pPr>
                            <w:spacing w:line="252" w:lineRule="auto"/>
                            <w:ind w:firstLine="720"/>
                            <w:jc w:val="both"/>
                            <w:rPr>
                              <w:color w:val="000000"/>
                            </w:rPr>
                          </w:pPr>
                          <w:sdt>
                            <w:sdtPr>
                              <w:alias w:val="Numeris"/>
                              <w:tag w:val="nr_f477ad7db94b4e198e93f96a775bc2e2"/>
                              <w:lock w:val="sdtLocked"/>
                              <w:richText/>
                            </w:sdtPr>
                            <w:sdtContent>
                              <w:r>
                                <w:rPr>
                                  <w:bCs/>
                                  <w:szCs w:val="24"/>
                                  <w:lang w:eastAsia="lt-LT"/>
                                </w:rPr>
                                <w:t>8.5</w:t>
                              </w:r>
                            </w:sdtContent>
                          </w:sdt>
                          <w:r>
                            <w:rPr>
                              <w:bCs/>
                              <w:szCs w:val="24"/>
                              <w:lang w:eastAsia="lt-LT"/>
                            </w:rPr>
                            <w:t xml:space="preserve">. kai Metodikos 7.1 papunktyje nurodytais atvejais rangovų darbų (išskyrus projektavimą) kainos auga daugiau nei darbų (išskyrus projektavimą) kainos pagal licencijuotos ir sertifikuotos įmonės skelbiamus įkainius, skaičiuojant prijungimo paslaugos įkainius, sąnaudų dalis, susijusi su rangovų darbų kainomis yra apribojama pagal licencijuotos ir sertifikuotos įmonės skelbiamus darbų įkainius. Susidaręs skirtumas tarp rangovų darbų ir licencijuotos ir sertifikuotos įmonės skelbiamų darbų  įkainių priskiriamas reguliuojamo turto vertei, bet nevertinamas atliekant nustatytų prijungimo įkainių ir faktinių verčių palyginimus.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Content>
                </w:sdt>
              </w:sdtContent>
            </w:sdt>
            <w:sdt>
              <w:sdtPr>
                <w:alias w:val="skirsnis"/>
                <w:tag w:val="part_a593e0b5ce60469f8c0e3c19bf07c932"/>
                <w:lock w:val="sdtLocked"/>
                <w:richText/>
              </w:sdtPr>
              <w:sdtContent>
                <w:p>
                  <w:pPr>
                    <w:spacing w:line="252" w:lineRule="auto"/>
                    <w:jc w:val="center"/>
                    <w:rPr>
                      <w:b/>
                      <w:bCs/>
                      <w:color w:val="000000"/>
                    </w:rPr>
                  </w:pPr>
                  <w:sdt>
                    <w:sdtPr>
                      <w:alias w:val="Numeris"/>
                      <w:tag w:val="nr_a593e0b5ce60469f8c0e3c19bf07c932"/>
                      <w:lock w:val="sdtLocked"/>
                      <w:richText/>
                    </w:sdtPr>
                    <w:sdtContent>
                      <w:r>
                        <w:rPr>
                          <w:b/>
                          <w:bCs/>
                          <w:color w:val="000000"/>
                        </w:rPr>
                        <w:t>TREČIASIS</w:t>
                      </w:r>
                    </w:sdtContent>
                  </w:sdt>
                  <w:r>
                    <w:rPr>
                      <w:b/>
                      <w:bCs/>
                      <w:color w:val="000000"/>
                    </w:rPr>
                    <w:t xml:space="preserve"> SKIRSNIS</w:t>
                  </w:r>
                </w:p>
                <w:p>
                  <w:pPr>
                    <w:spacing w:line="252" w:lineRule="auto"/>
                    <w:jc w:val="center"/>
                    <w:rPr>
                      <w:b/>
                      <w:color w:val="000000"/>
                    </w:rPr>
                  </w:pPr>
                  <w:sdt>
                    <w:sdtPr>
                      <w:alias w:val="Pavadinimas"/>
                      <w:tag w:val="title_a593e0b5ce60469f8c0e3c19bf07c932"/>
                      <w:lock w:val="sdtLocked"/>
                      <w:richText/>
                    </w:sdtPr>
                    <w:sdtContent>
                      <w:r>
                        <w:rPr>
                          <w:b/>
                          <w:color w:val="000000"/>
                        </w:rPr>
                        <w:t>PRIJUNGIMO IŠLAIDŲ PASKIRSTYMO TARP OPERATORIAUS IR VARTOTOJŲ TVARKA IR SĄLYGOS</w:t>
                      </w:r>
                    </w:sdtContent>
                  </w:sdt>
                </w:p>
                <w:p>
                  <w:pPr>
                    <w:spacing w:line="252" w:lineRule="auto"/>
                    <w:ind w:firstLine="851"/>
                    <w:jc w:val="center"/>
                    <w:rPr>
                      <w:b/>
                      <w:color w:val="000000"/>
                    </w:rPr>
                  </w:pPr>
                </w:p>
                <w:sdt>
                  <w:sdtPr>
                    <w:alias w:val="9 p."/>
                    <w:tag w:val="part_2baad9d2837c4c71898cee616eb4939a"/>
                    <w:lock w:val="sdtLocked"/>
                    <w:richText/>
                  </w:sdtPr>
                  <w:sdtContent>
                    <w:p>
                      <w:pPr>
                        <w:spacing w:line="252" w:lineRule="auto"/>
                        <w:ind w:firstLine="720"/>
                        <w:jc w:val="both"/>
                      </w:pPr>
                      <w:sdt>
                        <w:sdtPr>
                          <w:alias w:val="Numeris"/>
                          <w:tag w:val="nr_2baad9d2837c4c71898cee616eb4939a"/>
                          <w:lock w:val="sdtLocked"/>
                          <w:richText/>
                        </w:sdtPr>
                        <w:sdtContent>
                          <w:r>
                            <w:rPr>
                              <w:color w:val="000000"/>
                              <w:lang w:eastAsia="lt-LT"/>
                            </w:rPr>
                            <w:t>9</w:t>
                          </w:r>
                        </w:sdtContent>
                      </w:sdt>
                      <w:r>
                        <w:rPr>
                          <w:color w:val="000000"/>
                          <w:lang w:eastAsia="lt-LT"/>
                        </w:rPr>
                        <w:t xml:space="preserve">. </w:t>
                      </w:r>
                      <w:r>
                        <w:rPr>
                          <w:color w:val="000000"/>
                        </w:rPr>
                        <w:t>Vartotojui už prijungimo paslaugą atsiskaitant su operatoriumi pagal faktines išlaidas, vartotojo elektros energijos įrenginių prijungimo prie tinklo kainoje (prijungimo įmokoje), o kai atsiskaitoma pagal įkainius – metiniame prijungimo įkainyje yra įvertinama rangovo (-ų), laimėjusio (-ių) operatoriaus paskelbtą (-us) viešąjį (-uosius) pirkimą (-us) dėl vartotojo (-ų) elektros energijos įrenginių prijungimo prie tinklo, atliktų darbų bei operatoriaus ir (ar) rangovo sunaudotų medžiagų ir kitų išlaidų, tiesiogiai susijusių su vartotojo (-ų) elektros įrenginių prijungimu (pvz., kapitalizuotų darbuotojų darbo užmokesčio sąnaudų, kurios nebuvo įvertintos skirstymo ar perdavimo paslaugų kainose, išlaidų valstybės institucijų leidimams, pažymoms, notarinių sandorių sudarymui, servituto registravimui (išskyrus kompensacijas, mokamas žemės ar nekilnojamojo turto savininkams už operatoriaus naudai nustatytus servitutus ir specialiąsias žemės naudojimo sąlygas), archeologiniams tyrinėjimams, projektavimo darbams</w:t>
                      </w:r>
                      <w:r>
                        <w:rPr>
                          <w:rFonts w:eastAsia="Arial"/>
                          <w:color w:val="000000"/>
                          <w:bdr w:val="nil"/>
                          <w:lang w:eastAsia="lt-LT"/>
                        </w:rPr>
                        <w:t xml:space="preserve">, </w:t>
                      </w:r>
                      <w:r>
                        <w:rPr>
                          <w:color w:val="000000"/>
                        </w:rPr>
                        <w:t xml:space="preserve">techninei priežiūrai, techninio prižiūrėtojo draudimui, projekto ekspertizei), faktinė kaina. Apskaičiuojant vartotojo elektros energijos įrenginių prijungimo įmoką yra vertinama darbų kaina ir tik naujai įsigytų įrenginių, kurie anksčiau nebuvo naudoti kitų tinklo naudotojų prijungimo metu, faktinė kaina. </w:t>
                      </w:r>
                      <w:r>
                        <w:rPr>
                          <w:sz w:val="23"/>
                          <w:szCs w:val="23"/>
                        </w:rPr>
                        <w:t xml:space="preserve">Taip pat metiniame prijungimo įkainyje įvertinama po pirmų dvejų metų, o vėliau – </w:t>
                      </w:r>
                      <w:r>
                        <w:rPr>
                          <w:color w:val="000000"/>
                        </w:rPr>
                        <w:t>po ketverių metų atliekamas Metodikos 4.1 papunktyje nurodyto 1 kW prijungimo įkainio nustatytos ir faktinės vertės palyginimas, o susidaręs skirtumas įskaičiuojamas į kitų metų 1 kW prijungimo įkainį, palūkanų norma ir pinigų kaina laike nevertinama.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9-1 p."/>
                    <w:tag w:val="part_a9235a66ec3c414d866f47aa3759de47"/>
                    <w:lock w:val="sdtLocked"/>
                    <w:richText/>
                  </w:sdtPr>
                  <w:sdtContent>
                    <w:p>
                      <w:pPr>
                        <w:spacing w:line="252" w:lineRule="auto"/>
                        <w:ind w:firstLine="720"/>
                        <w:jc w:val="both"/>
                        <w:rPr>
                          <w:color w:val="000000"/>
                          <w:lang w:eastAsia="lt-LT"/>
                        </w:rPr>
                      </w:pPr>
                      <w:sdt>
                        <w:sdtPr>
                          <w:alias w:val="Numeris"/>
                          <w:tag w:val="nr_a9235a66ec3c414d866f47aa3759de47"/>
                          <w:lock w:val="sdtLocked"/>
                          <w:richText/>
                        </w:sdtPr>
                        <w:sdtContent>
                          <w:r>
                            <w:rPr>
                              <w:color w:val="000000"/>
                              <w:lang w:eastAsia="lt-LT"/>
                            </w:rPr>
                            <w:t>9</w:t>
                          </w:r>
                          <w:r>
                            <w:rPr>
                              <w:color w:val="000000"/>
                              <w:vertAlign w:val="superscript"/>
                              <w:lang w:eastAsia="lt-LT"/>
                            </w:rPr>
                            <w:t>1</w:t>
                          </w:r>
                        </w:sdtContent>
                      </w:sdt>
                      <w:r>
                        <w:rPr>
                          <w:color w:val="000000"/>
                          <w:lang w:eastAsia="lt-LT"/>
                        </w:rPr>
                        <w:t>. Tarybai apskaičiuojant įkainį, numatytą Metodikos 4.1 papunktyje, ir nustačius skirtumą tarp galiojančio įkainio dydžio ir apskaičiuoto įkainio dydžio Metodikos 49 punkte apibrėžtų duomenų pagrindu, skirtumas gali būti išdėstomas per ilgesnį nei vienų metų laikotarpį, bet ne ilgesnį nei 5 metų laikotarpį. Palūkanų norma ir pinigų kaina laike nevertinama.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10 p."/>
                    <w:tag w:val="part_ffd114cb47d644118f66123e74891179"/>
                    <w:lock w:val="sdtLocked"/>
                    <w:richText/>
                  </w:sdtPr>
                  <w:sdtContent>
                    <w:p>
                      <w:pPr>
                        <w:spacing w:line="252" w:lineRule="auto"/>
                        <w:ind w:firstLine="720"/>
                        <w:jc w:val="both"/>
                        <w:rPr>
                          <w:color w:val="000000"/>
                          <w:lang w:eastAsia="lt-LT"/>
                        </w:rPr>
                      </w:pPr>
                      <w:sdt>
                        <w:sdtPr>
                          <w:alias w:val="Numeris"/>
                          <w:tag w:val="nr_ffd114cb47d644118f66123e74891179"/>
                          <w:lock w:val="sdtLocked"/>
                          <w:richText/>
                        </w:sdtPr>
                        <w:sdtContent>
                          <w:r>
                            <w:rPr>
                              <w:color w:val="000000"/>
                              <w:lang w:eastAsia="lt-LT"/>
                            </w:rPr>
                            <w:t>10</w:t>
                          </w:r>
                        </w:sdtContent>
                      </w:sdt>
                      <w:r>
                        <w:rPr>
                          <w:color w:val="000000"/>
                          <w:lang w:eastAsia="lt-LT"/>
                        </w:rPr>
                        <w:t>.</w:t>
                        <w:tab/>
                      </w:r>
                      <w:r>
                        <w:rPr>
                          <w:color w:val="000000"/>
                        </w:rPr>
                        <w:t>Kai vartotojo elektros įrenginiai prijungiami prie elektros tinklų, vartotojas ir prijungiantis operatorius atliktų darbų bei operatoriaus ir (ar) rangovo sunaudotų medžiagų ir kitų Metodikos 9 punkte nurodytų išlaidų faktinę kainą, įskaitant projektavimo išlaidas, arba pagal Metodikos 49 punkto duomenis apskaičiuotus įkainius dalijasi kaip numatyta Elektros energetikos įstatymo 67 straipsnyje, tokia tvarka:</w:t>
                      </w:r>
                    </w:p>
                    <w:p>
                      <w:pPr>
                        <w:spacing w:line="252" w:lineRule="auto"/>
                        <w:jc w:val="both"/>
                        <w:rPr>
                          <w:color w:val="000000"/>
                        </w:rPr>
                      </w:pPr>
                    </w:p>
                    <w:tbl>
                      <w:tblPr>
                        <w:tblW w:w="10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9"/>
                        <w:gridCol w:w="3005"/>
                        <w:gridCol w:w="1424"/>
                        <w:gridCol w:w="1220"/>
                        <w:gridCol w:w="1223"/>
                        <w:gridCol w:w="847"/>
                        <w:gridCol w:w="868"/>
                        <w:gridCol w:w="889"/>
                        <w:gridCol w:w="36"/>
                      </w:tblGrid>
                      <w:tr>
                        <w:trPr>
                          <w:gridAfter w:val="1"/>
                          <w:wAfter w:w="36" w:type="dxa"/>
                          <w:trHeight w:val="200"/>
                          <w:tblHeader/>
                          <w:jc w:val="center"/>
                        </w:trPr>
                        <w:tc>
                          <w:tcPr>
                            <w:tcW w:w="899" w:type="dxa"/>
                            <w:vMerge w:val="restart"/>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Eil. Nr.</w:t>
                            </w:r>
                          </w:p>
                        </w:tc>
                        <w:tc>
                          <w:tcPr>
                            <w:tcW w:w="4429" w:type="dxa"/>
                            <w:gridSpan w:val="2"/>
                            <w:vMerge w:val="restart"/>
                            <w:tcBorders>
                              <w:top w:val="single" w:sz="4" w:space="0" w:color="auto"/>
                              <w:left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Atvejai</w:t>
                            </w:r>
                          </w:p>
                        </w:tc>
                        <w:tc>
                          <w:tcPr>
                            <w:tcW w:w="2443" w:type="dxa"/>
                            <w:gridSpan w:val="2"/>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Išlaidų / įkainių pasiskirstymas</w:t>
                            </w:r>
                          </w:p>
                        </w:tc>
                        <w:tc>
                          <w:tcPr>
                            <w:tcW w:w="1715" w:type="dxa"/>
                            <w:gridSpan w:val="2"/>
                            <w:tcBorders>
                              <w:top w:val="single" w:sz="4" w:space="0" w:color="auto"/>
                              <w:left w:val="single" w:sz="4" w:space="0" w:color="auto"/>
                              <w:bottom w:val="single" w:sz="4" w:space="0" w:color="auto"/>
                              <w:right w:val="single" w:sz="4" w:space="0" w:color="auto"/>
                            </w:tcBorders>
                          </w:tcPr>
                          <w:p>
                            <w:pPr>
                              <w:jc w:val="center"/>
                              <w:rPr>
                                <w:rFonts w:eastAsia="Calibri"/>
                                <w:kern w:val="2"/>
                                <w:sz w:val="22"/>
                                <w:szCs w:val="22"/>
                              </w:rPr>
                            </w:pPr>
                            <w:r>
                              <w:rPr>
                                <w:rFonts w:eastAsia="Calibri"/>
                                <w:kern w:val="2"/>
                                <w:sz w:val="22"/>
                                <w:szCs w:val="22"/>
                              </w:rPr>
                              <w:t>Prijungimo būdas</w:t>
                            </w:r>
                          </w:p>
                        </w:tc>
                        <w:tc>
                          <w:tcPr>
                            <w:tcW w:w="889" w:type="dxa"/>
                            <w:vMerge w:val="restart"/>
                            <w:tcBorders>
                              <w:top w:val="single" w:sz="4" w:space="0" w:color="auto"/>
                              <w:left w:val="single" w:sz="4" w:space="0" w:color="auto"/>
                              <w:right w:val="single" w:sz="4" w:space="0" w:color="auto"/>
                            </w:tcBorders>
                          </w:tcPr>
                          <w:p>
                            <w:pPr>
                              <w:jc w:val="center"/>
                              <w:rPr>
                                <w:rFonts w:eastAsia="Calibri"/>
                                <w:kern w:val="2"/>
                                <w:sz w:val="22"/>
                                <w:szCs w:val="22"/>
                              </w:rPr>
                            </w:pPr>
                            <w:r>
                              <w:rPr>
                                <w:rFonts w:eastAsia="Calibri"/>
                                <w:kern w:val="2"/>
                                <w:sz w:val="22"/>
                                <w:szCs w:val="22"/>
                              </w:rPr>
                              <w:t>1 kW plėtros įkainio taikymas</w:t>
                            </w:r>
                          </w:p>
                        </w:tc>
                      </w:tr>
                      <w:tr>
                        <w:trPr>
                          <w:gridAfter w:val="1"/>
                          <w:wAfter w:w="36" w:type="dxa"/>
                          <w:trHeight w:val="350"/>
                          <w:tblHeader/>
                          <w:jc w:val="center"/>
                        </w:trPr>
                        <w:tc>
                          <w:tcPr>
                            <w:tcW w:w="899"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p>
                        </w:tc>
                        <w:tc>
                          <w:tcPr>
                            <w:tcW w:w="4429" w:type="dxa"/>
                            <w:gridSpan w:val="2"/>
                            <w:vMerge/>
                            <w:tcBorders>
                              <w:left w:val="single" w:sz="4" w:space="0" w:color="auto"/>
                              <w:bottom w:val="single" w:sz="4" w:space="0" w:color="auto"/>
                              <w:right w:val="single" w:sz="4" w:space="0" w:color="auto"/>
                            </w:tcBorders>
                            <w:vAlign w:val="center"/>
                          </w:tcPr>
                          <w:p>
                            <w:pPr>
                              <w:jc w:val="center"/>
                              <w:rPr>
                                <w:rFonts w:eastAsia="Calibri"/>
                                <w:kern w:val="2"/>
                                <w:sz w:val="22"/>
                                <w:szCs w:val="22"/>
                              </w:rPr>
                            </w:pPr>
                          </w:p>
                        </w:tc>
                        <w:tc>
                          <w:tcPr>
                            <w:tcW w:w="1220"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Vartotojas</w:t>
                            </w:r>
                          </w:p>
                        </w:tc>
                        <w:tc>
                          <w:tcPr>
                            <w:tcW w:w="1223"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Operatorius</w:t>
                            </w:r>
                          </w:p>
                        </w:tc>
                        <w:tc>
                          <w:tcPr>
                            <w:tcW w:w="847" w:type="dxa"/>
                            <w:tcBorders>
                              <w:top w:val="single" w:sz="4" w:space="0" w:color="auto"/>
                              <w:left w:val="single" w:sz="4" w:space="0" w:color="auto"/>
                              <w:bottom w:val="single" w:sz="4" w:space="0" w:color="auto"/>
                              <w:right w:val="single" w:sz="4" w:space="0" w:color="auto"/>
                            </w:tcBorders>
                          </w:tcPr>
                          <w:p>
                            <w:pPr>
                              <w:jc w:val="center"/>
                              <w:rPr>
                                <w:rFonts w:eastAsia="Calibri"/>
                                <w:kern w:val="2"/>
                                <w:sz w:val="22"/>
                                <w:szCs w:val="22"/>
                              </w:rPr>
                            </w:pPr>
                            <w:r>
                              <w:rPr>
                                <w:rFonts w:eastAsia="Calibri"/>
                                <w:kern w:val="2"/>
                                <w:sz w:val="22"/>
                                <w:szCs w:val="22"/>
                              </w:rPr>
                              <w:t>Pagal įkainius</w:t>
                            </w:r>
                          </w:p>
                        </w:tc>
                        <w:tc>
                          <w:tcPr>
                            <w:tcW w:w="868" w:type="dxa"/>
                            <w:tcBorders>
                              <w:top w:val="single" w:sz="4" w:space="0" w:color="auto"/>
                              <w:left w:val="single" w:sz="4" w:space="0" w:color="auto"/>
                              <w:bottom w:val="single" w:sz="4" w:space="0" w:color="auto"/>
                              <w:right w:val="single" w:sz="4" w:space="0" w:color="auto"/>
                            </w:tcBorders>
                          </w:tcPr>
                          <w:p>
                            <w:pPr>
                              <w:jc w:val="center"/>
                              <w:rPr>
                                <w:rFonts w:eastAsia="Calibri"/>
                                <w:kern w:val="2"/>
                                <w:sz w:val="22"/>
                                <w:szCs w:val="22"/>
                              </w:rPr>
                            </w:pPr>
                            <w:r>
                              <w:rPr>
                                <w:rFonts w:eastAsia="Calibri"/>
                                <w:kern w:val="2"/>
                                <w:sz w:val="22"/>
                                <w:szCs w:val="22"/>
                              </w:rPr>
                              <w:t>Pagal faktines išlaidas</w:t>
                            </w:r>
                          </w:p>
                        </w:tc>
                        <w:tc>
                          <w:tcPr>
                            <w:tcW w:w="889" w:type="dxa"/>
                            <w:vMerge/>
                            <w:tcBorders>
                              <w:left w:val="single" w:sz="4" w:space="0" w:color="auto"/>
                              <w:bottom w:val="single" w:sz="4" w:space="0" w:color="auto"/>
                              <w:right w:val="single" w:sz="4" w:space="0" w:color="auto"/>
                            </w:tcBorders>
                          </w:tcPr>
                          <w:p>
                            <w:pPr>
                              <w:jc w:val="center"/>
                              <w:rPr>
                                <w:rFonts w:eastAsia="Calibri"/>
                                <w:kern w:val="2"/>
                                <w:sz w:val="22"/>
                                <w:szCs w:val="22"/>
                              </w:rPr>
                            </w:pPr>
                          </w:p>
                        </w:tc>
                      </w:tr>
                      <w:tr>
                        <w:trPr>
                          <w:gridAfter w:val="1"/>
                          <w:wAfter w:w="36" w:type="dxa"/>
                          <w:trHeight w:val="486"/>
                          <w:jc w:val="center"/>
                        </w:trPr>
                        <w:tc>
                          <w:tcPr>
                            <w:tcW w:w="899" w:type="dxa"/>
                            <w:tcBorders>
                              <w:top w:val="single" w:sz="4" w:space="0" w:color="auto"/>
                            </w:tcBorders>
                            <w:vAlign w:val="center"/>
                          </w:tcPr>
                          <w:p>
                            <w:pPr>
                              <w:spacing w:line="252" w:lineRule="auto"/>
                              <w:jc w:val="both"/>
                              <w:rPr>
                                <w:rFonts w:ascii="Calibri" w:eastAsia="Calibri" w:hAnsi="Calibri"/>
                                <w:kern w:val="2"/>
                                <w:sz w:val="22"/>
                                <w:szCs w:val="22"/>
                                <w:lang w:val="en-US"/>
                              </w:rPr>
                            </w:pPr>
                            <w:r>
                              <w:rPr>
                                <w:rFonts w:eastAsia="Calibri"/>
                                <w:kern w:val="2"/>
                                <w:sz w:val="22"/>
                                <w:szCs w:val="22"/>
                                <w:lang w:val="en-US"/>
                              </w:rPr>
                              <w:t>10.1.</w:t>
                              <w:tab/>
                            </w:r>
                          </w:p>
                        </w:tc>
                        <w:tc>
                          <w:tcPr>
                            <w:tcW w:w="4429" w:type="dxa"/>
                            <w:gridSpan w:val="2"/>
                            <w:tcBorders>
                              <w:top w:val="single" w:sz="4" w:space="0" w:color="auto"/>
                            </w:tcBorders>
                            <w:vAlign w:val="center"/>
                          </w:tcPr>
                          <w:p>
                            <w:pPr>
                              <w:jc w:val="both"/>
                              <w:rPr>
                                <w:rFonts w:eastAsia="Calibri"/>
                                <w:kern w:val="2"/>
                                <w:sz w:val="22"/>
                                <w:szCs w:val="22"/>
                                <w:lang w:val="en-US"/>
                              </w:rPr>
                            </w:pPr>
                            <w:r>
                              <w:rPr>
                                <w:rFonts w:eastAsia="Calibri"/>
                                <w:kern w:val="2"/>
                                <w:sz w:val="22"/>
                                <w:szCs w:val="22"/>
                              </w:rPr>
                              <w:t>Pažeidžiami vartotojai ir prijungiantis operatorius.</w:t>
                            </w:r>
                          </w:p>
                        </w:tc>
                        <w:tc>
                          <w:tcPr>
                            <w:tcW w:w="1220" w:type="dxa"/>
                            <w:tcBorders>
                              <w:top w:val="single" w:sz="4" w:space="0" w:color="auto"/>
                            </w:tcBorders>
                            <w:vAlign w:val="center"/>
                          </w:tcPr>
                          <w:p>
                            <w:pPr>
                              <w:jc w:val="center"/>
                              <w:rPr>
                                <w:rFonts w:eastAsia="Calibri"/>
                                <w:kern w:val="2"/>
                                <w:sz w:val="22"/>
                                <w:szCs w:val="22"/>
                                <w:lang w:val="en-US"/>
                              </w:rPr>
                            </w:pPr>
                            <w:r>
                              <w:rPr>
                                <w:rFonts w:eastAsia="Calibri"/>
                                <w:kern w:val="2"/>
                                <w:sz w:val="22"/>
                                <w:szCs w:val="22"/>
                                <w:lang w:val="en-US"/>
                              </w:rPr>
                              <w:t>20 proc.</w:t>
                            </w:r>
                          </w:p>
                        </w:tc>
                        <w:tc>
                          <w:tcPr>
                            <w:tcW w:w="1223" w:type="dxa"/>
                            <w:tcBorders>
                              <w:top w:val="single" w:sz="4" w:space="0" w:color="auto"/>
                            </w:tcBorders>
                            <w:vAlign w:val="center"/>
                          </w:tcPr>
                          <w:p>
                            <w:pPr>
                              <w:jc w:val="center"/>
                              <w:rPr>
                                <w:rFonts w:eastAsia="Calibri"/>
                                <w:kern w:val="2"/>
                                <w:sz w:val="22"/>
                                <w:szCs w:val="22"/>
                              </w:rPr>
                            </w:pPr>
                            <w:r>
                              <w:rPr>
                                <w:rFonts w:eastAsia="Calibri"/>
                                <w:kern w:val="2"/>
                                <w:sz w:val="22"/>
                                <w:szCs w:val="22"/>
                              </w:rPr>
                              <w:t>80 proc.</w:t>
                            </w:r>
                          </w:p>
                        </w:tc>
                        <w:tc>
                          <w:tcPr>
                            <w:tcW w:w="847" w:type="dxa"/>
                            <w:tcBorders>
                              <w:top w:val="single" w:sz="4" w:space="0" w:color="auto"/>
                            </w:tcBorders>
                            <w:vAlign w:val="center"/>
                          </w:tcPr>
                          <w:p>
                            <w:pPr>
                              <w:jc w:val="center"/>
                              <w:rPr>
                                <w:rFonts w:eastAsia="Calibri"/>
                                <w:kern w:val="2"/>
                                <w:sz w:val="22"/>
                                <w:szCs w:val="22"/>
                              </w:rPr>
                            </w:pPr>
                            <w:r>
                              <w:rPr>
                                <w:rFonts w:eastAsia="Calibri"/>
                                <w:kern w:val="2"/>
                                <w:sz w:val="22"/>
                                <w:szCs w:val="22"/>
                              </w:rPr>
                              <w:t>+</w:t>
                            </w:r>
                          </w:p>
                        </w:tc>
                        <w:tc>
                          <w:tcPr>
                            <w:tcW w:w="868" w:type="dxa"/>
                            <w:tcBorders>
                              <w:top w:val="single" w:sz="4" w:space="0" w:color="auto"/>
                            </w:tcBorders>
                            <w:vAlign w:val="center"/>
                          </w:tcPr>
                          <w:p>
                            <w:pPr>
                              <w:jc w:val="center"/>
                              <w:rPr>
                                <w:rFonts w:eastAsia="Calibri"/>
                                <w:kern w:val="2"/>
                                <w:sz w:val="22"/>
                                <w:szCs w:val="22"/>
                              </w:rPr>
                            </w:pPr>
                            <w:r>
                              <w:rPr>
                                <w:rFonts w:eastAsia="Calibri"/>
                                <w:kern w:val="2"/>
                                <w:sz w:val="22"/>
                                <w:szCs w:val="22"/>
                              </w:rPr>
                              <w:t>+</w:t>
                            </w:r>
                          </w:p>
                        </w:tc>
                        <w:tc>
                          <w:tcPr>
                            <w:tcW w:w="889" w:type="dxa"/>
                            <w:tcBorders>
                              <w:top w:val="single" w:sz="4" w:space="0" w:color="auto"/>
                            </w:tcBorders>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2282"/>
                          <w:jc w:val="center"/>
                        </w:trPr>
                        <w:tc>
                          <w:tcPr>
                            <w:tcW w:w="899" w:type="dxa"/>
                            <w:vAlign w:val="center"/>
                          </w:tcPr>
                          <w:p>
                            <w:pPr>
                              <w:rPr>
                                <w:rFonts w:ascii="Calibri" w:eastAsia="Calibri" w:hAnsi="Calibri"/>
                                <w:kern w:val="2"/>
                                <w:sz w:val="22"/>
                                <w:szCs w:val="22"/>
                              </w:rPr>
                            </w:pPr>
                            <w:r>
                              <w:rPr>
                                <w:rFonts w:eastAsia="Calibri"/>
                                <w:kern w:val="2"/>
                                <w:sz w:val="22"/>
                                <w:szCs w:val="22"/>
                              </w:rPr>
                              <w:t>10.2.</w:t>
                              <w:tab/>
                            </w:r>
                          </w:p>
                        </w:tc>
                        <w:tc>
                          <w:tcPr>
                            <w:tcW w:w="4429" w:type="dxa"/>
                            <w:gridSpan w:val="2"/>
                            <w:vAlign w:val="center"/>
                          </w:tcPr>
                          <w:p>
                            <w:pPr>
                              <w:jc w:val="both"/>
                              <w:rPr>
                                <w:rFonts w:eastAsia="Calibri"/>
                                <w:kern w:val="2"/>
                                <w:sz w:val="22"/>
                                <w:szCs w:val="22"/>
                              </w:rPr>
                            </w:pPr>
                            <w:r>
                              <w:rPr>
                                <w:sz w:val="22"/>
                                <w:szCs w:val="22"/>
                                <w:lang w:eastAsia="lt-LT"/>
                              </w:rPr>
                              <w:t>Vartotojai, kurių pirmą kartą prie skirstomųjų tinklų prijungiamų elektros įrenginių leistina naudoti galia yra ne mažesnė kaip 1 MW ar kurie didina leistiną naudoti galią ne mažiau kaip 1 MW ir kurie skirstomųjų tinklų operatoriui įsipareigoja 10 metų nuo vartotojo elektros įrenginių prijungimo prie skirstomųjų tinklų nemažinti leistinos naudoti galios, ir prijungiantis operatorius.</w:t>
                            </w:r>
                            <w:r>
                              <w:rPr>
                                <w:color w:val="000000"/>
                                <w:sz w:val="22"/>
                                <w:szCs w:val="22"/>
                                <w:lang w:eastAsia="lt-LT"/>
                              </w:rPr>
                              <w:t xml:space="preserve"> Ši nuostata netaikoma, kai prie elektros tinklų yra prijungiami Metodikos 10.5 ar 10.6 papunkčiuose nurodyti elektros įrenginiai.</w:t>
                            </w:r>
                          </w:p>
                        </w:tc>
                        <w:tc>
                          <w:tcPr>
                            <w:tcW w:w="1220" w:type="dxa"/>
                            <w:vAlign w:val="center"/>
                          </w:tcPr>
                          <w:p>
                            <w:pPr>
                              <w:jc w:val="center"/>
                              <w:rPr>
                                <w:rFonts w:eastAsia="Calibri"/>
                                <w:kern w:val="2"/>
                                <w:sz w:val="22"/>
                                <w:szCs w:val="22"/>
                                <w:lang w:val="en-US"/>
                              </w:rPr>
                            </w:pPr>
                            <w:r>
                              <w:rPr>
                                <w:rFonts w:eastAsia="Calibri"/>
                                <w:kern w:val="2"/>
                                <w:sz w:val="22"/>
                                <w:szCs w:val="22"/>
                                <w:lang w:val="en-US"/>
                              </w:rPr>
                              <w:t>10 proc.</w:t>
                            </w:r>
                          </w:p>
                        </w:tc>
                        <w:tc>
                          <w:tcPr>
                            <w:tcW w:w="1223" w:type="dxa"/>
                            <w:vAlign w:val="center"/>
                          </w:tcPr>
                          <w:p>
                            <w:pPr>
                              <w:jc w:val="center"/>
                              <w:rPr>
                                <w:rFonts w:eastAsia="Calibri"/>
                                <w:kern w:val="2"/>
                                <w:sz w:val="22"/>
                                <w:szCs w:val="22"/>
                              </w:rPr>
                            </w:pPr>
                            <w:r>
                              <w:rPr>
                                <w:rFonts w:eastAsia="Calibri"/>
                                <w:kern w:val="2"/>
                                <w:sz w:val="22"/>
                                <w:szCs w:val="22"/>
                              </w:rPr>
                              <w:t>90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lang w:val="en-US"/>
                              </w:rPr>
                            </w:pPr>
                            <w:r>
                              <w:rPr>
                                <w:rFonts w:eastAsia="Calibri"/>
                                <w:kern w:val="2"/>
                                <w:sz w:val="22"/>
                                <w:szCs w:val="22"/>
                                <w:lang w:val="en-US"/>
                              </w:rPr>
                              <w:t>+</w:t>
                            </w:r>
                          </w:p>
                        </w:tc>
                      </w:tr>
                      <w:tr>
                        <w:trPr>
                          <w:gridAfter w:val="1"/>
                          <w:wAfter w:w="36" w:type="dxa"/>
                          <w:trHeight w:val="748"/>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10.3.</w:t>
                              <w:tab/>
                            </w:r>
                          </w:p>
                        </w:tc>
                        <w:tc>
                          <w:tcPr>
                            <w:tcW w:w="4429" w:type="dxa"/>
                            <w:gridSpan w:val="2"/>
                            <w:vAlign w:val="center"/>
                          </w:tcPr>
                          <w:p>
                            <w:pPr>
                              <w:jc w:val="both"/>
                              <w:rPr>
                                <w:rFonts w:eastAsia="Calibri"/>
                                <w:kern w:val="2"/>
                                <w:sz w:val="22"/>
                                <w:szCs w:val="22"/>
                              </w:rPr>
                            </w:pPr>
                            <w:r>
                              <w:rPr>
                                <w:rFonts w:eastAsia="Calibri"/>
                                <w:kern w:val="2"/>
                                <w:sz w:val="22"/>
                                <w:szCs w:val="22"/>
                              </w:rPr>
                              <w:t>Kiti vartotojai, išskyrus Metodikos 10.1–10.2, 10.8 papunkčiuose nurodytus vartotojus, ir prijungiantis operatorius.</w:t>
                            </w:r>
                          </w:p>
                        </w:tc>
                        <w:tc>
                          <w:tcPr>
                            <w:tcW w:w="1220" w:type="dxa"/>
                            <w:vAlign w:val="center"/>
                          </w:tcPr>
                          <w:p>
                            <w:pPr>
                              <w:jc w:val="center"/>
                              <w:rPr>
                                <w:rFonts w:eastAsia="Calibri"/>
                                <w:kern w:val="2"/>
                                <w:sz w:val="22"/>
                                <w:szCs w:val="22"/>
                              </w:rPr>
                            </w:pPr>
                            <w:r>
                              <w:rPr>
                                <w:rFonts w:eastAsia="Calibri"/>
                                <w:kern w:val="2"/>
                                <w:sz w:val="22"/>
                                <w:szCs w:val="22"/>
                              </w:rPr>
                              <w:t>50 proc.</w:t>
                            </w:r>
                          </w:p>
                        </w:tc>
                        <w:tc>
                          <w:tcPr>
                            <w:tcW w:w="1223" w:type="dxa"/>
                            <w:vAlign w:val="center"/>
                          </w:tcPr>
                          <w:p>
                            <w:pPr>
                              <w:jc w:val="center"/>
                              <w:rPr>
                                <w:rFonts w:eastAsia="Calibri"/>
                                <w:kern w:val="2"/>
                                <w:sz w:val="22"/>
                                <w:szCs w:val="22"/>
                              </w:rPr>
                            </w:pPr>
                            <w:r>
                              <w:rPr>
                                <w:rFonts w:eastAsia="Calibri"/>
                                <w:kern w:val="2"/>
                                <w:sz w:val="22"/>
                                <w:szCs w:val="22"/>
                              </w:rPr>
                              <w:t>50 proc.</w:t>
                            </w:r>
                          </w:p>
                        </w:tc>
                        <w:tc>
                          <w:tcPr>
                            <w:tcW w:w="847" w:type="dxa"/>
                            <w:vAlign w:val="center"/>
                          </w:tcPr>
                          <w:p>
                            <w:pPr>
                              <w:jc w:val="center"/>
                              <w:rPr>
                                <w:rFonts w:eastAsia="Calibri"/>
                                <w:kern w:val="2"/>
                                <w:sz w:val="22"/>
                                <w:szCs w:val="22"/>
                              </w:rPr>
                            </w:pPr>
                            <w:r>
                              <w:rPr>
                                <w:rFonts w:eastAsia="Calibri"/>
                                <w:kern w:val="2"/>
                                <w:sz w:val="22"/>
                                <w:szCs w:val="22"/>
                              </w:rPr>
                              <w:t>+</w:t>
                            </w: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2152"/>
                          <w:jc w:val="center"/>
                        </w:trPr>
                        <w:tc>
                          <w:tcPr>
                            <w:tcW w:w="899" w:type="dxa"/>
                            <w:vMerge w:val="restart"/>
                            <w:vAlign w:val="center"/>
                          </w:tcPr>
                          <w:p>
                            <w:pPr>
                              <w:jc w:val="center"/>
                              <w:rPr>
                                <w:rFonts w:ascii="Calibri" w:eastAsia="Calibri" w:hAnsi="Calibri"/>
                                <w:kern w:val="2"/>
                                <w:sz w:val="22"/>
                                <w:szCs w:val="22"/>
                                <w:lang w:val="en-US"/>
                              </w:rPr>
                            </w:pPr>
                            <w:r>
                              <w:rPr>
                                <w:rFonts w:eastAsia="Calibri"/>
                                <w:kern w:val="2"/>
                                <w:sz w:val="22"/>
                                <w:szCs w:val="22"/>
                                <w:lang w:val="en-US"/>
                              </w:rPr>
                              <w:t>10.4.</w:t>
                              <w:tab/>
                            </w:r>
                          </w:p>
                        </w:tc>
                        <w:tc>
                          <w:tcPr>
                            <w:tcW w:w="3005" w:type="dxa"/>
                            <w:vMerge w:val="restart"/>
                          </w:tcPr>
                          <w:p>
                            <w:pPr>
                              <w:spacing w:line="252" w:lineRule="auto"/>
                              <w:jc w:val="both"/>
                              <w:rPr>
                                <w:rFonts w:eastAsia="Calibri"/>
                                <w:kern w:val="2"/>
                                <w:sz w:val="22"/>
                                <w:szCs w:val="22"/>
                              </w:rPr>
                            </w:pPr>
                            <w:r>
                              <w:rPr>
                                <w:rFonts w:eastAsia="Calibri"/>
                                <w:kern w:val="2"/>
                                <w:sz w:val="22"/>
                                <w:szCs w:val="22"/>
                              </w:rPr>
                              <w:t>Vartotojai, kurių pirmą kartą prijungiami elektros įrenginiai yra statiniuose, kuriems sutarties sudarymo momentu leidimas statyti naują statinį nėra išduotas arba statinys ar nebaigtas statinys nėra įregistruotas Nekilnojamojo turto registre, moka 100 proc. šių skirstomųjų tinklų įrengimo sąnaudų arba pagal Metodikos 49 punkto duomenis apskaičiuotus įkainius.</w:t>
                            </w:r>
                          </w:p>
                          <w:p>
                            <w:pPr>
                              <w:spacing w:line="252" w:lineRule="auto"/>
                              <w:jc w:val="both"/>
                              <w:rPr>
                                <w:rFonts w:eastAsia="Calibri"/>
                                <w:kern w:val="2"/>
                                <w:sz w:val="22"/>
                                <w:szCs w:val="22"/>
                              </w:rPr>
                            </w:pPr>
                          </w:p>
                          <w:p>
                            <w:pPr>
                              <w:jc w:val="both"/>
                              <w:rPr>
                                <w:rFonts w:eastAsia="Calibri"/>
                                <w:kern w:val="2"/>
                                <w:sz w:val="22"/>
                                <w:szCs w:val="22"/>
                              </w:rPr>
                            </w:pPr>
                            <w:r>
                              <w:rPr>
                                <w:rFonts w:eastAsia="Calibri"/>
                                <w:kern w:val="2"/>
                                <w:sz w:val="22"/>
                                <w:szCs w:val="22"/>
                              </w:rPr>
                              <w:t>Vartotojai, kurie per 3 metus nuo prijungimo paslaugos užbaigimo pateikia skirstomųjų tinklų operatoriui statinio ar nebaigto statinio įregistravimo Nekilnojamojo turto registre išrašą, ir prijungiantis operatorius.</w:t>
                            </w:r>
                          </w:p>
                        </w:tc>
                        <w:tc>
                          <w:tcPr>
                            <w:tcW w:w="1424" w:type="dxa"/>
                            <w:vAlign w:val="center"/>
                          </w:tcPr>
                          <w:p>
                            <w:pPr>
                              <w:spacing w:line="252" w:lineRule="auto"/>
                              <w:jc w:val="both"/>
                              <w:rPr>
                                <w:rFonts w:eastAsia="Calibri"/>
                                <w:kern w:val="2"/>
                                <w:sz w:val="22"/>
                                <w:szCs w:val="22"/>
                              </w:rPr>
                            </w:pPr>
                            <w:r>
                              <w:rPr>
                                <w:rFonts w:eastAsia="Calibri"/>
                                <w:kern w:val="2"/>
                                <w:sz w:val="22"/>
                                <w:szCs w:val="22"/>
                              </w:rPr>
                              <w:t>Neišduotas leidimas, objektas neregistruotas</w:t>
                            </w:r>
                          </w:p>
                        </w:tc>
                        <w:tc>
                          <w:tcPr>
                            <w:tcW w:w="1220" w:type="dxa"/>
                            <w:vAlign w:val="center"/>
                          </w:tcPr>
                          <w:p>
                            <w:pPr>
                              <w:jc w:val="center"/>
                              <w:rPr>
                                <w:rFonts w:eastAsia="Calibri"/>
                                <w:kern w:val="2"/>
                                <w:sz w:val="22"/>
                                <w:szCs w:val="22"/>
                                <w:lang w:val="en-US"/>
                              </w:rPr>
                            </w:pPr>
                            <w:r>
                              <w:rPr>
                                <w:rFonts w:eastAsia="Calibri"/>
                                <w:kern w:val="2"/>
                                <w:sz w:val="22"/>
                                <w:szCs w:val="22"/>
                                <w:lang w:val="en-US"/>
                              </w:rPr>
                              <w:t>100 proc.</w:t>
                            </w:r>
                          </w:p>
                        </w:tc>
                        <w:tc>
                          <w:tcPr>
                            <w:tcW w:w="1223" w:type="dxa"/>
                            <w:vAlign w:val="center"/>
                          </w:tcPr>
                          <w:p>
                            <w:pPr>
                              <w:jc w:val="center"/>
                              <w:rPr>
                                <w:rFonts w:eastAsia="Calibri"/>
                                <w:kern w:val="2"/>
                                <w:sz w:val="22"/>
                                <w:szCs w:val="22"/>
                              </w:rPr>
                            </w:pPr>
                            <w:r>
                              <w:rPr>
                                <w:rFonts w:eastAsia="Calibri"/>
                                <w:kern w:val="2"/>
                                <w:sz w:val="22"/>
                                <w:szCs w:val="22"/>
                              </w:rPr>
                              <w:t>0 proc.</w:t>
                            </w:r>
                          </w:p>
                        </w:tc>
                        <w:tc>
                          <w:tcPr>
                            <w:tcW w:w="847" w:type="dxa"/>
                            <w:vAlign w:val="center"/>
                          </w:tcPr>
                          <w:p>
                            <w:pPr>
                              <w:jc w:val="center"/>
                              <w:rPr>
                                <w:rFonts w:eastAsia="Calibri"/>
                                <w:kern w:val="2"/>
                                <w:sz w:val="22"/>
                                <w:szCs w:val="22"/>
                              </w:rPr>
                            </w:pPr>
                            <w:r>
                              <w:rPr>
                                <w:rFonts w:eastAsia="Calibri"/>
                                <w:kern w:val="2"/>
                                <w:sz w:val="22"/>
                                <w:szCs w:val="22"/>
                              </w:rPr>
                              <w:t>+</w:t>
                            </w: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291"/>
                          <w:jc w:val="center"/>
                        </w:trPr>
                        <w:tc>
                          <w:tcPr>
                            <w:tcW w:w="899" w:type="dxa"/>
                            <w:vMerge/>
                            <w:vAlign w:val="center"/>
                          </w:tcPr>
                          <w:p>
                            <w:pPr>
                              <w:jc w:val="center"/>
                              <w:rPr>
                                <w:rFonts w:eastAsia="Calibri"/>
                                <w:kern w:val="2"/>
                                <w:sz w:val="22"/>
                                <w:szCs w:val="22"/>
                                <w:lang w:val="en-US"/>
                              </w:rPr>
                            </w:pPr>
                          </w:p>
                        </w:tc>
                        <w:tc>
                          <w:tcPr>
                            <w:tcW w:w="3005" w:type="dxa"/>
                            <w:vMerge/>
                            <w:vAlign w:val="center"/>
                          </w:tcPr>
                          <w:p>
                            <w:pPr>
                              <w:jc w:val="both"/>
                              <w:rPr>
                                <w:rFonts w:eastAsia="Calibri"/>
                                <w:kern w:val="2"/>
                                <w:sz w:val="22"/>
                                <w:szCs w:val="22"/>
                              </w:rPr>
                            </w:pPr>
                          </w:p>
                        </w:tc>
                        <w:tc>
                          <w:tcPr>
                            <w:tcW w:w="6471" w:type="dxa"/>
                            <w:gridSpan w:val="6"/>
                            <w:vAlign w:val="center"/>
                          </w:tcPr>
                          <w:p>
                            <w:pPr>
                              <w:jc w:val="center"/>
                              <w:rPr>
                                <w:rFonts w:eastAsia="Calibri"/>
                                <w:kern w:val="2"/>
                                <w:sz w:val="22"/>
                                <w:szCs w:val="22"/>
                              </w:rPr>
                            </w:pPr>
                            <w:r>
                              <w:rPr>
                                <w:rFonts w:eastAsia="Calibri"/>
                                <w:kern w:val="2"/>
                                <w:sz w:val="22"/>
                                <w:szCs w:val="22"/>
                              </w:rPr>
                              <w:t xml:space="preserve">Per </w:t>
                            </w:r>
                            <w:r>
                              <w:rPr>
                                <w:rFonts w:eastAsia="Calibri"/>
                                <w:kern w:val="2"/>
                                <w:sz w:val="22"/>
                                <w:szCs w:val="22"/>
                                <w:lang w:val="en-US"/>
                              </w:rPr>
                              <w:t xml:space="preserve">3 </w:t>
                            </w:r>
                            <w:r>
                              <w:rPr>
                                <w:rFonts w:eastAsia="Calibri"/>
                                <w:kern w:val="2"/>
                                <w:sz w:val="22"/>
                                <w:szCs w:val="22"/>
                              </w:rPr>
                              <w:t>metus pateikus objekto įregistravimo dokumentus</w:t>
                            </w:r>
                          </w:p>
                        </w:tc>
                      </w:tr>
                      <w:tr>
                        <w:trPr>
                          <w:gridAfter w:val="1"/>
                          <w:wAfter w:w="36" w:type="dxa"/>
                          <w:trHeight w:val="1183"/>
                          <w:jc w:val="center"/>
                        </w:trPr>
                        <w:tc>
                          <w:tcPr>
                            <w:tcW w:w="899" w:type="dxa"/>
                            <w:vMerge/>
                            <w:vAlign w:val="center"/>
                          </w:tcPr>
                          <w:p>
                            <w:pPr>
                              <w:jc w:val="center"/>
                              <w:rPr>
                                <w:rFonts w:eastAsia="Calibri"/>
                                <w:kern w:val="2"/>
                                <w:sz w:val="22"/>
                                <w:szCs w:val="22"/>
                                <w:lang w:val="en-US"/>
                              </w:rPr>
                            </w:pPr>
                          </w:p>
                        </w:tc>
                        <w:tc>
                          <w:tcPr>
                            <w:tcW w:w="3005" w:type="dxa"/>
                            <w:vMerge/>
                            <w:vAlign w:val="center"/>
                          </w:tcPr>
                          <w:p>
                            <w:pPr>
                              <w:jc w:val="both"/>
                              <w:rPr>
                                <w:rFonts w:eastAsia="Calibri"/>
                                <w:kern w:val="2"/>
                                <w:sz w:val="22"/>
                                <w:szCs w:val="22"/>
                              </w:rPr>
                            </w:pPr>
                          </w:p>
                        </w:tc>
                        <w:tc>
                          <w:tcPr>
                            <w:tcW w:w="1424" w:type="dxa"/>
                            <w:vAlign w:val="center"/>
                          </w:tcPr>
                          <w:p>
                            <w:pPr>
                              <w:spacing w:line="252" w:lineRule="auto"/>
                              <w:jc w:val="both"/>
                              <w:rPr>
                                <w:rFonts w:eastAsia="Calibri"/>
                                <w:kern w:val="2"/>
                                <w:sz w:val="22"/>
                                <w:szCs w:val="22"/>
                              </w:rPr>
                            </w:pPr>
                            <w:r>
                              <w:rPr>
                                <w:rFonts w:eastAsia="Calibri"/>
                                <w:kern w:val="2"/>
                                <w:sz w:val="22"/>
                                <w:szCs w:val="22"/>
                              </w:rPr>
                              <w:t>Prijungiami pažeidžiami vartotojai</w:t>
                            </w:r>
                            <w:r>
                              <w:rPr>
                                <w:rFonts w:ascii="Arial" w:hAnsi="Arial" w:cs="Arial"/>
                                <w:color w:val="000000"/>
                                <w:sz w:val="22"/>
                                <w:szCs w:val="22"/>
                                <w:bdr w:val="none" w:sz="0" w:space="0" w:color="auto" w:frame="1"/>
                              </w:rPr>
                              <w:t xml:space="preserve"> </w:t>
                            </w:r>
                            <w:r>
                              <w:rPr>
                                <w:rFonts w:eastAsia="Calibri"/>
                                <w:kern w:val="2"/>
                                <w:sz w:val="22"/>
                                <w:szCs w:val="22"/>
                              </w:rPr>
                              <w:t>(pagal 10.1 papunktį)</w:t>
                            </w:r>
                          </w:p>
                        </w:tc>
                        <w:tc>
                          <w:tcPr>
                            <w:tcW w:w="1220" w:type="dxa"/>
                            <w:vAlign w:val="center"/>
                          </w:tcPr>
                          <w:p>
                            <w:pPr>
                              <w:jc w:val="center"/>
                              <w:rPr>
                                <w:rFonts w:eastAsia="Calibri"/>
                                <w:kern w:val="2"/>
                                <w:sz w:val="22"/>
                                <w:szCs w:val="22"/>
                              </w:rPr>
                            </w:pPr>
                            <w:r>
                              <w:rPr>
                                <w:rFonts w:eastAsia="Calibri"/>
                                <w:kern w:val="2"/>
                                <w:sz w:val="22"/>
                                <w:szCs w:val="22"/>
                                <w:lang w:val="en-US"/>
                              </w:rPr>
                              <w:t>20 proc.</w:t>
                            </w:r>
                          </w:p>
                        </w:tc>
                        <w:tc>
                          <w:tcPr>
                            <w:tcW w:w="1223" w:type="dxa"/>
                            <w:vAlign w:val="center"/>
                          </w:tcPr>
                          <w:p>
                            <w:pPr>
                              <w:jc w:val="center"/>
                              <w:rPr>
                                <w:rFonts w:eastAsia="Calibri"/>
                                <w:kern w:val="2"/>
                                <w:sz w:val="22"/>
                                <w:szCs w:val="22"/>
                              </w:rPr>
                            </w:pPr>
                            <w:r>
                              <w:rPr>
                                <w:rFonts w:eastAsia="Calibri"/>
                                <w:kern w:val="2"/>
                                <w:sz w:val="22"/>
                                <w:szCs w:val="22"/>
                              </w:rPr>
                              <w:t>80 proc.</w:t>
                            </w:r>
                          </w:p>
                        </w:tc>
                        <w:tc>
                          <w:tcPr>
                            <w:tcW w:w="847" w:type="dxa"/>
                            <w:vAlign w:val="center"/>
                          </w:tcPr>
                          <w:p>
                            <w:pPr>
                              <w:jc w:val="center"/>
                              <w:rPr>
                                <w:rFonts w:eastAsia="Calibri"/>
                                <w:kern w:val="2"/>
                                <w:sz w:val="22"/>
                                <w:szCs w:val="22"/>
                              </w:rPr>
                            </w:pPr>
                            <w:r>
                              <w:rPr>
                                <w:rFonts w:eastAsia="Calibri"/>
                                <w:kern w:val="2"/>
                                <w:sz w:val="22"/>
                                <w:szCs w:val="22"/>
                              </w:rPr>
                              <w:t>+</w:t>
                            </w: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1320"/>
                          <w:jc w:val="center"/>
                        </w:trPr>
                        <w:tc>
                          <w:tcPr>
                            <w:tcW w:w="899" w:type="dxa"/>
                            <w:vMerge/>
                            <w:vAlign w:val="center"/>
                          </w:tcPr>
                          <w:p>
                            <w:pPr>
                              <w:jc w:val="center"/>
                              <w:rPr>
                                <w:rFonts w:eastAsia="Calibri"/>
                                <w:kern w:val="2"/>
                                <w:sz w:val="22"/>
                                <w:szCs w:val="22"/>
                                <w:lang w:val="en-US"/>
                              </w:rPr>
                            </w:pPr>
                          </w:p>
                        </w:tc>
                        <w:tc>
                          <w:tcPr>
                            <w:tcW w:w="3005" w:type="dxa"/>
                            <w:vMerge/>
                            <w:vAlign w:val="center"/>
                          </w:tcPr>
                          <w:p>
                            <w:pPr>
                              <w:jc w:val="both"/>
                              <w:rPr>
                                <w:rFonts w:eastAsia="Calibri"/>
                                <w:kern w:val="2"/>
                                <w:sz w:val="22"/>
                                <w:szCs w:val="22"/>
                              </w:rPr>
                            </w:pPr>
                          </w:p>
                        </w:tc>
                        <w:tc>
                          <w:tcPr>
                            <w:tcW w:w="1424" w:type="dxa"/>
                            <w:vAlign w:val="center"/>
                          </w:tcPr>
                          <w:p>
                            <w:pPr>
                              <w:spacing w:line="252" w:lineRule="auto"/>
                              <w:jc w:val="both"/>
                              <w:rPr>
                                <w:rFonts w:eastAsia="Calibri"/>
                                <w:kern w:val="2"/>
                                <w:sz w:val="22"/>
                                <w:szCs w:val="22"/>
                              </w:rPr>
                            </w:pPr>
                            <w:r>
                              <w:rPr>
                                <w:rFonts w:eastAsia="Calibri"/>
                                <w:kern w:val="2"/>
                                <w:sz w:val="22"/>
                                <w:szCs w:val="22"/>
                              </w:rPr>
                              <w:t>Prijungiami kiti vartotojai</w:t>
                            </w:r>
                            <w:r>
                              <w:rPr>
                                <w:rFonts w:ascii="Arial" w:hAnsi="Arial" w:cs="Arial"/>
                                <w:color w:val="000000"/>
                                <w:sz w:val="22"/>
                                <w:szCs w:val="22"/>
                                <w:shd w:val="clear" w:color="auto" w:fill="FFFFFF"/>
                              </w:rPr>
                              <w:t xml:space="preserve"> </w:t>
                            </w:r>
                            <w:r>
                              <w:rPr>
                                <w:rFonts w:eastAsia="Calibri"/>
                                <w:kern w:val="2"/>
                                <w:sz w:val="22"/>
                                <w:szCs w:val="22"/>
                              </w:rPr>
                              <w:t>(pagal 10.3 papunktį) </w:t>
                            </w:r>
                          </w:p>
                        </w:tc>
                        <w:tc>
                          <w:tcPr>
                            <w:tcW w:w="1220" w:type="dxa"/>
                            <w:vAlign w:val="center"/>
                          </w:tcPr>
                          <w:p>
                            <w:pPr>
                              <w:jc w:val="center"/>
                              <w:rPr>
                                <w:rFonts w:eastAsia="Calibri"/>
                                <w:kern w:val="2"/>
                                <w:sz w:val="22"/>
                                <w:szCs w:val="22"/>
                              </w:rPr>
                            </w:pPr>
                            <w:r>
                              <w:rPr>
                                <w:rFonts w:eastAsia="Calibri"/>
                                <w:kern w:val="2"/>
                                <w:sz w:val="22"/>
                                <w:szCs w:val="22"/>
                              </w:rPr>
                              <w:t>50 proc.</w:t>
                            </w:r>
                          </w:p>
                        </w:tc>
                        <w:tc>
                          <w:tcPr>
                            <w:tcW w:w="1223" w:type="dxa"/>
                            <w:vAlign w:val="center"/>
                          </w:tcPr>
                          <w:p>
                            <w:pPr>
                              <w:jc w:val="center"/>
                              <w:rPr>
                                <w:rFonts w:eastAsia="Calibri"/>
                                <w:kern w:val="2"/>
                                <w:sz w:val="22"/>
                                <w:szCs w:val="22"/>
                              </w:rPr>
                            </w:pPr>
                            <w:r>
                              <w:rPr>
                                <w:rFonts w:eastAsia="Calibri"/>
                                <w:kern w:val="2"/>
                                <w:sz w:val="22"/>
                                <w:szCs w:val="22"/>
                              </w:rPr>
                              <w:t>50 proc.</w:t>
                            </w:r>
                          </w:p>
                        </w:tc>
                        <w:tc>
                          <w:tcPr>
                            <w:tcW w:w="847" w:type="dxa"/>
                            <w:vAlign w:val="center"/>
                          </w:tcPr>
                          <w:p>
                            <w:pPr>
                              <w:jc w:val="center"/>
                              <w:rPr>
                                <w:rFonts w:eastAsia="Calibri"/>
                                <w:kern w:val="2"/>
                                <w:sz w:val="22"/>
                                <w:szCs w:val="22"/>
                              </w:rPr>
                            </w:pPr>
                            <w:r>
                              <w:rPr>
                                <w:rFonts w:eastAsia="Calibri"/>
                                <w:kern w:val="2"/>
                                <w:sz w:val="22"/>
                                <w:szCs w:val="22"/>
                              </w:rPr>
                              <w:t>+</w:t>
                            </w: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159"/>
                          <w:jc w:val="center"/>
                        </w:trPr>
                        <w:tc>
                          <w:tcPr>
                            <w:tcW w:w="899" w:type="dxa"/>
                            <w:vMerge w:val="restart"/>
                            <w:vAlign w:val="center"/>
                          </w:tcPr>
                          <w:p>
                            <w:pPr>
                              <w:jc w:val="center"/>
                              <w:rPr>
                                <w:rFonts w:ascii="Calibri" w:eastAsia="Calibri" w:hAnsi="Calibri"/>
                                <w:kern w:val="2"/>
                                <w:sz w:val="22"/>
                                <w:szCs w:val="22"/>
                                <w:lang w:val="en-US"/>
                              </w:rPr>
                            </w:pPr>
                            <w:r>
                              <w:rPr>
                                <w:rFonts w:eastAsia="Calibri"/>
                                <w:kern w:val="2"/>
                                <w:sz w:val="22"/>
                                <w:szCs w:val="22"/>
                                <w:lang w:val="en-US"/>
                              </w:rPr>
                              <w:t>10.5.</w:t>
                              <w:tab/>
                            </w:r>
                          </w:p>
                        </w:tc>
                        <w:tc>
                          <w:tcPr>
                            <w:tcW w:w="4429" w:type="dxa"/>
                            <w:gridSpan w:val="2"/>
                            <w:vMerge w:val="restart"/>
                            <w:vAlign w:val="center"/>
                          </w:tcPr>
                          <w:p>
                            <w:pPr>
                              <w:jc w:val="both"/>
                              <w:rPr>
                                <w:rFonts w:eastAsia="Calibri"/>
                                <w:kern w:val="2"/>
                                <w:sz w:val="22"/>
                                <w:szCs w:val="22"/>
                              </w:rPr>
                            </w:pPr>
                            <w:r>
                              <w:rPr>
                                <w:rFonts w:eastAsia="Calibri"/>
                                <w:kern w:val="2"/>
                                <w:sz w:val="22"/>
                                <w:szCs w:val="22"/>
                              </w:rPr>
                              <w:t xml:space="preserve">Statytojai (užsakovai), siekiantys, įrengti skirstomuosius tinklus nenumačius vartotojų (parengiant teritorijos infrastruktūrą būsimai plėtrai), moka 100 proc. operatoriaus atliktų darbų bei operatoriaus ir (ar) rangovo sunaudotų medžiagų ir kitų Metodikos 9 punkte nurodytų išlaidų faktinę kainą. </w:t>
                            </w:r>
                          </w:p>
                          <w:p>
                            <w:pPr>
                              <w:jc w:val="both"/>
                              <w:rPr>
                                <w:rFonts w:eastAsia="Calibri"/>
                                <w:kern w:val="2"/>
                                <w:sz w:val="22"/>
                                <w:szCs w:val="22"/>
                              </w:rPr>
                            </w:pPr>
                            <w:r>
                              <w:rPr>
                                <w:rFonts w:eastAsia="Calibri"/>
                                <w:kern w:val="2"/>
                                <w:sz w:val="22"/>
                                <w:szCs w:val="22"/>
                              </w:rPr>
                              <w:t xml:space="preserve">Jeigu per vienerius metus prie šių skirstomųjų tinklų prijungiami elektros įrenginiai, kurių galia atitinka įrengtų skirstomųjų tinklų galią,  skirstomųjų tinklų operatorius kompensuoja 50 procentų skirstomųjų tinklų įrengimo sąnaudų, arba, kai yra prijungiamas vystomas daugiabutis gyvenamasis namas, šis asmuo moka 50 proc. skirstomųjų tinklų operatoriaus faktinių sąnaudų. Planuojamų įrengti skirstomųjų tinklų apkrovos nustatomos vadovaujantis  Skaičiuojamųjų elektros apkrovų nustatymo metodika, patvirtinta Lietuvos Respublikos energetikos ministro 2014 m. gruodžio 11 d. įsakymu Nr. 1-312 „Dėl Skaičiuojamųjų elektros apkrovų nustatymo metodikos patvirtinimo“. </w:t>
                            </w:r>
                            <w:r>
                              <w:rPr>
                                <w:rFonts w:eastAsia="Arial Unicode MS"/>
                                <w:kern w:val="2"/>
                                <w:sz w:val="22"/>
                                <w:szCs w:val="22"/>
                                <w:bdr w:val="nil"/>
                                <w:lang w:eastAsia="lt-LT"/>
                              </w:rPr>
                              <w:t>Ši nuostata netaikoma, kai vartotojų elektros įrenginiai prie elektros tinklų prijungiami statytojų (užsakovų) Metodikos 10.8 papunktyje nurodytu atveju.</w:t>
                            </w:r>
                          </w:p>
                        </w:tc>
                        <w:tc>
                          <w:tcPr>
                            <w:tcW w:w="1220" w:type="dxa"/>
                            <w:vAlign w:val="center"/>
                          </w:tcPr>
                          <w:p>
                            <w:pPr>
                              <w:jc w:val="center"/>
                              <w:rPr>
                                <w:rFonts w:eastAsia="Calibri"/>
                                <w:kern w:val="2"/>
                                <w:sz w:val="22"/>
                                <w:szCs w:val="22"/>
                                <w:lang w:val="en-US"/>
                              </w:rPr>
                            </w:pPr>
                            <w:r>
                              <w:rPr>
                                <w:rFonts w:eastAsia="Calibri"/>
                                <w:kern w:val="2"/>
                                <w:sz w:val="22"/>
                                <w:szCs w:val="22"/>
                                <w:lang w:val="en-US"/>
                              </w:rPr>
                              <w:t>100 proc.</w:t>
                            </w:r>
                          </w:p>
                        </w:tc>
                        <w:tc>
                          <w:tcPr>
                            <w:tcW w:w="1223" w:type="dxa"/>
                            <w:vAlign w:val="center"/>
                          </w:tcPr>
                          <w:p>
                            <w:pPr>
                              <w:jc w:val="center"/>
                              <w:rPr>
                                <w:rFonts w:eastAsia="Calibri"/>
                                <w:kern w:val="2"/>
                                <w:sz w:val="22"/>
                                <w:szCs w:val="22"/>
                              </w:rPr>
                            </w:pPr>
                            <w:r>
                              <w:rPr>
                                <w:rFonts w:eastAsia="Calibri"/>
                                <w:kern w:val="2"/>
                                <w:sz w:val="22"/>
                                <w:szCs w:val="22"/>
                              </w:rPr>
                              <w:t>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405"/>
                          <w:jc w:val="center"/>
                        </w:trPr>
                        <w:tc>
                          <w:tcPr>
                            <w:tcW w:w="899" w:type="dxa"/>
                            <w:vMerge/>
                            <w:vAlign w:val="center"/>
                          </w:tcPr>
                          <w:p>
                            <w:pPr>
                              <w:jc w:val="center"/>
                              <w:rPr>
                                <w:rFonts w:eastAsia="Calibri"/>
                                <w:kern w:val="2"/>
                                <w:sz w:val="22"/>
                                <w:szCs w:val="22"/>
                                <w:lang w:val="en-US"/>
                              </w:rPr>
                            </w:pPr>
                          </w:p>
                        </w:tc>
                        <w:tc>
                          <w:tcPr>
                            <w:tcW w:w="4429" w:type="dxa"/>
                            <w:gridSpan w:val="2"/>
                            <w:vMerge/>
                            <w:vAlign w:val="center"/>
                          </w:tcPr>
                          <w:p>
                            <w:pPr>
                              <w:rPr>
                                <w:rFonts w:eastAsia="Calibri"/>
                                <w:kern w:val="2"/>
                                <w:sz w:val="22"/>
                                <w:szCs w:val="22"/>
                              </w:rPr>
                            </w:pPr>
                          </w:p>
                        </w:tc>
                        <w:tc>
                          <w:tcPr>
                            <w:tcW w:w="5047" w:type="dxa"/>
                            <w:gridSpan w:val="5"/>
                            <w:vAlign w:val="center"/>
                          </w:tcPr>
                          <w:p>
                            <w:pPr>
                              <w:jc w:val="center"/>
                              <w:rPr>
                                <w:rFonts w:eastAsia="Calibri"/>
                                <w:kern w:val="2"/>
                                <w:sz w:val="22"/>
                                <w:szCs w:val="22"/>
                              </w:rPr>
                            </w:pPr>
                            <w:r>
                              <w:rPr>
                                <w:rFonts w:eastAsia="Calibri"/>
                                <w:kern w:val="2"/>
                                <w:sz w:val="22"/>
                                <w:szCs w:val="22"/>
                              </w:rPr>
                              <w:t>arba</w:t>
                            </w:r>
                          </w:p>
                        </w:tc>
                      </w:tr>
                      <w:tr>
                        <w:trPr>
                          <w:gridAfter w:val="1"/>
                          <w:wAfter w:w="36" w:type="dxa"/>
                          <w:trHeight w:val="901"/>
                          <w:jc w:val="center"/>
                        </w:trPr>
                        <w:tc>
                          <w:tcPr>
                            <w:tcW w:w="899" w:type="dxa"/>
                            <w:vMerge/>
                            <w:vAlign w:val="center"/>
                          </w:tcPr>
                          <w:p>
                            <w:pPr>
                              <w:jc w:val="center"/>
                              <w:rPr>
                                <w:rFonts w:eastAsia="Calibri"/>
                                <w:kern w:val="2"/>
                                <w:sz w:val="22"/>
                                <w:szCs w:val="22"/>
                                <w:lang w:val="en-US"/>
                              </w:rPr>
                            </w:pPr>
                          </w:p>
                        </w:tc>
                        <w:tc>
                          <w:tcPr>
                            <w:tcW w:w="4429" w:type="dxa"/>
                            <w:gridSpan w:val="2"/>
                            <w:vMerge/>
                            <w:vAlign w:val="center"/>
                          </w:tcPr>
                          <w:p>
                            <w:pPr>
                              <w:rPr>
                                <w:rFonts w:eastAsia="Calibri"/>
                                <w:kern w:val="2"/>
                                <w:sz w:val="22"/>
                                <w:szCs w:val="22"/>
                              </w:rPr>
                            </w:pPr>
                          </w:p>
                        </w:tc>
                        <w:tc>
                          <w:tcPr>
                            <w:tcW w:w="1220" w:type="dxa"/>
                            <w:vAlign w:val="center"/>
                          </w:tcPr>
                          <w:p>
                            <w:pPr>
                              <w:jc w:val="center"/>
                              <w:rPr>
                                <w:rFonts w:eastAsia="Calibri"/>
                                <w:kern w:val="2"/>
                                <w:sz w:val="22"/>
                                <w:szCs w:val="22"/>
                              </w:rPr>
                            </w:pPr>
                            <w:r>
                              <w:rPr>
                                <w:rFonts w:eastAsia="Calibri"/>
                                <w:kern w:val="2"/>
                                <w:sz w:val="22"/>
                                <w:szCs w:val="22"/>
                              </w:rPr>
                              <w:t>50 proc.</w:t>
                            </w:r>
                          </w:p>
                        </w:tc>
                        <w:tc>
                          <w:tcPr>
                            <w:tcW w:w="1223" w:type="dxa"/>
                            <w:vAlign w:val="center"/>
                          </w:tcPr>
                          <w:p>
                            <w:pPr>
                              <w:jc w:val="center"/>
                              <w:rPr>
                                <w:rFonts w:eastAsia="Calibri"/>
                                <w:kern w:val="2"/>
                                <w:sz w:val="22"/>
                                <w:szCs w:val="22"/>
                              </w:rPr>
                            </w:pPr>
                            <w:r>
                              <w:rPr>
                                <w:rFonts w:eastAsia="Calibri"/>
                                <w:kern w:val="2"/>
                                <w:sz w:val="22"/>
                                <w:szCs w:val="22"/>
                              </w:rPr>
                              <w:t>50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144"/>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10.6.</w:t>
                              <w:tab/>
                            </w:r>
                          </w:p>
                        </w:tc>
                        <w:tc>
                          <w:tcPr>
                            <w:tcW w:w="4429" w:type="dxa"/>
                            <w:gridSpan w:val="2"/>
                            <w:vAlign w:val="center"/>
                          </w:tcPr>
                          <w:p>
                            <w:pPr>
                              <w:jc w:val="both"/>
                              <w:rPr>
                                <w:rFonts w:eastAsia="Calibri"/>
                                <w:kern w:val="2"/>
                                <w:sz w:val="22"/>
                                <w:szCs w:val="22"/>
                              </w:rPr>
                            </w:pPr>
                            <w:r>
                              <w:rPr>
                                <w:rFonts w:eastAsia="Calibri"/>
                                <w:kern w:val="2"/>
                                <w:sz w:val="22"/>
                                <w:szCs w:val="22"/>
                              </w:rPr>
                              <w:t>Vartotojai, siekiantys prijungti elektros įrenginius prie tinklų terminuotam laikotarpiui – vienkartiniams renginiams ar kitiems trumpalaikiams tikslams, sezoniniams renginiams (kuriems yra išduotas savivaldybės leidimas), taip pat pageidauja prijungti kilnojamuose daiktuose, įskaitant elektromobilio įkrovimo prieigą (išskyrus Metodikos 10.7 papunktyje nurodytą atvejį), ar laikinuose statiniuose esančius elektros įrenginius ar elektros įrenginius, esančius ne statiniuose, elektros įrenginius sklypo priežiūrai ir panašiems tikslams, taip pat statybos laikotarpiui.</w:t>
                            </w:r>
                          </w:p>
                        </w:tc>
                        <w:tc>
                          <w:tcPr>
                            <w:tcW w:w="1220" w:type="dxa"/>
                            <w:vAlign w:val="center"/>
                          </w:tcPr>
                          <w:p>
                            <w:pPr>
                              <w:jc w:val="center"/>
                              <w:rPr>
                                <w:rFonts w:eastAsia="Calibri"/>
                                <w:kern w:val="2"/>
                                <w:sz w:val="22"/>
                                <w:szCs w:val="22"/>
                              </w:rPr>
                            </w:pPr>
                            <w:r>
                              <w:rPr>
                                <w:rFonts w:eastAsia="Calibri"/>
                                <w:kern w:val="2"/>
                                <w:sz w:val="22"/>
                                <w:szCs w:val="22"/>
                              </w:rPr>
                              <w:t>100 proc.</w:t>
                            </w:r>
                          </w:p>
                        </w:tc>
                        <w:tc>
                          <w:tcPr>
                            <w:tcW w:w="1223" w:type="dxa"/>
                            <w:vAlign w:val="center"/>
                          </w:tcPr>
                          <w:p>
                            <w:pPr>
                              <w:jc w:val="center"/>
                              <w:rPr>
                                <w:rFonts w:eastAsia="Calibri"/>
                                <w:kern w:val="2"/>
                                <w:sz w:val="22"/>
                                <w:szCs w:val="22"/>
                              </w:rPr>
                            </w:pPr>
                            <w:r>
                              <w:rPr>
                                <w:rFonts w:eastAsia="Calibri"/>
                                <w:kern w:val="2"/>
                                <w:sz w:val="22"/>
                                <w:szCs w:val="22"/>
                              </w:rPr>
                              <w:t>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p>
                        </w:tc>
                      </w:tr>
                      <w:tr>
                        <w:trPr>
                          <w:gridAfter w:val="1"/>
                          <w:wAfter w:w="36" w:type="dxa"/>
                          <w:trHeight w:val="144"/>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10.7.</w:t>
                              <w:tab/>
                            </w:r>
                          </w:p>
                        </w:tc>
                        <w:tc>
                          <w:tcPr>
                            <w:tcW w:w="4429" w:type="dxa"/>
                            <w:gridSpan w:val="2"/>
                            <w:vAlign w:val="center"/>
                          </w:tcPr>
                          <w:p>
                            <w:pPr>
                              <w:jc w:val="both"/>
                              <w:rPr>
                                <w:sz w:val="22"/>
                                <w:szCs w:val="22"/>
                                <w:lang w:eastAsia="lt-LT"/>
                              </w:rPr>
                            </w:pPr>
                            <w:r>
                              <w:rPr>
                                <w:sz w:val="22"/>
                                <w:szCs w:val="22"/>
                                <w:lang w:eastAsia="lt-LT"/>
                              </w:rPr>
                              <w:t>Vartotojai, prijungiantys elektromobilio įkrovimo prieigą, kurių prijungimui nebuvo suteikta parama iš valstybės biudžeto ar ES lėšų ir ji įregistruojama Viešųjų ir pusiau viešųjų elektromobilių įkrovimo prieigų informacinėje sistemoje. Po įregistravimo Viešųjų ir pusiau viešųjų elektromobilių įkrovimo prieigų informacinėje sistemoje skirstomųjų tinklų operatorius kompensuoja elektromobilių įkrovimo prieigos prijungimą organizavusiam asmeniui 50 procentų skirstomųjų tinklų operatoriaus įrengimo sąnaudų</w:t>
                            </w:r>
                            <w:r>
                              <w:rPr>
                                <w:rFonts w:eastAsia="Calibri"/>
                                <w:kern w:val="2"/>
                                <w:sz w:val="22"/>
                                <w:szCs w:val="22"/>
                                <w:lang w:eastAsia="zh-TW"/>
                              </w:rPr>
                              <w:t>, išskyrus, jei iki prašymo sumokėti kompensaciją yra pateiktas prašymas sumažinti leistiną naudoti galią</w:t>
                            </w:r>
                            <w:r>
                              <w:rPr>
                                <w:sz w:val="22"/>
                                <w:szCs w:val="22"/>
                                <w:lang w:eastAsia="lt-LT"/>
                              </w:rPr>
                              <w:t>.</w:t>
                            </w:r>
                          </w:p>
                        </w:tc>
                        <w:tc>
                          <w:tcPr>
                            <w:tcW w:w="1220" w:type="dxa"/>
                            <w:vAlign w:val="center"/>
                          </w:tcPr>
                          <w:p>
                            <w:pPr>
                              <w:jc w:val="center"/>
                              <w:rPr>
                                <w:rFonts w:eastAsia="Calibri"/>
                                <w:kern w:val="2"/>
                                <w:sz w:val="22"/>
                                <w:szCs w:val="22"/>
                              </w:rPr>
                            </w:pPr>
                            <w:r>
                              <w:rPr>
                                <w:rFonts w:eastAsia="Calibri"/>
                                <w:kern w:val="2"/>
                                <w:sz w:val="22"/>
                                <w:szCs w:val="22"/>
                              </w:rPr>
                              <w:t>50 proc.</w:t>
                            </w:r>
                          </w:p>
                        </w:tc>
                        <w:tc>
                          <w:tcPr>
                            <w:tcW w:w="1223" w:type="dxa"/>
                            <w:vAlign w:val="center"/>
                          </w:tcPr>
                          <w:p>
                            <w:pPr>
                              <w:jc w:val="center"/>
                              <w:rPr>
                                <w:rFonts w:eastAsia="Calibri"/>
                                <w:kern w:val="2"/>
                                <w:sz w:val="22"/>
                                <w:szCs w:val="22"/>
                              </w:rPr>
                            </w:pPr>
                            <w:r>
                              <w:rPr>
                                <w:rFonts w:eastAsia="Calibri"/>
                                <w:kern w:val="2"/>
                                <w:sz w:val="22"/>
                                <w:szCs w:val="22"/>
                              </w:rPr>
                              <w:t>50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p>
                        </w:tc>
                      </w:tr>
                      <w:tr>
                        <w:trPr>
                          <w:gridAfter w:val="1"/>
                          <w:wAfter w:w="36" w:type="dxa"/>
                          <w:trHeight w:val="144"/>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10.8.</w:t>
                              <w:tab/>
                            </w:r>
                          </w:p>
                        </w:tc>
                        <w:tc>
                          <w:tcPr>
                            <w:tcW w:w="4429" w:type="dxa"/>
                            <w:gridSpan w:val="2"/>
                            <w:vAlign w:val="center"/>
                          </w:tcPr>
                          <w:p>
                            <w:pPr>
                              <w:jc w:val="both"/>
                              <w:rPr>
                                <w:rFonts w:eastAsia="Calibri"/>
                                <w:kern w:val="2"/>
                                <w:sz w:val="22"/>
                                <w:szCs w:val="22"/>
                              </w:rPr>
                            </w:pPr>
                            <w:r>
                              <w:rPr>
                                <w:rFonts w:eastAsia="Calibri"/>
                                <w:kern w:val="2"/>
                                <w:sz w:val="22"/>
                                <w:szCs w:val="22"/>
                              </w:rPr>
                              <w:t xml:space="preserve">Vartotojai, kurių prijungiamų elektros įrenginių leistina naudoti galia ar didinama elektros įrenginių leistina naudoti galia yra didesnė kaip 250 kW, ir kurių elektros įrenginiams prijungti prie elektros tinklų reikia įrengti transformatorių pastotes, transformatorines, skirstomuosius punktus, </w:t>
                            </w:r>
                            <w:r>
                              <w:rPr>
                                <w:rFonts w:eastAsia="Arial Unicode MS"/>
                                <w:kern w:val="2"/>
                                <w:sz w:val="22"/>
                                <w:szCs w:val="22"/>
                                <w:bdr w:val="nil"/>
                                <w:lang w:eastAsia="lt-LT"/>
                              </w:rPr>
                              <w:t>taip pat statytojai (užsakovai), siekiantys įrengti skirstomuosius tinklus nenumačius vartotojų (parengiant teritorijos infrastruktūrą būsimai plėtrai)</w:t>
                            </w:r>
                            <w:r>
                              <w:rPr>
                                <w:rFonts w:ascii="Calibri" w:eastAsia="Arial Unicode MS" w:hAnsi="Calibri"/>
                                <w:kern w:val="2"/>
                                <w:sz w:val="22"/>
                                <w:szCs w:val="22"/>
                                <w:bdr w:val="nil"/>
                                <w:lang w:eastAsia="lt-LT"/>
                              </w:rPr>
                              <w:t>,</w:t>
                            </w:r>
                            <w:r>
                              <w:rPr>
                                <w:rFonts w:eastAsia="Calibri"/>
                                <w:kern w:val="2"/>
                                <w:sz w:val="22"/>
                                <w:szCs w:val="22"/>
                              </w:rPr>
                              <w:t xml:space="preserve"> kurie pageidauja Energetikos ministerijos nustatyta tvarka, suderinę su šių skirstomųjų tinklų operatoriumi, įrengti šiuos elektros tinklus ir organizuoti jų įrengimo darbus.</w:t>
                            </w:r>
                          </w:p>
                        </w:tc>
                        <w:tc>
                          <w:tcPr>
                            <w:tcW w:w="1220" w:type="dxa"/>
                            <w:vAlign w:val="center"/>
                          </w:tcPr>
                          <w:p>
                            <w:pPr>
                              <w:jc w:val="center"/>
                              <w:rPr>
                                <w:rFonts w:eastAsia="Calibri"/>
                                <w:kern w:val="2"/>
                                <w:sz w:val="22"/>
                                <w:szCs w:val="22"/>
                                <w:lang w:val="en-US"/>
                              </w:rPr>
                            </w:pPr>
                            <w:r>
                              <w:rPr>
                                <w:rFonts w:eastAsia="Calibri"/>
                                <w:kern w:val="2"/>
                                <w:sz w:val="22"/>
                                <w:szCs w:val="22"/>
                                <w:lang w:val="en-US"/>
                              </w:rPr>
                              <w:t>100 proc.</w:t>
                            </w:r>
                          </w:p>
                        </w:tc>
                        <w:tc>
                          <w:tcPr>
                            <w:tcW w:w="1223" w:type="dxa"/>
                            <w:vAlign w:val="center"/>
                          </w:tcPr>
                          <w:p>
                            <w:pPr>
                              <w:jc w:val="center"/>
                              <w:rPr>
                                <w:rFonts w:eastAsia="Calibri"/>
                                <w:kern w:val="2"/>
                                <w:sz w:val="22"/>
                                <w:szCs w:val="22"/>
                              </w:rPr>
                            </w:pPr>
                            <w:r>
                              <w:rPr>
                                <w:rFonts w:eastAsia="Calibri"/>
                                <w:kern w:val="2"/>
                                <w:sz w:val="22"/>
                                <w:szCs w:val="22"/>
                              </w:rPr>
                              <w:t>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300"/>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10.9.</w:t>
                              <w:tab/>
                            </w:r>
                          </w:p>
                        </w:tc>
                        <w:tc>
                          <w:tcPr>
                            <w:tcW w:w="4429" w:type="dxa"/>
                            <w:gridSpan w:val="2"/>
                            <w:vAlign w:val="center"/>
                          </w:tcPr>
                          <w:p>
                            <w:pPr>
                              <w:jc w:val="both"/>
                              <w:rPr>
                                <w:rFonts w:eastAsia="Calibri"/>
                                <w:kern w:val="2"/>
                                <w:sz w:val="22"/>
                                <w:szCs w:val="22"/>
                              </w:rPr>
                            </w:pPr>
                            <w:r>
                              <w:rPr>
                                <w:rFonts w:eastAsia="Calibri"/>
                                <w:kern w:val="2"/>
                                <w:sz w:val="22"/>
                                <w:szCs w:val="22"/>
                              </w:rPr>
                              <w:t>Vartotojai, kurių prijungiamų elektros įrenginių leistina naudoti galia ar didinama elektros įrenginių leistina naudoti galia yra ne mažesnė kaip 10 MW, ir kurių elektros įrenginiams prijungti prie elektros tinklo reikia pastatyti naujus elektros perdavimo tinklus ir kurie pageidauja Energetikos ministerijos nustatyta tvarka, suderinę su perdavimo sistemos operatoriumi, pastatyti šiuos elektros tinklus ir organizuoti jų statybos darbus.</w:t>
                            </w:r>
                          </w:p>
                        </w:tc>
                        <w:tc>
                          <w:tcPr>
                            <w:tcW w:w="1220" w:type="dxa"/>
                            <w:vAlign w:val="center"/>
                          </w:tcPr>
                          <w:p>
                            <w:pPr>
                              <w:jc w:val="center"/>
                              <w:rPr>
                                <w:rFonts w:eastAsia="Calibri"/>
                                <w:kern w:val="2"/>
                                <w:sz w:val="22"/>
                                <w:szCs w:val="22"/>
                              </w:rPr>
                            </w:pPr>
                            <w:r>
                              <w:rPr>
                                <w:rFonts w:eastAsia="Calibri"/>
                                <w:kern w:val="2"/>
                                <w:sz w:val="22"/>
                                <w:szCs w:val="22"/>
                                <w:lang w:val="en-US"/>
                              </w:rPr>
                              <w:t>100 proc.</w:t>
                            </w:r>
                          </w:p>
                        </w:tc>
                        <w:tc>
                          <w:tcPr>
                            <w:tcW w:w="1223" w:type="dxa"/>
                            <w:vAlign w:val="center"/>
                          </w:tcPr>
                          <w:p>
                            <w:pPr>
                              <w:jc w:val="center"/>
                              <w:rPr>
                                <w:rFonts w:eastAsia="Calibri"/>
                                <w:kern w:val="2"/>
                                <w:sz w:val="22"/>
                                <w:szCs w:val="22"/>
                              </w:rPr>
                            </w:pPr>
                            <w:r>
                              <w:rPr>
                                <w:rFonts w:eastAsia="Calibri"/>
                                <w:kern w:val="2"/>
                                <w:sz w:val="22"/>
                                <w:szCs w:val="22"/>
                              </w:rPr>
                              <w:t>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p>
                        </w:tc>
                      </w:tr>
                      <w:tr>
                        <w:trPr>
                          <w:gridAfter w:val="1"/>
                          <w:wAfter w:w="36" w:type="dxa"/>
                          <w:trHeight w:val="2608"/>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10.10.</w:t>
                              <w:tab/>
                            </w:r>
                          </w:p>
                        </w:tc>
                        <w:tc>
                          <w:tcPr>
                            <w:tcW w:w="9476" w:type="dxa"/>
                            <w:gridSpan w:val="7"/>
                            <w:vAlign w:val="center"/>
                          </w:tcPr>
                          <w:p>
                            <w:pPr>
                              <w:jc w:val="both"/>
                              <w:rPr>
                                <w:rFonts w:eastAsia="Calibri"/>
                                <w:kern w:val="2"/>
                                <w:sz w:val="22"/>
                                <w:szCs w:val="22"/>
                              </w:rPr>
                            </w:pPr>
                            <w:r>
                              <w:rPr>
                                <w:rFonts w:eastAsia="Calibri"/>
                                <w:kern w:val="2"/>
                                <w:sz w:val="22"/>
                                <w:szCs w:val="22"/>
                              </w:rPr>
                              <w:t>Tais atvejais, kai prie skirstomųjų elektros tinklų jungiami Metodikos 10.1-10.3 papunkčiuose nurodytų vartotojų ar jų grupės elektros įrenginiai, ir šie vartotojai Aprašo nustatyta tvarka organizuoja prijungimo prie tinklų projektavimo darbus savo lėšomis, operatorius tokiems vartotojams atlygina projekto parengimo išlaidas, kurios apskaičiuojamos pagal Tarybos atitinkamiems metams atitinkamai vartotojų grupei patvirtintus maksimalius kompensuotinus projektavimo dydžius, kaip tai numatyta Metodikos 8.1.2 papunktyje, pagal Metodikos 10.1‒10.3 papunkčiuose operatoriui nustatytą procentinį dydį. Vartotojui išmokama kompensacijos procentinė dalis, lygi skirstomųjų tinklų operatoriaus padengiamai prijungimo sąnaudų procentinei daliai.</w:t>
                            </w:r>
                          </w:p>
                          <w:p>
                            <w:pPr>
                              <w:jc w:val="both"/>
                              <w:rPr>
                                <w:sz w:val="22"/>
                                <w:szCs w:val="22"/>
                                <w:lang w:eastAsia="lt-LT"/>
                              </w:rPr>
                            </w:pPr>
                            <w:r>
                              <w:rPr>
                                <w:rFonts w:eastAsia="Calibri"/>
                                <w:kern w:val="2"/>
                                <w:sz w:val="22"/>
                                <w:szCs w:val="22"/>
                              </w:rPr>
                              <w:t>Tarybos nustatytą maksimalų kompensuotiną projektavimo sumą viršijanti projektavimo kainos dalis, kai projektavimo darbus savo lėšomis organizuoja vartotojai, laikoma vartotojo išlaidomis. Vartotojui atlygintinos projektavimo išlaidos įvertinamos apskaičiuojant galutinį prijungimo įmokos dydį arba kitu šalių sutartu būdu.</w:t>
                            </w:r>
                          </w:p>
                        </w:tc>
                      </w:tr>
                      <w:tr>
                        <w:trPr>
                          <w:gridAfter w:val="1"/>
                          <w:wAfter w:w="36" w:type="dxa"/>
                          <w:trHeight w:val="1913"/>
                          <w:jc w:val="center"/>
                        </w:trPr>
                        <w:tc>
                          <w:tcPr>
                            <w:tcW w:w="899" w:type="dxa"/>
                            <w:vMerge w:val="restart"/>
                            <w:vAlign w:val="center"/>
                          </w:tcPr>
                          <w:p>
                            <w:pPr>
                              <w:jc w:val="center"/>
                              <w:rPr>
                                <w:rFonts w:ascii="Calibri" w:eastAsia="Calibri" w:hAnsi="Calibri"/>
                                <w:kern w:val="2"/>
                                <w:sz w:val="22"/>
                                <w:szCs w:val="22"/>
                              </w:rPr>
                            </w:pPr>
                            <w:r>
                              <w:rPr>
                                <w:rFonts w:eastAsia="Calibri"/>
                                <w:kern w:val="2"/>
                                <w:sz w:val="22"/>
                                <w:szCs w:val="22"/>
                              </w:rPr>
                              <w:t>10.11.</w:t>
                              <w:tab/>
                            </w:r>
                          </w:p>
                        </w:tc>
                        <w:tc>
                          <w:tcPr>
                            <w:tcW w:w="3005" w:type="dxa"/>
                            <w:vMerge w:val="restart"/>
                            <w:vAlign w:val="center"/>
                          </w:tcPr>
                          <w:p>
                            <w:pPr>
                              <w:jc w:val="both"/>
                              <w:rPr>
                                <w:rFonts w:eastAsia="Calibri"/>
                                <w:kern w:val="2"/>
                                <w:sz w:val="22"/>
                                <w:szCs w:val="22"/>
                              </w:rPr>
                            </w:pPr>
                            <w:r>
                              <w:rPr>
                                <w:rFonts w:eastAsia="Calibri"/>
                                <w:kern w:val="2"/>
                                <w:sz w:val="22"/>
                                <w:szCs w:val="22"/>
                              </w:rPr>
                              <w:t>Tais atvejais, kai Metodikos 10.1-10.3 papunkčiuose nurodytų vartotojų elektros įrenginiams prijungti prie elektros tinklų reikia įrengti skirstomuosius tinklus pagal kilnojamųjų elektros energetikos objektų ir įrenginių įrengimo projektą ir prijungimo paslaugos kaina nėra apskaičiuojama vadovaujantis Tarybos patvirtintais įkainiais ir kai skirstomųjų tinklų įrengimo darbų sąnaudos yra ne mažiau kaip 10 proc. mažesnės, negu apskaičiuotos skirstomųjų tinklų operatoriaus, šie vartotojai turi teisę Energetikos ministerijos nustatyta tvarka, suderinę su skirstomųjų tinklų operatoriumi, įrengti šiuos skirstomuosius elektros tinklus ir (ar) organizuoti jų įrengimo darbus.</w:t>
                            </w:r>
                          </w:p>
                        </w:tc>
                        <w:tc>
                          <w:tcPr>
                            <w:tcW w:w="1424" w:type="dxa"/>
                            <w:vAlign w:val="center"/>
                          </w:tcPr>
                          <w:p>
                            <w:pPr>
                              <w:jc w:val="both"/>
                              <w:rPr>
                                <w:rFonts w:eastAsia="Calibri"/>
                                <w:kern w:val="2"/>
                                <w:sz w:val="22"/>
                                <w:szCs w:val="22"/>
                              </w:rPr>
                            </w:pPr>
                            <w:r>
                              <w:rPr>
                                <w:rFonts w:eastAsia="Calibri"/>
                                <w:kern w:val="2"/>
                                <w:sz w:val="22"/>
                                <w:szCs w:val="22"/>
                              </w:rPr>
                              <w:t>Metodikos 10.1 papunktyje nurodytu atveju</w:t>
                            </w:r>
                          </w:p>
                        </w:tc>
                        <w:tc>
                          <w:tcPr>
                            <w:tcW w:w="1220" w:type="dxa"/>
                            <w:tcBorders>
                              <w:top w:val="single" w:sz="4" w:space="0" w:color="auto"/>
                            </w:tcBorders>
                            <w:vAlign w:val="center"/>
                          </w:tcPr>
                          <w:p>
                            <w:pPr>
                              <w:rPr>
                                <w:rFonts w:eastAsia="Calibri"/>
                                <w:kern w:val="2"/>
                                <w:sz w:val="22"/>
                                <w:szCs w:val="22"/>
                              </w:rPr>
                            </w:pPr>
                            <w:r>
                              <w:rPr>
                                <w:rFonts w:eastAsia="Calibri"/>
                                <w:kern w:val="2"/>
                                <w:sz w:val="22"/>
                                <w:szCs w:val="22"/>
                                <w:lang w:val="en-US"/>
                              </w:rPr>
                              <w:t>20 proc.</w:t>
                            </w:r>
                          </w:p>
                        </w:tc>
                        <w:tc>
                          <w:tcPr>
                            <w:tcW w:w="1223" w:type="dxa"/>
                            <w:tcBorders>
                              <w:top w:val="single" w:sz="4" w:space="0" w:color="auto"/>
                            </w:tcBorders>
                            <w:vAlign w:val="center"/>
                          </w:tcPr>
                          <w:p>
                            <w:pPr>
                              <w:rPr>
                                <w:rFonts w:eastAsia="Calibri"/>
                                <w:kern w:val="2"/>
                                <w:sz w:val="22"/>
                                <w:szCs w:val="22"/>
                              </w:rPr>
                            </w:pPr>
                            <w:r>
                              <w:rPr>
                                <w:rFonts w:eastAsia="Calibri"/>
                                <w:kern w:val="2"/>
                                <w:sz w:val="22"/>
                                <w:szCs w:val="22"/>
                              </w:rPr>
                              <w:t>80 proc.</w:t>
                            </w:r>
                          </w:p>
                        </w:tc>
                        <w:tc>
                          <w:tcPr>
                            <w:tcW w:w="847" w:type="dxa"/>
                            <w:tcBorders>
                              <w:top w:val="single" w:sz="4" w:space="0" w:color="auto"/>
                            </w:tcBorders>
                            <w:vAlign w:val="center"/>
                          </w:tcPr>
                          <w:p>
                            <w:pPr>
                              <w:rPr>
                                <w:rFonts w:eastAsia="Calibri"/>
                                <w:kern w:val="2"/>
                                <w:sz w:val="22"/>
                                <w:szCs w:val="22"/>
                              </w:rPr>
                            </w:pPr>
                          </w:p>
                        </w:tc>
                        <w:tc>
                          <w:tcPr>
                            <w:tcW w:w="868" w:type="dxa"/>
                            <w:tcBorders>
                              <w:top w:val="single" w:sz="4" w:space="0" w:color="auto"/>
                            </w:tcBorders>
                            <w:vAlign w:val="center"/>
                          </w:tcPr>
                          <w:p>
                            <w:pPr>
                              <w:jc w:val="center"/>
                              <w:rPr>
                                <w:rFonts w:eastAsia="Calibri"/>
                                <w:kern w:val="2"/>
                                <w:sz w:val="22"/>
                                <w:szCs w:val="22"/>
                              </w:rPr>
                            </w:pPr>
                            <w:r>
                              <w:rPr>
                                <w:rFonts w:eastAsia="Calibri"/>
                                <w:kern w:val="2"/>
                                <w:sz w:val="22"/>
                                <w:szCs w:val="22"/>
                              </w:rPr>
                              <w:t>+</w:t>
                            </w:r>
                          </w:p>
                        </w:tc>
                        <w:tc>
                          <w:tcPr>
                            <w:tcW w:w="889" w:type="dxa"/>
                            <w:tcBorders>
                              <w:top w:val="single" w:sz="4" w:space="0" w:color="auto"/>
                            </w:tcBorders>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2386"/>
                          <w:jc w:val="center"/>
                        </w:trPr>
                        <w:tc>
                          <w:tcPr>
                            <w:tcW w:w="899" w:type="dxa"/>
                            <w:vMerge/>
                            <w:vAlign w:val="center"/>
                          </w:tcPr>
                          <w:p>
                            <w:pPr>
                              <w:jc w:val="center"/>
                              <w:rPr>
                                <w:rFonts w:eastAsia="Calibri"/>
                                <w:kern w:val="2"/>
                                <w:sz w:val="22"/>
                                <w:szCs w:val="22"/>
                              </w:rPr>
                            </w:pPr>
                          </w:p>
                        </w:tc>
                        <w:tc>
                          <w:tcPr>
                            <w:tcW w:w="3005" w:type="dxa"/>
                            <w:vMerge/>
                            <w:vAlign w:val="center"/>
                          </w:tcPr>
                          <w:p>
                            <w:pPr>
                              <w:jc w:val="both"/>
                              <w:rPr>
                                <w:rFonts w:eastAsia="Calibri"/>
                                <w:kern w:val="2"/>
                                <w:sz w:val="22"/>
                                <w:szCs w:val="22"/>
                              </w:rPr>
                            </w:pPr>
                          </w:p>
                        </w:tc>
                        <w:tc>
                          <w:tcPr>
                            <w:tcW w:w="1424" w:type="dxa"/>
                            <w:vAlign w:val="center"/>
                          </w:tcPr>
                          <w:p>
                            <w:pPr>
                              <w:jc w:val="both"/>
                              <w:rPr>
                                <w:rFonts w:eastAsia="Calibri"/>
                                <w:kern w:val="2"/>
                                <w:sz w:val="22"/>
                                <w:szCs w:val="22"/>
                              </w:rPr>
                            </w:pPr>
                            <w:r>
                              <w:rPr>
                                <w:rFonts w:eastAsia="Calibri"/>
                                <w:kern w:val="2"/>
                                <w:sz w:val="22"/>
                                <w:szCs w:val="22"/>
                              </w:rPr>
                              <w:t>Metodikos 10.2 papunktyje nurodytu atveju</w:t>
                            </w:r>
                          </w:p>
                        </w:tc>
                        <w:tc>
                          <w:tcPr>
                            <w:tcW w:w="1220" w:type="dxa"/>
                            <w:vAlign w:val="center"/>
                          </w:tcPr>
                          <w:p>
                            <w:pPr>
                              <w:rPr>
                                <w:rFonts w:eastAsia="Calibri"/>
                                <w:kern w:val="2"/>
                                <w:sz w:val="22"/>
                                <w:szCs w:val="22"/>
                              </w:rPr>
                            </w:pPr>
                            <w:r>
                              <w:rPr>
                                <w:rFonts w:eastAsia="Calibri"/>
                                <w:kern w:val="2"/>
                                <w:sz w:val="22"/>
                                <w:szCs w:val="22"/>
                                <w:lang w:val="en-US"/>
                              </w:rPr>
                              <w:t>10 proc.</w:t>
                            </w:r>
                          </w:p>
                        </w:tc>
                        <w:tc>
                          <w:tcPr>
                            <w:tcW w:w="1223" w:type="dxa"/>
                            <w:vAlign w:val="center"/>
                          </w:tcPr>
                          <w:p>
                            <w:pPr>
                              <w:rPr>
                                <w:rFonts w:eastAsia="Calibri"/>
                                <w:kern w:val="2"/>
                                <w:sz w:val="22"/>
                                <w:szCs w:val="22"/>
                              </w:rPr>
                            </w:pPr>
                            <w:r>
                              <w:rPr>
                                <w:rFonts w:eastAsia="Calibri"/>
                                <w:kern w:val="2"/>
                                <w:sz w:val="22"/>
                                <w:szCs w:val="22"/>
                              </w:rPr>
                              <w:t>90 proc.</w:t>
                            </w:r>
                          </w:p>
                        </w:tc>
                        <w:tc>
                          <w:tcPr>
                            <w:tcW w:w="847" w:type="dxa"/>
                            <w:vAlign w:val="center"/>
                          </w:tcPr>
                          <w:p>
                            <w:pP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1681"/>
                          <w:jc w:val="center"/>
                        </w:trPr>
                        <w:tc>
                          <w:tcPr>
                            <w:tcW w:w="899" w:type="dxa"/>
                            <w:vMerge/>
                            <w:vAlign w:val="center"/>
                          </w:tcPr>
                          <w:p>
                            <w:pPr>
                              <w:jc w:val="center"/>
                              <w:rPr>
                                <w:rFonts w:eastAsia="Calibri"/>
                                <w:kern w:val="2"/>
                                <w:sz w:val="22"/>
                                <w:szCs w:val="22"/>
                              </w:rPr>
                            </w:pPr>
                          </w:p>
                        </w:tc>
                        <w:tc>
                          <w:tcPr>
                            <w:tcW w:w="3005" w:type="dxa"/>
                            <w:vMerge/>
                            <w:vAlign w:val="center"/>
                          </w:tcPr>
                          <w:p>
                            <w:pPr>
                              <w:jc w:val="both"/>
                              <w:rPr>
                                <w:rFonts w:eastAsia="Calibri"/>
                                <w:kern w:val="2"/>
                                <w:sz w:val="22"/>
                                <w:szCs w:val="22"/>
                              </w:rPr>
                            </w:pPr>
                          </w:p>
                        </w:tc>
                        <w:tc>
                          <w:tcPr>
                            <w:tcW w:w="1424" w:type="dxa"/>
                            <w:vAlign w:val="center"/>
                          </w:tcPr>
                          <w:p>
                            <w:pPr>
                              <w:jc w:val="both"/>
                              <w:rPr>
                                <w:rFonts w:eastAsia="Calibri"/>
                                <w:kern w:val="2"/>
                                <w:sz w:val="22"/>
                                <w:szCs w:val="22"/>
                              </w:rPr>
                            </w:pPr>
                            <w:r>
                              <w:rPr>
                                <w:rFonts w:eastAsia="Calibri"/>
                                <w:kern w:val="2"/>
                                <w:sz w:val="22"/>
                                <w:szCs w:val="22"/>
                              </w:rPr>
                              <w:t>Metodikos 10.3 papunktyje nurodytu atveju</w:t>
                            </w:r>
                          </w:p>
                        </w:tc>
                        <w:tc>
                          <w:tcPr>
                            <w:tcW w:w="1220" w:type="dxa"/>
                            <w:vAlign w:val="center"/>
                          </w:tcPr>
                          <w:p>
                            <w:pPr>
                              <w:jc w:val="center"/>
                              <w:rPr>
                                <w:rFonts w:eastAsia="Calibri"/>
                                <w:kern w:val="2"/>
                                <w:sz w:val="22"/>
                                <w:szCs w:val="22"/>
                              </w:rPr>
                            </w:pPr>
                            <w:r>
                              <w:rPr>
                                <w:rFonts w:eastAsia="Calibri"/>
                                <w:kern w:val="2"/>
                                <w:sz w:val="22"/>
                                <w:szCs w:val="22"/>
                              </w:rPr>
                              <w:t>50 proc.</w:t>
                            </w:r>
                          </w:p>
                        </w:tc>
                        <w:tc>
                          <w:tcPr>
                            <w:tcW w:w="1223" w:type="dxa"/>
                            <w:vAlign w:val="center"/>
                          </w:tcPr>
                          <w:p>
                            <w:pPr>
                              <w:jc w:val="center"/>
                              <w:rPr>
                                <w:rFonts w:eastAsia="Calibri"/>
                                <w:kern w:val="2"/>
                                <w:sz w:val="22"/>
                                <w:szCs w:val="22"/>
                              </w:rPr>
                            </w:pPr>
                            <w:r>
                              <w:rPr>
                                <w:rFonts w:eastAsia="Calibri"/>
                                <w:kern w:val="2"/>
                                <w:sz w:val="22"/>
                                <w:szCs w:val="22"/>
                              </w:rPr>
                              <w:t>50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vAlign w:val="center"/>
                          </w:tcPr>
                          <w:p>
                            <w:pPr>
                              <w:jc w:val="center"/>
                              <w:rPr>
                                <w:rFonts w:eastAsia="Calibri"/>
                                <w:kern w:val="2"/>
                                <w:sz w:val="22"/>
                                <w:szCs w:val="22"/>
                              </w:rPr>
                            </w:pPr>
                            <w:r>
                              <w:rPr>
                                <w:rFonts w:eastAsia="Calibri"/>
                                <w:kern w:val="2"/>
                                <w:sz w:val="22"/>
                                <w:szCs w:val="22"/>
                              </w:rPr>
                              <w:t>+</w:t>
                            </w:r>
                          </w:p>
                        </w:tc>
                      </w:tr>
                      <w:tr>
                        <w:trPr>
                          <w:gridAfter w:val="1"/>
                          <w:wAfter w:w="36" w:type="dxa"/>
                          <w:trHeight w:val="144"/>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10.12.</w:t>
                              <w:tab/>
                            </w:r>
                          </w:p>
                        </w:tc>
                        <w:tc>
                          <w:tcPr>
                            <w:tcW w:w="9476" w:type="dxa"/>
                            <w:gridSpan w:val="7"/>
                            <w:vAlign w:val="center"/>
                          </w:tcPr>
                          <w:p>
                            <w:pPr>
                              <w:jc w:val="both"/>
                              <w:rPr>
                                <w:rFonts w:eastAsia="Calibri"/>
                                <w:kern w:val="2"/>
                                <w:sz w:val="22"/>
                                <w:szCs w:val="22"/>
                              </w:rPr>
                            </w:pPr>
                            <w:r>
                              <w:rPr>
                                <w:rFonts w:eastAsia="Calibri"/>
                                <w:kern w:val="2"/>
                                <w:sz w:val="22"/>
                                <w:szCs w:val="22"/>
                              </w:rPr>
                              <w:t>Metodikos 10.8, 10.9, ir 10.11 papunkčiais vadovaujantis atlikti skirstomųjų tinklų ir perdavimo tinklų įrengimo darbai laikomi vartotojų elektros įrenginių prijungimo prie elektros tinklų paslaugos dalimi ir šie vartotojų lėšomis įrengti tinklai yra laikomi atitinkamai skirstomųjų tinklų operatoriaus ir perdavimo tinklų operatoriaus nuosavybe. Prie šių skirstomųjų tinklų ar perdavimo tinklų prijungiant kitų vartotojų įrenginius, už jų įrengimą ir (ar) naudojimą šių skirstomųjų tinklų, perdavimo tinklų įrengimą atlikusiems vartotojams neatlyginama.</w:t>
                            </w:r>
                          </w:p>
                        </w:tc>
                      </w:tr>
                      <w:tr>
                        <w:trPr>
                          <w:gridAfter w:val="1"/>
                          <w:wAfter w:w="36" w:type="dxa"/>
                          <w:trHeight w:val="144"/>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10.13.</w:t>
                              <w:tab/>
                            </w:r>
                          </w:p>
                        </w:tc>
                        <w:tc>
                          <w:tcPr>
                            <w:tcW w:w="4429" w:type="dxa"/>
                            <w:gridSpan w:val="2"/>
                            <w:vAlign w:val="center"/>
                          </w:tcPr>
                          <w:p>
                            <w:pPr>
                              <w:jc w:val="both"/>
                              <w:rPr>
                                <w:rFonts w:eastAsia="Calibri"/>
                                <w:kern w:val="2"/>
                                <w:sz w:val="22"/>
                                <w:szCs w:val="22"/>
                              </w:rPr>
                            </w:pPr>
                            <w:r>
                              <w:rPr>
                                <w:rFonts w:eastAsia="Calibri"/>
                                <w:kern w:val="2"/>
                                <w:sz w:val="22"/>
                                <w:szCs w:val="22"/>
                              </w:rPr>
                              <w:t>Kai vartotojų elektros energijos įrenginiai prijungiami pagal neelektrifikuotų sodybų ar kaimų elektrifikavimo projektą, finansuojamą iš Europos Sąjungos struktūrinių fondų.</w:t>
                            </w:r>
                          </w:p>
                        </w:tc>
                        <w:tc>
                          <w:tcPr>
                            <w:tcW w:w="1220" w:type="dxa"/>
                            <w:vAlign w:val="center"/>
                          </w:tcPr>
                          <w:p>
                            <w:pPr>
                              <w:jc w:val="center"/>
                              <w:rPr>
                                <w:rFonts w:eastAsia="Calibri"/>
                                <w:kern w:val="2"/>
                                <w:sz w:val="22"/>
                                <w:szCs w:val="22"/>
                              </w:rPr>
                            </w:pPr>
                            <w:r>
                              <w:rPr>
                                <w:rFonts w:eastAsia="Calibri"/>
                                <w:kern w:val="2"/>
                                <w:sz w:val="22"/>
                                <w:szCs w:val="22"/>
                              </w:rPr>
                              <w:t>0 proc.</w:t>
                            </w:r>
                          </w:p>
                        </w:tc>
                        <w:tc>
                          <w:tcPr>
                            <w:tcW w:w="1223" w:type="dxa"/>
                            <w:vAlign w:val="center"/>
                          </w:tcPr>
                          <w:p>
                            <w:pPr>
                              <w:jc w:val="center"/>
                              <w:rPr>
                                <w:rFonts w:eastAsia="Calibri"/>
                                <w:kern w:val="2"/>
                                <w:sz w:val="22"/>
                                <w:szCs w:val="22"/>
                                <w:lang w:val="en-US"/>
                              </w:rPr>
                            </w:pPr>
                            <w:r>
                              <w:rPr>
                                <w:rFonts w:eastAsia="Calibri"/>
                                <w:kern w:val="2"/>
                                <w:sz w:val="22"/>
                                <w:szCs w:val="22"/>
                                <w:lang w:val="en-US"/>
                              </w:rPr>
                              <w:t>100 proc.</w:t>
                            </w:r>
                          </w:p>
                        </w:tc>
                        <w:tc>
                          <w:tcPr>
                            <w:tcW w:w="847" w:type="dxa"/>
                            <w:vAlign w:val="center"/>
                          </w:tcPr>
                          <w:p>
                            <w:pPr>
                              <w:jc w:val="center"/>
                              <w:rPr>
                                <w:rFonts w:eastAsia="Calibri"/>
                                <w:kern w:val="2"/>
                                <w:sz w:val="22"/>
                                <w:szCs w:val="22"/>
                                <w:lang w:val="en-US"/>
                              </w:rPr>
                            </w:pPr>
                          </w:p>
                        </w:tc>
                        <w:tc>
                          <w:tcPr>
                            <w:tcW w:w="868" w:type="dxa"/>
                            <w:vAlign w:val="center"/>
                          </w:tcPr>
                          <w:p>
                            <w:pPr>
                              <w:jc w:val="center"/>
                              <w:rPr>
                                <w:rFonts w:eastAsia="Calibri"/>
                                <w:kern w:val="2"/>
                                <w:sz w:val="22"/>
                                <w:szCs w:val="22"/>
                                <w:lang w:val="en-US"/>
                              </w:rPr>
                            </w:pPr>
                            <w:r>
                              <w:rPr>
                                <w:rFonts w:eastAsia="Calibri"/>
                                <w:kern w:val="2"/>
                                <w:sz w:val="22"/>
                                <w:szCs w:val="22"/>
                                <w:lang w:val="en-US"/>
                              </w:rPr>
                              <w:t>+</w:t>
                            </w:r>
                          </w:p>
                        </w:tc>
                        <w:tc>
                          <w:tcPr>
                            <w:tcW w:w="889" w:type="dxa"/>
                          </w:tcPr>
                          <w:p>
                            <w:pPr>
                              <w:jc w:val="center"/>
                              <w:rPr>
                                <w:rFonts w:eastAsia="Calibri"/>
                                <w:kern w:val="2"/>
                                <w:sz w:val="22"/>
                                <w:szCs w:val="22"/>
                                <w:lang w:val="en-US"/>
                              </w:rPr>
                            </w:pPr>
                          </w:p>
                        </w:tc>
                      </w:tr>
                      <w:tr>
                        <w:trPr>
                          <w:gridAfter w:val="1"/>
                          <w:wAfter w:w="36" w:type="dxa"/>
                          <w:trHeight w:val="144"/>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10.14.</w:t>
                              <w:tab/>
                            </w:r>
                          </w:p>
                        </w:tc>
                        <w:tc>
                          <w:tcPr>
                            <w:tcW w:w="9476" w:type="dxa"/>
                            <w:gridSpan w:val="7"/>
                            <w:vAlign w:val="center"/>
                          </w:tcPr>
                          <w:p>
                            <w:pPr>
                              <w:rPr>
                                <w:rFonts w:eastAsia="Calibri"/>
                                <w:kern w:val="2"/>
                                <w:sz w:val="22"/>
                                <w:szCs w:val="22"/>
                              </w:rPr>
                            </w:pPr>
                            <w:r>
                              <w:rPr>
                                <w:rFonts w:eastAsia="Calibri"/>
                                <w:kern w:val="2"/>
                                <w:sz w:val="22"/>
                                <w:szCs w:val="22"/>
                              </w:rPr>
                              <w:t>Įrenginių rekonstrukcijos ir perkėlimo atveju:</w:t>
                            </w:r>
                          </w:p>
                        </w:tc>
                      </w:tr>
                      <w:tr>
                        <w:trPr>
                          <w:gridAfter w:val="1"/>
                          <w:wAfter w:w="36" w:type="dxa"/>
                          <w:trHeight w:val="144"/>
                          <w:jc w:val="center"/>
                          <w:hidden/>
                        </w:trPr>
                        <w:tc>
                          <w:tcPr>
                            <w:tcW w:w="899" w:type="dxa"/>
                            <w:vAlign w:val="center"/>
                          </w:tcPr>
                          <w:p>
                            <w:pPr>
                              <w:ind w:left="660" w:hanging="660"/>
                              <w:rPr>
                                <w:rFonts w:ascii="Calibri" w:eastAsia="Calibri" w:hAnsi="Calibri"/>
                                <w:vanish/>
                                <w:kern w:val="2"/>
                                <w:sz w:val="22"/>
                                <w:szCs w:val="22"/>
                              </w:rPr>
                            </w:pPr>
                            <w:r>
                              <w:rPr>
                                <w:rFonts w:eastAsia="Calibri"/>
                                <w:vanish/>
                                <w:kern w:val="2"/>
                                <w:sz w:val="22"/>
                                <w:szCs w:val="22"/>
                              </w:rPr>
                              <w:t>10.</w:t>
                              <w:tab/>
                            </w:r>
                          </w:p>
                          <w:p>
                            <w:pPr>
                              <w:ind w:left="1446" w:hanging="660"/>
                              <w:rPr>
                                <w:rFonts w:ascii="Calibri" w:eastAsia="Calibri" w:hAnsi="Calibri"/>
                                <w:vanish/>
                                <w:kern w:val="2"/>
                                <w:sz w:val="22"/>
                                <w:szCs w:val="22"/>
                              </w:rPr>
                            </w:pPr>
                            <w:r>
                              <w:rPr>
                                <w:rFonts w:eastAsia="Calibri"/>
                                <w:vanish/>
                                <w:kern w:val="2"/>
                                <w:sz w:val="22"/>
                                <w:szCs w:val="22"/>
                              </w:rPr>
                              <w:t>10.13.</w:t>
                              <w:tab/>
                            </w:r>
                          </w:p>
                          <w:p>
                            <w:pPr>
                              <w:jc w:val="center"/>
                              <w:rPr>
                                <w:rFonts w:ascii="Calibri" w:eastAsia="Calibri" w:hAnsi="Calibri"/>
                                <w:kern w:val="2"/>
                                <w:sz w:val="22"/>
                                <w:szCs w:val="22"/>
                              </w:rPr>
                            </w:pPr>
                            <w:r>
                              <w:rPr>
                                <w:rFonts w:eastAsia="Calibri"/>
                                <w:kern w:val="2"/>
                                <w:sz w:val="22"/>
                                <w:szCs w:val="22"/>
                              </w:rPr>
                              <w:t>10.14.1.</w:t>
                              <w:tab/>
                            </w:r>
                            <w:r>
                              <w:rPr>
                                <w:rFonts w:ascii="Calibri" w:eastAsia="Calibri" w:hAnsi="Calibri"/>
                                <w:kern w:val="2"/>
                                <w:sz w:val="22"/>
                                <w:szCs w:val="22"/>
                              </w:rPr>
                              <w:t>1</w:t>
                            </w:r>
                          </w:p>
                        </w:tc>
                        <w:tc>
                          <w:tcPr>
                            <w:tcW w:w="4429" w:type="dxa"/>
                            <w:gridSpan w:val="2"/>
                            <w:vAlign w:val="center"/>
                          </w:tcPr>
                          <w:p>
                            <w:pPr>
                              <w:spacing w:line="252" w:lineRule="auto"/>
                              <w:jc w:val="both"/>
                              <w:rPr>
                                <w:rFonts w:eastAsia="Calibri"/>
                                <w:kern w:val="2"/>
                                <w:sz w:val="22"/>
                                <w:szCs w:val="22"/>
                              </w:rPr>
                            </w:pPr>
                            <w:r>
                              <w:rPr>
                                <w:rFonts w:eastAsia="Calibri"/>
                                <w:kern w:val="2"/>
                                <w:sz w:val="22"/>
                                <w:szCs w:val="22"/>
                              </w:rPr>
                              <w:t>Vartotojas ar kitas asmuo, kuris pageidauja rekonstruoti ar perkelti operatoriui priklausančius energetikos objektus (elektros tinklus ir įrenginius), kliudančius statinių statybai ar dėl kitų priežasčių, apmoka skirstomųjų tinklų rekonstravimo ar perkėlimo sąnaudas, išskyrus Metodikos 10.14.2, 10.14.3 papunkčiuose nurodytus atvejus.</w:t>
                            </w:r>
                          </w:p>
                        </w:tc>
                        <w:tc>
                          <w:tcPr>
                            <w:tcW w:w="1220" w:type="dxa"/>
                            <w:vAlign w:val="center"/>
                          </w:tcPr>
                          <w:p>
                            <w:pPr>
                              <w:jc w:val="center"/>
                              <w:rPr>
                                <w:rFonts w:eastAsia="Calibri"/>
                                <w:kern w:val="2"/>
                                <w:sz w:val="22"/>
                                <w:szCs w:val="22"/>
                                <w:lang w:val="en-US"/>
                              </w:rPr>
                            </w:pPr>
                            <w:r>
                              <w:rPr>
                                <w:rFonts w:eastAsia="Calibri"/>
                                <w:kern w:val="2"/>
                                <w:sz w:val="22"/>
                                <w:szCs w:val="22"/>
                                <w:lang w:val="en-US"/>
                              </w:rPr>
                              <w:t>100 proc.</w:t>
                            </w:r>
                          </w:p>
                        </w:tc>
                        <w:tc>
                          <w:tcPr>
                            <w:tcW w:w="1223" w:type="dxa"/>
                            <w:vAlign w:val="center"/>
                          </w:tcPr>
                          <w:p>
                            <w:pPr>
                              <w:jc w:val="center"/>
                              <w:rPr>
                                <w:rFonts w:eastAsia="Calibri"/>
                                <w:kern w:val="2"/>
                                <w:sz w:val="22"/>
                                <w:szCs w:val="22"/>
                              </w:rPr>
                            </w:pPr>
                            <w:r>
                              <w:rPr>
                                <w:rFonts w:eastAsia="Calibri"/>
                                <w:kern w:val="2"/>
                                <w:sz w:val="22"/>
                                <w:szCs w:val="22"/>
                              </w:rPr>
                              <w:t>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tcPr>
                          <w:p>
                            <w:pPr>
                              <w:jc w:val="center"/>
                              <w:rPr>
                                <w:rFonts w:eastAsia="Calibri"/>
                                <w:kern w:val="2"/>
                                <w:sz w:val="22"/>
                                <w:szCs w:val="22"/>
                              </w:rPr>
                            </w:pPr>
                          </w:p>
                        </w:tc>
                      </w:tr>
                      <w:tr>
                        <w:trPr>
                          <w:gridAfter w:val="1"/>
                          <w:wAfter w:w="36" w:type="dxa"/>
                          <w:trHeight w:val="144"/>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10.14.2.</w:t>
                              <w:tab/>
                            </w:r>
                          </w:p>
                        </w:tc>
                        <w:tc>
                          <w:tcPr>
                            <w:tcW w:w="4429" w:type="dxa"/>
                            <w:gridSpan w:val="2"/>
                            <w:vAlign w:val="center"/>
                          </w:tcPr>
                          <w:p>
                            <w:pPr>
                              <w:jc w:val="both"/>
                              <w:rPr>
                                <w:rFonts w:eastAsia="Calibri"/>
                                <w:kern w:val="2"/>
                                <w:sz w:val="22"/>
                                <w:szCs w:val="22"/>
                              </w:rPr>
                            </w:pPr>
                            <w:r>
                              <w:rPr>
                                <w:rFonts w:eastAsia="Calibri"/>
                                <w:kern w:val="2"/>
                                <w:sz w:val="22"/>
                                <w:szCs w:val="22"/>
                              </w:rPr>
                              <w:t xml:space="preserve">Tuo atveju, kai vartotojas ar kitas asmuo pageidauja rekonstruoti ar perkelti skirstomųjų tinklų operatoriui priklausančias anksčiau kaip prieš 20 metų įrengtas 0,4–10 kV įtampos elektros oro linijas ir (ar) oro kabelių linijas, išskyrus transformatorių pastotes, transformatorines, skirstomuosius punktus, kliudančias statinių statybai ar dėl kitų priežasčių. </w:t>
                            </w:r>
                          </w:p>
                        </w:tc>
                        <w:tc>
                          <w:tcPr>
                            <w:tcW w:w="1220" w:type="dxa"/>
                            <w:vAlign w:val="center"/>
                          </w:tcPr>
                          <w:p>
                            <w:pPr>
                              <w:jc w:val="center"/>
                              <w:rPr>
                                <w:rFonts w:eastAsia="Calibri"/>
                                <w:kern w:val="2"/>
                                <w:sz w:val="22"/>
                                <w:szCs w:val="22"/>
                              </w:rPr>
                            </w:pPr>
                            <w:r>
                              <w:rPr>
                                <w:rFonts w:eastAsia="Calibri"/>
                                <w:kern w:val="2"/>
                                <w:sz w:val="22"/>
                                <w:szCs w:val="22"/>
                              </w:rPr>
                              <w:t>50 proc.</w:t>
                            </w:r>
                          </w:p>
                        </w:tc>
                        <w:tc>
                          <w:tcPr>
                            <w:tcW w:w="1223" w:type="dxa"/>
                            <w:vAlign w:val="center"/>
                          </w:tcPr>
                          <w:p>
                            <w:pPr>
                              <w:jc w:val="center"/>
                              <w:rPr>
                                <w:rFonts w:eastAsia="Calibri"/>
                                <w:kern w:val="2"/>
                                <w:sz w:val="22"/>
                                <w:szCs w:val="22"/>
                              </w:rPr>
                            </w:pPr>
                            <w:r>
                              <w:rPr>
                                <w:rFonts w:eastAsia="Calibri"/>
                                <w:kern w:val="2"/>
                                <w:sz w:val="22"/>
                                <w:szCs w:val="22"/>
                              </w:rPr>
                              <w:t>50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tcPr>
                          <w:p>
                            <w:pPr>
                              <w:jc w:val="center"/>
                              <w:rPr>
                                <w:rFonts w:eastAsia="Calibri"/>
                                <w:kern w:val="2"/>
                                <w:sz w:val="22"/>
                                <w:szCs w:val="22"/>
                              </w:rPr>
                            </w:pPr>
                          </w:p>
                        </w:tc>
                      </w:tr>
                      <w:tr>
                        <w:trPr>
                          <w:gridAfter w:val="1"/>
                          <w:wAfter w:w="36" w:type="dxa"/>
                          <w:trHeight w:val="486"/>
                          <w:jc w:val="center"/>
                          <w:hidden/>
                        </w:trPr>
                        <w:tc>
                          <w:tcPr>
                            <w:tcW w:w="899" w:type="dxa"/>
                            <w:vAlign w:val="center"/>
                          </w:tcPr>
                          <w:p>
                            <w:pPr>
                              <w:ind w:left="1446" w:hanging="660"/>
                              <w:jc w:val="center"/>
                              <w:rPr>
                                <w:rFonts w:ascii="Calibri" w:eastAsia="Calibri" w:hAnsi="Calibri"/>
                                <w:vanish/>
                                <w:kern w:val="2"/>
                                <w:sz w:val="22"/>
                                <w:szCs w:val="22"/>
                              </w:rPr>
                            </w:pPr>
                            <w:r>
                              <w:rPr>
                                <w:rFonts w:eastAsia="Calibri"/>
                                <w:vanish/>
                                <w:kern w:val="2"/>
                                <w:sz w:val="22"/>
                                <w:szCs w:val="22"/>
                              </w:rPr>
                              <w:t>10.14.</w:t>
                              <w:tab/>
                            </w:r>
                          </w:p>
                          <w:p>
                            <w:pPr>
                              <w:ind w:left="862" w:hanging="720"/>
                              <w:jc w:val="center"/>
                              <w:rPr>
                                <w:rFonts w:ascii="Calibri" w:eastAsia="Calibri" w:hAnsi="Calibri"/>
                                <w:vanish/>
                                <w:kern w:val="2"/>
                                <w:sz w:val="22"/>
                                <w:szCs w:val="22"/>
                              </w:rPr>
                            </w:pPr>
                            <w:r>
                              <w:rPr>
                                <w:rFonts w:eastAsia="Calibri"/>
                                <w:vanish/>
                                <w:kern w:val="2"/>
                                <w:sz w:val="22"/>
                                <w:szCs w:val="22"/>
                              </w:rPr>
                              <w:t>10.14.1.</w:t>
                              <w:tab/>
                            </w:r>
                          </w:p>
                          <w:p>
                            <w:pPr>
                              <w:ind w:left="862" w:hanging="720"/>
                              <w:jc w:val="center"/>
                              <w:rPr>
                                <w:rFonts w:ascii="Calibri" w:eastAsia="Calibri" w:hAnsi="Calibri"/>
                                <w:vanish/>
                                <w:kern w:val="2"/>
                                <w:sz w:val="22"/>
                                <w:szCs w:val="22"/>
                              </w:rPr>
                            </w:pPr>
                            <w:r>
                              <w:rPr>
                                <w:rFonts w:eastAsia="Calibri"/>
                                <w:vanish/>
                                <w:kern w:val="2"/>
                                <w:sz w:val="22"/>
                                <w:szCs w:val="22"/>
                              </w:rPr>
                              <w:t>10.14.2.</w:t>
                              <w:tab/>
                            </w:r>
                          </w:p>
                          <w:p>
                            <w:pPr>
                              <w:ind w:left="720" w:hanging="720"/>
                              <w:jc w:val="center"/>
                              <w:rPr>
                                <w:rFonts w:ascii="Calibri" w:eastAsia="Calibri" w:hAnsi="Calibri"/>
                                <w:kern w:val="2"/>
                                <w:sz w:val="22"/>
                                <w:szCs w:val="22"/>
                              </w:rPr>
                            </w:pPr>
                            <w:r>
                              <w:rPr>
                                <w:rFonts w:eastAsia="Calibri"/>
                                <w:kern w:val="2"/>
                                <w:sz w:val="22"/>
                                <w:szCs w:val="22"/>
                              </w:rPr>
                              <w:t>10.14.3.</w:t>
                              <w:tab/>
                            </w:r>
                          </w:p>
                        </w:tc>
                        <w:tc>
                          <w:tcPr>
                            <w:tcW w:w="4429" w:type="dxa"/>
                            <w:gridSpan w:val="2"/>
                            <w:vAlign w:val="center"/>
                          </w:tcPr>
                          <w:p>
                            <w:pPr>
                              <w:jc w:val="both"/>
                              <w:rPr>
                                <w:rFonts w:eastAsia="Calibri"/>
                                <w:kern w:val="2"/>
                                <w:sz w:val="22"/>
                                <w:szCs w:val="22"/>
                              </w:rPr>
                            </w:pPr>
                            <w:r>
                              <w:rPr>
                                <w:rFonts w:eastAsia="Calibri"/>
                                <w:kern w:val="2"/>
                                <w:sz w:val="22"/>
                                <w:szCs w:val="22"/>
                              </w:rPr>
                              <w:t xml:space="preserve">Tuo atveju, kai vartotojas ar kitas asmuo pageidauja rekonstruoti ar perkelti skirstomųjų tinklų operatoriui priklausančias anksčiau kaip prieš 20 metų įrengtas 0,4–10 kV įtampos elektros oro linijas ir (ar) oro kabelių linijas, išskyrus transformatorių pastotes, transformatorines, skirstomuosius punktus, šių objektų rekonstravimo ar perkėlimo darbams rengiamas kilnojamųjų elektros energetikos objektų ir įrenginių įrengimo projektas ir tokių darbų sąnaudos yra ne mažiau kaip 10 procentų mažesnės, negu apskaičiuotos skirstomųjų tinklų operatoriaus, vartotojas turi teisę vykdyti ir (ar) organizuoti šių objektų rekonstravimą ar perkėlimą Energetikos ministerijos nustatyta tvarka, suderinęs su skirstomųjų tinklų operatoriumi. </w:t>
                            </w:r>
                          </w:p>
                        </w:tc>
                        <w:tc>
                          <w:tcPr>
                            <w:tcW w:w="1220" w:type="dxa"/>
                            <w:vAlign w:val="center"/>
                          </w:tcPr>
                          <w:p>
                            <w:pPr>
                              <w:jc w:val="center"/>
                              <w:rPr>
                                <w:rFonts w:eastAsia="Calibri"/>
                                <w:kern w:val="2"/>
                                <w:sz w:val="22"/>
                                <w:szCs w:val="22"/>
                              </w:rPr>
                            </w:pPr>
                            <w:r>
                              <w:rPr>
                                <w:rFonts w:eastAsia="Calibri"/>
                                <w:kern w:val="2"/>
                                <w:sz w:val="22"/>
                                <w:szCs w:val="22"/>
                              </w:rPr>
                              <w:t>50 proc.</w:t>
                            </w:r>
                          </w:p>
                        </w:tc>
                        <w:tc>
                          <w:tcPr>
                            <w:tcW w:w="1223" w:type="dxa"/>
                            <w:vAlign w:val="center"/>
                          </w:tcPr>
                          <w:p>
                            <w:pPr>
                              <w:jc w:val="center"/>
                              <w:rPr>
                                <w:rFonts w:eastAsia="Calibri"/>
                                <w:kern w:val="2"/>
                                <w:sz w:val="22"/>
                                <w:szCs w:val="22"/>
                              </w:rPr>
                            </w:pPr>
                            <w:r>
                              <w:rPr>
                                <w:rFonts w:eastAsia="Calibri"/>
                                <w:kern w:val="2"/>
                                <w:sz w:val="22"/>
                                <w:szCs w:val="22"/>
                              </w:rPr>
                              <w:t>50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889" w:type="dxa"/>
                          </w:tcPr>
                          <w:p>
                            <w:pPr>
                              <w:jc w:val="center"/>
                              <w:rPr>
                                <w:rFonts w:eastAsia="Calibri"/>
                                <w:kern w:val="2"/>
                                <w:sz w:val="22"/>
                                <w:szCs w:val="22"/>
                              </w:rPr>
                            </w:pPr>
                          </w:p>
                        </w:tc>
                      </w:tr>
                      <w:tr>
                        <w:trPr>
                          <w:trHeight w:val="486"/>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10.14.4.</w:t>
                              <w:tab/>
                            </w:r>
                          </w:p>
                        </w:tc>
                        <w:tc>
                          <w:tcPr>
                            <w:tcW w:w="9512" w:type="dxa"/>
                            <w:gridSpan w:val="8"/>
                            <w:vAlign w:val="center"/>
                          </w:tcPr>
                          <w:p>
                            <w:pPr>
                              <w:rPr>
                                <w:rFonts w:ascii="Calibri" w:eastAsia="Calibri" w:hAnsi="Calibri"/>
                                <w:kern w:val="2"/>
                                <w:sz w:val="22"/>
                                <w:szCs w:val="22"/>
                              </w:rPr>
                            </w:pPr>
                            <w:r>
                              <w:rPr>
                                <w:rFonts w:eastAsia="Calibri"/>
                                <w:kern w:val="2"/>
                                <w:sz w:val="22"/>
                                <w:szCs w:val="22"/>
                              </w:rPr>
                              <w:t>Metodikos 10.14.1–10.14.3 papunkčių atveju, rekonstruotų ar perkeltų skirstomųjų tinklų nuosavybė nekeičiama.</w:t>
                            </w:r>
                          </w:p>
                        </w:tc>
                      </w:tr>
                      <w:tr>
                        <w:trPr>
                          <w:trHeight w:val="486"/>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10.14.5.</w:t>
                              <w:tab/>
                            </w:r>
                          </w:p>
                        </w:tc>
                        <w:tc>
                          <w:tcPr>
                            <w:tcW w:w="9512" w:type="dxa"/>
                            <w:gridSpan w:val="8"/>
                            <w:vAlign w:val="center"/>
                          </w:tcPr>
                          <w:p>
                            <w:pPr>
                              <w:rPr>
                                <w:rFonts w:eastAsia="Calibri"/>
                                <w:kern w:val="2"/>
                                <w:sz w:val="22"/>
                                <w:szCs w:val="22"/>
                              </w:rPr>
                            </w:pPr>
                            <w:r>
                              <w:rPr>
                                <w:rFonts w:eastAsia="Calibri"/>
                                <w:kern w:val="2"/>
                                <w:sz w:val="22"/>
                                <w:szCs w:val="22"/>
                              </w:rPr>
                              <w:t>Metodikos 10.14.1 ir 10.14.2 papunkčių atveju operatorius apskaičiuoja prijungimo paslaugos įmoką vadovaudamasis Metodikos 8 punktu.</w:t>
                            </w:r>
                          </w:p>
                        </w:tc>
                      </w:tr>
                      <w:tr>
                        <w:trPr>
                          <w:trHeight w:val="486"/>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10.15.</w:t>
                              <w:tab/>
                            </w:r>
                            <w:r>
                              <w:rPr>
                                <w:rFonts w:ascii="Calibri" w:eastAsia="Calibri" w:hAnsi="Calibri"/>
                                <w:kern w:val="2"/>
                                <w:sz w:val="22"/>
                                <w:szCs w:val="22"/>
                              </w:rPr>
                              <w:t>1</w:t>
                            </w:r>
                          </w:p>
                        </w:tc>
                        <w:tc>
                          <w:tcPr>
                            <w:tcW w:w="4429" w:type="dxa"/>
                            <w:gridSpan w:val="2"/>
                            <w:vAlign w:val="center"/>
                          </w:tcPr>
                          <w:p>
                            <w:pPr>
                              <w:spacing w:line="252" w:lineRule="auto"/>
                              <w:jc w:val="both"/>
                              <w:rPr>
                                <w:rFonts w:eastAsia="Calibri"/>
                                <w:kern w:val="2"/>
                                <w:sz w:val="22"/>
                                <w:szCs w:val="22"/>
                              </w:rPr>
                            </w:pPr>
                            <w:r>
                              <w:rPr>
                                <w:rFonts w:eastAsia="Calibri"/>
                                <w:kern w:val="2"/>
                                <w:sz w:val="22"/>
                                <w:szCs w:val="22"/>
                              </w:rPr>
                              <w:t>Vartotojo šilumos siurbliui, atitinkančiam Atsinaujinančių išteklių energetikos įstatyme ir (ar) jo įgyvendinamuose teisės aktuose nustatytus reikalavimus, įrengiamas atskiras elektros energijos apskaitos prietaisas</w:t>
                            </w:r>
                          </w:p>
                        </w:tc>
                        <w:tc>
                          <w:tcPr>
                            <w:tcW w:w="1220" w:type="dxa"/>
                            <w:vAlign w:val="center"/>
                          </w:tcPr>
                          <w:p>
                            <w:pPr>
                              <w:jc w:val="center"/>
                              <w:rPr>
                                <w:rFonts w:eastAsia="Calibri"/>
                                <w:kern w:val="2"/>
                                <w:sz w:val="22"/>
                                <w:szCs w:val="22"/>
                              </w:rPr>
                            </w:pPr>
                            <w:r>
                              <w:rPr>
                                <w:rFonts w:eastAsia="Calibri"/>
                                <w:kern w:val="2"/>
                                <w:sz w:val="22"/>
                                <w:szCs w:val="22"/>
                              </w:rPr>
                              <w:t>100 proc.</w:t>
                            </w:r>
                          </w:p>
                        </w:tc>
                        <w:tc>
                          <w:tcPr>
                            <w:tcW w:w="1223" w:type="dxa"/>
                            <w:vAlign w:val="center"/>
                          </w:tcPr>
                          <w:p>
                            <w:pPr>
                              <w:jc w:val="center"/>
                              <w:rPr>
                                <w:rFonts w:eastAsia="Calibri"/>
                                <w:kern w:val="2"/>
                                <w:sz w:val="22"/>
                                <w:szCs w:val="22"/>
                              </w:rPr>
                            </w:pPr>
                            <w:r>
                              <w:rPr>
                                <w:rFonts w:eastAsia="Calibri"/>
                                <w:kern w:val="2"/>
                                <w:sz w:val="22"/>
                                <w:szCs w:val="22"/>
                              </w:rPr>
                              <w:t>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ascii="Calibri" w:eastAsia="Calibri" w:hAnsi="Calibri"/>
                                <w:kern w:val="2"/>
                                <w:sz w:val="22"/>
                                <w:szCs w:val="22"/>
                              </w:rPr>
                              <w:t>+</w:t>
                            </w:r>
                          </w:p>
                        </w:tc>
                        <w:tc>
                          <w:tcPr>
                            <w:tcW w:w="925" w:type="dxa"/>
                            <w:gridSpan w:val="2"/>
                          </w:tcPr>
                          <w:p>
                            <w:pPr>
                              <w:jc w:val="center"/>
                              <w:rPr>
                                <w:rFonts w:eastAsia="Calibri"/>
                                <w:kern w:val="2"/>
                                <w:sz w:val="22"/>
                                <w:szCs w:val="22"/>
                              </w:rPr>
                            </w:pPr>
                          </w:p>
                        </w:tc>
                      </w:tr>
                      <w:tr>
                        <w:trPr>
                          <w:trHeight w:val="486"/>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10.16.</w:t>
                              <w:tab/>
                            </w:r>
                          </w:p>
                        </w:tc>
                        <w:tc>
                          <w:tcPr>
                            <w:tcW w:w="4429" w:type="dxa"/>
                            <w:gridSpan w:val="2"/>
                            <w:vAlign w:val="center"/>
                          </w:tcPr>
                          <w:p>
                            <w:pPr>
                              <w:jc w:val="both"/>
                              <w:rPr>
                                <w:rFonts w:eastAsia="Calibri"/>
                                <w:kern w:val="2"/>
                                <w:sz w:val="22"/>
                                <w:szCs w:val="22"/>
                              </w:rPr>
                            </w:pPr>
                            <w:r>
                              <w:rPr>
                                <w:rFonts w:eastAsia="Calibri"/>
                                <w:kern w:val="2"/>
                                <w:sz w:val="22"/>
                                <w:szCs w:val="22"/>
                              </w:rPr>
                              <w:t>Nebuitinis vartotojas užsako tiesioginės skirstymo ar rezervinės linijos įrengimą</w:t>
                            </w:r>
                          </w:p>
                        </w:tc>
                        <w:tc>
                          <w:tcPr>
                            <w:tcW w:w="1220" w:type="dxa"/>
                            <w:vAlign w:val="center"/>
                          </w:tcPr>
                          <w:p>
                            <w:pPr>
                              <w:jc w:val="center"/>
                              <w:rPr>
                                <w:rFonts w:eastAsia="Calibri"/>
                                <w:kern w:val="2"/>
                                <w:sz w:val="22"/>
                                <w:szCs w:val="22"/>
                              </w:rPr>
                            </w:pPr>
                            <w:r>
                              <w:rPr>
                                <w:rFonts w:eastAsia="Calibri"/>
                                <w:kern w:val="2"/>
                                <w:sz w:val="22"/>
                                <w:szCs w:val="22"/>
                              </w:rPr>
                              <w:t>100 proc.</w:t>
                            </w:r>
                          </w:p>
                        </w:tc>
                        <w:tc>
                          <w:tcPr>
                            <w:tcW w:w="1223" w:type="dxa"/>
                            <w:vAlign w:val="center"/>
                          </w:tcPr>
                          <w:p>
                            <w:pPr>
                              <w:jc w:val="center"/>
                              <w:rPr>
                                <w:rFonts w:eastAsia="Calibri"/>
                                <w:kern w:val="2"/>
                                <w:sz w:val="22"/>
                                <w:szCs w:val="22"/>
                              </w:rPr>
                            </w:pPr>
                            <w:r>
                              <w:rPr>
                                <w:rFonts w:eastAsia="Calibri"/>
                                <w:kern w:val="2"/>
                                <w:sz w:val="22"/>
                                <w:szCs w:val="22"/>
                              </w:rPr>
                              <w:t>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ascii="Calibri" w:eastAsia="Calibri" w:hAnsi="Calibri"/>
                                <w:kern w:val="2"/>
                                <w:sz w:val="22"/>
                                <w:szCs w:val="22"/>
                              </w:rPr>
                              <w:t>+</w:t>
                            </w:r>
                          </w:p>
                        </w:tc>
                        <w:tc>
                          <w:tcPr>
                            <w:tcW w:w="925" w:type="dxa"/>
                            <w:gridSpan w:val="2"/>
                            <w:vAlign w:val="center"/>
                          </w:tcPr>
                          <w:p>
                            <w:pPr>
                              <w:jc w:val="center"/>
                              <w:rPr>
                                <w:rFonts w:eastAsia="Calibri"/>
                                <w:kern w:val="2"/>
                                <w:sz w:val="22"/>
                                <w:szCs w:val="22"/>
                              </w:rPr>
                            </w:pPr>
                          </w:p>
                        </w:tc>
                      </w:tr>
                      <w:tr>
                        <w:trPr>
                          <w:trHeight w:val="486"/>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10.17.</w:t>
                              <w:tab/>
                            </w:r>
                          </w:p>
                        </w:tc>
                        <w:tc>
                          <w:tcPr>
                            <w:tcW w:w="4429" w:type="dxa"/>
                            <w:gridSpan w:val="2"/>
                            <w:vAlign w:val="center"/>
                          </w:tcPr>
                          <w:p>
                            <w:pPr>
                              <w:jc w:val="both"/>
                              <w:rPr>
                                <w:rFonts w:eastAsia="Calibri"/>
                                <w:b/>
                                <w:bCs/>
                                <w:kern w:val="2"/>
                                <w:sz w:val="22"/>
                                <w:szCs w:val="22"/>
                              </w:rPr>
                            </w:pPr>
                            <w:r>
                              <w:rPr>
                                <w:color w:val="000000"/>
                                <w:sz w:val="22"/>
                                <w:szCs w:val="22"/>
                                <w:shd w:val="clear" w:color="auto" w:fill="FFFFFF"/>
                              </w:rPr>
                              <w:t>Vartotojo elektros įrenginiai, gamintojo elektros įrenginiai, taip pat energijos kaupimo įrenginiai jungiami tiesiogiai prie elektros perdavimo tinklo, išskyrus Metodikos 10.18 ir 10.19 papunkčiuose nurodytus atvejus.</w:t>
                            </w:r>
                          </w:p>
                        </w:tc>
                        <w:tc>
                          <w:tcPr>
                            <w:tcW w:w="1220" w:type="dxa"/>
                            <w:vAlign w:val="center"/>
                          </w:tcPr>
                          <w:p>
                            <w:pPr>
                              <w:jc w:val="center"/>
                              <w:rPr>
                                <w:rFonts w:eastAsia="Calibri"/>
                                <w:kern w:val="2"/>
                                <w:sz w:val="22"/>
                                <w:szCs w:val="22"/>
                              </w:rPr>
                            </w:pPr>
                            <w:r>
                              <w:rPr>
                                <w:rFonts w:eastAsia="Calibri"/>
                                <w:kern w:val="2"/>
                                <w:sz w:val="22"/>
                                <w:szCs w:val="22"/>
                              </w:rPr>
                              <w:t>100 proc.</w:t>
                            </w:r>
                          </w:p>
                        </w:tc>
                        <w:tc>
                          <w:tcPr>
                            <w:tcW w:w="1223" w:type="dxa"/>
                            <w:vAlign w:val="center"/>
                          </w:tcPr>
                          <w:p>
                            <w:pPr>
                              <w:jc w:val="center"/>
                              <w:rPr>
                                <w:rFonts w:eastAsia="Calibri"/>
                                <w:kern w:val="2"/>
                                <w:sz w:val="22"/>
                                <w:szCs w:val="22"/>
                              </w:rPr>
                            </w:pPr>
                            <w:r>
                              <w:rPr>
                                <w:rFonts w:eastAsia="Calibri"/>
                                <w:kern w:val="2"/>
                                <w:sz w:val="22"/>
                                <w:szCs w:val="22"/>
                              </w:rPr>
                              <w:t>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925" w:type="dxa"/>
                            <w:gridSpan w:val="2"/>
                            <w:vAlign w:val="center"/>
                          </w:tcPr>
                          <w:p>
                            <w:pPr>
                              <w:jc w:val="center"/>
                              <w:rPr>
                                <w:rFonts w:eastAsia="Calibri"/>
                                <w:kern w:val="2"/>
                                <w:sz w:val="22"/>
                                <w:szCs w:val="22"/>
                              </w:rPr>
                            </w:pPr>
                          </w:p>
                        </w:tc>
                      </w:tr>
                      <w:tr>
                        <w:trPr>
                          <w:trHeight w:val="486"/>
                          <w:jc w:val="center"/>
                        </w:trPr>
                        <w:tc>
                          <w:tcPr>
                            <w:tcW w:w="899"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10.18.</w:t>
                            </w:r>
                          </w:p>
                        </w:tc>
                        <w:tc>
                          <w:tcPr>
                            <w:tcW w:w="4429" w:type="dxa"/>
                            <w:gridSpan w:val="2"/>
                            <w:tcBorders>
                              <w:top w:val="single" w:sz="4" w:space="0" w:color="auto"/>
                              <w:left w:val="single" w:sz="4" w:space="0" w:color="auto"/>
                              <w:bottom w:val="single" w:sz="4" w:space="0" w:color="auto"/>
                              <w:right w:val="single" w:sz="4" w:space="0" w:color="auto"/>
                            </w:tcBorders>
                            <w:vAlign w:val="center"/>
                          </w:tcPr>
                          <w:p>
                            <w:pPr>
                              <w:jc w:val="both"/>
                              <w:rPr>
                                <w:color w:val="000000"/>
                                <w:sz w:val="22"/>
                                <w:szCs w:val="22"/>
                                <w:shd w:val="clear" w:color="auto" w:fill="FFFFFF"/>
                              </w:rPr>
                            </w:pPr>
                            <w:r>
                              <w:rPr>
                                <w:color w:val="000000"/>
                                <w:sz w:val="22"/>
                                <w:szCs w:val="22"/>
                                <w:shd w:val="clear" w:color="auto" w:fill="FFFFFF"/>
                              </w:rPr>
                              <w:t>Vartotojai, įgyvendinantys stambius projektus, kurie perdavimo sistemos operatoriui įsipareigoję 10 metų nuo vartotojo elektros įrenginių prijungimo prie perdavimo tinklų nemažinti leistinos naudoti galios ir suvartoti ne mažesnį kaip elektros įrenginių prijungimo prie perdavimo tinklų paslaugos sutartyje numatytą suvartoti elektros energijos kiekį.</w:t>
                            </w:r>
                          </w:p>
                        </w:tc>
                        <w:tc>
                          <w:tcPr>
                            <w:tcW w:w="1220"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10 proc.</w:t>
                            </w:r>
                          </w:p>
                        </w:tc>
                        <w:tc>
                          <w:tcPr>
                            <w:tcW w:w="1223"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90 proc.</w:t>
                            </w:r>
                          </w:p>
                        </w:tc>
                        <w:tc>
                          <w:tcPr>
                            <w:tcW w:w="847"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p>
                        </w:tc>
                        <w:tc>
                          <w:tcPr>
                            <w:tcW w:w="868"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w:t>
                            </w:r>
                          </w:p>
                        </w:tc>
                        <w:tc>
                          <w:tcPr>
                            <w:tcW w:w="925" w:type="dxa"/>
                            <w:gridSpan w:val="2"/>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p>
                        </w:tc>
                      </w:tr>
                      <w:tr>
                        <w:trPr>
                          <w:trHeight w:val="486"/>
                          <w:jc w:val="center"/>
                        </w:trPr>
                        <w:tc>
                          <w:tcPr>
                            <w:tcW w:w="899"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10.19.</w:t>
                            </w:r>
                          </w:p>
                        </w:tc>
                        <w:tc>
                          <w:tcPr>
                            <w:tcW w:w="4429" w:type="dxa"/>
                            <w:gridSpan w:val="2"/>
                            <w:tcBorders>
                              <w:top w:val="single" w:sz="4" w:space="0" w:color="auto"/>
                              <w:left w:val="single" w:sz="4" w:space="0" w:color="auto"/>
                              <w:bottom w:val="single" w:sz="4" w:space="0" w:color="auto"/>
                              <w:right w:val="single" w:sz="4" w:space="0" w:color="auto"/>
                            </w:tcBorders>
                            <w:vAlign w:val="center"/>
                          </w:tcPr>
                          <w:p>
                            <w:pPr>
                              <w:jc w:val="both"/>
                              <w:rPr>
                                <w:color w:val="000000"/>
                                <w:sz w:val="22"/>
                                <w:szCs w:val="22"/>
                                <w:shd w:val="clear" w:color="auto" w:fill="FFFFFF"/>
                              </w:rPr>
                            </w:pPr>
                            <w:r>
                              <w:rPr>
                                <w:color w:val="000000"/>
                                <w:sz w:val="22"/>
                                <w:szCs w:val="22"/>
                                <w:shd w:val="clear" w:color="auto" w:fill="FFFFFF"/>
                              </w:rPr>
                              <w:t>Vartotojai, įgyvendinantys stambius projektus, kurie perdavimo sistemos operatoriui įsipareigoja 10 metų nuo vartotojo elektros įrenginių prijungimo prie perdavimo tinklų nemažinti leistinos naudoti galios ir suvartoti ne mažesnį kaip elektros įrenginių prijungimo prie perdavimo tinklų paslaugos sutartyje numatytą suvartoti elektros energijos kiekį, ir kai perdavimo tinklų statybos sąnaudos, statybos ir (ar) rekonstravimo darbų, kuriuos organizuotų ir (ar) vykdytų patys vartotojai, yra ne mažiau kaip 10 procentų mažesnės, negu apskaičiuotos perdavimo sistemos operatoriaus, turintys teisę energetikos ministro nustatyta tvarka, suderinę su perdavimo sistemos operatoriumi, pastatyti ir (ar) rekonstruoti šiuos elektros tinklus ir organizuoti jų statybos ir (ar) rekonstravimo darbus.</w:t>
                            </w:r>
                          </w:p>
                        </w:tc>
                        <w:tc>
                          <w:tcPr>
                            <w:tcW w:w="1220"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10 proc.</w:t>
                            </w:r>
                          </w:p>
                        </w:tc>
                        <w:tc>
                          <w:tcPr>
                            <w:tcW w:w="1223"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90 proc.</w:t>
                            </w:r>
                          </w:p>
                        </w:tc>
                        <w:tc>
                          <w:tcPr>
                            <w:tcW w:w="847"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p>
                        </w:tc>
                        <w:tc>
                          <w:tcPr>
                            <w:tcW w:w="868" w:type="dxa"/>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r>
                              <w:rPr>
                                <w:rFonts w:eastAsia="Calibri"/>
                                <w:kern w:val="2"/>
                                <w:sz w:val="22"/>
                                <w:szCs w:val="22"/>
                              </w:rPr>
                              <w:t>+</w:t>
                            </w:r>
                          </w:p>
                        </w:tc>
                        <w:tc>
                          <w:tcPr>
                            <w:tcW w:w="925" w:type="dxa"/>
                            <w:gridSpan w:val="2"/>
                            <w:tcBorders>
                              <w:top w:val="single" w:sz="4" w:space="0" w:color="auto"/>
                              <w:left w:val="single" w:sz="4" w:space="0" w:color="auto"/>
                              <w:bottom w:val="single" w:sz="4" w:space="0" w:color="auto"/>
                              <w:right w:val="single" w:sz="4" w:space="0" w:color="auto"/>
                            </w:tcBorders>
                            <w:vAlign w:val="center"/>
                          </w:tcPr>
                          <w:p>
                            <w:pPr>
                              <w:jc w:val="center"/>
                              <w:rPr>
                                <w:rFonts w:eastAsia="Calibri"/>
                                <w:kern w:val="2"/>
                                <w:sz w:val="22"/>
                                <w:szCs w:val="22"/>
                              </w:rPr>
                            </w:pPr>
                          </w:p>
                        </w:tc>
                      </w:tr>
                      <w:tr>
                        <w:trPr>
                          <w:trHeight w:val="486"/>
                          <w:jc w:val="center"/>
                        </w:trPr>
                        <w:tc>
                          <w:tcPr>
                            <w:tcW w:w="899" w:type="dxa"/>
                            <w:vAlign w:val="center"/>
                          </w:tcPr>
                          <w:p>
                            <w:pPr>
                              <w:jc w:val="center"/>
                              <w:rPr>
                                <w:rFonts w:eastAsia="Calibri"/>
                                <w:kern w:val="2"/>
                                <w:sz w:val="22"/>
                                <w:szCs w:val="22"/>
                              </w:rPr>
                            </w:pPr>
                            <w:r>
                              <w:rPr>
                                <w:rFonts w:eastAsia="Calibri"/>
                                <w:kern w:val="2"/>
                                <w:sz w:val="22"/>
                                <w:szCs w:val="22"/>
                              </w:rPr>
                              <w:t>10.20.</w:t>
                            </w:r>
                          </w:p>
                        </w:tc>
                        <w:tc>
                          <w:tcPr>
                            <w:tcW w:w="9512" w:type="dxa"/>
                            <w:gridSpan w:val="8"/>
                            <w:vAlign w:val="center"/>
                          </w:tcPr>
                          <w:p>
                            <w:pPr>
                              <w:tabs>
                                <w:tab w:val="left" w:pos="1113"/>
                              </w:tabs>
                              <w:jc w:val="both"/>
                              <w:rPr>
                                <w:kern w:val="2"/>
                                <w:sz w:val="22"/>
                                <w:szCs w:val="22"/>
                                <w:lang w:eastAsia="zh-TW"/>
                              </w:rPr>
                            </w:pPr>
                            <w:r>
                              <w:rPr>
                                <w:kern w:val="2"/>
                                <w:sz w:val="22"/>
                                <w:szCs w:val="22"/>
                                <w:lang w:eastAsia="zh-TW"/>
                              </w:rPr>
                              <w:t>Perdavimo tinklų įrengimo darbai atlikti vadovaujantis Metodikos 10, 17, 10.19 papunkčiais ir Lietuvos Respublikos elektros energetikos įstatymo 67 straipsnio 111 dalimi laikomi vartotojų elektros įrenginių prijungimo prie elektros tinklų paslaugos dalimi ir šie vartotojų lėšomis įrengti tinklai yra laikomi atitinkamai perdavimo tinklų operatoriaus nuosavybe. Prie šių perdavimo tinklų prijungiant kitų vartotojų įrenginius, už jų įrengimą ir (ar) naudojimą šių perdavimo tinklų įrengimą atlikusiems vartotojams neatlyginama.</w:t>
                            </w:r>
                          </w:p>
                        </w:tc>
                      </w:tr>
                      <w:tr>
                        <w:trPr>
                          <w:trHeight w:val="486"/>
                          <w:jc w:val="center"/>
                        </w:trPr>
                        <w:tc>
                          <w:tcPr>
                            <w:tcW w:w="899" w:type="dxa"/>
                            <w:vAlign w:val="center"/>
                          </w:tcPr>
                          <w:p>
                            <w:pPr>
                              <w:jc w:val="center"/>
                              <w:rPr>
                                <w:rFonts w:ascii="Calibri" w:eastAsia="Calibri" w:hAnsi="Calibri"/>
                                <w:kern w:val="2"/>
                                <w:sz w:val="22"/>
                                <w:szCs w:val="22"/>
                              </w:rPr>
                            </w:pPr>
                            <w:r>
                              <w:rPr>
                                <w:rFonts w:eastAsia="Calibri"/>
                                <w:kern w:val="2"/>
                                <w:sz w:val="22"/>
                                <w:szCs w:val="22"/>
                              </w:rPr>
                              <w:t>10.21.</w:t>
                              <w:tab/>
                            </w:r>
                          </w:p>
                        </w:tc>
                        <w:tc>
                          <w:tcPr>
                            <w:tcW w:w="4429" w:type="dxa"/>
                            <w:gridSpan w:val="2"/>
                            <w:vAlign w:val="center"/>
                          </w:tcPr>
                          <w:p>
                            <w:pPr>
                              <w:jc w:val="both"/>
                              <w:rPr>
                                <w:rFonts w:eastAsia="Calibri"/>
                                <w:kern w:val="2"/>
                                <w:sz w:val="22"/>
                                <w:szCs w:val="22"/>
                              </w:rPr>
                            </w:pPr>
                            <w:r>
                              <w:rPr>
                                <w:kern w:val="2"/>
                                <w:sz w:val="22"/>
                                <w:szCs w:val="22"/>
                                <w:lang w:eastAsia="zh-TW"/>
                              </w:rPr>
                              <w:t>Nebuitinis vartotojas turimą elektros įrenginių leistiną naudoti galią pageidauja mažinti praėjus daugiau nei 10 metų (kai buvo taikoma Metodikos 10.2 papunktyje nurodyta kainodara) arba daugiau nei 3 metams (kitais nei Metodikos 10.2 papunktyje nurodytais atvejais) nuo šios leistinos naudoti galios suteikimo (prijungimo paslaugos atlikimo (užbaigimo), kaip tai apibrėžta Apraše.</w:t>
                            </w:r>
                          </w:p>
                        </w:tc>
                        <w:tc>
                          <w:tcPr>
                            <w:tcW w:w="1220" w:type="dxa"/>
                            <w:vAlign w:val="center"/>
                          </w:tcPr>
                          <w:p>
                            <w:pPr>
                              <w:jc w:val="center"/>
                              <w:rPr>
                                <w:rFonts w:eastAsia="Calibri"/>
                                <w:kern w:val="2"/>
                                <w:sz w:val="22"/>
                                <w:szCs w:val="22"/>
                              </w:rPr>
                            </w:pPr>
                            <w:r>
                              <w:rPr>
                                <w:rFonts w:eastAsia="Calibri"/>
                                <w:kern w:val="2"/>
                                <w:sz w:val="22"/>
                                <w:szCs w:val="22"/>
                              </w:rPr>
                              <w:t>0 proc.</w:t>
                            </w:r>
                          </w:p>
                        </w:tc>
                        <w:tc>
                          <w:tcPr>
                            <w:tcW w:w="1223" w:type="dxa"/>
                            <w:vAlign w:val="center"/>
                          </w:tcPr>
                          <w:p>
                            <w:pPr>
                              <w:jc w:val="center"/>
                              <w:rPr>
                                <w:rFonts w:eastAsia="Calibri"/>
                                <w:kern w:val="2"/>
                                <w:sz w:val="22"/>
                                <w:szCs w:val="22"/>
                              </w:rPr>
                            </w:pPr>
                            <w:r>
                              <w:rPr>
                                <w:rFonts w:eastAsia="Calibri"/>
                                <w:kern w:val="2"/>
                                <w:sz w:val="22"/>
                                <w:szCs w:val="22"/>
                              </w:rPr>
                              <w:t>100 proc.</w:t>
                            </w:r>
                          </w:p>
                        </w:tc>
                        <w:tc>
                          <w:tcPr>
                            <w:tcW w:w="847" w:type="dxa"/>
                            <w:vAlign w:val="center"/>
                          </w:tcPr>
                          <w:p>
                            <w:pPr>
                              <w:jc w:val="center"/>
                              <w:rPr>
                                <w:rFonts w:eastAsia="Calibri"/>
                                <w:kern w:val="2"/>
                                <w:sz w:val="22"/>
                                <w:szCs w:val="22"/>
                              </w:rPr>
                            </w:pPr>
                          </w:p>
                        </w:tc>
                        <w:tc>
                          <w:tcPr>
                            <w:tcW w:w="868" w:type="dxa"/>
                            <w:vAlign w:val="center"/>
                          </w:tcPr>
                          <w:p>
                            <w:pPr>
                              <w:jc w:val="center"/>
                              <w:rPr>
                                <w:rFonts w:eastAsia="Calibri"/>
                                <w:kern w:val="2"/>
                                <w:sz w:val="22"/>
                                <w:szCs w:val="22"/>
                              </w:rPr>
                            </w:pPr>
                            <w:r>
                              <w:rPr>
                                <w:rFonts w:eastAsia="Calibri"/>
                                <w:kern w:val="2"/>
                                <w:sz w:val="22"/>
                                <w:szCs w:val="22"/>
                              </w:rPr>
                              <w:t>+</w:t>
                            </w:r>
                          </w:p>
                        </w:tc>
                        <w:tc>
                          <w:tcPr>
                            <w:tcW w:w="925" w:type="dxa"/>
                            <w:gridSpan w:val="2"/>
                            <w:vAlign w:val="center"/>
                          </w:tcPr>
                          <w:p>
                            <w:pPr>
                              <w:jc w:val="center"/>
                              <w:rPr>
                                <w:rFonts w:eastAsia="Calibri"/>
                                <w:kern w:val="2"/>
                                <w:sz w:val="22"/>
                                <w:szCs w:val="22"/>
                              </w:rPr>
                            </w:pPr>
                          </w:p>
                        </w:tc>
                      </w:tr>
                    </w:tbl>
                    <w:p>
                      <w:pPr>
                        <w:spacing w:line="252" w:lineRule="auto"/>
                        <w:jc w:val="both"/>
                        <w:rPr>
                          <w:color w:val="000000"/>
                        </w:rPr>
                      </w:pPr>
                    </w:p>
                    <w:p>
                      <w:pPr>
                        <w:spacing w:line="252" w:lineRule="auto"/>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
                  <w:sdtPr>
                    <w:alias w:val="10-1 p."/>
                    <w:tag w:val="part_75f93d726f9948048b34f4b64d5826ff"/>
                    <w:lock w:val="sdtLocked"/>
                    <w:richText/>
                  </w:sdtPr>
                  <w:sdtContent>
                    <w:p>
                      <w:pPr>
                        <w:tabs>
                          <w:tab w:val="left" w:pos="567"/>
                        </w:tabs>
                        <w:ind w:firstLine="709"/>
                        <w:jc w:val="both"/>
                        <w:rPr>
                          <w:color w:val="000000"/>
                        </w:rPr>
                      </w:pPr>
                      <w:sdt>
                        <w:sdtPr>
                          <w:alias w:val="Numeris"/>
                          <w:tag w:val="nr_75f93d726f9948048b34f4b64d5826ff"/>
                          <w:lock w:val="sdtLocked"/>
                          <w:richText/>
                        </w:sdtPr>
                        <w:sdtContent>
                          <w:r>
                            <w:rPr>
                              <w:kern w:val="2"/>
                              <w:szCs w:val="24"/>
                              <w:lang w:val="en-US" w:eastAsia="zh-TW"/>
                            </w:rPr>
                            <w:t>10</w:t>
                          </w:r>
                          <w:r>
                            <w:rPr>
                              <w:kern w:val="2"/>
                              <w:szCs w:val="24"/>
                              <w:vertAlign w:val="superscript"/>
                              <w:lang w:val="en-US" w:eastAsia="zh-TW"/>
                            </w:rPr>
                            <w:t>1</w:t>
                          </w:r>
                        </w:sdtContent>
                      </w:sdt>
                      <w:r>
                        <w:rPr>
                          <w:kern w:val="2"/>
                          <w:szCs w:val="24"/>
                          <w:lang w:val="en-US" w:eastAsia="zh-TW"/>
                        </w:rPr>
                        <w:t xml:space="preserve">. </w:t>
                      </w:r>
                      <w:r>
                        <w:rPr>
                          <w:kern w:val="2"/>
                          <w:szCs w:val="24"/>
                          <w:lang w:eastAsia="zh-TW"/>
                        </w:rPr>
                        <w:t>Sąnaudos, kurių nepadengia Metodikos 10 punkte nurodytas</w:t>
                      </w:r>
                      <w:r>
                        <w:rPr>
                          <w:kern w:val="2"/>
                          <w:szCs w:val="24"/>
                          <w:lang w:val="en-US" w:eastAsia="zh-TW"/>
                        </w:rPr>
                        <w:t xml:space="preserve"> </w:t>
                      </w:r>
                      <w:r>
                        <w:rPr>
                          <w:kern w:val="2"/>
                          <w:szCs w:val="24"/>
                          <w:lang w:eastAsia="zh-TW"/>
                        </w:rPr>
                        <w:t>asmuo, yra pripažįstamos skirstomųjų tinklų operatoriaus tinklų plėtros išlaidomis ir apskaitomos Elektros energetikos įmonių apskaitos atskyrimo ir sąnaudų paskirstymo reikalavimų aprašo, patvirtinto Tarybos 2018 m. gruodžio 21 d. nutarimu Nr. O3E-468 „Dėl Elektros energetikos įmonių apskaitos atskyrimo ir sąnaudų paskirstymo reikalavimų aprašo patvirtinimo“, nustatyta tvarka bei vertinamos nustatant elektros energijos skirstymo paslaugų kainų viršutines ribas.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sdtContent>
                </w:sdt>
                <w:sdt>
                  <w:sdtPr>
                    <w:alias w:val="10-2 p."/>
                    <w:tag w:val="part_1d95661eb8a74e258d1ce90f048af279"/>
                    <w:lock w:val="sdtLocked"/>
                    <w:richText/>
                  </w:sdtPr>
                  <w:sdtContent>
                    <w:p>
                      <w:pPr>
                        <w:tabs>
                          <w:tab w:val="left" w:pos="709"/>
                          <w:tab w:val="left" w:pos="1134"/>
                        </w:tabs>
                        <w:ind w:firstLine="691"/>
                        <w:jc w:val="both"/>
                      </w:pPr>
                      <w:sdt>
                        <w:sdtPr>
                          <w:alias w:val="Numeris"/>
                          <w:tag w:val="nr_1d95661eb8a74e258d1ce90f048af279"/>
                          <w:lock w:val="sdtLocked"/>
                          <w:richText/>
                        </w:sdtPr>
                        <w:sdtContent>
                          <w:r>
                            <w:rPr>
                              <w:kern w:val="2"/>
                              <w:szCs w:val="24"/>
                              <w:lang w:eastAsia="zh-TW"/>
                            </w:rPr>
                            <w:t>10</w:t>
                          </w:r>
                          <w:r>
                            <w:rPr>
                              <w:kern w:val="2"/>
                              <w:szCs w:val="24"/>
                              <w:vertAlign w:val="superscript"/>
                              <w:lang w:eastAsia="zh-TW"/>
                            </w:rPr>
                            <w:t>2</w:t>
                          </w:r>
                        </w:sdtContent>
                      </w:sdt>
                      <w:r>
                        <w:rPr>
                          <w:kern w:val="2"/>
                          <w:szCs w:val="24"/>
                          <w:lang w:eastAsia="zh-TW"/>
                        </w:rPr>
                        <w:t>. Metodikos 10.18 ir 10.19 papunkčiuose nurodyti vartotojai, kurie nepraėjus 10 metų nuo vartotojų elektros įrenginių prijungimo prie perdavimo tinklų sumažina leistiną naudoti galią ir (ar) suvartoja mažesnį kaip elektros įrenginių prijungimo prie perdavimo tinklų paslaugos sutartyje numatytą suvartoti elektros energijos kiekį, ir (ar) nutraukia elektros energijos persiuntimo perdavimo tinklais paslaugos sutartį, privalo apmokėti visas patirtas perdavimo sistemos operatoriaus sąnaudas, susijusias su šių vartotojų elektros įrenginių prijungimu prie perdavimo tinklų, proporcingai sumažintai leistinai naudoti galiai ir (ar) likusiam elektros energijos persiuntimo perdavimo tinklais paslaugos sutartyje įsipareigotam suvartoti elektros energijos kiekiui.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
                  <w:sdtPr>
                    <w:alias w:val="10-3 p."/>
                    <w:tag w:val="part_828105e512db4f09ae33578e1a91f725"/>
                    <w:lock w:val="sdtLocked"/>
                    <w:richText/>
                  </w:sdtPr>
                  <w:sdtContent>
                    <w:p>
                      <w:pPr>
                        <w:tabs>
                          <w:tab w:val="left" w:pos="709"/>
                          <w:tab w:val="left" w:pos="1134"/>
                        </w:tabs>
                        <w:ind w:firstLine="709"/>
                        <w:jc w:val="both"/>
                        <w:rPr>
                          <w:color w:val="000000"/>
                        </w:rPr>
                      </w:pPr>
                      <w:sdt>
                        <w:sdtPr>
                          <w:alias w:val="Numeris"/>
                          <w:tag w:val="nr_828105e512db4f09ae33578e1a91f725"/>
                          <w:lock w:val="sdtLocked"/>
                          <w:richText/>
                        </w:sdtPr>
                        <w:sdtContent>
                          <w:r>
                            <w:rPr>
                              <w:kern w:val="2"/>
                              <w:szCs w:val="24"/>
                              <w:lang w:eastAsia="zh-TW"/>
                            </w:rPr>
                            <w:t>10</w:t>
                          </w:r>
                          <w:r>
                            <w:rPr>
                              <w:kern w:val="2"/>
                              <w:szCs w:val="24"/>
                              <w:vertAlign w:val="superscript"/>
                              <w:lang w:eastAsia="zh-TW"/>
                            </w:rPr>
                            <w:t>3</w:t>
                          </w:r>
                        </w:sdtContent>
                      </w:sdt>
                      <w:r>
                        <w:rPr>
                          <w:kern w:val="2"/>
                          <w:szCs w:val="24"/>
                          <w:lang w:eastAsia="zh-TW"/>
                        </w:rPr>
                        <w:t>. Metodikos 10.18 ir 10.19 papunkčiuose nurodytų vartotojų, įgyvendinančių stambius projektus, dėl nuo perdavimo sistemos operatoriaus nepriklausančių aplinkybių nepadengta perdavimo sistemos operatoriaus sąnaudų dalis laikoma perdavimo sistemos operatoriaus tinklų plėtros pagrįstomis sąnaudomis. Perdavimo sistemos operatorius privalo imtis visų teisės aktuose numatytų priemonių, įskaitant išieškojimą teismo tvarka, dėl sutartinių įsipareigojimų su vartotojais, įgyvendinančiais stambius projektus, 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Content>
            </w:sdt>
            <w:sdt>
              <w:sdtPr>
                <w:alias w:val="skirsnis"/>
                <w:tag w:val="part_0626b1ccb5a74c99a812e87d8b40e62e"/>
                <w:lock w:val="sdtLocked"/>
                <w:richText/>
              </w:sdtPr>
              <w:sdtContent>
                <w:p>
                  <w:pPr>
                    <w:spacing w:line="252" w:lineRule="auto"/>
                    <w:jc w:val="center"/>
                    <w:rPr>
                      <w:b/>
                      <w:color w:val="000000"/>
                    </w:rPr>
                  </w:pPr>
                  <w:sdt>
                    <w:sdtPr>
                      <w:alias w:val="Numeris"/>
                      <w:tag w:val="nr_0626b1ccb5a74c99a812e87d8b40e62e"/>
                      <w:lock w:val="sdtLocked"/>
                      <w:richText/>
                    </w:sdtPr>
                    <w:sdtContent>
                      <w:r>
                        <w:rPr>
                          <w:b/>
                          <w:color w:val="000000"/>
                        </w:rPr>
                        <w:t>KETVIRTASIS</w:t>
                      </w:r>
                    </w:sdtContent>
                  </w:sdt>
                  <w:r>
                    <w:rPr>
                      <w:b/>
                      <w:color w:val="000000"/>
                    </w:rPr>
                    <w:t xml:space="preserve"> SKIRSNIS</w:t>
                  </w:r>
                </w:p>
                <w:p>
                  <w:pPr>
                    <w:spacing w:line="252" w:lineRule="auto"/>
                    <w:jc w:val="center"/>
                    <w:rPr>
                      <w:b/>
                      <w:color w:val="000000"/>
                    </w:rPr>
                  </w:pPr>
                  <w:sdt>
                    <w:sdtPr>
                      <w:alias w:val="Pavadinimas"/>
                      <w:tag w:val="title_0626b1ccb5a74c99a812e87d8b40e62e"/>
                      <w:lock w:val="sdtLocked"/>
                      <w:richText/>
                    </w:sdtPr>
                    <w:sdtContent>
                      <w:r>
                        <w:rPr>
                          <w:b/>
                          <w:bCs/>
                          <w:color w:val="000000"/>
                        </w:rPr>
                        <w:t>ELEKTROS TINKLŲ PLĖTROS KAINOS APSKAIČIAVIMAS IR TAIKYMAS</w:t>
                      </w:r>
                    </w:sdtContent>
                  </w:sdt>
                </w:p>
                <w:p>
                  <w:pPr>
                    <w:spacing w:line="252" w:lineRule="auto"/>
                    <w:ind w:firstLine="720"/>
                    <w:jc w:val="both"/>
                    <w:rPr>
                      <w:color w:val="000000"/>
                    </w:rPr>
                  </w:pPr>
                </w:p>
                <w:sdt>
                  <w:sdtPr>
                    <w:alias w:val="11 p."/>
                    <w:tag w:val="part_9a93c3b7d76c43bdbf323de14773bd4f"/>
                    <w:lock w:val="sdtLocked"/>
                    <w:richText/>
                  </w:sdtPr>
                  <w:sdtContent>
                    <w:p>
                      <w:pPr>
                        <w:spacing w:line="252" w:lineRule="auto"/>
                        <w:ind w:firstLine="720"/>
                        <w:jc w:val="both"/>
                        <w:rPr>
                          <w:color w:val="000000"/>
                        </w:rPr>
                      </w:pPr>
                      <w:sdt>
                        <w:sdtPr>
                          <w:alias w:val="Numeris"/>
                          <w:tag w:val="nr_9a93c3b7d76c43bdbf323de14773bd4f"/>
                          <w:lock w:val="sdtLocked"/>
                          <w:richText/>
                        </w:sdtPr>
                        <w:sdtContent>
                          <w:r>
                            <w:rPr>
                              <w:color w:val="000000"/>
                            </w:rPr>
                            <w:t>11</w:t>
                          </w:r>
                        </w:sdtContent>
                      </w:sdt>
                      <w:r>
                        <w:rPr>
                          <w:color w:val="000000"/>
                        </w:rPr>
                        <w:t>.</w:t>
                        <w:tab/>
                        <w:t xml:space="preserve">Kai elektros energijos vartotojas jungia įrenginius prie skirstomojo tinklo ir šio vartotojo įrenginiams prijungti skirstomojo ir (ar) perdavimo tinklų operatoriams būtina atlikti plėtros, rekonstrukcijos, keitimo ar panašius techninio parengimo darbus skirstomajame tinkle (110-35/10 kV transformatorių pastotės, 10 kV skirstomieji punktai) ir (ar) perdavimo tinkle (330-110 kV transformatorių pastotės, 330-110 kV elektros linijos), prijungiantis skirstomojo tinklo operatorius organizuoja viešąjį pirkimą šio vartotojo elektros energijos įrenginių prijungimo prie skirstomojo tinklo darbų rangovui išrinkti, perdavimo tinklo operatorius atitinkamai organizuoja viešąjį pirkimą plėtros, rekonstrukcijos, keitimo ar panašių techninio parengimo darbų atlikimo perdavimo tinkle rangovui išrinkti. Metodikos 7.1 ir 7.3.1 papunkčiuose nurodytais atvejais vartotojai solidariai prisideda prie elektros  infrastruktūros plėtros, rekonstrukcijos, keitimo sąnaudų padengimo per 1 kW tinklų plėtros įkainio taikymą. Vartotojų mokama elektros tinklų plėtros, rekonstrukcijos, keitimo kaina apskaičiuojama ir išlaidos apmokamos tokia tvarka:</w:t>
                      </w:r>
                    </w:p>
                    <w:sdt>
                      <w:sdtPr>
                        <w:alias w:val="11.1 pp."/>
                        <w:tag w:val="part_5230761486e0489a892c4ca79d269716"/>
                        <w:lock w:val="sdtLocked"/>
                        <w:richText/>
                      </w:sdtPr>
                      <w:sdtContent>
                        <w:p>
                          <w:pPr>
                            <w:spacing w:line="252" w:lineRule="auto"/>
                            <w:ind w:firstLine="720"/>
                            <w:jc w:val="both"/>
                            <w:rPr>
                              <w:color w:val="000000"/>
                              <w:lang w:eastAsia="lt-LT"/>
                            </w:rPr>
                          </w:pPr>
                          <w:sdt>
                            <w:sdtPr>
                              <w:alias w:val="Numeris"/>
                              <w:tag w:val="nr_5230761486e0489a892c4ca79d269716"/>
                              <w:lock w:val="sdtLocked"/>
                              <w:richText/>
                            </w:sdtPr>
                            <w:sdtContent>
                              <w:r>
                                <w:rPr>
                                  <w:color w:val="000000"/>
                                  <w:lang w:eastAsia="lt-LT"/>
                                </w:rPr>
                                <w:t>11.1</w:t>
                              </w:r>
                            </w:sdtContent>
                          </w:sdt>
                          <w:r>
                            <w:rPr>
                              <w:color w:val="000000"/>
                              <w:lang w:eastAsia="lt-LT"/>
                            </w:rPr>
                            <w:t>. 1 kW tinklų plėtros įkainis apskaičiuojamas pagal Metodikos 49 punkto duomenis kaip tinklų plėtros investicijų, medžiagų ir darbų (plėtros, rekonstrukcijos, keitimo ar panašius techninio parengimo darbų skirstomajame tinkle (110-35/10 kV transformatorių pastotės, 10 kV skirstomieji punktai) ir (ar) perdavimo tinkle (330-110 kV transformatorių pastotės, 330-110 kV elektros linijos), atliktų atitinkamais metais prie elektros tinklų jungiant Metodikos 7.1, 7.3.1 papunkčiuose nurodytų vartotojų elektros įrenginius arba didinant šių įrenginių leistiną naudoti galią, išlaidų sumos santykis su minėtiems vartotojams įrengta leistina naudoti galia. Tinklų plėtros investicijų, medžiagų ir darbų perdavimo tinkle (330-110 kV transformatorių pastotės, 330-110 kV elektros linijos), atliktų atitinkamais metais prie elektros tinklų prijungiant vartotojų elektros įrenginius arba didinant šių įrenginių leistiną naudoti galią Metodikos 7.1, 7.3.1 papunkčiuose nurodytais atvejais, išlaidų suma gali būti išdėstyta dalimis ne ilgesniu nei 5 metų laikotarpiu. Po pirmų dvejų metų, o vėliau – po ketverių metų atliekamas 1 kW tinklų plėtros nustatyto ir faktinio įkainio palyginimas, o susidaręs skirtumas įskaičiuojamas į kitų metų 1 kW tinklų plėtros įkainio nustatymą, išskyrus atvejus, numatytus Metodikos 11</w:t>
                          </w:r>
                          <w:r>
                            <w:rPr>
                              <w:color w:val="000000"/>
                              <w:vertAlign w:val="superscript"/>
                              <w:lang w:eastAsia="lt-LT"/>
                            </w:rPr>
                            <w:t>1</w:t>
                          </w:r>
                          <w:r>
                            <w:rPr>
                              <w:color w:val="000000"/>
                              <w:lang w:eastAsia="lt-LT"/>
                            </w:rPr>
                            <w:t xml:space="preserve"> punkte, nevertinant palūkanų normos ir pinigų kainos laike;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11.2 pp."/>
                        <w:tag w:val="part_3229d4082cb14051a4ab51e4bad660a6"/>
                        <w:lock w:val="sdtLocked"/>
                        <w:richText/>
                      </w:sdtPr>
                      <w:sdtContent>
                        <w:p>
                          <w:pPr>
                            <w:tabs>
                              <w:tab w:val="left" w:pos="709"/>
                              <w:tab w:val="left" w:pos="1134"/>
                              <w:tab w:val="left" w:pos="1276"/>
                            </w:tabs>
                            <w:ind w:firstLine="692"/>
                            <w:jc w:val="both"/>
                            <w:rPr>
                              <w:color w:val="000000"/>
                              <w:lang w:eastAsia="lt-LT"/>
                            </w:rPr>
                          </w:pPr>
                          <w:sdt>
                            <w:sdtPr>
                              <w:alias w:val="Numeris"/>
                              <w:tag w:val="nr_3229d4082cb14051a4ab51e4bad660a6"/>
                              <w:lock w:val="sdtLocked"/>
                              <w:richText/>
                            </w:sdtPr>
                            <w:sdtContent>
                              <w:r>
                                <w:rPr>
                                  <w:kern w:val="2"/>
                                  <w:szCs w:val="24"/>
                                  <w:lang w:eastAsia="zh-TW"/>
                                </w:rPr>
                                <w:t>11.2</w:t>
                              </w:r>
                            </w:sdtContent>
                          </w:sdt>
                          <w:r>
                            <w:rPr>
                              <w:kern w:val="2"/>
                              <w:szCs w:val="24"/>
                              <w:lang w:eastAsia="zh-TW"/>
                            </w:rPr>
                            <w:t>.  apskaičiuojant 1 kW tinklų plėtros įkainį  nėra vertinamos operatoriaus atliktų planinių investicijų, nesusijusių su Metodikos 7.1, 7.3.1 papunkčiuose nurodytų elektros vartotojų prijungimu, sąnaudos, t. y. tų investicijų, kurių pirminė paskirtis nebuvo elektros energijos vartotojų prijungimas, ir sąnaudos, nurodytos Metodikos 10</w:t>
                          </w:r>
                          <w:r>
                            <w:rPr>
                              <w:kern w:val="2"/>
                              <w:szCs w:val="24"/>
                              <w:vertAlign w:val="superscript"/>
                              <w:lang w:eastAsia="zh-TW"/>
                            </w:rPr>
                            <w:t xml:space="preserve">1 </w:t>
                          </w:r>
                          <w:r>
                            <w:rPr>
                              <w:kern w:val="2"/>
                              <w:szCs w:val="24"/>
                              <w:lang w:eastAsia="zh-TW"/>
                            </w:rPr>
                            <w:t>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sdtContent>
                    </w:sdt>
                    <w:sdt>
                      <w:sdtPr>
                        <w:alias w:val="11.3 pp."/>
                        <w:tag w:val="part_47644da8d0064a1ca950a18ea2567df6"/>
                        <w:lock w:val="sdtLocked"/>
                        <w:richText/>
                      </w:sdtPr>
                      <w:sdtContent>
                        <w:p>
                          <w:pPr>
                            <w:spacing w:line="252" w:lineRule="auto"/>
                            <w:ind w:firstLine="720"/>
                            <w:jc w:val="both"/>
                            <w:rPr>
                              <w:color w:val="000000"/>
                              <w:lang w:eastAsia="lt-LT"/>
                            </w:rPr>
                          </w:pPr>
                          <w:sdt>
                            <w:sdtPr>
                              <w:alias w:val="Numeris"/>
                              <w:tag w:val="nr_47644da8d0064a1ca950a18ea2567df6"/>
                              <w:lock w:val="sdtLocked"/>
                              <w:richText/>
                            </w:sdtPr>
                            <w:sdtContent>
                              <w:r>
                                <w:rPr>
                                  <w:color w:val="000000"/>
                                  <w:lang w:eastAsia="lt-LT"/>
                                </w:rPr>
                                <w:t>11.3</w:t>
                              </w:r>
                            </w:sdtContent>
                          </w:sdt>
                          <w:r>
                            <w:rPr>
                              <w:color w:val="000000"/>
                              <w:lang w:eastAsia="lt-LT"/>
                            </w:rPr>
                            <w:t>.</w:t>
                            <w:tab/>
                            <w:t xml:space="preserve">vartotojams, kuriems prijungimo įmoka skaičiuojama pagal 7.1 papunkčio nuostatas, papildomai taikomas Metodikos 11.1 papunktyje numatytas 1 kW tinklų plėtros įkainis, kuris įskaičiuojamas į Tarybos nustatomą 1 kW leistinos naudoti galios įrengimo ar padidinimo įkainį, nurodytą Metodikos 4.1 papunktyje; </w:t>
                          </w:r>
                        </w:p>
                      </w:sdtContent>
                    </w:sdt>
                    <w:sdt>
                      <w:sdtPr>
                        <w:alias w:val="11.4 pp."/>
                        <w:tag w:val="part_5a7e9ea72a1d4a49a944f9878d30ff0d"/>
                        <w:lock w:val="sdtLocked"/>
                        <w:richText/>
                      </w:sdtPr>
                      <w:sdtContent>
                        <w:p>
                          <w:pPr>
                            <w:spacing w:line="252" w:lineRule="auto"/>
                            <w:ind w:firstLine="720"/>
                            <w:jc w:val="both"/>
                            <w:rPr>
                              <w:color w:val="000000"/>
                              <w:lang w:eastAsia="lt-LT"/>
                            </w:rPr>
                          </w:pPr>
                          <w:sdt>
                            <w:sdtPr>
                              <w:alias w:val="Numeris"/>
                              <w:tag w:val="nr_5a7e9ea72a1d4a49a944f9878d30ff0d"/>
                              <w:lock w:val="sdtLocked"/>
                              <w:richText/>
                            </w:sdtPr>
                            <w:sdtContent>
                              <w:r>
                                <w:rPr>
                                  <w:color w:val="000000"/>
                                  <w:lang w:eastAsia="lt-LT"/>
                                </w:rPr>
                                <w:t>11.4</w:t>
                              </w:r>
                            </w:sdtContent>
                          </w:sdt>
                          <w:r>
                            <w:rPr>
                              <w:color w:val="000000"/>
                              <w:lang w:eastAsia="lt-LT"/>
                            </w:rPr>
                            <w:t>.</w:t>
                            <w:tab/>
                            <w:t>vartotojams, kuriems prijungimo įmoka skaičiuojama pagal Metodikos 7.3.1 papunkčio nuostatas, papildomai taikomas Metodikos 11.1 papunktyje numatytas 1 kW tinklų plėtros įkainis ir šie vartotojai proporcingai</w:t>
                          </w:r>
                          <w:r>
                            <w:rPr>
                              <w:color w:val="000000"/>
                            </w:rPr>
                            <w:t xml:space="preserve"> prijungiamai ar didinamai leistinai galiai apmoka išlaidas už elektros tinklų plėtrą pagal šią formulę:</w:t>
                          </w:r>
                        </w:p>
                        <w:p>
                          <w:pPr>
                            <w:spacing w:line="252" w:lineRule="auto"/>
                            <w:jc w:val="both"/>
                            <w:rPr>
                              <w:color w:val="000000"/>
                              <w:lang w:eastAsia="lt-LT"/>
                            </w:rPr>
                          </w:pPr>
                        </w:p>
                        <w:tbl>
                          <w:tblPr>
                            <w:tblW w:w="0" w:type="auto"/>
                            <w:tblInd w:w="720" w:type="dxa"/>
                            <w:tblLook w:val="04A0" w:firstRow="1" w:lastRow="0" w:firstColumn="1" w:lastColumn="0" w:noHBand="0" w:noVBand="1"/>
                          </w:tblPr>
                          <w:tblGrid>
                            <w:gridCol w:w="8460"/>
                            <w:gridCol w:w="674"/>
                          </w:tblGrid>
                          <w:tr>
                            <w:tc>
                              <w:tcPr>
                                <w:tcW w:w="8460" w:type="dxa"/>
                              </w:tcPr>
                              <w:p>
                                <w:pPr>
                                  <w:spacing w:line="252" w:lineRule="auto"/>
                                  <w:jc w:val="both"/>
                                  <w:rPr>
                                    <w:color w:val="000000"/>
                                    <w:szCs w:val="24"/>
                                  </w:rPr>
                                </w:pPr>
                                <w:r>
                                  <w:rPr>
                                    <w:color w:val="000000"/>
                                    <w:spacing w:val="20"/>
                                    <w:szCs w:val="24"/>
                                    <w:lang w:eastAsia="lt-LT"/>
                                  </w:rPr>
                                  <w:t>I</w:t>
                                </w:r>
                                <w:r>
                                  <w:rPr>
                                    <w:color w:val="000000"/>
                                    <w:szCs w:val="24"/>
                                    <w:lang w:eastAsia="lt-LT"/>
                                  </w:rPr>
                                  <w:t xml:space="preserve"> = D × </w:t>
                                </w:r>
                                <w:r>
                                  <w:rPr>
                                    <w:color w:val="000000"/>
                                    <w:spacing w:val="20"/>
                                    <w:szCs w:val="24"/>
                                    <w:lang w:eastAsia="lt-LT"/>
                                  </w:rPr>
                                  <w:t>P</w:t>
                                </w:r>
                                <w:r>
                                  <w:rPr>
                                    <w:color w:val="000000"/>
                                    <w:szCs w:val="24"/>
                                    <w:lang w:eastAsia="lt-LT"/>
                                  </w:rPr>
                                  <w:t xml:space="preserve"> × </w:t>
                                </w:r>
                                <w:r>
                                  <w:rPr>
                                    <w:color w:val="000000"/>
                                    <w:spacing w:val="20"/>
                                    <w:szCs w:val="24"/>
                                    <w:lang w:eastAsia="lt-LT"/>
                                  </w:rPr>
                                  <w:t>K</w:t>
                                </w:r>
                              </w:p>
                            </w:tc>
                            <w:tc>
                              <w:tcPr>
                                <w:tcW w:w="674" w:type="dxa"/>
                              </w:tcPr>
                              <w:p>
                                <w:pPr>
                                  <w:spacing w:line="252" w:lineRule="auto"/>
                                  <w:jc w:val="right"/>
                                  <w:rPr>
                                    <w:color w:val="000000"/>
                                    <w:szCs w:val="24"/>
                                  </w:rPr>
                                </w:pPr>
                              </w:p>
                            </w:tc>
                          </w:tr>
                        </w:tbl>
                        <w:p>
                          <w:pPr>
                            <w:spacing w:line="252" w:lineRule="auto"/>
                            <w:ind w:firstLine="567"/>
                            <w:jc w:val="both"/>
                            <w:rPr>
                              <w:color w:val="000000"/>
                              <w:szCs w:val="24"/>
                              <w:lang w:eastAsia="lt-LT"/>
                            </w:rPr>
                          </w:pPr>
                        </w:p>
                        <w:p>
                          <w:pPr>
                            <w:spacing w:line="252" w:lineRule="auto"/>
                            <w:ind w:firstLine="720"/>
                            <w:jc w:val="both"/>
                            <w:rPr>
                              <w:color w:val="000000"/>
                              <w:szCs w:val="24"/>
                              <w:lang w:eastAsia="lt-LT"/>
                            </w:rPr>
                          </w:pPr>
                          <w:r>
                            <w:rPr>
                              <w:color w:val="000000"/>
                              <w:szCs w:val="24"/>
                              <w:lang w:eastAsia="lt-LT"/>
                            </w:rPr>
                            <w:t>čia:</w:t>
                          </w:r>
                        </w:p>
                        <w:p>
                          <w:pPr>
                            <w:spacing w:line="252" w:lineRule="auto"/>
                            <w:ind w:firstLine="720"/>
                            <w:jc w:val="both"/>
                            <w:rPr>
                              <w:color w:val="000000"/>
                              <w:szCs w:val="24"/>
                              <w:lang w:eastAsia="lt-LT"/>
                            </w:rPr>
                          </w:pPr>
                          <w:r>
                            <w:rPr>
                              <w:color w:val="000000"/>
                              <w:szCs w:val="24"/>
                              <w:lang w:eastAsia="lt-LT"/>
                            </w:rPr>
                            <w:t>I – elektros energijos vartotojo už tinklo plėtrą papildomai mokama įrenginių prijungimo prie tinklo įmoka, Eur;</w:t>
                          </w:r>
                        </w:p>
                        <w:p>
                          <w:pPr>
                            <w:spacing w:line="252" w:lineRule="auto"/>
                            <w:ind w:firstLine="720"/>
                            <w:jc w:val="both"/>
                            <w:rPr>
                              <w:color w:val="000000"/>
                              <w:szCs w:val="24"/>
                              <w:lang w:eastAsia="lt-LT"/>
                            </w:rPr>
                          </w:pPr>
                          <w:r>
                            <w:rPr>
                              <w:color w:val="000000"/>
                              <w:szCs w:val="24"/>
                              <w:lang w:eastAsia="lt-LT"/>
                            </w:rPr>
                            <w:t>D – 1 kW tinklo plėtros įkainis, Eur;</w:t>
                          </w:r>
                        </w:p>
                        <w:p>
                          <w:pPr>
                            <w:widowControl w:val="0"/>
                            <w:spacing w:line="252" w:lineRule="auto"/>
                            <w:ind w:firstLine="720"/>
                            <w:jc w:val="both"/>
                            <w:rPr>
                              <w:color w:val="000000"/>
                              <w:szCs w:val="24"/>
                            </w:rPr>
                          </w:pPr>
                          <w:r>
                            <w:rPr>
                              <w:color w:val="000000"/>
                              <w:szCs w:val="24"/>
                              <w:lang w:eastAsia="lt-LT"/>
                            </w:rPr>
                            <w:t>P – vartotojui naujai suteikiama leistina naudoti galia, kW.</w:t>
                          </w:r>
                          <w:r>
                            <w:rPr>
                              <w:color w:val="000000"/>
                              <w:szCs w:val="24"/>
                            </w:rPr>
                            <w:t xml:space="preserve"> P reikšmė nustatoma pagal Metodikos 8.1.1 papunktyje nurodytas P reikšmės apskaičiavimo nuostatas;</w:t>
                          </w:r>
                        </w:p>
                        <w:p>
                          <w:pPr>
                            <w:widowControl w:val="0"/>
                            <w:spacing w:line="252" w:lineRule="auto"/>
                            <w:ind w:firstLine="720"/>
                            <w:jc w:val="both"/>
                            <w:rPr>
                              <w:color w:val="000000"/>
                              <w:szCs w:val="24"/>
                            </w:rPr>
                          </w:pPr>
                          <w:r>
                            <w:rPr>
                              <w:color w:val="000000"/>
                              <w:lang w:eastAsia="lt-LT"/>
                            </w:rPr>
                            <w:t>K – procentinis dydis, nurodytas Metodikos 10 punkte.</w:t>
                          </w:r>
                        </w:p>
                      </w:sdtContent>
                    </w:sdt>
                  </w:sdtContent>
                </w:sdt>
                <w:sdt>
                  <w:sdtPr>
                    <w:alias w:val="11-1 p."/>
                    <w:tag w:val="part_9bdfca72312046de89e67538c7a26d46"/>
                    <w:lock w:val="sdtLocked"/>
                    <w:richText/>
                  </w:sdtPr>
                  <w:sdtContent>
                    <w:p>
                      <w:pPr>
                        <w:widowControl w:val="0"/>
                        <w:spacing w:line="252" w:lineRule="auto"/>
                        <w:ind w:firstLine="720"/>
                        <w:jc w:val="both"/>
                        <w:rPr>
                          <w:color w:val="000000"/>
                          <w:szCs w:val="24"/>
                        </w:rPr>
                      </w:pPr>
                      <w:sdt>
                        <w:sdtPr>
                          <w:alias w:val="Numeris"/>
                          <w:tag w:val="nr_9bdfca72312046de89e67538c7a26d46"/>
                          <w:lock w:val="sdtLocked"/>
                          <w:richText/>
                        </w:sdtPr>
                        <w:sdtContent>
                          <w:r>
                            <w:rPr>
                              <w:color w:val="000000"/>
                              <w:szCs w:val="24"/>
                            </w:rPr>
                            <w:t>11</w:t>
                          </w:r>
                          <w:r>
                            <w:rPr>
                              <w:color w:val="000000"/>
                              <w:szCs w:val="24"/>
                              <w:vertAlign w:val="superscript"/>
                            </w:rPr>
                            <w:t>1</w:t>
                          </w:r>
                        </w:sdtContent>
                      </w:sdt>
                      <w:r>
                        <w:rPr>
                          <w:color w:val="000000"/>
                          <w:szCs w:val="24"/>
                        </w:rPr>
                        <w:t xml:space="preserve">. </w:t>
                      </w:r>
                      <w:r>
                        <w:t>Metodikos 11 punkto nuostata netaikoma, kai yra reikalingi Metodikos 11 punkte nurodyti plėtros, rekonstrukcijos, keitimo ar panašūs techninio parengimo darbai skirstomajame tinkle (110-35/10 kV transformatorių pastotės, 10 kV skirstomieji punktai) ir (ar) perdavimo tinkle (330-110 kV transformatorių pastotės, 330-110 kV elektros linijos), siekiama rezervuoti leistina naudoti galia yra didesnė kaip 500 kW ir yra bent viena iš šių aplinkybių</w:t>
                      </w:r>
                      <w:r>
                        <w:rPr>
                          <w:rFonts w:ascii="Arial" w:hAnsi="Arial" w:cs="Arial"/>
                        </w:rPr>
                        <w:t>:</w:t>
                      </w:r>
                    </w:p>
                    <w:sdt>
                      <w:sdtPr>
                        <w:alias w:val="11-1.1 pp."/>
                        <w:tag w:val="part_c0b0c4704eee435983cd47f9712240fe"/>
                        <w:lock w:val="sdtLocked"/>
                        <w:richText/>
                      </w:sdtPr>
                      <w:sdtContent>
                        <w:p>
                          <w:pPr>
                            <w:widowControl w:val="0"/>
                            <w:spacing w:line="252" w:lineRule="auto"/>
                            <w:ind w:firstLine="720"/>
                            <w:jc w:val="both"/>
                            <w:rPr>
                              <w:rFonts w:eastAsia="Calibri"/>
                              <w:szCs w:val="24"/>
                              <w14:ligatures w14:val="standardContextual"/>
                            </w:rPr>
                          </w:pPr>
                          <w:sdt>
                            <w:sdtPr>
                              <w:alias w:val="Numeris"/>
                              <w:tag w:val="nr_c0b0c4704eee435983cd47f9712240fe"/>
                              <w:lock w:val="sdtLocked"/>
                              <w:richText/>
                            </w:sdtPr>
                            <w:sdtContent>
                              <w:r>
                                <w:rPr>
                                  <w:rFonts w:eastAsia="Calibri"/>
                                  <w:szCs w:val="24"/>
                                  <w14:ligatures w14:val="standardContextual"/>
                                </w:rPr>
                                <w:t>11</w:t>
                              </w:r>
                              <w:r>
                                <w:rPr>
                                  <w:rFonts w:eastAsia="Calibri"/>
                                  <w:szCs w:val="24"/>
                                  <w:vertAlign w:val="superscript"/>
                                  <w14:ligatures w14:val="standardContextual"/>
                                </w:rPr>
                                <w:t>1</w:t>
                              </w:r>
                              <w:r>
                                <w:rPr>
                                  <w:rFonts w:eastAsia="Calibri"/>
                                  <w:szCs w:val="24"/>
                                  <w14:ligatures w14:val="standardContextual"/>
                                </w:rPr>
                                <w:t>.1</w:t>
                              </w:r>
                            </w:sdtContent>
                          </w:sdt>
                          <w:r>
                            <w:rPr>
                              <w:rFonts w:eastAsia="Calibri"/>
                              <w:szCs w:val="24"/>
                              <w14:ligatures w14:val="standardContextual"/>
                            </w:rPr>
                            <w:t>. plėtros, rekonstrukcijos, keitimo ar panašius techninio parengimo darbus skirstomajame tinkle (110-35/10 kV transformatorių pastotės, 10 kV skirstomieji punktai) ir (ar) perdavimo tinkle (330-110 kV transformatorių pastotės ir (arba) 330-110 kV elektros linijos) būtina atlikti dėl vieno vartotojo. Laikoma, kad šiuos darbus būtina atlikti dėl vieno vartotojo, kai iki prijungimo paslaugos sutarties sudarymo tinklų operatorius kitiems vartotojams nėra išdavęs prijungimo sąlygų, kuriose yra numatyta atlikti plėtros, rekonstrukcijos, keitimo ar panašius techninio parengimo darbus skirstomajame tinkle (110-35/10 kV transformatorių pastotės, 10 kV skirstomieji punktai) ir (ar) perdavimo tinkle (330-110 kV transformatorių pastotės ir (arba) 330-110 kV elektros linijos), įskaitant, kai tas pats vartotojas ar jo įgaliotas asmuo teikia keletą atskirų paraiškų prijungimo paslaugos suteikimui;</w:t>
                          </w:r>
                        </w:p>
                      </w:sdtContent>
                    </w:sdt>
                    <w:sdt>
                      <w:sdtPr>
                        <w:alias w:val="11-1.2 pp."/>
                        <w:tag w:val="part_7ff803d2d3d24c43af9a4d263b1e8dad"/>
                        <w:lock w:val="sdtLocked"/>
                        <w:richText/>
                      </w:sdtPr>
                      <w:sdtContent>
                        <w:p>
                          <w:pPr>
                            <w:widowControl w:val="0"/>
                            <w:spacing w:line="252" w:lineRule="auto"/>
                            <w:ind w:firstLine="720"/>
                            <w:jc w:val="both"/>
                          </w:pPr>
                          <w:sdt>
                            <w:sdtPr>
                              <w:alias w:val="Numeris"/>
                              <w:tag w:val="nr_7ff803d2d3d24c43af9a4d263b1e8dad"/>
                              <w:lock w:val="sdtLocked"/>
                              <w:richText/>
                            </w:sdtPr>
                            <w:sdtContent>
                              <w:r>
                                <w:rPr>
                                  <w:rFonts w:eastAsia="Calibri"/>
                                  <w:szCs w:val="24"/>
                                  <w14:ligatures w14:val="standardContextual"/>
                                </w:rPr>
                                <w:t>11</w:t>
                              </w:r>
                              <w:r>
                                <w:rPr>
                                  <w:rFonts w:eastAsia="Calibri"/>
                                  <w:szCs w:val="24"/>
                                  <w:vertAlign w:val="superscript"/>
                                  <w14:ligatures w14:val="standardContextual"/>
                                </w:rPr>
                                <w:t>1</w:t>
                              </w:r>
                              <w:r>
                                <w:rPr>
                                  <w:rFonts w:eastAsia="Calibri"/>
                                  <w:szCs w:val="24"/>
                                  <w14:ligatures w14:val="standardContextual"/>
                                </w:rPr>
                                <w:t>.2</w:t>
                              </w:r>
                            </w:sdtContent>
                          </w:sdt>
                          <w:r>
                            <w:rPr>
                              <w:rFonts w:eastAsia="Calibri"/>
                              <w:szCs w:val="24"/>
                              <w14:ligatures w14:val="standardContextual"/>
                            </w:rPr>
                            <w:t>. siekiama rezervuoti (išduodamos prijungimo sąlygos) ne mažiau kaip 50 procentų esamos ar numatomos įrengti transformatorių pastotės galios, skaičiuojant nuo galios transformatoriaus vardinės galios.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11-2 p."/>
                    <w:tag w:val="part_e224ae8a4c2940e9a5e0d7d32090e87f"/>
                    <w:lock w:val="sdtLocked"/>
                    <w:richText/>
                  </w:sdtPr>
                  <w:sdtContent>
                    <w:p>
                      <w:pPr>
                        <w:widowControl w:val="0"/>
                        <w:spacing w:line="252" w:lineRule="auto"/>
                        <w:ind w:firstLine="720"/>
                        <w:jc w:val="both"/>
                        <w:rPr>
                          <w:color w:val="000000"/>
                          <w:szCs w:val="24"/>
                        </w:rPr>
                      </w:pPr>
                      <w:sdt>
                        <w:sdtPr>
                          <w:alias w:val="Numeris"/>
                          <w:tag w:val="nr_e224ae8a4c2940e9a5e0d7d32090e87f"/>
                          <w:lock w:val="sdtLocked"/>
                          <w:richText/>
                        </w:sdtPr>
                        <w:sdtContent>
                          <w:r>
                            <w:rPr>
                              <w:rFonts w:eastAsia="Calibri"/>
                              <w:szCs w:val="24"/>
                              <w14:ligatures w14:val="standardContextual"/>
                            </w:rPr>
                            <w:t>11</w:t>
                          </w:r>
                          <w:r>
                            <w:rPr>
                              <w:rFonts w:eastAsia="Calibri"/>
                              <w:szCs w:val="24"/>
                              <w:vertAlign w:val="superscript"/>
                              <w14:ligatures w14:val="standardContextual"/>
                            </w:rPr>
                            <w:t>2</w:t>
                          </w:r>
                        </w:sdtContent>
                      </w:sdt>
                      <w:r>
                        <w:rPr>
                          <w:rFonts w:eastAsia="Calibri"/>
                          <w:szCs w:val="24"/>
                          <w14:ligatures w14:val="standardContextual"/>
                        </w:rPr>
                        <w:t>. Apskaičiuojant prijungimo įmoką, kai plėtros, rekonstrukcijos, keitimo ar panašius techninio parengimo darbus skirstomajame tinkle (110-35/10 kV transformatorių pastotės, 10 kV skirstomieji punktai) ir (ar) perdavimo tinkle (330-110 kV transformatorių pastotės ir (arba) 330-110 kV elektros linijos) būtina atlikti esant bent vienai iš 11</w:t>
                      </w:r>
                      <w:r>
                        <w:rPr>
                          <w:rFonts w:eastAsia="Calibri"/>
                          <w:szCs w:val="24"/>
                          <w:vertAlign w:val="superscript"/>
                          <w14:ligatures w14:val="standardContextual"/>
                        </w:rPr>
                        <w:t>1</w:t>
                      </w:r>
                      <w:r>
                        <w:rPr>
                          <w:rFonts w:eastAsia="Calibri"/>
                          <w:szCs w:val="24"/>
                          <w14:ligatures w14:val="standardContextual"/>
                        </w:rPr>
                        <w:t xml:space="preserve"> punkte nurodytų sąlygų,  prijungimo įmoka, nepriklausomai nuo galios, apskaičiuojama pagal Metodikos 7.3.1 papunktį, netaikant 1 kW tinklų plėtros įkainio.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12 p."/>
                    <w:tag w:val="part_f35512abf0354828874d6090927f86b6"/>
                    <w:lock w:val="sdtLocked"/>
                    <w:richText/>
                  </w:sdtPr>
                  <w:sdtContent>
                    <w:p>
                      <w:pPr>
                        <w:ind w:firstLine="709"/>
                        <w:jc w:val="both"/>
                      </w:pPr>
                      <w:sdt>
                        <w:sdtPr>
                          <w:alias w:val="Numeris"/>
                          <w:tag w:val="nr_f35512abf0354828874d6090927f86b6"/>
                          <w:lock w:val="sdtLocked"/>
                          <w:richText/>
                        </w:sdtPr>
                        <w:sdtContent>
                          <w:r>
                            <w:t>12</w:t>
                          </w:r>
                        </w:sdtContent>
                      </w:sdt>
                      <w:r>
                        <w:t>.</w:t>
                        <w:tab/>
                      </w:r>
                      <w:r>
                        <w:rPr>
                          <w:lang w:eastAsia="lt-LT"/>
                        </w:rPr>
                        <w:t>Kai vartotojų prijungimas vykdomas bendros vartotojų grupės principu, t. y. tuo atveju, kai paraišką prijungti elektros įrenginius prie elektros tinklų pateikė grupės vartotojų įgaliotas atstovas</w:t>
                      </w:r>
                      <w:r>
                        <w:t xml:space="preserve">, jų prijungimas vykdomas pagal bendras (vieningas) prijungimo sąlygas (tą patį techninį sprendimą), vieną projektą ir vieną sutartį. </w:t>
                      </w:r>
                      <w:r>
                        <w:rPr>
                          <w:lang w:eastAsia="lt-LT"/>
                        </w:rPr>
                        <w:t>Bendros vartotojų grupės prijungimui taikomos šios sąlygos:</w:t>
                      </w:r>
                    </w:p>
                    <w:sdt>
                      <w:sdtPr>
                        <w:alias w:val="12.1 pp."/>
                        <w:tag w:val="part_e4c8437942c040c4875e6425cb62e385"/>
                        <w:lock w:val="sdtLocked"/>
                        <w:richText/>
                      </w:sdtPr>
                      <w:sdtContent>
                        <w:p>
                          <w:pPr>
                            <w:spacing w:line="252" w:lineRule="auto"/>
                            <w:ind w:firstLine="720"/>
                            <w:jc w:val="both"/>
                            <w:rPr>
                              <w:strike/>
                              <w:color w:val="000000"/>
                              <w:szCs w:val="24"/>
                              <w:lang w:eastAsia="lt-LT"/>
                            </w:rPr>
                          </w:pPr>
                          <w:sdt>
                            <w:sdtPr>
                              <w:alias w:val="Numeris"/>
                              <w:tag w:val="nr_e4c8437942c040c4875e6425cb62e385"/>
                              <w:lock w:val="sdtLocked"/>
                              <w:richText/>
                            </w:sdtPr>
                            <w:sdtContent>
                              <w:r>
                                <w:rPr>
                                  <w:color w:val="000000"/>
                                  <w:szCs w:val="24"/>
                                  <w:lang w:eastAsia="lt-LT"/>
                                </w:rPr>
                                <w:t>12.1</w:t>
                              </w:r>
                            </w:sdtContent>
                          </w:sdt>
                          <w:r>
                            <w:rPr>
                              <w:color w:val="000000"/>
                              <w:szCs w:val="24"/>
                              <w:lang w:eastAsia="lt-LT"/>
                            </w:rPr>
                            <w:t>.</w:t>
                            <w:tab/>
                          </w:r>
                          <w:r>
                            <w:t>prijungimo procesui pradėti būtina grupės vartotojų paraiška ir statybą leidžiančių dokumentų (kai jie privalomi pagal teisės aktus) pateikimas;</w:t>
                          </w:r>
                        </w:p>
                      </w:sdtContent>
                    </w:sdt>
                    <w:sdt>
                      <w:sdtPr>
                        <w:alias w:val="12.2 pp."/>
                        <w:tag w:val="part_49645a2b4bc4414a96d25a137c0296ef"/>
                        <w:lock w:val="sdtLocked"/>
                        <w:richText/>
                      </w:sdtPr>
                      <w:sdtContent>
                        <w:p>
                          <w:pPr>
                            <w:spacing w:line="252" w:lineRule="auto"/>
                            <w:ind w:firstLine="720"/>
                            <w:jc w:val="both"/>
                            <w:rPr>
                              <w:strike/>
                              <w:color w:val="000000"/>
                              <w:szCs w:val="24"/>
                              <w:lang w:eastAsia="lt-LT"/>
                            </w:rPr>
                          </w:pPr>
                          <w:sdt>
                            <w:sdtPr>
                              <w:alias w:val="Numeris"/>
                              <w:tag w:val="nr_49645a2b4bc4414a96d25a137c0296ef"/>
                              <w:lock w:val="sdtLocked"/>
                              <w:richText/>
                            </w:sdtPr>
                            <w:sdtContent>
                              <w:r>
                                <w:rPr>
                                  <w:color w:val="000000"/>
                                  <w:szCs w:val="24"/>
                                  <w:lang w:eastAsia="lt-LT"/>
                                </w:rPr>
                                <w:t>12.2</w:t>
                              </w:r>
                            </w:sdtContent>
                          </w:sdt>
                          <w:r>
                            <w:rPr>
                              <w:color w:val="000000"/>
                              <w:szCs w:val="24"/>
                              <w:lang w:eastAsia="lt-LT"/>
                            </w:rPr>
                            <w:t>.</w:t>
                            <w:tab/>
                          </w:r>
                          <w:r>
                            <w:rPr>
                              <w:lang w:eastAsia="lt-LT"/>
                            </w:rPr>
                            <w:t>bendros</w:t>
                          </w:r>
                          <w:r>
                            <w:rPr>
                              <w:color w:val="000000"/>
                              <w:szCs w:val="24"/>
                            </w:rPr>
                            <w:t xml:space="preserve"> vartotojų grupės vartotojai atsiskaito už prijungimo paslaugą pagal Metodikos 8.1.1 arba 8.2.1 papunkčių nuostatas, o už elektros tinklų plėtrą – pagal Metodikos 11 punkto nuostatas;</w:t>
                          </w:r>
                        </w:p>
                      </w:sdtContent>
                    </w:sdt>
                    <w:sdt>
                      <w:sdtPr>
                        <w:alias w:val="12.3 pp."/>
                        <w:tag w:val="part_42a7f9a7b43740d8a413857426cf04e8"/>
                        <w:lock w:val="sdtLocked"/>
                        <w:richText/>
                      </w:sdtPr>
                      <w:sdtContent>
                        <w:p>
                          <w:pPr>
                            <w:spacing w:line="252" w:lineRule="auto"/>
                            <w:ind w:firstLine="720"/>
                            <w:jc w:val="both"/>
                            <w:rPr>
                              <w:strike/>
                              <w:color w:val="000000"/>
                              <w:szCs w:val="24"/>
                              <w:lang w:eastAsia="lt-LT"/>
                            </w:rPr>
                          </w:pPr>
                          <w:sdt>
                            <w:sdtPr>
                              <w:alias w:val="Numeris"/>
                              <w:tag w:val="nr_42a7f9a7b43740d8a413857426cf04e8"/>
                              <w:lock w:val="sdtLocked"/>
                              <w:richText/>
                            </w:sdtPr>
                            <w:sdtContent>
                              <w:r>
                                <w:rPr>
                                  <w:color w:val="000000"/>
                                  <w:szCs w:val="24"/>
                                  <w:lang w:eastAsia="lt-LT"/>
                                </w:rPr>
                                <w:t>12.3</w:t>
                              </w:r>
                            </w:sdtContent>
                          </w:sdt>
                          <w:r>
                            <w:rPr>
                              <w:color w:val="000000"/>
                              <w:szCs w:val="24"/>
                              <w:lang w:eastAsia="lt-LT"/>
                            </w:rPr>
                            <w:t>.</w:t>
                            <w:tab/>
                          </w:r>
                          <w:r>
                            <w:rPr>
                              <w:color w:val="000000"/>
                              <w:szCs w:val="24"/>
                            </w:rPr>
                            <w:t xml:space="preserve">jeigu bendra vartotojų grupė savo lėšomis organizuoja prijungimo prie elektros tinklų projektavimo darbus, bendros vartotojų grupės parengto bendro projekto kaina kompensuojama taikant kompensaciją už vieno projekto parengimą. </w:t>
                          </w:r>
                          <w:r>
                            <w:rPr>
                              <w:bCs/>
                              <w:color w:val="000000"/>
                              <w:szCs w:val="24"/>
                            </w:rPr>
                            <w:t>Tais atvejais, kai bendros vartotojų grupės vartotojai patenka į skirtingas Metodikos 5 punkte nurodytas vartotojų grupes, projektavimo išlaidos kompensuojamos pagal nuo 0,4/(6)10kV transformatorinės iki tolimiausiam bendros vartotojų grupės vartotojui taikomą kompensacijos dydį</w:t>
                          </w:r>
                          <w:r>
                            <w:rPr>
                              <w:color w:val="000000"/>
                              <w:szCs w:val="24"/>
                            </w:rPr>
                            <w:t>;</w:t>
                          </w:r>
                        </w:p>
                      </w:sdtContent>
                    </w:sdt>
                    <w:sdt>
                      <w:sdtPr>
                        <w:alias w:val="12.4 pp."/>
                        <w:tag w:val="part_7a79c38f9b1b417bb51952898c36a84b"/>
                        <w:lock w:val="sdtLocked"/>
                        <w:richText/>
                      </w:sdtPr>
                      <w:sdtContent>
                        <w:p>
                          <w:pPr>
                            <w:spacing w:line="252" w:lineRule="auto"/>
                            <w:ind w:firstLine="720"/>
                            <w:jc w:val="both"/>
                            <w:rPr>
                              <w:strike/>
                              <w:color w:val="000000"/>
                              <w:szCs w:val="24"/>
                              <w:lang w:eastAsia="lt-LT"/>
                            </w:rPr>
                          </w:pPr>
                          <w:sdt>
                            <w:sdtPr>
                              <w:alias w:val="Numeris"/>
                              <w:tag w:val="nr_7a79c38f9b1b417bb51952898c36a84b"/>
                              <w:lock w:val="sdtLocked"/>
                              <w:richText/>
                            </w:sdtPr>
                            <w:sdtContent>
                              <w:r>
                                <w:rPr>
                                  <w:color w:val="000000"/>
                                  <w:szCs w:val="24"/>
                                  <w:lang w:eastAsia="lt-LT"/>
                                </w:rPr>
                                <w:t>12.4</w:t>
                              </w:r>
                            </w:sdtContent>
                          </w:sdt>
                          <w:r>
                            <w:rPr>
                              <w:color w:val="000000"/>
                              <w:szCs w:val="24"/>
                              <w:lang w:eastAsia="lt-LT"/>
                            </w:rPr>
                            <w:t>.</w:t>
                            <w:tab/>
                          </w:r>
                          <w:r>
                            <w:rPr>
                              <w:szCs w:val="24"/>
                            </w:rPr>
                            <w:t>bendros vartotojų grupės vartotojai (išskyrus objekto nuosavybės teisės perleidimą) ir jų skaičius negali būti keičiamas. Jeigu į bendrą vartotojų grupę reikalinga įtraukti naują vartotoją arba vartotojas atsisako dalyvauti bendroje vartotojų grupėje, turi būti teikiama nauja paraiška dėl bendros vartotojų grupės elektros įrenginių prijungimo;</w:t>
                          </w:r>
                        </w:p>
                      </w:sdtContent>
                    </w:sdt>
                    <w:sdt>
                      <w:sdtPr>
                        <w:alias w:val="12.5 pp."/>
                        <w:tag w:val="part_b3f1c9ce368340819be2886c9fae163c"/>
                        <w:lock w:val="sdtLocked"/>
                        <w:richText/>
                      </w:sdtPr>
                      <w:sdtContent>
                        <w:p>
                          <w:pPr>
                            <w:spacing w:line="252" w:lineRule="auto"/>
                            <w:ind w:firstLine="720"/>
                            <w:jc w:val="both"/>
                            <w:rPr>
                              <w:color w:val="000000"/>
                              <w:szCs w:val="24"/>
                              <w:lang w:eastAsia="lt-LT"/>
                            </w:rPr>
                          </w:pPr>
                          <w:sdt>
                            <w:sdtPr>
                              <w:alias w:val="Numeris"/>
                              <w:tag w:val="nr_b3f1c9ce368340819be2886c9fae163c"/>
                              <w:lock w:val="sdtLocked"/>
                              <w:richText/>
                            </w:sdtPr>
                            <w:sdtContent>
                              <w:r>
                                <w:rPr>
                                  <w:color w:val="000000"/>
                                  <w:szCs w:val="24"/>
                                  <w:lang w:eastAsia="lt-LT"/>
                                </w:rPr>
                                <w:t>12.5</w:t>
                              </w:r>
                            </w:sdtContent>
                          </w:sdt>
                          <w:r>
                            <w:rPr>
                              <w:color w:val="000000"/>
                              <w:szCs w:val="24"/>
                              <w:lang w:eastAsia="lt-LT"/>
                            </w:rPr>
                            <w:t>.</w:t>
                            <w:tab/>
                          </w:r>
                          <w:r>
                            <w:rPr>
                              <w:rFonts w:eastAsia="Arial Unicode MS"/>
                              <w:bCs/>
                              <w:szCs w:val="24"/>
                              <w:bdr w:val="nil"/>
                              <w:lang w:eastAsia="lt-LT"/>
                            </w:rPr>
                            <w:t>šio papunkčio nuostatos taip pat taikomos prie elektros tinklų prijungiant gaminančių vartotojų elektros įrenginius, t. y., kai prijungiami elektros vartojimo ir gamybos įrenginiai, ir kai prijungiami gaminančio vartotojo elektros gamybos įrenginiai, bei kartu didinama su vartojimo vietos prijungimo tašku sutampančiame prijungimo prie skirstomųjų tinklų taške prijungtų elektros gamybos įrenginių leistina generuoti galia ir (ar) elektrinės įrengtoji galia, o elektros vartojimo įrenginiai yra prijungti prie skirstomųjų tinklų, įskaitant atvejus, kai prijungiant elektros gamybos įrenginius arba didinant su vartojimo vietos prijungimo tašku sutampančiame prijungimo prie skirstomųjų tinklų taške prijungtų elektros gamybos įrenginių leistiną generuoti galią ir (ar) elektrinės įrengtąją galią kartu didinama prijungtų prie skirstomųjų tinklų elektros vartojimo įrenginių leistina naudoti galia.</w:t>
                          </w:r>
                          <w:r>
                            <w:rPr>
                              <w:rFonts w:eastAsia="Arial Unicode MS"/>
                              <w:b/>
                              <w:bCs/>
                              <w:sz w:val="20"/>
                              <w:bdr w:val="nil"/>
                              <w:lang w:eastAsia="lt-LT"/>
                            </w:rPr>
                            <w:t xml:space="preserve"> </w:t>
                          </w:r>
                          <w:r>
                            <w:rPr>
                              <w:rFonts w:eastAsia="Arial Unicode MS"/>
                              <w:szCs w:val="24"/>
                              <w:bdr w:val="nil"/>
                              <w:lang w:eastAsia="lt-LT"/>
                            </w:rPr>
                            <w:t>Į tą pačią grupę kartu negali būti jungiami vartotojai ir gaminantys vartotojai.</w:t>
                          </w:r>
                        </w:p>
                      </w:sdtContent>
                    </w:sdt>
                  </w:sdtContent>
                </w:sdt>
                <w:sdt>
                  <w:sdtPr>
                    <w:alias w:val="13 p."/>
                    <w:tag w:val="part_2fc2947593f2419f918c705ebf2e1d52"/>
                    <w:lock w:val="sdtLocked"/>
                    <w:richText/>
                  </w:sdtPr>
                  <w:sdtContent>
                    <w:p>
                      <w:pPr>
                        <w:spacing w:line="252" w:lineRule="auto"/>
                        <w:ind w:firstLine="720"/>
                        <w:jc w:val="both"/>
                        <w:rPr>
                          <w:color w:val="000000"/>
                        </w:rPr>
                      </w:pPr>
                      <w:sdt>
                        <w:sdtPr>
                          <w:alias w:val="Numeris"/>
                          <w:tag w:val="nr_2fc2947593f2419f918c705ebf2e1d52"/>
                          <w:lock w:val="sdtLocked"/>
                          <w:richText/>
                        </w:sdtPr>
                        <w:sdtContent>
                          <w:r>
                            <w:rPr>
                              <w:color w:val="000000"/>
                            </w:rPr>
                            <w:t>13</w:t>
                          </w:r>
                        </w:sdtContent>
                      </w:sdt>
                      <w:r>
                        <w:rPr>
                          <w:color w:val="000000"/>
                        </w:rPr>
                        <w:t>.</w:t>
                        <w:tab/>
                        <w:t>Operatorius, atlikdamas elektros tinklų planavimą, įvertina, ar yra potencialių elektros</w:t>
                      </w:r>
                      <w:r>
                        <w:t xml:space="preserve"> </w:t>
                      </w:r>
                      <w:r>
                        <w:rPr>
                          <w:color w:val="000000"/>
                        </w:rPr>
                        <w:t xml:space="preserve">energijos vartotojų, kurie elektros įrenginius galėtų jungti prie tos pačios įrengiamos ir bendrai naudotinos elektros infrastruktūros ar planuotų didinti prie esamos infrastruktūros prijungtų įrenginių leistiną naudoti galią. Šiuo atveju prijungiamas vartotojas ar potencialūs vartotojai už prijungimo paslaugą atsiskaito pagal Metodikos 8.1.1 arba 8.2.1 papunkčių nuostatas, o už elektros tinklų plėtrą pagal Metodikos 11 punkto nuostatas, jei vartotojas projektavimo darbus organizuoja savo lėšomis, jam taikomi Tarybos nustatyti maksimalūs kompensuotini projektavimo dydžiai. Vartotojas laikomas potencialiu vartotoju, esant bent vienai iš žemiau nurodytų sąlygų: </w:t>
                      </w:r>
                    </w:p>
                    <w:sdt>
                      <w:sdtPr>
                        <w:alias w:val="13.1 pp."/>
                        <w:tag w:val="part_a5717e15efde4298ad1e07ceffe7ad81"/>
                        <w:lock w:val="sdtLocked"/>
                        <w:richText/>
                      </w:sdtPr>
                      <w:sdtContent>
                        <w:p>
                          <w:pPr>
                            <w:spacing w:line="252" w:lineRule="auto"/>
                            <w:ind w:firstLine="720"/>
                            <w:jc w:val="both"/>
                            <w:rPr>
                              <w:color w:val="000000"/>
                            </w:rPr>
                          </w:pPr>
                          <w:sdt>
                            <w:sdtPr>
                              <w:alias w:val="Numeris"/>
                              <w:tag w:val="nr_a5717e15efde4298ad1e07ceffe7ad81"/>
                              <w:lock w:val="sdtLocked"/>
                              <w:richText/>
                            </w:sdtPr>
                            <w:sdtContent>
                              <w:r>
                                <w:rPr>
                                  <w:color w:val="000000"/>
                                </w:rPr>
                                <w:t>13.1</w:t>
                              </w:r>
                            </w:sdtContent>
                          </w:sdt>
                          <w:r>
                            <w:rPr>
                              <w:color w:val="000000"/>
                            </w:rPr>
                            <w:t>.</w:t>
                            <w:tab/>
                            <w:t>kai vartotojas yra pateikęs paraišką dėl elektros įrenginių prijungimo ar įrenginių leistinos naudoti galios padidinimo;</w:t>
                          </w:r>
                        </w:p>
                      </w:sdtContent>
                    </w:sdt>
                    <w:sdt>
                      <w:sdtPr>
                        <w:alias w:val="13.2 pp."/>
                        <w:tag w:val="part_7c123028f5944328af1dfd74d1bf38e5"/>
                        <w:lock w:val="sdtLocked"/>
                        <w:richText/>
                      </w:sdtPr>
                      <w:sdtContent>
                        <w:p>
                          <w:pPr>
                            <w:spacing w:line="252" w:lineRule="auto"/>
                            <w:ind w:firstLine="720"/>
                            <w:jc w:val="both"/>
                            <w:rPr>
                              <w:color w:val="000000"/>
                            </w:rPr>
                          </w:pPr>
                          <w:sdt>
                            <w:sdtPr>
                              <w:alias w:val="Numeris"/>
                              <w:tag w:val="nr_7c123028f5944328af1dfd74d1bf38e5"/>
                              <w:lock w:val="sdtLocked"/>
                              <w:richText/>
                            </w:sdtPr>
                            <w:sdtContent>
                              <w:r>
                                <w:rPr>
                                  <w:color w:val="000000"/>
                                </w:rPr>
                                <w:t>13.2</w:t>
                              </w:r>
                            </w:sdtContent>
                          </w:sdt>
                          <w:r>
                            <w:rPr>
                              <w:color w:val="000000"/>
                            </w:rPr>
                            <w:t>.</w:t>
                            <w:tab/>
                            <w:t>kai vartotojas yra gavęs statybą leidžiantį dokumentą, kai statybą leidžiantis dokumentas yra privalomas pagal vartotojo objekto statybą reglamentuojančius teisės aktus, ir tinklų operatorius turi tai patvirtinančio dokumento kopiją;</w:t>
                          </w:r>
                        </w:p>
                      </w:sdtContent>
                    </w:sdt>
                    <w:sdt>
                      <w:sdtPr>
                        <w:alias w:val="13.3 pp."/>
                        <w:tag w:val="part_055f3e44df484d98b51ed987c549d299"/>
                        <w:lock w:val="sdtLocked"/>
                        <w:richText/>
                      </w:sdtPr>
                      <w:sdtContent>
                        <w:p>
                          <w:pPr>
                            <w:spacing w:line="252" w:lineRule="auto"/>
                            <w:ind w:firstLine="720"/>
                            <w:jc w:val="both"/>
                            <w:rPr>
                              <w:color w:val="000000"/>
                            </w:rPr>
                          </w:pPr>
                          <w:sdt>
                            <w:sdtPr>
                              <w:alias w:val="Numeris"/>
                              <w:tag w:val="nr_055f3e44df484d98b51ed987c549d299"/>
                              <w:lock w:val="sdtLocked"/>
                              <w:richText/>
                            </w:sdtPr>
                            <w:sdtContent>
                              <w:r>
                                <w:rPr>
                                  <w:color w:val="000000"/>
                                </w:rPr>
                                <w:t>13.3</w:t>
                              </w:r>
                            </w:sdtContent>
                          </w:sdt>
                          <w:r>
                            <w:rPr>
                              <w:color w:val="000000"/>
                            </w:rPr>
                            <w:t>.</w:t>
                            <w:tab/>
                            <w:t>kai vartotojas yra parengęs supaprastintą statybos projektą ir tinklų operatorius turi tai patvirtinančio dokumento kopiją;</w:t>
                          </w:r>
                        </w:p>
                      </w:sdtContent>
                    </w:sdt>
                    <w:sdt>
                      <w:sdtPr>
                        <w:alias w:val="13.4 pp."/>
                        <w:tag w:val="part_d70c1c50e1f8445f8c9bed6aadb4390b"/>
                        <w:lock w:val="sdtLocked"/>
                        <w:richText/>
                      </w:sdtPr>
                      <w:sdtContent>
                        <w:p>
                          <w:pPr>
                            <w:spacing w:line="252" w:lineRule="auto"/>
                            <w:ind w:firstLine="720"/>
                            <w:jc w:val="both"/>
                            <w:rPr>
                              <w:color w:val="000000"/>
                            </w:rPr>
                          </w:pPr>
                          <w:sdt>
                            <w:sdtPr>
                              <w:alias w:val="Numeris"/>
                              <w:tag w:val="nr_d70c1c50e1f8445f8c9bed6aadb4390b"/>
                              <w:lock w:val="sdtLocked"/>
                              <w:richText/>
                            </w:sdtPr>
                            <w:sdtContent>
                              <w:r>
                                <w:rPr>
                                  <w:color w:val="000000"/>
                                </w:rPr>
                                <w:t>13.4</w:t>
                              </w:r>
                            </w:sdtContent>
                          </w:sdt>
                          <w:r>
                            <w:rPr>
                              <w:color w:val="000000"/>
                            </w:rPr>
                            <w:t>.</w:t>
                            <w:tab/>
                            <w:t>kai vartotojas yra užbaigęs objekto statybą statybos užbaigimo deklaracija, ją nustatyta tvarka patvirtinęs ir tinklų operatorius turi tai patvirtinančio dokumento kopiją;</w:t>
                          </w:r>
                        </w:p>
                      </w:sdtContent>
                    </w:sdt>
                    <w:sdt>
                      <w:sdtPr>
                        <w:alias w:val="13.5 pp."/>
                        <w:tag w:val="part_a4075d6019724022b7f7515278342687"/>
                        <w:lock w:val="sdtLocked"/>
                        <w:richText/>
                      </w:sdtPr>
                      <w:sdtContent>
                        <w:p>
                          <w:pPr>
                            <w:spacing w:line="252" w:lineRule="auto"/>
                            <w:ind w:firstLine="720"/>
                            <w:jc w:val="both"/>
                            <w:rPr>
                              <w:color w:val="000000"/>
                            </w:rPr>
                          </w:pPr>
                          <w:sdt>
                            <w:sdtPr>
                              <w:alias w:val="Numeris"/>
                              <w:tag w:val="nr_a4075d6019724022b7f7515278342687"/>
                              <w:lock w:val="sdtLocked"/>
                              <w:richText/>
                            </w:sdtPr>
                            <w:sdtContent>
                              <w:r>
                                <w:rPr>
                                  <w:color w:val="000000"/>
                                </w:rPr>
                                <w:t>13.5</w:t>
                              </w:r>
                            </w:sdtContent>
                          </w:sdt>
                          <w:r>
                            <w:rPr>
                              <w:color w:val="000000"/>
                            </w:rPr>
                            <w:t>.</w:t>
                            <w:tab/>
                            <w:t>yra kitų objektyvių požymių, kuriais remiantis vartotojas gali būti priskirtas potencialiam vartotojui.</w:t>
                          </w:r>
                        </w:p>
                        <w:p>
                          <w:pPr>
                            <w:spacing w:line="252" w:lineRule="auto"/>
                            <w:rPr>
                              <w:b/>
                              <w:bCs/>
                              <w:color w:val="000000"/>
                            </w:rPr>
                          </w:pPr>
                        </w:p>
                      </w:sdtContent>
                    </w:sdt>
                  </w:sdtContent>
                </w:sdt>
              </w:sdtContent>
            </w:sdt>
            <w:sdt>
              <w:sdtPr>
                <w:alias w:val="skirsnis"/>
                <w:tag w:val="part_6682b7d06f244e209b51db92285517c9"/>
                <w:lock w:val="sdtLocked"/>
                <w:richText/>
              </w:sdtPr>
              <w:sdtContent>
                <w:p>
                  <w:pPr>
                    <w:spacing w:line="252" w:lineRule="auto"/>
                    <w:jc w:val="center"/>
                    <w:rPr>
                      <w:b/>
                      <w:bCs/>
                      <w:color w:val="000000"/>
                    </w:rPr>
                  </w:pPr>
                  <w:sdt>
                    <w:sdtPr>
                      <w:alias w:val="Numeris"/>
                      <w:tag w:val="nr_6682b7d06f244e209b51db92285517c9"/>
                      <w:lock w:val="sdtLocked"/>
                      <w:richText/>
                    </w:sdtPr>
                    <w:sdtContent>
                      <w:r>
                        <w:rPr>
                          <w:b/>
                          <w:bCs/>
                          <w:color w:val="000000"/>
                        </w:rPr>
                        <w:t>PENKTASIS</w:t>
                      </w:r>
                    </w:sdtContent>
                  </w:sdt>
                  <w:r>
                    <w:rPr>
                      <w:b/>
                      <w:bCs/>
                      <w:color w:val="000000"/>
                    </w:rPr>
                    <w:t xml:space="preserve"> SKIRSNIS</w:t>
                  </w:r>
                </w:p>
                <w:p>
                  <w:pPr>
                    <w:spacing w:line="252" w:lineRule="auto"/>
                    <w:jc w:val="center"/>
                    <w:rPr>
                      <w:b/>
                      <w:bCs/>
                      <w:color w:val="000000"/>
                    </w:rPr>
                  </w:pPr>
                  <w:sdt>
                    <w:sdtPr>
                      <w:alias w:val="Pavadinimas"/>
                      <w:tag w:val="title_6682b7d06f244e209b51db92285517c9"/>
                      <w:lock w:val="sdtLocked"/>
                      <w:richText/>
                    </w:sdtPr>
                    <w:sdtContent>
                      <w:r>
                        <w:rPr>
                          <w:b/>
                          <w:bCs/>
                          <w:color w:val="000000"/>
                        </w:rPr>
                        <w:t>ĮMOKŲ UŽ LEISTINOSIOS NAUDOTI GALIOS MAŽINIMĄ IR INFRASTRUKTŪROS NENAUDOJIMĄ APSKAIČIAVIMAS IR TAIKYMAS</w:t>
                      </w:r>
                    </w:sdtContent>
                  </w:sdt>
                </w:p>
                <w:p>
                  <w:pPr>
                    <w:spacing w:line="252" w:lineRule="auto"/>
                    <w:jc w:val="both"/>
                    <w:rPr>
                      <w:color w:val="000000"/>
                      <w:szCs w:val="24"/>
                      <w:lang w:eastAsia="lt-LT"/>
                    </w:rPr>
                  </w:pPr>
                </w:p>
                <w:p>
                  <w:pPr>
                    <w:spacing w:line="252" w:lineRule="auto"/>
                    <w:jc w:val="both"/>
                    <w:rPr>
                      <w:color w:val="000000"/>
                      <w:szCs w:val="24"/>
                      <w:lang w:eastAsia="lt-LT"/>
                    </w:rPr>
                  </w:pPr>
                </w:p>
                <w:sdt>
                  <w:sdtPr>
                    <w:alias w:val="14 p."/>
                    <w:tag w:val="part_843a0ec336cf4cadb0fbcba15457ad3c"/>
                    <w:lock w:val="sdtLocked"/>
                    <w:richText/>
                  </w:sdtPr>
                  <w:sdtContent>
                    <w:p>
                      <w:pPr>
                        <w:tabs>
                          <w:tab w:val="left" w:pos="567"/>
                          <w:tab w:val="left" w:pos="1418"/>
                        </w:tabs>
                        <w:ind w:firstLine="709"/>
                        <w:jc w:val="both"/>
                        <w:rPr>
                          <w:kern w:val="2"/>
                          <w:szCs w:val="24"/>
                          <w:lang w:eastAsia="zh-TW"/>
                        </w:rPr>
                      </w:pPr>
                      <w:sdt>
                        <w:sdtPr>
                          <w:alias w:val="Numeris"/>
                          <w:tag w:val="nr_843a0ec336cf4cadb0fbcba15457ad3c"/>
                          <w:lock w:val="sdtLocked"/>
                          <w:richText/>
                        </w:sdtPr>
                        <w:sdtContent>
                          <w:r>
                            <w:rPr>
                              <w:kern w:val="2"/>
                              <w:szCs w:val="24"/>
                              <w:lang w:eastAsia="zh-TW"/>
                            </w:rPr>
                            <w:t>14</w:t>
                          </w:r>
                        </w:sdtContent>
                      </w:sdt>
                      <w:r>
                        <w:rPr>
                          <w:kern w:val="2"/>
                          <w:szCs w:val="24"/>
                          <w:lang w:eastAsia="zh-TW"/>
                        </w:rPr>
                        <w:t>. Vartotojui mažinant turimą elektros įrenginių leistiną naudoti galią Metodikos 15 ir 16 punktuose nurodytais atvejais vartotojo mokėtina prijungimo paslaugos įmoka apskaičiuojama pagal formulę:</w:t>
                      </w:r>
                    </w:p>
                    <w:p>
                      <w:pPr>
                        <w:ind w:firstLine="62"/>
                        <w:jc w:val="both"/>
                        <w:rPr>
                          <w:kern w:val="2"/>
                          <w:szCs w:val="24"/>
                          <w:lang w:eastAsia="zh-TW"/>
                        </w:rPr>
                      </w:pPr>
                    </w:p>
                    <w:tbl>
                      <w:tblPr>
                        <w:tblW w:w="0" w:type="auto"/>
                        <w:tblInd w:w="567" w:type="dxa"/>
                        <w:tblLook w:val="04A0" w:firstRow="1" w:lastRow="0" w:firstColumn="1" w:lastColumn="0" w:noHBand="0" w:noVBand="1"/>
                      </w:tblPr>
                      <w:tblGrid>
                        <w:gridCol w:w="8251"/>
                        <w:gridCol w:w="667"/>
                      </w:tblGrid>
                      <w:tr>
                        <w:tc>
                          <w:tcPr>
                            <w:tcW w:w="8251" w:type="dxa"/>
                          </w:tcPr>
                          <w:p>
                            <w:pPr>
                              <w:jc w:val="both"/>
                              <w:rPr>
                                <w:kern w:val="2"/>
                                <w:szCs w:val="24"/>
                                <w:lang w:eastAsia="zh-TW"/>
                              </w:rPr>
                            </w:pPr>
                            <m:oMathPara>
                              <m:oMath>
                                <m:r>
                                  <m:rPr>
                                    <m:nor/>
                                  </m:rPr>
                                  <w:rPr>
                                    <w:iCs/>
                                  </w:rPr>
                                  <m:t>M</m:t>
                                </m:r>
                                <m:r>
                                  <m:rPr>
                                    <m:nor/>
                                  </m:rPr>
                                  <m:t>=</m:t>
                                </m:r>
                                <m:d>
                                  <m:dPr>
                                    <m:ctrlPr>
                                      <w:rPr>
                                        <w:rFonts w:ascii="Cambria Math" w:hAnsi="Cambria Math"/>
                                      </w:rPr>
                                    </m:ctrlPr>
                                  </m:dPr>
                                  <m:e>
                                    <m:f>
                                      <m:fPr>
                                        <m:ctrlPr>
                                          <w:rPr>
                                            <w:rFonts w:ascii="Cambria Math" w:hAnsi="Cambria Math"/>
                                          </w:rPr>
                                        </m:ctrlPr>
                                      </m:fPr>
                                      <m:num>
                                        <m:r>
                                          <m:rPr>
                                            <m:nor/>
                                          </m:rPr>
                                          <w:rPr>
                                            <w:iCs/>
                                          </w:rPr>
                                          <m:t>B</m:t>
                                        </m:r>
                                        <m:r>
                                          <m:rPr>
                                            <m:nor/>
                                          </m:rPr>
                                          <m:t xml:space="preserve"> </m:t>
                                        </m:r>
                                        <m:r>
                                          <m:rPr>
                                            <m:nor/>
                                          </m:rPr>
                                          <w:rPr>
                                            <w:iCs/>
                                          </w:rPr>
                                          <m:t>×</m:t>
                                        </m:r>
                                        <m:r>
                                          <m:rPr>
                                            <m:nor/>
                                          </m:rPr>
                                          <m:t xml:space="preserve"> </m:t>
                                        </m:r>
                                        <m:r>
                                          <m:rPr>
                                            <m:nor/>
                                          </m:rPr>
                                          <w:rPr>
                                            <w:iCs/>
                                          </w:rPr>
                                          <m:t>R</m:t>
                                        </m:r>
                                        <m:r>
                                          <m:rPr>
                                            <m:nor/>
                                          </m:rPr>
                                          <m:t xml:space="preserve"> </m:t>
                                        </m:r>
                                      </m:num>
                                      <m:den>
                                        <m:r>
                                          <m:rPr>
                                            <m:nor/>
                                          </m:rPr>
                                          <w:rPr>
                                            <w:iCs/>
                                          </w:rPr>
                                          <m:t>P</m:t>
                                        </m:r>
                                      </m:den>
                                    </m:f>
                                    <m:r>
                                      <m:rPr>
                                        <m:nor/>
                                      </m:rPr>
                                      <w:rPr>
                                        <w:iCs/>
                                      </w:rPr>
                                      <m:t>×</m:t>
                                    </m:r>
                                    <m:r>
                                      <m:rPr>
                                        <m:nor/>
                                      </m:rPr>
                                      <m:t xml:space="preserve"> </m:t>
                                    </m:r>
                                    <m:r>
                                      <m:rPr>
                                        <m:nor/>
                                      </m:rPr>
                                      <w:rPr>
                                        <w:iCs/>
                                      </w:rPr>
                                      <m:t>S</m:t>
                                    </m:r>
                                  </m:e>
                                </m:d>
                                <m:r>
                                  <m:rPr>
                                    <m:nor/>
                                  </m:rPr>
                                  <w:rPr>
                                    <w:iCs/>
                                  </w:rPr>
                                  <m:t>×</m:t>
                                </m:r>
                                <m:r>
                                  <m:rPr>
                                    <m:nor/>
                                  </m:rPr>
                                  <m:t xml:space="preserve"> </m:t>
                                </m:r>
                                <m:sSub>
                                  <m:sSubPr>
                                    <m:ctrlPr>
                                      <w:rPr>
                                        <w:rFonts w:ascii="Cambria Math" w:hAnsi="Cambria Math"/>
                                      </w:rPr>
                                    </m:ctrlPr>
                                  </m:sSubPr>
                                  <m:e>
                                    <m:r>
                                      <m:rPr>
                                        <m:nor/>
                                      </m:rPr>
                                      <w:rPr>
                                        <w:iCs/>
                                      </w:rPr>
                                      <m:t>P</m:t>
                                    </m:r>
                                  </m:e>
                                  <m:sub>
                                    <m:r>
                                      <m:rPr>
                                        <m:nor/>
                                      </m:rPr>
                                      <w:rPr>
                                        <w:iCs/>
                                      </w:rPr>
                                      <m:t>ma</m:t>
                                    </m:r>
                                    <m:r>
                                      <m:rPr>
                                        <m:nor/>
                                      </m:rPr>
                                      <m:t>ž</m:t>
                                    </m:r>
                                  </m:sub>
                                </m:sSub>
                              </m:oMath>
                            </m:oMathPara>
                          </w:p>
                        </w:tc>
                        <w:tc>
                          <w:tcPr>
                            <w:tcW w:w="667" w:type="dxa"/>
                          </w:tcPr>
                          <w:p>
                            <w:pPr>
                              <w:jc w:val="both"/>
                              <w:rPr>
                                <w:kern w:val="2"/>
                                <w:szCs w:val="24"/>
                                <w:lang w:eastAsia="zh-TW"/>
                              </w:rPr>
                            </w:pPr>
                          </w:p>
                        </w:tc>
                      </w:tr>
                    </w:tbl>
                    <w:p>
                      <w:pPr>
                        <w:jc w:val="both"/>
                        <w:rPr>
                          <w:kern w:val="2"/>
                          <w:szCs w:val="24"/>
                          <w:lang w:eastAsia="zh-TW"/>
                        </w:rPr>
                      </w:pPr>
                    </w:p>
                    <w:p>
                      <w:pPr>
                        <w:ind w:firstLine="709"/>
                        <w:jc w:val="both"/>
                        <w:rPr>
                          <w:kern w:val="2"/>
                          <w:szCs w:val="24"/>
                          <w:lang w:eastAsia="zh-TW"/>
                        </w:rPr>
                      </w:pPr>
                      <w:r>
                        <w:rPr>
                          <w:kern w:val="2"/>
                          <w:szCs w:val="24"/>
                          <w:lang w:eastAsia="zh-TW"/>
                        </w:rPr>
                        <w:t>čia:</w:t>
                      </w:r>
                    </w:p>
                    <w:p>
                      <w:pPr>
                        <w:ind w:firstLine="709"/>
                        <w:jc w:val="both"/>
                        <w:rPr>
                          <w:kern w:val="2"/>
                          <w:szCs w:val="24"/>
                          <w:lang w:eastAsia="zh-TW"/>
                        </w:rPr>
                      </w:pPr>
                      <w:r>
                        <w:rPr>
                          <w:kern w:val="2"/>
                          <w:szCs w:val="24"/>
                          <w:lang w:eastAsia="zh-TW"/>
                        </w:rPr>
                        <w:t>M – vartotojo mokėtina suma už leistinos naudoti galios sumažinimą, Eur;</w:t>
                      </w:r>
                    </w:p>
                    <w:p>
                      <w:pPr>
                        <w:ind w:firstLine="709"/>
                        <w:jc w:val="both"/>
                        <w:rPr>
                          <w:kern w:val="2"/>
                          <w:szCs w:val="24"/>
                          <w:lang w:eastAsia="zh-TW"/>
                        </w:rPr>
                      </w:pPr>
                      <w:r>
                        <w:rPr>
                          <w:kern w:val="2"/>
                          <w:szCs w:val="24"/>
                          <w:lang w:eastAsia="zh-TW"/>
                        </w:rPr>
                        <w:t>B – vartotojo sumokėta prijungimo įmoka už leistinos naudoti galios suteikimą, Eur;</w:t>
                      </w:r>
                    </w:p>
                    <w:p>
                      <w:pPr>
                        <w:tabs>
                          <w:tab w:val="left" w:pos="1134"/>
                        </w:tabs>
                        <w:ind w:firstLine="709"/>
                        <w:jc w:val="both"/>
                        <w:rPr>
                          <w:kern w:val="2"/>
                          <w:szCs w:val="24"/>
                          <w:lang w:eastAsia="zh-TW"/>
                        </w:rPr>
                      </w:pPr>
                      <w:r>
                        <w:rPr>
                          <w:kern w:val="2"/>
                          <w:szCs w:val="24"/>
                          <w:lang w:eastAsia="zh-TW"/>
                        </w:rPr>
                        <w:t>R – vartotojo nepadengtų operatoriaus faktiškai patirtų sąnaudų, prijungiant vartotojo elektros įrenginius, koeficientas;</w:t>
                      </w:r>
                    </w:p>
                    <w:p>
                      <w:pPr>
                        <w:tabs>
                          <w:tab w:val="left" w:pos="1134"/>
                          <w:tab w:val="left" w:pos="1276"/>
                          <w:tab w:val="left" w:pos="1418"/>
                        </w:tabs>
                        <w:ind w:firstLine="709"/>
                        <w:jc w:val="both"/>
                        <w:rPr>
                          <w:kern w:val="2"/>
                          <w:szCs w:val="24"/>
                          <w:lang w:eastAsia="zh-TW"/>
                        </w:rPr>
                      </w:pPr>
                      <w:r>
                        <w:rPr>
                          <w:kern w:val="2"/>
                          <w:szCs w:val="24"/>
                          <w:lang w:eastAsia="zh-TW"/>
                        </w:rPr>
                        <w:t>P</w:t>
                      </w:r>
                      <w:r>
                        <w:rPr>
                          <w:kern w:val="2"/>
                          <w:szCs w:val="24"/>
                          <w:vertAlign w:val="subscript"/>
                          <w:lang w:eastAsia="zh-TW"/>
                        </w:rPr>
                        <w:t> </w:t>
                      </w:r>
                      <w:r>
                        <w:rPr>
                          <w:kern w:val="2"/>
                          <w:szCs w:val="24"/>
                          <w:lang w:eastAsia="zh-TW"/>
                        </w:rPr>
                        <w:t>– esama vartotojui suteikta leistina naudoti galia (kW);</w:t>
                      </w:r>
                    </w:p>
                    <w:p>
                      <w:pPr>
                        <w:tabs>
                          <w:tab w:val="left" w:pos="1134"/>
                          <w:tab w:val="left" w:pos="1276"/>
                        </w:tabs>
                        <w:ind w:firstLine="709"/>
                        <w:jc w:val="both"/>
                        <w:rPr>
                          <w:kern w:val="2"/>
                          <w:szCs w:val="24"/>
                          <w:lang w:eastAsia="zh-TW"/>
                        </w:rPr>
                      </w:pPr>
                      <w:r>
                        <w:rPr>
                          <w:kern w:val="2"/>
                          <w:szCs w:val="24"/>
                          <w:lang w:eastAsia="zh-TW"/>
                        </w:rPr>
                        <w:t>S – faktiškai patirtų sąnaudų, prijungiant vartotojo elektros įrenginius, koeficientas;</w:t>
                      </w:r>
                    </w:p>
                    <w:p>
                      <w:pPr>
                        <w:tabs>
                          <w:tab w:val="left" w:pos="1134"/>
                        </w:tabs>
                        <w:ind w:firstLine="709"/>
                        <w:jc w:val="both"/>
                        <w:rPr>
                          <w:color w:val="000000"/>
                          <w:szCs w:val="24"/>
                        </w:rPr>
                      </w:pPr>
                      <w:r>
                        <w:rPr>
                          <w:kern w:val="2"/>
                          <w:szCs w:val="24"/>
                          <w:lang w:eastAsia="zh-TW"/>
                        </w:rPr>
                        <w:t>P</w:t>
                      </w:r>
                      <w:r>
                        <w:rPr>
                          <w:kern w:val="2"/>
                          <w:szCs w:val="24"/>
                          <w:vertAlign w:val="subscript"/>
                          <w:lang w:eastAsia="zh-TW"/>
                        </w:rPr>
                        <w:t>maž </w:t>
                      </w:r>
                      <w:r>
                        <w:rPr>
                          <w:kern w:val="2"/>
                          <w:szCs w:val="24"/>
                          <w:lang w:eastAsia="zh-TW"/>
                        </w:rPr>
                        <w:t>– vartotojo pageidaujama mažinti leistina naudoti galia. P reikšmė nustatoma pagal Metodikos 8.1.1 papunktyje nurodytas P reikšmės apskaičiavimo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sdtContent>
                </w:sdt>
                <w:sdt>
                  <w:sdtPr>
                    <w:alias w:val="15 p."/>
                    <w:tag w:val="part_58bf6f9db8554302b1e0e9aad446a3e4"/>
                    <w:lock w:val="sdtLocked"/>
                    <w:richText/>
                  </w:sdtPr>
                  <w:sdtContent>
                    <w:p>
                      <w:pPr>
                        <w:spacing w:line="252" w:lineRule="auto"/>
                        <w:ind w:firstLine="720"/>
                        <w:jc w:val="both"/>
                        <w:rPr>
                          <w:color w:val="000000"/>
                          <w:szCs w:val="24"/>
                        </w:rPr>
                      </w:pPr>
                      <w:sdt>
                        <w:sdtPr>
                          <w:alias w:val="Numeris"/>
                          <w:tag w:val="nr_58bf6f9db8554302b1e0e9aad446a3e4"/>
                          <w:lock w:val="sdtLocked"/>
                          <w:richText/>
                        </w:sdtPr>
                        <w:sdtContent>
                          <w:r>
                            <w:rPr>
                              <w:color w:val="000000"/>
                              <w:szCs w:val="24"/>
                            </w:rPr>
                            <w:t>15</w:t>
                          </w:r>
                        </w:sdtContent>
                      </w:sdt>
                      <w:r>
                        <w:rPr>
                          <w:color w:val="000000"/>
                          <w:szCs w:val="24"/>
                        </w:rPr>
                        <w:t>.</w:t>
                        <w:tab/>
                        <w:t>Įmokos už leistinos naudoti galios mažinimą (įskaitant, kai leistina naudoti galia mažinama iki 0 kW ir (ar) elektros įrenginiai atjungiami nuo elektros tinklų)  apskaičiavimui ir taikymui taikomos šios sąlygos: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sdt>
                      <w:sdtPr>
                        <w:alias w:val="15.1 pp."/>
                        <w:tag w:val="part_6c32cd791cb643ee8e0f9dc34670cca3"/>
                        <w:lock w:val="sdtLocked"/>
                        <w:richText/>
                      </w:sdtPr>
                      <w:sdtContent>
                        <w:p>
                          <w:pPr>
                            <w:ind w:firstLine="720"/>
                            <w:jc w:val="both"/>
                            <w:rPr>
                              <w:color w:val="000000"/>
                            </w:rPr>
                          </w:pPr>
                          <w:sdt>
                            <w:sdtPr>
                              <w:alias w:val="Numeris"/>
                              <w:tag w:val="nr_6c32cd791cb643ee8e0f9dc34670cca3"/>
                              <w:lock w:val="sdtLocked"/>
                              <w:richText/>
                            </w:sdtPr>
                            <w:sdtContent>
                              <w:r>
                                <w:rPr>
                                  <w:kern w:val="2"/>
                                  <w:szCs w:val="24"/>
                                  <w:lang w:eastAsia="zh-TW"/>
                                </w:rPr>
                                <w:t>15.1</w:t>
                              </w:r>
                            </w:sdtContent>
                          </w:sdt>
                          <w:r>
                            <w:rPr>
                              <w:kern w:val="2"/>
                              <w:szCs w:val="24"/>
                              <w:lang w:eastAsia="zh-TW"/>
                            </w:rPr>
                            <w:t xml:space="preserve">. Tuo atveju, kai leistinos naudoti galios mažinimas atliekamas praėjus mažiau kaip 3 metams nuo šios leistinos naudoti galios suteikimo (prijungimo paslaugos atlikimo (užbaigimo), kaip tai apibrėžta Apraše) Metodikos 14 punkto formulėje naudojami koeficientai R=2 ir S=0,5. Šis papunktis netaikomas buitiniams vartotojams, Metodikos 10.2 papunktyje nurodytiems asmenims, ir atvejams nurodytiems Metodikos 10.14.1‒10.14.3, 10.15‒10.19 papunkčiuose ir 10.6 papunktyje.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
                      <w:sdtPr>
                        <w:alias w:val="15.2 pp."/>
                        <w:tag w:val="part_c7a7512c6a194f289b286a8ae782fbcb"/>
                        <w:lock w:val="sdtLocked"/>
                        <w:richText/>
                      </w:sdtPr>
                      <w:sdtContent>
                        <w:p>
                          <w:pPr>
                            <w:tabs>
                              <w:tab w:val="left" w:pos="709"/>
                              <w:tab w:val="left" w:pos="1134"/>
                            </w:tabs>
                            <w:ind w:firstLine="709"/>
                            <w:jc w:val="both"/>
                            <w:rPr>
                              <w:color w:val="000000"/>
                              <w:szCs w:val="24"/>
                            </w:rPr>
                          </w:pPr>
                          <w:sdt>
                            <w:sdtPr>
                              <w:alias w:val="Numeris"/>
                              <w:tag w:val="nr_c7a7512c6a194f289b286a8ae782fbcb"/>
                              <w:lock w:val="sdtLocked"/>
                              <w:richText/>
                            </w:sdtPr>
                            <w:sdtContent>
                              <w:r>
                                <w:rPr>
                                  <w:kern w:val="2"/>
                                  <w:szCs w:val="24"/>
                                  <w:lang w:eastAsia="zh-TW"/>
                                </w:rPr>
                                <w:t>15.2</w:t>
                              </w:r>
                            </w:sdtContent>
                          </w:sdt>
                          <w:r>
                            <w:rPr>
                              <w:kern w:val="2"/>
                              <w:szCs w:val="24"/>
                              <w:lang w:eastAsia="zh-TW"/>
                            </w:rPr>
                            <w:t>.</w:t>
                            <w:tab/>
                            <w:t>Tuo atveju, kai vartotojas, kurio elektros įrenginiai buvo prijungti prie elektros skirstomųjų tinklų taikant Metodikos 10.2 papunktyje nurodytą sąnaudų paskirstymo tvarką, mažina leistiną naudoti galią nepraėjus 10 metų nuo prijungimo paslaugos atlikimo (užbaigimo), kaip tai apibrėžta Apraše, šio punkto formulėje naudojami koeficientai R=10 ir S=0,9. Šis papunktis netaikomas buitiniams vartotojams ir atvejams, nurodytiems Metodikos 10.6, 10.14.1‒10.14.3 ir 10.15-10.19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
                      <w:sdtPr>
                        <w:alias w:val="15.3 pp."/>
                        <w:tag w:val="part_ed52e6ad924a41f7a4b41f83d4b0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sdtContent>
                    </w:sdt>
                  </w:sdtContent>
                </w:sdt>
                <w:sdt>
                  <w:sdtPr>
                    <w:alias w:val="16 p."/>
                    <w:tag w:val="part_b940b9a8f6d14db5a7c9f91e50d2ddf3"/>
                    <w:lock w:val="sdtLocked"/>
                    <w:richText/>
                  </w:sdtPr>
                  <w:sdtContent>
                    <w:p>
                      <w:pPr>
                        <w:ind w:firstLine="709"/>
                        <w:jc w:val="both"/>
                        <w:rPr>
                          <w:kern w:val="2"/>
                          <w:szCs w:val="24"/>
                          <w:lang w:eastAsia="zh-TW"/>
                        </w:rPr>
                      </w:pPr>
                      <w:sdt>
                        <w:sdtPr>
                          <w:alias w:val="Numeris"/>
                          <w:tag w:val="nr_b940b9a8f6d14db5a7c9f91e50d2ddf3"/>
                          <w:lock w:val="sdtLocked"/>
                          <w:richText/>
                        </w:sdtPr>
                        <w:sdtContent>
                          <w:r>
                            <w:rPr>
                              <w:kern w:val="2"/>
                              <w:szCs w:val="24"/>
                              <w:lang w:eastAsia="zh-TW"/>
                            </w:rPr>
                            <w:t>16</w:t>
                          </w:r>
                        </w:sdtContent>
                      </w:sdt>
                      <w:r>
                        <w:rPr>
                          <w:kern w:val="2"/>
                          <w:szCs w:val="24"/>
                          <w:lang w:eastAsia="zh-TW"/>
                        </w:rPr>
                        <w:t>. Kai leistina naudoti galia mažinama kelis kartus iš eilės (t. y. pakartotinai), prieš tai padidinus leistiną naudoti galią, vartotojo mokėtina įmoka apskaičiuojama tokia tvarka:</w:t>
                      </w:r>
                    </w:p>
                    <w:sdt>
                      <w:sdtPr>
                        <w:alias w:val="16.1 pp."/>
                        <w:tag w:val="part_6abefad8eb704c2c98c9315f53e3f575"/>
                        <w:lock w:val="sdtLocked"/>
                        <w:richText/>
                      </w:sdtPr>
                      <w:sdtContent>
                        <w:p>
                          <w:pPr>
                            <w:tabs>
                              <w:tab w:val="left" w:pos="709"/>
                              <w:tab w:val="left" w:pos="1134"/>
                            </w:tabs>
                            <w:ind w:firstLine="709"/>
                            <w:jc w:val="both"/>
                            <w:rPr>
                              <w:kern w:val="2"/>
                              <w:szCs w:val="24"/>
                              <w:lang w:eastAsia="zh-TW"/>
                            </w:rPr>
                          </w:pPr>
                          <w:sdt>
                            <w:sdtPr>
                              <w:alias w:val="Numeris"/>
                              <w:tag w:val="nr_6abefad8eb704c2c98c9315f53e3f575"/>
                              <w:lock w:val="sdtLocked"/>
                              <w:richText/>
                            </w:sdtPr>
                            <w:sdtContent>
                              <w:r>
                                <w:rPr>
                                  <w:kern w:val="2"/>
                                  <w:szCs w:val="24"/>
                                  <w:lang w:eastAsia="zh-TW"/>
                                </w:rPr>
                                <w:t>16.1</w:t>
                              </w:r>
                            </w:sdtContent>
                          </w:sdt>
                          <w:r>
                            <w:rPr>
                              <w:kern w:val="2"/>
                              <w:szCs w:val="24"/>
                              <w:lang w:eastAsia="zh-TW"/>
                            </w:rPr>
                            <w:t>. įmoka už pakartotinį galios mažinimą nepraėjus 3 metams nuo galios padidinimo apskaičiuojama pagal Metodikos 14 punkte nurodytą formulę taikant Metodikos 15.1 papunktyje nurodytus koeficientus. Šis papunktis netaikomas buitiniams vartotojams, Metodikos 10.2 papunktyje nurodytiems asmenims, ir atvejams, nurodytiems Metodikos 10.6, 10.14.1‒10.14.3 ir 10.15‒10.19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
                      <w:sdtPr>
                        <w:alias w:val="16.2 pp."/>
                        <w:tag w:val="part_642c96321c9f4af4b05ec02e4acbc338"/>
                        <w:lock w:val="sdtLocked"/>
                        <w:richText/>
                      </w:sdtPr>
                      <w:sdtContent>
                        <w:p>
                          <w:pPr>
                            <w:tabs>
                              <w:tab w:val="left" w:pos="709"/>
                              <w:tab w:val="left" w:pos="1134"/>
                            </w:tabs>
                            <w:ind w:firstLine="709"/>
                            <w:jc w:val="both"/>
                            <w:rPr>
                              <w:kern w:val="2"/>
                              <w:szCs w:val="24"/>
                              <w:lang w:eastAsia="zh-TW"/>
                            </w:rPr>
                          </w:pPr>
                          <w:sdt>
                            <w:sdtPr>
                              <w:alias w:val="Numeris"/>
                              <w:tag w:val="nr_642c96321c9f4af4b05ec02e4acbc338"/>
                              <w:lock w:val="sdtLocked"/>
                              <w:richText/>
                            </w:sdtPr>
                            <w:sdtContent>
                              <w:r>
                                <w:rPr>
                                  <w:kern w:val="2"/>
                                  <w:szCs w:val="24"/>
                                  <w:lang w:eastAsia="zh-TW"/>
                                </w:rPr>
                                <w:t>16.2</w:t>
                              </w:r>
                            </w:sdtContent>
                          </w:sdt>
                          <w:r>
                            <w:rPr>
                              <w:kern w:val="2"/>
                              <w:szCs w:val="24"/>
                              <w:lang w:eastAsia="zh-TW"/>
                            </w:rPr>
                            <w:t>. įmoka už pakartotinį galios mažinimą nepraėjus 10 metų nuo galios padidinimo, kai atliekant galios padidinimą buvo taikoma Metodikos 10.2 papunktyje nurodyta sąnaudų paskirstymo tvarka, apskaičiuojama pagal Metodikos 14 punkte nurodytą formulę taikant Metodikos 15.2 papunktyje nurodytus koeficientus. Šis papunktis netaikomas buitiniams vartotojams ir atvejams, nurodytiems Metodikos 10.6, 10.14.1‒10.14.3 ir 10.15‒10.19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
                      <w:sdtPr>
                        <w:alias w:val="16.3 pp."/>
                        <w:tag w:val="part_37dff964a18641968a188b9ad18c47c7"/>
                        <w:lock w:val="sdtLocked"/>
                        <w:richText/>
                      </w:sdtPr>
                      <w:sdtContent>
                        <w:p>
                          <w:pPr>
                            <w:tabs>
                              <w:tab w:val="left" w:pos="709"/>
                              <w:tab w:val="left" w:pos="1134"/>
                            </w:tabs>
                            <w:ind w:firstLine="709"/>
                            <w:jc w:val="both"/>
                            <w:rPr>
                              <w:color w:val="000000"/>
                            </w:rPr>
                          </w:pPr>
                          <w:sdt>
                            <w:sdtPr>
                              <w:alias w:val="Numeris"/>
                              <w:tag w:val="nr_37dff964a18641968a188b9ad18c47c7"/>
                              <w:lock w:val="sdtLocked"/>
                              <w:richText/>
                            </w:sdtPr>
                            <w:sdtContent>
                              <w:r>
                                <w:rPr>
                                  <w:kern w:val="2"/>
                                  <w:szCs w:val="24"/>
                                  <w:lang w:eastAsia="zh-TW"/>
                                </w:rPr>
                                <w:t>16.3</w:t>
                              </w:r>
                            </w:sdtContent>
                          </w:sdt>
                          <w:r>
                            <w:rPr>
                              <w:kern w:val="2"/>
                              <w:szCs w:val="24"/>
                              <w:lang w:eastAsia="zh-TW"/>
                            </w:rPr>
                            <w:t>. jei 16.1 papunktyje nurodyta leistina naudoti galia, kuri yra mažinama, apima ir leistiną naudoti galią, kuri buvo suteikta vėliau nei prieš 3 metus, arba 16.2 papunktyje nurodyta leistina naudoti galia, kuri yra mažinama, apima ir leistiną naudoti galią, kuri buvo suteikta vėliau nei prieš 10 metų, šios galios mažinimui taikoma Metodikos 10.21 papunkčio nuostata.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sdtContent>
                </w:sdt>
                <w:sdt>
                  <w:sdtPr>
                    <w:alias w:val="17 p."/>
                    <w:tag w:val="part_cb2581928915401793c517cb493d0205"/>
                    <w:lock w:val="sdtLocked"/>
                    <w:richText/>
                  </w:sdtPr>
                  <w:sdtContent>
                    <w:p>
                      <w:pPr>
                        <w:spacing w:line="252" w:lineRule="auto"/>
                        <w:ind w:firstLine="720"/>
                        <w:jc w:val="both"/>
                        <w:rPr>
                          <w:color w:val="000000"/>
                          <w:szCs w:val="24"/>
                          <w:lang w:eastAsia="lt-LT" w:bidi="bn-IN"/>
                        </w:rPr>
                      </w:pPr>
                      <w:sdt>
                        <w:sdtPr>
                          <w:alias w:val="Numeris"/>
                          <w:tag w:val="nr_cb2581928915401793c517cb493d0205"/>
                          <w:lock w:val="sdtLocked"/>
                          <w:richText/>
                        </w:sdtPr>
                        <w:sdtContent>
                          <w:r>
                            <w:rPr>
                              <w:color w:val="000000"/>
                              <w:szCs w:val="24"/>
                              <w:lang w:eastAsia="lt-LT" w:bidi="bn-IN"/>
                            </w:rPr>
                            <w:t>17</w:t>
                          </w:r>
                        </w:sdtContent>
                      </w:sdt>
                      <w:r>
                        <w:rPr>
                          <w:color w:val="000000"/>
                          <w:szCs w:val="24"/>
                          <w:lang w:eastAsia="lt-LT" w:bidi="bn-IN"/>
                        </w:rPr>
                        <w:t>.</w:t>
                        <w:tab/>
                        <w:t xml:space="preserve">Kai prijungiantis operatorius </w:t>
                      </w:r>
                      <w:r>
                        <w:rPr>
                          <w:color w:val="000000"/>
                          <w:szCs w:val="24"/>
                        </w:rPr>
                        <w:t>yra atlikęs (užbaigęs) prijungimo paslaugos teikimą, kaip tai numatyta Apraše, o buitinis vartotojas, kurio elektros įrenginiai pirmą kartą jungiami prie skirstomųjų tinklų operatoriaus elektros tinklų, per 90 kalendorinių dienų nuo prijungimo paslaugos atlikimo (užbaigimo) dienos neatliko jam priklausančio objekto vidaus elektros instaliacijos ir kitų elektros montavimo (rekonstravimo) darbų iki nuosavybės su operatoriaus elektros tinklais ribos ir nepateikė operatoriui Apraše nurodyto Elektros įrenginių techninės būklės patikrinimo akto su reikalingais dokumentais, šis buitinis vartotojas operatoriui iki šiame punkte nurodytų veiksmų atlikimo kas mėnesį dengia operatoriaus įrengtos, bet nenaudojamos elektros energetikos infrastruktūros išlaikymo sąnaudas, kurios apskaičiuojamos toliau nurodyta tvarka:</w:t>
                      </w:r>
                    </w:p>
                    <w:p>
                      <w:pPr>
                        <w:spacing w:line="252" w:lineRule="auto"/>
                        <w:ind w:firstLine="709"/>
                        <w:jc w:val="both"/>
                        <w:rPr>
                          <w:color w:val="000000"/>
                          <w:szCs w:val="24"/>
                        </w:rPr>
                      </w:pPr>
                    </w:p>
                    <w:tbl>
                      <w:tblPr>
                        <w:tblW w:w="0" w:type="auto"/>
                        <w:tblInd w:w="567" w:type="dxa"/>
                        <w:tblLook w:val="04A0" w:firstRow="1" w:lastRow="0" w:firstColumn="1" w:lastColumn="0" w:noHBand="0" w:noVBand="1"/>
                      </w:tblPr>
                      <w:tblGrid>
                        <w:gridCol w:w="8249"/>
                        <w:gridCol w:w="669"/>
                      </w:tblGrid>
                      <w:tr>
                        <w:tc>
                          <w:tcPr>
                            <w:tcW w:w="8249" w:type="dxa"/>
                          </w:tcPr>
                          <w:p>
                            <w:pPr>
                              <w:spacing w:line="252" w:lineRule="auto"/>
                              <w:jc w:val="both"/>
                              <w:rPr>
                                <w:color w:val="000000"/>
                                <w:szCs w:val="24"/>
                              </w:rPr>
                            </w:pPr>
                            <w:r>
                              <w:rPr>
                                <w:color w:val="000000"/>
                                <w:szCs w:val="24"/>
                              </w:rPr>
                              <w:t>M = K × k × t + E + (K × k – K × k × t × T</w:t>
                            </w:r>
                            <w:r>
                              <w:rPr>
                                <w:color w:val="000000"/>
                                <w:szCs w:val="24"/>
                                <w:vertAlign w:val="subscript"/>
                              </w:rPr>
                              <w:t xml:space="preserve">i </w:t>
                            </w:r>
                            <w:r>
                              <w:rPr>
                                <w:color w:val="000000"/>
                                <w:szCs w:val="24"/>
                              </w:rPr>
                              <w:t>) × G</w:t>
                            </w:r>
                          </w:p>
                        </w:tc>
                        <w:tc>
                          <w:tcPr>
                            <w:tcW w:w="669" w:type="dxa"/>
                          </w:tcPr>
                          <w:p>
                            <w:pPr>
                              <w:spacing w:line="252" w:lineRule="auto"/>
                              <w:jc w:val="right"/>
                              <w:rPr>
                                <w:color w:val="000000"/>
                                <w:szCs w:val="24"/>
                              </w:rPr>
                            </w:pPr>
                            <w:r>
                              <w:rPr>
                                <w:color w:val="000000"/>
                                <w:szCs w:val="24"/>
                              </w:rPr>
                              <w:t>(2)</w:t>
                            </w:r>
                          </w:p>
                        </w:tc>
                      </w:tr>
                    </w:tbl>
                    <w:p>
                      <w:pPr>
                        <w:spacing w:line="252" w:lineRule="auto"/>
                        <w:jc w:val="both"/>
                        <w:rPr>
                          <w:color w:val="000000"/>
                          <w:szCs w:val="24"/>
                        </w:rPr>
                      </w:pPr>
                      <w:r>
                        <w:rPr>
                          <w:color w:val="000000"/>
                          <w:szCs w:val="24"/>
                        </w:rPr>
                        <w:t>čia:</w:t>
                      </w:r>
                    </w:p>
                    <w:p>
                      <w:pPr>
                        <w:spacing w:line="252" w:lineRule="auto"/>
                        <w:ind w:firstLine="720"/>
                        <w:jc w:val="both"/>
                        <w:rPr>
                          <w:color w:val="000000"/>
                          <w:szCs w:val="24"/>
                        </w:rPr>
                      </w:pPr>
                      <w:r>
                        <w:rPr>
                          <w:color w:val="000000"/>
                          <w:szCs w:val="24"/>
                        </w:rPr>
                        <w:t>M – buitinio vartotojo mokėtina suma, padengianti nenaudojamos energetikos infrastruktūros išlaikymo sąnaudas, Eur/per metus;</w:t>
                      </w:r>
                    </w:p>
                    <w:p>
                      <w:pPr>
                        <w:spacing w:line="252" w:lineRule="auto"/>
                        <w:ind w:firstLine="720"/>
                        <w:jc w:val="both"/>
                        <w:rPr>
                          <w:color w:val="000000"/>
                          <w:szCs w:val="24"/>
                        </w:rPr>
                      </w:pPr>
                      <w:r>
                        <w:rPr>
                          <w:color w:val="000000"/>
                          <w:szCs w:val="24"/>
                        </w:rPr>
                        <w:t>K – buitinio vartotojo elektros energijos įrenginių prijungimo prie elektros tinklo paslaugos kaina (prijungimo įmoka)</w:t>
                      </w:r>
                      <w:r>
                        <w:rPr>
                          <w:b/>
                          <w:bCs/>
                          <w:color w:val="000000"/>
                          <w:sz w:val="20"/>
                          <w:lang w:eastAsia="lt-LT"/>
                        </w:rPr>
                        <w:t xml:space="preserve"> </w:t>
                      </w:r>
                      <w:r>
                        <w:rPr>
                          <w:color w:val="000000"/>
                          <w:szCs w:val="24"/>
                        </w:rPr>
                        <w:t>be kompensacijos įvertinimo, Eur be PVM;</w:t>
                      </w:r>
                    </w:p>
                    <w:p>
                      <w:pPr>
                        <w:spacing w:line="252" w:lineRule="auto"/>
                        <w:ind w:firstLine="720"/>
                        <w:jc w:val="both"/>
                        <w:rPr>
                          <w:color w:val="000000"/>
                          <w:szCs w:val="24"/>
                        </w:rPr>
                      </w:pPr>
                      <w:r>
                        <w:rPr>
                          <w:color w:val="000000"/>
                          <w:szCs w:val="24"/>
                        </w:rPr>
                        <w:t xml:space="preserve">k – buitinio vartotojo nepadengtų skirstomųjų tinklų operatoriaus faktiškai patirtų tinklo įrengimo sąnaudų, prijungiant vartotojo elektros įrenginius, koeficientas, kuris lygus 4 pažeidžiamiems elektros energijos vartotojams, apmokantiems 20 proc. faktiškai patirtų skirstomųjų tinklų operatoriaus sąnaudų, ir lygus 1 buitiniams vartotojams, apmokantiems 50 proc. skirstomųjų tinklų operatoriaus faktiškai patirtų sąnaudų; </w:t>
                      </w:r>
                    </w:p>
                    <w:p>
                      <w:pPr>
                        <w:spacing w:line="252" w:lineRule="auto"/>
                        <w:ind w:firstLine="720"/>
                        <w:jc w:val="both"/>
                        <w:rPr>
                          <w:color w:val="000000"/>
                          <w:szCs w:val="24"/>
                        </w:rPr>
                      </w:pPr>
                      <w:r>
                        <w:rPr>
                          <w:color w:val="000000"/>
                          <w:szCs w:val="24"/>
                        </w:rPr>
                        <w:t xml:space="preserve">t – skirstomųjų tinklų operatoriaus įrengtų elektros įrenginių nusidėvėjimo koeficientas; Taikomas didžiausią dalį investicijų sudarančios turto grupės (10 kV, 0,4 kV oro linijos, 10 kV, 0,4 kV kabelinės linijos) nusidėvėjimo terminas pagal Elektros energijos įmonių apskaitos ir sąnaudų paskirstymo reikalavimų aprašą. Koeficientas perskaičiuojamas operatoriaus vieną kartą metuose pagal paskutinius audituotus reguliacinės veiklos ataskaitų duomenis likus mėnesiui iki jo įsigaliojimo; </w:t>
                      </w:r>
                    </w:p>
                    <w:p>
                      <w:pPr>
                        <w:spacing w:line="252" w:lineRule="auto"/>
                        <w:ind w:firstLine="720"/>
                        <w:jc w:val="both"/>
                        <w:rPr>
                          <w:color w:val="000000"/>
                          <w:szCs w:val="24"/>
                        </w:rPr>
                      </w:pPr>
                      <w:r>
                        <w:rPr>
                          <w:color w:val="000000"/>
                          <w:szCs w:val="24"/>
                        </w:rPr>
                        <w:t>E – operatoriaus naujai įrengtų tinklų eksploatavimo sąnaudos, tenkančios vienam naujam buitiniam vartotojui vidutiniam nutiesto tinklo ilgiui, Eur be PVM/per metus, kurios vertinamos pagal prijungiančio operatoriaus patvirtintų reguliuojamos veiklos pajamų ir sąnaudų ataskaitos duomenis, sumuojant naujų vartotojų prijungimo paslaugai tenkančias reguliuojamos veiklos sąnaudas. Koeficientas perskaičiuojamas operatoriaus vieną kartą metuose pagal paskutinius audituotus reguliacinės veiklos ataskaitų duomenis likus mėnesiui iki jo įsigaliojimo;</w:t>
                      </w:r>
                    </w:p>
                    <w:p>
                      <w:pPr>
                        <w:spacing w:line="252" w:lineRule="auto"/>
                        <w:ind w:firstLine="720"/>
                        <w:jc w:val="both"/>
                        <w:rPr>
                          <w:color w:val="000000"/>
                          <w:szCs w:val="24"/>
                        </w:rPr>
                      </w:pPr>
                      <w:r>
                        <w:rPr>
                          <w:color w:val="000000"/>
                          <w:szCs w:val="24"/>
                        </w:rPr>
                        <w:t>G – Tarybos elektros skirstomųjų tinklų operatoriui nustatyta investicijų grąžos norma mokesčio taikymo laikotarpiu;</w:t>
                      </w:r>
                    </w:p>
                    <w:p>
                      <w:pPr>
                        <w:spacing w:line="252" w:lineRule="auto"/>
                        <w:ind w:firstLine="720"/>
                        <w:jc w:val="both"/>
                        <w:rPr>
                          <w:color w:val="000000"/>
                          <w:szCs w:val="24"/>
                        </w:rPr>
                      </w:pPr>
                      <w:r>
                        <w:rPr>
                          <w:color w:val="000000"/>
                          <w:szCs w:val="24"/>
                        </w:rPr>
                        <w:t>T</w:t>
                      </w:r>
                      <w:r>
                        <w:rPr>
                          <w:color w:val="000000"/>
                          <w:szCs w:val="24"/>
                          <w:vertAlign w:val="subscript"/>
                        </w:rPr>
                        <w:t>i</w:t>
                      </w:r>
                      <w:r>
                        <w:rPr>
                          <w:color w:val="000000"/>
                          <w:szCs w:val="24"/>
                        </w:rPr>
                        <w:t xml:space="preserve"> – laiko koeficientas, parodantis laikotarpį, už kurį skaičiuojamas sukauptas nusidėvėjimas investicijų grąžos skaičiavime. Koeficientas apskaičiuojamas kaip metų dalis, už kurį apskaičiuotas nusidėvėjimas. Pirmais metais grąža skaičiuojama nuo visos turto vertės, antrais metais nuo turto vertės, įvertinus pirmų metų nusidėvėjimą už laikotarpį, kurį buvo skaičiuojamas infrastruktūros nenaudojimo mokestis. Trečiais metais ir toliau turto vertė skaičiuojama, įvertinus praėjusių laikotarpių nusidėvėjimą.</w:t>
                      </w:r>
                    </w:p>
                    <w:p>
                      <w:pPr>
                        <w:spacing w:line="252" w:lineRule="auto"/>
                        <w:ind w:firstLine="720"/>
                        <w:jc w:val="both"/>
                        <w:rPr>
                          <w:color w:val="000000"/>
                        </w:rPr>
                      </w:pPr>
                      <w:r>
                        <w:rPr>
                          <w:color w:val="000000"/>
                          <w:szCs w:val="24"/>
                        </w:rPr>
                        <w:t>Buitiniai vartotojai operatoriui kas mėnesį apmoka 1/12-tąją metinių operatoriaus įrengtos, bet nenaudojamos elektros energetikos infrastruktūros išlaikymo sąnaudų, apskaičiuotų pagal aukščiau esančią formulę. Einamąjį mėnesį, kada atsiranda prievolė dengti nenaudojamos elektros energetikos infrastruktūros išlaikymo sąnaudas, suma skaičiuojama proporcingai to mėnesio dienų skaičiui.</w:t>
                      </w:r>
                      <w:r>
                        <w:rPr>
                          <w:color w:val="000000"/>
                        </w:rPr>
                        <w:t xml:space="preserve"> </w:t>
                      </w:r>
                    </w:p>
                  </w:sdtContent>
                </w:sdt>
                <w:sdt>
                  <w:sdtPr>
                    <w:alias w:val="18 p."/>
                    <w:tag w:val="part_ec76278ee3b0487c85494c92949651e9"/>
                    <w:lock w:val="sdtLocked"/>
                    <w:richText/>
                  </w:sdtPr>
                  <w:sdtContent>
                    <w:p>
                      <w:pPr>
                        <w:spacing w:line="252" w:lineRule="auto"/>
                        <w:ind w:firstLine="720"/>
                        <w:jc w:val="both"/>
                        <w:rPr>
                          <w:color w:val="000000"/>
                        </w:rPr>
                      </w:pPr>
                      <w:sdt>
                        <w:sdtPr>
                          <w:alias w:val="Numeris"/>
                          <w:tag w:val="nr_ec76278ee3b0487c85494c92949651e9"/>
                          <w:lock w:val="sdtLocked"/>
                          <w:richText/>
                        </w:sdtPr>
                        <w:sdtContent>
                          <w:r>
                            <w:rPr>
                              <w:color w:val="000000"/>
                            </w:rPr>
                            <w:t>18</w:t>
                          </w:r>
                        </w:sdtContent>
                      </w:sdt>
                      <w:r>
                        <w:rPr>
                          <w:color w:val="000000"/>
                        </w:rPr>
                        <w:t>.</w:t>
                        <w:tab/>
                        <w:t>Metodikos 10.1–10.3 ir 10.8 papunkčiuose nurodytiems vartotojams, pageidaujantiems prie elektros skirstomųjų tinklų prijungti energijos kaupimo įrenginius, taikomos Metodikos II skyriaus nuostatos.</w:t>
                      </w:r>
                    </w:p>
                  </w:sdtContent>
                </w:sdt>
                <w:sdt>
                  <w:sdtPr>
                    <w:alias w:val="19 p."/>
                    <w:tag w:val="part_b26dbf26a73c49d2b39ef196be0ee7d3"/>
                    <w:lock w:val="sdtLocked"/>
                    <w:richText/>
                  </w:sdtPr>
                  <w:sdtContent>
                    <w:p>
                      <w:pPr>
                        <w:spacing w:line="252" w:lineRule="auto"/>
                        <w:ind w:firstLine="720"/>
                        <w:jc w:val="both"/>
                        <w:rPr>
                          <w:color w:val="000000"/>
                        </w:rPr>
                      </w:pPr>
                      <w:sdt>
                        <w:sdtPr>
                          <w:alias w:val="Numeris"/>
                          <w:tag w:val="nr_b26dbf26a73c49d2b39ef196be0ee7d3"/>
                          <w:lock w:val="sdtLocked"/>
                          <w:richText/>
                        </w:sdtPr>
                        <w:sdtContent>
                          <w:r>
                            <w:rPr>
                              <w:color w:val="000000"/>
                            </w:rPr>
                            <w:t>19</w:t>
                          </w:r>
                        </w:sdtContent>
                      </w:sdt>
                      <w:r>
                        <w:rPr>
                          <w:color w:val="000000"/>
                        </w:rPr>
                        <w:t>.</w:t>
                        <w:tab/>
                        <w:t xml:space="preserve">Aktyviesiems elektros energijos vartotojams, pageidaujantiems prie elektros skirstomųjų tinklų prijungti elektros įrenginius, </w:t>
                      </w:r>
                      <w:r>
                        <w:rPr>
                          <w:i/>
                          <w:color w:val="000000"/>
                        </w:rPr>
                        <w:t>mutatis mutandis</w:t>
                      </w:r>
                      <w:r>
                        <w:rPr>
                          <w:color w:val="000000"/>
                        </w:rPr>
                        <w:t xml:space="preserve"> taikomos Metodikos II ir III skyrių nuostatos:</w:t>
                      </w:r>
                    </w:p>
                    <w:sdt>
                      <w:sdtPr>
                        <w:alias w:val="19.1 pp."/>
                        <w:tag w:val="part_6c4be3a9595a4d3db4696ce06e1b7a55"/>
                        <w:lock w:val="sdtLocked"/>
                        <w:richText/>
                      </w:sdtPr>
                      <w:sdtContent>
                        <w:p>
                          <w:pPr>
                            <w:spacing w:line="252" w:lineRule="auto"/>
                            <w:ind w:firstLine="720"/>
                            <w:jc w:val="both"/>
                            <w:rPr>
                              <w:color w:val="000000"/>
                            </w:rPr>
                          </w:pPr>
                          <w:sdt>
                            <w:sdtPr>
                              <w:alias w:val="Numeris"/>
                              <w:tag w:val="nr_6c4be3a9595a4d3db4696ce06e1b7a55"/>
                              <w:lock w:val="sdtLocked"/>
                              <w:richText/>
                            </w:sdtPr>
                            <w:sdtContent>
                              <w:r>
                                <w:rPr>
                                  <w:color w:val="000000"/>
                                </w:rPr>
                                <w:t>19.1</w:t>
                              </w:r>
                            </w:sdtContent>
                          </w:sdt>
                          <w:r>
                            <w:rPr>
                              <w:color w:val="000000"/>
                            </w:rPr>
                            <w:t>.</w:t>
                            <w:tab/>
                            <w:t>vartojimo įrenginių prijungimui – Metodikos II skyriaus nuostatos;</w:t>
                          </w:r>
                        </w:p>
                      </w:sdtContent>
                    </w:sdt>
                    <w:sdt>
                      <w:sdtPr>
                        <w:alias w:val="19.2 pp."/>
                        <w:tag w:val="part_0c93a37b1b984153bf2087f6c9a7f1f9"/>
                        <w:lock w:val="sdtLocked"/>
                        <w:richText/>
                      </w:sdtPr>
                      <w:sdtContent>
                        <w:p>
                          <w:pPr>
                            <w:spacing w:line="252" w:lineRule="auto"/>
                            <w:ind w:firstLine="720"/>
                            <w:jc w:val="both"/>
                            <w:rPr>
                              <w:color w:val="000000"/>
                            </w:rPr>
                          </w:pPr>
                          <w:sdt>
                            <w:sdtPr>
                              <w:alias w:val="Numeris"/>
                              <w:tag w:val="nr_0c93a37b1b984153bf2087f6c9a7f1f9"/>
                              <w:lock w:val="sdtLocked"/>
                              <w:richText/>
                            </w:sdtPr>
                            <w:sdtContent>
                              <w:r>
                                <w:rPr>
                                  <w:color w:val="000000"/>
                                </w:rPr>
                                <w:t>19.2</w:t>
                              </w:r>
                            </w:sdtContent>
                          </w:sdt>
                          <w:r>
                            <w:rPr>
                              <w:color w:val="000000"/>
                            </w:rPr>
                            <w:t>.</w:t>
                            <w:tab/>
                            <w:t xml:space="preserve">gamybos įrenginių, kurių leistina generuoti galia ne didesnė kaip 100 kW, prijungimui – Metodikos III skyriaus antrojo skirsnio nuostatos; </w:t>
                          </w:r>
                        </w:p>
                      </w:sdtContent>
                    </w:sdt>
                    <w:sdt>
                      <w:sdtPr>
                        <w:alias w:val="19.3 pp."/>
                        <w:tag w:val="part_a0ad89fc352e4d4c8fd71361e75619e9"/>
                        <w:lock w:val="sdtLocked"/>
                        <w:richText/>
                      </w:sdtPr>
                      <w:sdtContent>
                        <w:p>
                          <w:pPr>
                            <w:spacing w:line="252" w:lineRule="auto"/>
                            <w:ind w:firstLine="720"/>
                            <w:jc w:val="both"/>
                            <w:rPr>
                              <w:color w:val="000000"/>
                            </w:rPr>
                          </w:pPr>
                          <w:sdt>
                            <w:sdtPr>
                              <w:alias w:val="Numeris"/>
                              <w:tag w:val="nr_a0ad89fc352e4d4c8fd71361e75619e9"/>
                              <w:lock w:val="sdtLocked"/>
                              <w:richText/>
                            </w:sdtPr>
                            <w:sdtContent>
                              <w:r>
                                <w:rPr>
                                  <w:color w:val="000000"/>
                                </w:rPr>
                                <w:t>19.3</w:t>
                              </w:r>
                            </w:sdtContent>
                          </w:sdt>
                          <w:r>
                            <w:rPr>
                              <w:color w:val="000000"/>
                            </w:rPr>
                            <w:t>.</w:t>
                            <w:tab/>
                            <w:t>gamybos įrenginių, kurių leistina generuoti galia didesnė kaip 100 kW, prijungimui – Metodikos III skyriaus trečiojo skirsnio nuostatos;</w:t>
                          </w:r>
                        </w:p>
                      </w:sdtContent>
                    </w:sdt>
                    <w:sdt>
                      <w:sdtPr>
                        <w:alias w:val="19.4 pp."/>
                        <w:tag w:val="part_6cb2d184187b43869f00eb637afb568a"/>
                        <w:lock w:val="sdtLocked"/>
                        <w:richText/>
                      </w:sdtPr>
                      <w:sdtContent>
                        <w:p>
                          <w:pPr>
                            <w:spacing w:line="252" w:lineRule="auto"/>
                            <w:ind w:firstLine="720"/>
                            <w:jc w:val="both"/>
                            <w:rPr>
                              <w:color w:val="000000"/>
                            </w:rPr>
                          </w:pPr>
                          <w:sdt>
                            <w:sdtPr>
                              <w:alias w:val="Numeris"/>
                              <w:tag w:val="nr_6cb2d184187b43869f00eb637afb568a"/>
                              <w:lock w:val="sdtLocked"/>
                              <w:richText/>
                            </w:sdtPr>
                            <w:sdtContent>
                              <w:r>
                                <w:rPr>
                                  <w:color w:val="000000"/>
                                </w:rPr>
                                <w:t>19.4</w:t>
                              </w:r>
                            </w:sdtContent>
                          </w:sdt>
                          <w:r>
                            <w:rPr>
                              <w:color w:val="000000"/>
                            </w:rPr>
                            <w:t>.</w:t>
                            <w:tab/>
                            <w:t>energijos kaupimo įrenginių prijungimui – Metodikos III skyriaus ketvirtojo skirsnio nuostatos.</w:t>
                          </w:r>
                        </w:p>
                        <w:p>
                          <w:pPr>
                            <w:spacing w:line="252" w:lineRule="auto"/>
                            <w:rPr>
                              <w:color w:val="000000"/>
                            </w:rPr>
                          </w:pPr>
                        </w:p>
                      </w:sdtContent>
                    </w:sdt>
                  </w:sdtContent>
                </w:sdt>
              </w:sdtContent>
            </w:sdt>
          </w:sdtContent>
        </w:sdt>
        <w:sdt>
          <w:sdtPr>
            <w:alias w:val="skyrius"/>
            <w:tag w:val="part_5e1484d848184e27b634c108c3905bc4"/>
            <w:lock w:val="sdtLocked"/>
            <w:richText/>
          </w:sdtPr>
          <w:sdtContent>
            <w:p>
              <w:pPr>
                <w:keepNext/>
                <w:keepLines/>
                <w:widowControl w:val="0"/>
                <w:suppressAutoHyphens/>
                <w:spacing w:line="252" w:lineRule="auto"/>
                <w:jc w:val="center"/>
                <w:rPr>
                  <w:b/>
                  <w:bCs/>
                  <w:caps/>
                  <w:color w:val="000000"/>
                  <w:szCs w:val="32"/>
                </w:rPr>
              </w:pPr>
              <w:sdt>
                <w:sdtPr>
                  <w:alias w:val="Numeris"/>
                  <w:tag w:val="nr_5e1484d848184e27b634c108c3905bc4"/>
                  <w:lock w:val="sdtLocked"/>
                  <w:richText/>
                </w:sdtPr>
                <w:sdtContent>
                  <w:r>
                    <w:rPr>
                      <w:b/>
                      <w:bCs/>
                      <w:caps/>
                      <w:color w:val="000000"/>
                      <w:szCs w:val="32"/>
                    </w:rPr>
                    <w:t>I</w:t>
                  </w:r>
                  <w:r>
                    <w:rPr>
                      <w:b/>
                      <w:caps/>
                      <w:color w:val="000000"/>
                      <w:szCs w:val="32"/>
                    </w:rPr>
                    <w:t>II</w:t>
                  </w:r>
                </w:sdtContent>
              </w:sdt>
              <w:r>
                <w:rPr>
                  <w:b/>
                  <w:bCs/>
                  <w:caps/>
                  <w:color w:val="000000"/>
                  <w:szCs w:val="32"/>
                </w:rPr>
                <w:t xml:space="preserve"> SKYRIUS</w:t>
              </w:r>
            </w:p>
            <w:p>
              <w:pPr>
                <w:keepNext/>
                <w:keepLines/>
                <w:widowControl w:val="0"/>
                <w:suppressAutoHyphens/>
                <w:spacing w:line="252" w:lineRule="auto"/>
                <w:jc w:val="center"/>
                <w:rPr>
                  <w:b/>
                  <w:bCs/>
                  <w:caps/>
                  <w:color w:val="000000"/>
                  <w:szCs w:val="32"/>
                </w:rPr>
              </w:pPr>
              <w:sdt>
                <w:sdtPr>
                  <w:alias w:val="Pavadinimas"/>
                  <w:tag w:val="title_5e1484d848184e27b634c108c3905bc4"/>
                  <w:lock w:val="sdtLocked"/>
                  <w:richText/>
                </w:sdtPr>
                <w:sdtContent>
                  <w:r>
                    <w:rPr>
                      <w:b/>
                      <w:bCs/>
                      <w:caps/>
                      <w:color w:val="000000"/>
                      <w:szCs w:val="32"/>
                    </w:rPr>
                    <w:t>Gamintojų, gaminančių vartotojų ELEKTROS ĮRENGINIŲ ir ENERGIJOS kaupimo įrenginių prijungimo paslaugų kainodara</w:t>
                  </w:r>
                </w:sdtContent>
              </w:sdt>
            </w:p>
            <w:p>
              <w:pPr>
                <w:keepNext/>
                <w:keepLines/>
                <w:widowControl w:val="0"/>
                <w:suppressAutoHyphens/>
                <w:spacing w:line="252" w:lineRule="auto"/>
                <w:jc w:val="center"/>
                <w:rPr>
                  <w:b/>
                  <w:bCs/>
                  <w:caps/>
                  <w:color w:val="000000"/>
                  <w:szCs w:val="32"/>
                </w:rPr>
              </w:pPr>
            </w:p>
            <w:sdt>
              <w:sdtPr>
                <w:alias w:val="skirsnis"/>
                <w:tag w:val="part_c23e347ecec44e7ab527725b3e71064d"/>
                <w:lock w:val="sdtLocked"/>
                <w:richText/>
              </w:sdtPr>
              <w:sdtContent>
                <w:p>
                  <w:pPr>
                    <w:keepNext/>
                    <w:keepLines/>
                    <w:widowControl w:val="0"/>
                    <w:suppressAutoHyphens/>
                    <w:spacing w:line="252" w:lineRule="auto"/>
                    <w:jc w:val="center"/>
                    <w:rPr>
                      <w:b/>
                      <w:bCs/>
                      <w:caps/>
                      <w:color w:val="000000"/>
                      <w:szCs w:val="32"/>
                    </w:rPr>
                  </w:pPr>
                  <w:sdt>
                    <w:sdtPr>
                      <w:alias w:val="Numeris"/>
                      <w:tag w:val="nr_c23e347ecec44e7ab527725b3e71064d"/>
                      <w:lock w:val="sdtLocked"/>
                      <w:richText/>
                    </w:sdtPr>
                    <w:sdtContent>
                      <w:r>
                        <w:rPr>
                          <w:b/>
                          <w:bCs/>
                          <w:caps/>
                          <w:color w:val="000000"/>
                          <w:szCs w:val="32"/>
                        </w:rPr>
                        <w:t>pirmasIS</w:t>
                      </w:r>
                    </w:sdtContent>
                  </w:sdt>
                  <w:r>
                    <w:rPr>
                      <w:b/>
                      <w:bCs/>
                      <w:caps/>
                      <w:color w:val="000000"/>
                      <w:szCs w:val="32"/>
                    </w:rPr>
                    <w:t xml:space="preserve"> skirsnis</w:t>
                  </w:r>
                </w:p>
                <w:p>
                  <w:pPr>
                    <w:keepNext/>
                    <w:keepLines/>
                    <w:widowControl w:val="0"/>
                    <w:suppressAutoHyphens/>
                    <w:spacing w:line="252" w:lineRule="auto"/>
                    <w:jc w:val="center"/>
                    <w:rPr>
                      <w:b/>
                      <w:bCs/>
                      <w:caps/>
                      <w:color w:val="000000"/>
                      <w:szCs w:val="24"/>
                      <w:lang w:eastAsia="lt-LT"/>
                    </w:rPr>
                  </w:pPr>
                  <w:sdt>
                    <w:sdtPr>
                      <w:alias w:val="Pavadinimas"/>
                      <w:tag w:val="title_c23e347ecec44e7ab527725b3e71064d"/>
                      <w:lock w:val="sdtLocked"/>
                      <w:richText/>
                    </w:sdtPr>
                    <w:sdtContent>
                      <w:r>
                        <w:rPr>
                          <w:b/>
                          <w:bCs/>
                          <w:caps/>
                          <w:color w:val="000000"/>
                          <w:szCs w:val="32"/>
                        </w:rPr>
                        <w:t>GAMINTOJŲ, naudojančių neatsinaujinančius energijos išteklius, ELEKTROS ENERGIJOS ĮRENGINIŲ PRIJUNGIMO ĮKAINIŲ NUSTATYMO TVARKA</w:t>
                      </w:r>
                    </w:sdtContent>
                  </w:sdt>
                </w:p>
                <w:p>
                  <w:pPr>
                    <w:spacing w:line="252" w:lineRule="auto"/>
                    <w:ind w:firstLine="720"/>
                    <w:jc w:val="both"/>
                    <w:rPr>
                      <w:color w:val="000000"/>
                    </w:rPr>
                  </w:pPr>
                </w:p>
                <w:sdt>
                  <w:sdtPr>
                    <w:alias w:val="20 p."/>
                    <w:tag w:val="part_fe3259daede74786af9dbb4afa2b03ae"/>
                    <w:lock w:val="sdtLocked"/>
                    <w:richText/>
                  </w:sdtPr>
                  <w:sdtContent>
                    <w:p>
                      <w:pPr>
                        <w:spacing w:line="252" w:lineRule="auto"/>
                        <w:ind w:firstLine="720"/>
                        <w:jc w:val="both"/>
                        <w:rPr>
                          <w:color w:val="000000"/>
                        </w:rPr>
                      </w:pPr>
                      <w:sdt>
                        <w:sdtPr>
                          <w:alias w:val="Numeris"/>
                          <w:tag w:val="nr_fe3259daede74786af9dbb4afa2b03ae"/>
                          <w:lock w:val="sdtLocked"/>
                          <w:richText/>
                        </w:sdtPr>
                        <w:sdtContent>
                          <w:r>
                            <w:rPr>
                              <w:color w:val="000000"/>
                            </w:rPr>
                            <w:t>20</w:t>
                          </w:r>
                        </w:sdtContent>
                      </w:sdt>
                      <w:r>
                        <w:rPr>
                          <w:color w:val="000000"/>
                        </w:rPr>
                        <w:t>.</w:t>
                        <w:tab/>
                      </w:r>
                      <w:r>
                        <w:rPr>
                          <w:color w:val="000000"/>
                          <w:lang w:eastAsia="lt-LT"/>
                        </w:rPr>
                        <w:t>Elektros energijos gamintojui ir operatoriui teisės aktų nustatyta tvarka pasirašius prijungimo prie elektros tinklų paslaugos suteikimo sutartį, gamintojo elektros įrenginių prijungimo prie elektros tinklų darbus atlieka operatoriaus viešųjų pirkimų būdu išrinktas metinis rangovas arba rangovas, operatoriaus paskelbtų viešųjų pirkimų būdu išrinktas atlikti šio gamintojo elektros energijos įrenginių prijungimo prie tinklo darbus. Operatoriui pateikiant gamintojui informaciją apie apskaičiuotą prijungimo įmoką, taikomos Metodikos 8.2.5 – 8.2.6 papunkčių nuostatos. Operatorius, elektros energijos gamintojo</w:t>
                      </w:r>
                      <w:r>
                        <w:rPr>
                          <w:b/>
                          <w:color w:val="000000"/>
                          <w:lang w:eastAsia="lt-LT"/>
                        </w:rPr>
                        <w:t xml:space="preserve"> </w:t>
                      </w:r>
                      <w:r>
                        <w:rPr>
                          <w:color w:val="000000"/>
                          <w:lang w:eastAsia="lt-LT"/>
                        </w:rPr>
                        <w:t>prašymu, Apraše nustatyta tvarka privalo šiam gamintojui pateikti detalią informaciją, susijusią su viešuoju pirkimu ir rangos darbų vykdymu</w:t>
                      </w:r>
                      <w:r>
                        <w:rPr>
                          <w:b/>
                          <w:color w:val="000000"/>
                          <w:szCs w:val="24"/>
                          <w:lang w:eastAsia="lt-LT"/>
                        </w:rPr>
                        <w:t xml:space="preserve"> </w:t>
                      </w:r>
                      <w:r>
                        <w:rPr>
                          <w:color w:val="000000"/>
                          <w:szCs w:val="24"/>
                          <w:lang w:eastAsia="lt-LT"/>
                        </w:rPr>
                        <w:t>bei kitą su prijungimu tiesiogiai susijusią informaciją</w:t>
                      </w:r>
                      <w:r>
                        <w:rPr>
                          <w:color w:val="000000"/>
                          <w:lang w:eastAsia="lt-LT"/>
                        </w:rPr>
                        <w:t>.</w:t>
                      </w:r>
                    </w:p>
                  </w:sdtContent>
                </w:sdt>
                <w:sdt>
                  <w:sdtPr>
                    <w:alias w:val="21 p."/>
                    <w:tag w:val="part_9897d0cfa6034f2ab17d361397f9a8b7"/>
                    <w:lock w:val="sdtLocked"/>
                    <w:richText/>
                  </w:sdtPr>
                  <w:sdtContent>
                    <w:p>
                      <w:pPr>
                        <w:spacing w:line="252" w:lineRule="auto"/>
                        <w:ind w:firstLine="720"/>
                        <w:jc w:val="both"/>
                        <w:rPr>
                          <w:color w:val="000000"/>
                          <w:lang w:eastAsia="lt-LT"/>
                        </w:rPr>
                      </w:pPr>
                      <w:sdt>
                        <w:sdtPr>
                          <w:alias w:val="Numeris"/>
                          <w:tag w:val="nr_9897d0cfa6034f2ab17d361397f9a8b7"/>
                          <w:lock w:val="sdtLocked"/>
                          <w:richText/>
                        </w:sdtPr>
                        <w:sdtContent>
                          <w:r>
                            <w:rPr>
                              <w:color w:val="000000"/>
                              <w:lang w:eastAsia="lt-LT"/>
                            </w:rPr>
                            <w:t>21</w:t>
                          </w:r>
                        </w:sdtContent>
                      </w:sdt>
                      <w:r>
                        <w:rPr>
                          <w:color w:val="000000"/>
                          <w:lang w:eastAsia="lt-LT"/>
                        </w:rPr>
                        <w:t>.</w:t>
                        <w:tab/>
                      </w:r>
                      <w:r>
                        <w:rPr>
                          <w:color w:val="000000"/>
                        </w:rPr>
                        <w:t xml:space="preserve">Elektros energijos gamintojo įrenginių prijungimo prie tinklo kaina yra lygi rangovo, laimėjusio operatoriaus paskelbtą viešąjį pirkimą dėl elektros energijos gamintojo įrenginių prijungimo prie tinklo, atliktų darbų bei operatoriaus ir (ar) rangovo sunaudotų medžiagų ir kitų išlaidų, tiesiogiai susijusių su gamintojo elektros įrenginių prijungimu (pvz., kapitalizuotų darbuotojų darbo užmokesčio sąnaudų, kurios nebuvo įvertintos skirstymo ar perdavimo paslaugų kainose, išlaidų valstybės institucijų leidimams, pažymoms, notarinių sandorių sudarymui, servituto registravimui, archeologiniams tyrinėjimams, techninei priežiūrai, techninio prižiūrėtojo draudimui, projekto ekspertizei), faktinei kainai (prijungimo įmokai). </w:t>
                      </w:r>
                    </w:p>
                  </w:sdtContent>
                </w:sdt>
                <w:sdt>
                  <w:sdtPr>
                    <w:alias w:val="22 p."/>
                    <w:tag w:val="part_16be307dfc3c48a6bcea58a810ef4688"/>
                    <w:lock w:val="sdtLocked"/>
                    <w:richText/>
                  </w:sdtPr>
                  <w:sdtContent>
                    <w:p>
                      <w:pPr>
                        <w:spacing w:line="252" w:lineRule="auto"/>
                        <w:ind w:firstLine="720"/>
                        <w:jc w:val="both"/>
                        <w:rPr>
                          <w:color w:val="000000"/>
                          <w:lang w:eastAsia="lt-LT"/>
                        </w:rPr>
                      </w:pPr>
                      <w:sdt>
                        <w:sdtPr>
                          <w:alias w:val="Numeris"/>
                          <w:tag w:val="nr_16be307dfc3c48a6bcea58a810ef4688"/>
                          <w:lock w:val="sdtLocked"/>
                          <w:richText/>
                        </w:sdtPr>
                        <w:sdtContent>
                          <w:r>
                            <w:rPr>
                              <w:color w:val="000000"/>
                              <w:lang w:eastAsia="lt-LT"/>
                            </w:rPr>
                            <w:t>22</w:t>
                          </w:r>
                        </w:sdtContent>
                      </w:sdt>
                      <w:r>
                        <w:rPr>
                          <w:color w:val="000000"/>
                          <w:lang w:eastAsia="lt-LT"/>
                        </w:rPr>
                        <w:t>.</w:t>
                        <w:tab/>
                        <w:t xml:space="preserve">Gamintojas, kurio elektros įrenginiai jungiami prie tinklo, moka 100 proc. faktinės prijungimo prie tinklo kainos (prijungimo įmokos). </w:t>
                      </w:r>
                    </w:p>
                  </w:sdtContent>
                </w:sdt>
                <w:sdt>
                  <w:sdtPr>
                    <w:alias w:val="23 p."/>
                    <w:tag w:val="part_e420cb791cbd482cae5254db462b6c2a"/>
                    <w:lock w:val="sdtLocked"/>
                    <w:richText/>
                  </w:sdtPr>
                  <w:sdtContent>
                    <w:p>
                      <w:pPr>
                        <w:spacing w:line="252" w:lineRule="auto"/>
                        <w:ind w:firstLine="720"/>
                        <w:jc w:val="both"/>
                        <w:rPr>
                          <w:color w:val="000000"/>
                        </w:rPr>
                      </w:pPr>
                      <w:sdt>
                        <w:sdtPr>
                          <w:alias w:val="Numeris"/>
                          <w:tag w:val="nr_e420cb791cbd482cae5254db462b6c2a"/>
                          <w:lock w:val="sdtLocked"/>
                          <w:richText/>
                        </w:sdtPr>
                        <w:sdtContent>
                          <w:r>
                            <w:rPr>
                              <w:color w:val="000000"/>
                            </w:rPr>
                            <w:t>23</w:t>
                          </w:r>
                        </w:sdtContent>
                      </w:sdt>
                      <w:r>
                        <w:rPr>
                          <w:color w:val="000000"/>
                        </w:rPr>
                        <w:t>.</w:t>
                        <w:tab/>
                      </w:r>
                      <w:r>
                        <w:rPr>
                          <w:color w:val="000000"/>
                          <w:lang w:eastAsia="lt-LT"/>
                        </w:rPr>
                        <w:t>Kai</w:t>
                      </w:r>
                      <w:r>
                        <w:rPr>
                          <w:color w:val="000000"/>
                        </w:rPr>
                        <w:t xml:space="preserve"> gamintojas elektros energijos įrenginius pageidauja prijungti prie skirstomojo tinklo ir šio gamintojo elektros energijos įrenginiams prijungti yra būtina atlikti plėtros, rekonstrukcijos, keitimo ar panašius techninio parengimo darbus perdavimo tinkle, prijungiantis skirstomojo tinklo operatorius organizuoja viešąjį pirkimą šio gamintojo elektros energijos įrenginių prijungimo prie skirstomojo tinklo darbų rangovui išrinkti, perdavimo tinklo operatorius atitinkamai organizuoja viešąjį pirkimą plėtros, rekonstrukcijos, keitimo ar panašių techninio parengimo darbų atlikimo perdavimo tinkle rangovui išrinkti. Šiuo atveju elektros įrenginius jungiantis gamintojas operatoriams moka 100 proc. faktinės prijungimo prie skirstomojo tinklo ir prie perdavimo tinklo kainos (prijungimo įmokos).</w:t>
                      </w:r>
                    </w:p>
                  </w:sdtContent>
                </w:sdt>
                <w:sdt>
                  <w:sdtPr>
                    <w:alias w:val="24 p."/>
                    <w:tag w:val="part_c6ff4b2f083d437f9f707ff8fd896abb"/>
                    <w:lock w:val="sdtLocked"/>
                    <w:richText/>
                  </w:sdtPr>
                  <w:sdtContent>
                    <w:p>
                      <w:pPr>
                        <w:spacing w:line="252" w:lineRule="auto"/>
                        <w:ind w:firstLine="720"/>
                        <w:jc w:val="both"/>
                        <w:rPr>
                          <w:color w:val="000000"/>
                        </w:rPr>
                      </w:pPr>
                      <w:sdt>
                        <w:sdtPr>
                          <w:alias w:val="Numeris"/>
                          <w:tag w:val="nr_c6ff4b2f083d437f9f707ff8fd896abb"/>
                          <w:lock w:val="sdtLocked"/>
                          <w:richText/>
                        </w:sdtPr>
                        <w:sdtContent>
                          <w:r>
                            <w:rPr>
                              <w:color w:val="000000"/>
                            </w:rPr>
                            <w:t>24</w:t>
                          </w:r>
                        </w:sdtContent>
                      </w:sdt>
                      <w:r>
                        <w:rPr>
                          <w:color w:val="000000"/>
                        </w:rPr>
                        <w:t>.</w:t>
                        <w:tab/>
                        <w:t>Gamintojam, naudojančiam neatsinaujinančius energijos išteklius, pageidaujančiam rekonstruoti ar perkelti skirstomuosius tinklus, kliudančius statinių statybai ar dėl kitų priežasčių, taikomos Metodikos 10.14 papunkčio nuostatos.</w:t>
                      </w:r>
                    </w:p>
                  </w:sdtContent>
                </w:sdt>
                <w:sdt>
                  <w:sdtPr>
                    <w:alias w:val="25 p."/>
                    <w:tag w:val="part_dbfd6a9a867d45ccbce27e2c99f0affa"/>
                    <w:lock w:val="sdtLocked"/>
                    <w:richText/>
                  </w:sdtPr>
                  <w:sdtContent>
                    <w:p>
                      <w:pPr>
                        <w:spacing w:line="252" w:lineRule="auto"/>
                        <w:ind w:firstLine="720"/>
                        <w:jc w:val="both"/>
                      </w:pPr>
                      <w:sdt>
                        <w:sdtPr>
                          <w:alias w:val="Numeris"/>
                          <w:tag w:val="nr_dbfd6a9a867d45ccbce27e2c99f0affa"/>
                          <w:lock w:val="sdtLocked"/>
                          <w:richText/>
                        </w:sdtPr>
                        <w:sdtContent>
                          <w:r>
                            <w:rPr>
                              <w:color w:val="000000"/>
                            </w:rPr>
                            <w:t>25</w:t>
                          </w:r>
                        </w:sdtContent>
                      </w:sdt>
                      <w:r>
                        <w:rPr>
                          <w:color w:val="000000"/>
                        </w:rPr>
                        <w:t>.</w:t>
                        <w:tab/>
                      </w:r>
                      <w:r>
                        <w:t>Apskaičiuota prijungimo įmoka, operatoriui pabaigus prijungimo paslaugos teikimą, gali būti perskaičiuojama prijungimo prie elektros tinklų paslaugos suteikimo sutartyje nustatytais atvejais. Tuo atveju, kai projektavimo darbus organizuoja operatorius, taikomos Metodikos 8.2.4.1-8.2.4.2 papunkčių nuostatos.</w:t>
                      </w:r>
                    </w:p>
                  </w:sdtContent>
                </w:sdt>
                <w:sdt>
                  <w:sdtPr>
                    <w:alias w:val="25-1 p."/>
                    <w:tag w:val="part_e47c9bea25174c54849add3e6ad217dc"/>
                    <w:lock w:val="sdtLocked"/>
                    <w:richText/>
                  </w:sdtPr>
                  <w:sdtContent>
                    <w:p>
                      <w:pPr>
                        <w:tabs>
                          <w:tab w:val="left" w:pos="709"/>
                          <w:tab w:val="left" w:pos="1134"/>
                        </w:tabs>
                        <w:ind w:firstLine="709"/>
                        <w:jc w:val="both"/>
                        <w:rPr>
                          <w:color w:val="000000"/>
                          <w:sz w:val="20"/>
                        </w:rPr>
                      </w:pPr>
                      <w:sdt>
                        <w:sdtPr>
                          <w:alias w:val="Numeris"/>
                          <w:tag w:val="nr_e47c9bea25174c54849add3e6ad217dc"/>
                          <w:lock w:val="sdtLocked"/>
                          <w:richText/>
                        </w:sdtPr>
                        <w:sdtContent>
                          <w:r>
                            <w:rPr>
                              <w:kern w:val="2"/>
                              <w:szCs w:val="24"/>
                              <w:lang w:eastAsia="zh-TW"/>
                            </w:rPr>
                            <w:t>25</w:t>
                          </w:r>
                          <w:r>
                            <w:rPr>
                              <w:kern w:val="2"/>
                              <w:szCs w:val="24"/>
                              <w:vertAlign w:val="superscript"/>
                              <w:lang w:eastAsia="zh-TW"/>
                            </w:rPr>
                            <w:t>1</w:t>
                          </w:r>
                        </w:sdtContent>
                      </w:sdt>
                      <w:r>
                        <w:rPr>
                          <w:kern w:val="2"/>
                          <w:szCs w:val="24"/>
                          <w:lang w:eastAsia="zh-TW"/>
                        </w:rPr>
                        <w:t xml:space="preserve">. Kai yra mažinama gamintojo, naudojančio neatsinaujinančius energijos išteklius, elektros įrenginių leistina naudoti galia, </w:t>
                      </w:r>
                      <w:r>
                        <w:rPr>
                          <w:i/>
                          <w:iCs/>
                          <w:kern w:val="2"/>
                          <w:szCs w:val="24"/>
                          <w:lang w:eastAsia="zh-TW"/>
                        </w:rPr>
                        <w:t>mutatis mutandis</w:t>
                      </w:r>
                      <w:r>
                        <w:rPr>
                          <w:kern w:val="2"/>
                          <w:szCs w:val="24"/>
                          <w:lang w:eastAsia="zh-TW"/>
                        </w:rPr>
                        <w:t xml:space="preserve"> taikomos Metodikos 10.21 papunkčio ir 14–16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Content>
            </w:sdt>
            <w:sdt>
              <w:sdtPr>
                <w:alias w:val="skirsnis"/>
                <w:tag w:val="part_5102a71b4b3448c7bbf0152476bec00f"/>
                <w:lock w:val="sdtLocked"/>
                <w:richText/>
              </w:sdtPr>
              <w:sdtContent>
                <w:p>
                  <w:pPr>
                    <w:keepNext/>
                    <w:keepLines/>
                    <w:widowControl w:val="0"/>
                    <w:suppressAutoHyphens/>
                    <w:spacing w:line="252" w:lineRule="auto"/>
                    <w:jc w:val="center"/>
                    <w:rPr>
                      <w:b/>
                      <w:bCs/>
                      <w:caps/>
                      <w:color w:val="000000"/>
                      <w:szCs w:val="32"/>
                    </w:rPr>
                  </w:pPr>
                  <w:sdt>
                    <w:sdtPr>
                      <w:alias w:val="Numeris"/>
                      <w:tag w:val="nr_5102a71b4b3448c7bbf0152476bec00f"/>
                      <w:lock w:val="sdtLocked"/>
                      <w:richText/>
                    </w:sdtPr>
                    <w:sdtContent>
                      <w:r>
                        <w:rPr>
                          <w:b/>
                          <w:bCs/>
                          <w:caps/>
                          <w:color w:val="000000"/>
                          <w:szCs w:val="32"/>
                        </w:rPr>
                        <w:t>antrasIS</w:t>
                      </w:r>
                    </w:sdtContent>
                  </w:sdt>
                  <w:r>
                    <w:rPr>
                      <w:b/>
                      <w:bCs/>
                      <w:caps/>
                      <w:color w:val="000000"/>
                      <w:szCs w:val="32"/>
                    </w:rPr>
                    <w:t xml:space="preserve"> skirsnis </w:t>
                  </w:r>
                </w:p>
                <w:p>
                  <w:pPr>
                    <w:keepNext/>
                    <w:keepLines/>
                    <w:widowControl w:val="0"/>
                    <w:suppressAutoHyphens/>
                    <w:spacing w:line="252" w:lineRule="auto"/>
                    <w:jc w:val="center"/>
                    <w:rPr>
                      <w:b/>
                      <w:bCs/>
                      <w:caps/>
                      <w:color w:val="000000"/>
                    </w:rPr>
                  </w:pPr>
                  <w:sdt>
                    <w:sdtPr>
                      <w:alias w:val="Pavadinimas"/>
                      <w:tag w:val="title_5102a71b4b3448c7bbf0152476bec00f"/>
                      <w:lock w:val="sdtLocked"/>
                      <w:richText/>
                    </w:sdtPr>
                    <w:sdtContent>
                      <w:r>
                        <w:rPr>
                          <w:b/>
                          <w:bCs/>
                          <w:caps/>
                          <w:color w:val="000000"/>
                        </w:rPr>
                        <w:t>GAMINančių vartotojų ELEKTROS ENERGIJOS ĮRENGINIŲ PRIJUNGIMO sąnaudų NUSTATYMO TVARKA</w:t>
                      </w:r>
                    </w:sdtContent>
                  </w:sdt>
                </w:p>
                <w:p>
                  <w:pPr>
                    <w:spacing w:line="252" w:lineRule="auto"/>
                    <w:ind w:firstLine="709"/>
                    <w:jc w:val="both"/>
                    <w:rPr>
                      <w:color w:val="000000"/>
                      <w:szCs w:val="24"/>
                      <w:lang w:eastAsia="lt-LT" w:bidi="bn-IN"/>
                    </w:rPr>
                  </w:pPr>
                </w:p>
                <w:sdt>
                  <w:sdtPr>
                    <w:alias w:val="26 p."/>
                    <w:tag w:val="part_02e8de9379ed4a3caa4719ba942e0232"/>
                    <w:lock w:val="sdtLocked"/>
                    <w:richText/>
                  </w:sdtPr>
                  <w:sdtContent>
                    <w:p>
                      <w:pPr>
                        <w:spacing w:line="252" w:lineRule="auto"/>
                        <w:ind w:firstLine="720"/>
                        <w:jc w:val="both"/>
                        <w:rPr>
                          <w:color w:val="000000"/>
                          <w:lang w:eastAsia="lt-LT" w:bidi="bn-IN"/>
                        </w:rPr>
                      </w:pPr>
                      <w:sdt>
                        <w:sdtPr>
                          <w:alias w:val="Numeris"/>
                          <w:tag w:val="nr_02e8de9379ed4a3caa4719ba942e0232"/>
                          <w:lock w:val="sdtLocked"/>
                          <w:richText/>
                        </w:sdtPr>
                        <w:sdtContent>
                          <w:r>
                            <w:rPr>
                              <w:color w:val="000000"/>
                              <w:lang w:eastAsia="lt-LT" w:bidi="bn-IN"/>
                            </w:rPr>
                            <w:t>26</w:t>
                          </w:r>
                        </w:sdtContent>
                      </w:sdt>
                      <w:r>
                        <w:rPr>
                          <w:color w:val="000000"/>
                          <w:lang w:eastAsia="lt-LT" w:bidi="bn-IN"/>
                        </w:rPr>
                        <w:t>.</w:t>
                        <w:tab/>
                        <w:t xml:space="preserve">Operatorių sąnaudos, susijusios su gaminančio vartotojo ar asmens, siekiančio tapti gaminančiu vartotoju, elektros įrenginių prijungimu prie elektros tinklų, paskirstomos tokia tvarka: </w:t>
                      </w:r>
                    </w:p>
                    <w:sdt>
                      <w:sdtPr>
                        <w:alias w:val="26.1 pp."/>
                        <w:tag w:val="part_1efef23395614f3889a391f2a1795c63"/>
                        <w:lock w:val="sdtLocked"/>
                        <w:richText/>
                      </w:sdtPr>
                      <w:sdtContent>
                        <w:p>
                          <w:pPr>
                            <w:spacing w:line="252" w:lineRule="auto"/>
                            <w:ind w:firstLine="720"/>
                            <w:jc w:val="both"/>
                            <w:rPr>
                              <w:color w:val="000000"/>
                              <w:lang w:eastAsia="lt-LT" w:bidi="bn-IN"/>
                            </w:rPr>
                          </w:pPr>
                          <w:sdt>
                            <w:sdtPr>
                              <w:alias w:val="Numeris"/>
                              <w:tag w:val="nr_1efef23395614f3889a391f2a1795c63"/>
                              <w:lock w:val="sdtLocked"/>
                              <w:richText/>
                            </w:sdtPr>
                            <w:sdtContent>
                              <w:r>
                                <w:rPr>
                                  <w:color w:val="000000"/>
                                  <w:lang w:eastAsia="lt-LT" w:bidi="bn-IN"/>
                                </w:rPr>
                                <w:t>26.1</w:t>
                              </w:r>
                            </w:sdtContent>
                          </w:sdt>
                          <w:r>
                            <w:rPr>
                              <w:color w:val="000000"/>
                              <w:lang w:eastAsia="lt-LT" w:bidi="bn-IN"/>
                            </w:rPr>
                            <w:t>.</w:t>
                            <w:tab/>
                            <w:t xml:space="preserve">kai prijungiami elektros vartojimo ir gamybos įrenginiai, pažeidžiami vartotojai apmoka 20 procentų </w:t>
                          </w:r>
                          <w:r>
                            <w:rPr>
                              <w:color w:val="000000"/>
                              <w:spacing w:val="-2"/>
                            </w:rPr>
                            <w:t>skirstomųjų tinklų operatoriaus faktiškai patirtų sąnaudų, apibrėžtų Metodikos 9 punkte,</w:t>
                          </w:r>
                          <w:r>
                            <w:rPr>
                              <w:color w:val="000000"/>
                              <w:lang w:eastAsia="lt-LT" w:bidi="bn-IN"/>
                            </w:rPr>
                            <w:t xml:space="preserve"> </w:t>
                          </w:r>
                          <w:r>
                            <w:rPr>
                              <w:color w:val="000000"/>
                              <w:spacing w:val="-2"/>
                            </w:rPr>
                            <w:t xml:space="preserve">o </w:t>
                          </w:r>
                          <w:r>
                            <w:rPr>
                              <w:color w:val="000000"/>
                            </w:rPr>
                            <w:t>kiti vartotojai – 50 procentų</w:t>
                          </w:r>
                          <w:r>
                            <w:rPr>
                              <w:color w:val="000000"/>
                              <w:spacing w:val="-2"/>
                            </w:rPr>
                            <w:t xml:space="preserve">, skirstomųjų tinklų operatoriaus faktiškai patirtų sąnaudų, apibrėžtų Metodikos 9 punkte; </w:t>
                          </w:r>
                        </w:p>
                      </w:sdtContent>
                    </w:sdt>
                    <w:sdt>
                      <w:sdtPr>
                        <w:alias w:val="26.2 pp."/>
                        <w:tag w:val="part_43cd42a51b6645499c1ada73503d638c"/>
                        <w:lock w:val="sdtLocked"/>
                        <w:richText/>
                      </w:sdtPr>
                      <w:sdtContent>
                        <w:p>
                          <w:pPr>
                            <w:spacing w:line="252" w:lineRule="auto"/>
                            <w:ind w:firstLine="720"/>
                            <w:jc w:val="both"/>
                            <w:rPr>
                              <w:color w:val="000000"/>
                              <w:lang w:eastAsia="lt-LT" w:bidi="bn-IN"/>
                            </w:rPr>
                          </w:pPr>
                          <w:sdt>
                            <w:sdtPr>
                              <w:alias w:val="Numeris"/>
                              <w:tag w:val="nr_43cd42a51b6645499c1ada73503d638c"/>
                              <w:lock w:val="sdtLocked"/>
                              <w:richText/>
                            </w:sdtPr>
                            <w:sdtContent>
                              <w:r>
                                <w:rPr>
                                  <w:color w:val="000000"/>
                                  <w:lang w:eastAsia="lt-LT" w:bidi="bn-IN"/>
                                </w:rPr>
                                <w:t>26.2</w:t>
                              </w:r>
                            </w:sdtContent>
                          </w:sdt>
                          <w:r>
                            <w:rPr>
                              <w:color w:val="000000"/>
                              <w:lang w:eastAsia="lt-LT" w:bidi="bn-IN"/>
                            </w:rPr>
                            <w:t>.</w:t>
                            <w:tab/>
                            <w:t xml:space="preserve">kai prijungiami elektros gamybos įrenginiai, </w:t>
                          </w:r>
                          <w:r>
                            <w:rPr>
                              <w:szCs w:val="24"/>
                            </w:rPr>
                            <w:t>didinama su vartojimo vietos prijungimo tašku sutampančiame prijungimo prie skirstomųjų tinklų taške prijungtų elektros gamybos įrenginių leistina generuoti galia ir (ar) elektrinės įrengtoji galia, </w:t>
                          </w:r>
                          <w:r>
                            <w:rPr>
                              <w:color w:val="000000"/>
                              <w:lang w:eastAsia="lt-LT" w:bidi="bn-IN"/>
                            </w:rPr>
                            <w:t xml:space="preserve">o elektros vartojimo įrenginiai yra prijungti prie skirstomųjų tinklų, </w:t>
                          </w:r>
                          <w:r>
                            <w:rPr>
                              <w:szCs w:val="24"/>
                            </w:rPr>
                            <w:t xml:space="preserve">įskaitant atvejus, kai prijungiant elektros gamybos įrenginius arba didinant su vartojimo vietos prijungimo tašku sutampančiame prijungimo prie skirstomųjų tinklų taške prijungtų elektros gamybos įrenginių leistiną generuoti galią ir (ar) elektrinės įrengtąją galią kartu didinama prijungtų prie skirstomųjų tinklų elektros vartojimo įrenginių leistina naudoti galia, </w:t>
                          </w:r>
                          <w:r>
                            <w:rPr>
                              <w:color w:val="000000"/>
                              <w:lang w:eastAsia="lt-LT" w:bidi="bn-IN"/>
                            </w:rPr>
                            <w:t>vartotojai apmoka 50 procentų skirstomųjų tinklų operatoriaus faktinių sąnaudų, apibrėžtų Metodikos 9 punkte. Šio papunkčio nuostata taikoma ir tuo atveju, jeigu vartotojas per prijungimo paslaugos sutartyje nurodytą terminą įvykdo tik įsipareigojimus, susijusius su elektros vartojimo įrenginių prijungimu;</w:t>
                          </w:r>
                        </w:p>
                      </w:sdtContent>
                    </w:sdt>
                    <w:sdt>
                      <w:sdtPr>
                        <w:alias w:val="26.3 pp."/>
                        <w:tag w:val="part_bd6d41616b1641e09ecd1050512219f1"/>
                        <w:lock w:val="sdtLocked"/>
                        <w:richText/>
                      </w:sdtPr>
                      <w:sdtContent>
                        <w:p>
                          <w:pPr>
                            <w:spacing w:line="252" w:lineRule="auto"/>
                            <w:ind w:firstLine="720"/>
                            <w:jc w:val="both"/>
                            <w:rPr>
                              <w:color w:val="000000"/>
                              <w:lang w:eastAsia="lt-LT" w:bidi="bn-IN"/>
                            </w:rPr>
                          </w:pPr>
                          <w:sdt>
                            <w:sdtPr>
                              <w:alias w:val="Numeris"/>
                              <w:tag w:val="nr_bd6d41616b1641e09ecd1050512219f1"/>
                              <w:lock w:val="sdtLocked"/>
                              <w:richText/>
                            </w:sdtPr>
                            <w:sdtContent>
                              <w:r>
                                <w:rPr>
                                  <w:color w:val="000000"/>
                                  <w:lang w:eastAsia="lt-LT" w:bidi="bn-IN"/>
                                </w:rPr>
                                <w:t>26.3</w:t>
                              </w:r>
                            </w:sdtContent>
                          </w:sdt>
                          <w:r>
                            <w:rPr>
                              <w:color w:val="000000"/>
                              <w:lang w:eastAsia="lt-LT" w:bidi="bn-IN"/>
                            </w:rPr>
                            <w:t>.</w:t>
                            <w:tab/>
                          </w:r>
                          <w:r>
                            <w:rPr>
                              <w:color w:val="000000"/>
                              <w:szCs w:val="24"/>
                              <w:lang w:eastAsia="lt-LT" w:bidi="bn-IN"/>
                            </w:rPr>
                            <w:t>kai prijungiami elektros energijos gamybos</w:t>
                          </w:r>
                          <w:r>
                            <w:rPr>
                              <w:color w:val="000000"/>
                              <w:lang w:eastAsia="lt-LT" w:bidi="bn-IN"/>
                            </w:rPr>
                            <w:t xml:space="preserve"> įrenginiai, kurių prijungimo prie elektros tinklų taškas nesutampa su elektros energijos vartojimo vietos prijungimo tašku, vartotojai apmoka 100 procentų skirstomųjų tinklų operatoriaus faktinių sąnaudų, apibrėžtų Metodikos 9 punkte;</w:t>
                          </w:r>
                        </w:p>
                      </w:sdtContent>
                    </w:sdt>
                    <w:sdt>
                      <w:sdtPr>
                        <w:alias w:val="26.4 pp."/>
                        <w:tag w:val="part_e26b915a79c3458d8c5dd5798d564ecc"/>
                        <w:lock w:val="sdtLocked"/>
                        <w:richText/>
                      </w:sdtPr>
                      <w:sdtContent>
                        <w:p>
                          <w:pPr>
                            <w:spacing w:line="252" w:lineRule="auto"/>
                            <w:ind w:firstLine="720"/>
                            <w:jc w:val="both"/>
                            <w:rPr>
                              <w:color w:val="000000"/>
                              <w:lang w:eastAsia="lt-LT" w:bidi="bn-IN"/>
                            </w:rPr>
                          </w:pPr>
                          <w:sdt>
                            <w:sdtPr>
                              <w:alias w:val="Numeris"/>
                              <w:tag w:val="nr_e26b915a79c3458d8c5dd5798d564ecc"/>
                              <w:lock w:val="sdtLocked"/>
                              <w:richText/>
                            </w:sdtPr>
                            <w:sdtContent>
                              <w:r>
                                <w:rPr>
                                  <w:color w:val="000000"/>
                                  <w:lang w:eastAsia="lt-LT" w:bidi="bn-IN"/>
                                </w:rPr>
                                <w:t>26.4</w:t>
                              </w:r>
                            </w:sdtContent>
                          </w:sdt>
                          <w:r>
                            <w:rPr>
                              <w:color w:val="000000"/>
                              <w:lang w:eastAsia="lt-LT" w:bidi="bn-IN"/>
                            </w:rPr>
                            <w:t>.</w:t>
                            <w:tab/>
                            <w:t xml:space="preserve">kai </w:t>
                          </w:r>
                          <w:r>
                            <w:rPr>
                              <w:color w:val="000000"/>
                              <w:szCs w:val="24"/>
                              <w:lang w:eastAsia="lt-LT" w:bidi="bn-IN"/>
                            </w:rPr>
                            <w:t>mažinama</w:t>
                          </w:r>
                          <w:r>
                            <w:rPr>
                              <w:color w:val="000000"/>
                              <w:lang w:eastAsia="lt-LT" w:bidi="bn-IN"/>
                            </w:rPr>
                            <w:t xml:space="preserve"> su vartojimo vietos prijungimo tašku sutampančiame prijungimo prie skirstomųjų tinklų taške prijungtų elektros gamybos įrenginių leistina generuoti galia ir (ar) elektrinės įrengtoji galia, vartotojai apmoka 100 procentų skirstomųjų tinklų operatoriaus faktinių sąnaudų, </w:t>
                          </w:r>
                          <w:r>
                            <w:rPr>
                              <w:color w:val="000000"/>
                              <w:szCs w:val="24"/>
                              <w:lang w:eastAsia="lt-LT" w:bidi="bn-IN"/>
                            </w:rPr>
                            <w:t>apibrėžtų Metodikos 9 punkte</w:t>
                          </w:r>
                          <w:r>
                            <w:rPr>
                              <w:color w:val="000000"/>
                              <w:lang w:eastAsia="lt-LT" w:bidi="bn-IN"/>
                            </w:rPr>
                            <w:t>.</w:t>
                          </w:r>
                        </w:p>
                      </w:sdtContent>
                    </w:sdt>
                  </w:sdtContent>
                </w:sdt>
                <w:sdt>
                  <w:sdtPr>
                    <w:alias w:val="27 p."/>
                    <w:tag w:val="part_7e911be30ba94be2ac788ac85f49e0ee"/>
                    <w:lock w:val="sdtLocked"/>
                    <w:richText/>
                  </w:sdtPr>
                  <w:sdtContent>
                    <w:p>
                      <w:pPr>
                        <w:spacing w:line="252" w:lineRule="auto"/>
                        <w:ind w:firstLine="720"/>
                        <w:jc w:val="both"/>
                        <w:rPr>
                          <w:color w:val="000000"/>
                          <w:lang w:eastAsia="lt-LT" w:bidi="bn-IN"/>
                        </w:rPr>
                      </w:pPr>
                      <w:sdt>
                        <w:sdtPr>
                          <w:alias w:val="Numeris"/>
                          <w:tag w:val="nr_7e911be30ba94be2ac788ac85f49e0ee"/>
                          <w:lock w:val="sdtLocked"/>
                          <w:richText/>
                        </w:sdtPr>
                        <w:sdtContent>
                          <w:r>
                            <w:rPr>
                              <w:color w:val="000000"/>
                              <w:lang w:eastAsia="lt-LT" w:bidi="bn-IN"/>
                            </w:rPr>
                            <w:t>27</w:t>
                          </w:r>
                        </w:sdtContent>
                      </w:sdt>
                      <w:r>
                        <w:rPr>
                          <w:color w:val="000000"/>
                          <w:lang w:eastAsia="lt-LT" w:bidi="bn-IN"/>
                        </w:rPr>
                        <w:t>.</w:t>
                        <w:tab/>
                        <w:t>Kai Metodikos 26.1 ar 26.2 papunkčiuose nurodytais atvejais gaminančio vartotojo ar asmens, siekiančio tapti gaminančiu vartotoju, elektros įrenginiams prijungti reikia įrengti skirstomuosius tinklus pagal kilnojamųjų elektros energetikos objektų ir įrenginių įrengimo projektą ir kai gaminančio vartotojo ar asmens, siekiančio tapti gaminančiu vartotoju, skirstomųjų tinklų įrengimo darbų sąnaudos yra ne mažiau kaip 10 procentų mažesnės negu skirstomųjų tinklų operatoriaus apskaičiuotos, gaminantys vartotojai ar asmenys, siekiantys tapti gaminančiais vartotojais, turi teisę Energetikos ministerijos nustatyta tvarka, suderinę su skirstomųjų tinklų operatoriumi, vykdyti ir (ar) organizuoti skirstomųjų tinklų įrengimo darbus. Skirstomųjų tinklų operatorius Energetikos ministerijos nustatyta tvarka padengia 80 procentų skirstomųjų tinklų įrengimo darbų sąnaudų, kai skirstomieji tinklai įrengiami pažeidžiamų vartotojų elektros įrenginiams prijungti, ir 50 procentų skirstomųjų tinklų įrengimo darbų sąnaudų, kai skirstomieji tinklai įrengiami kitų vartotojų elektros įrenginiams prijungti.</w:t>
                      </w:r>
                    </w:p>
                  </w:sdtContent>
                </w:sdt>
                <w:sdt>
                  <w:sdtPr>
                    <w:alias w:val="28 p."/>
                    <w:tag w:val="part_d7230537b19243c79e6f7e28ece7f7e4"/>
                    <w:lock w:val="sdtLocked"/>
                    <w:richText/>
                  </w:sdtPr>
                  <w:sdtContent>
                    <w:p>
                      <w:pPr>
                        <w:spacing w:line="252" w:lineRule="auto"/>
                        <w:ind w:firstLine="720"/>
                        <w:jc w:val="both"/>
                        <w:rPr>
                          <w:color w:val="000000"/>
                        </w:rPr>
                      </w:pPr>
                      <w:sdt>
                        <w:sdtPr>
                          <w:alias w:val="Numeris"/>
                          <w:tag w:val="nr_d7230537b19243c79e6f7e28ece7f7e4"/>
                          <w:lock w:val="sdtLocked"/>
                          <w:richText/>
                        </w:sdtPr>
                        <w:sdtContent>
                          <w:r>
                            <w:rPr>
                              <w:color w:val="000000"/>
                            </w:rPr>
                            <w:t>28</w:t>
                          </w:r>
                        </w:sdtContent>
                      </w:sdt>
                      <w:r>
                        <w:rPr>
                          <w:color w:val="000000"/>
                        </w:rPr>
                        <w:t>.</w:t>
                        <w:tab/>
                        <w:t>Perdavimo sistemos operatoriaus sąnaudas gaminantis vartotojas ar asmuo, siekiantis tapti gaminančiu vartotoju, taikant Metodikos 26 punkte nustatytą sąnaudų paskirstymo tvarką, apmoka skirstomųjų tinklų operatoriui, o skirstomųjų tinklų operatorius padengia perdavimo sistemos operatoriui 50 procentų visų perdavimo sistemos operatoriaus sąnaudų, patirtų prijungiant gaminančio vartotojo ar asmens, siekiančio tapti gaminančiu vartotoju, elektros įrenginius 100 procentų visų perdavimo sistemos operatoriaus sąnaudų, patirtų prijungiant gaminančio vartotojo ar asmens, siekiančio tapti gaminančiu vartotoju, elektros įrenginius Metodikos 26.3 papunktyje nurodytais atvejais, arba 50 procentų visų perdavimo sistemos operatoriaus sąnaudų, patirtų prijungiant gaminančio vartotojo ar asmens, siekiančio tapti gaminančiu vartotoju, išskyrus pažeidžiamus vartotojus, elektros įrenginius. Likusi nepadengta perdavimo sistemos operatoriaus sąnaudų dalis laikoma perdavimo sistemos operatoriaus tinklų plėtros išlaidomis.</w:t>
                      </w:r>
                    </w:p>
                  </w:sdtContent>
                </w:sdt>
                <w:sdt>
                  <w:sdtPr>
                    <w:alias w:val="29 p."/>
                    <w:tag w:val="part_c6ffc3fdbdcd4eb49c7cbe5536d210bb"/>
                    <w:lock w:val="sdtLocked"/>
                    <w:richText/>
                  </w:sdtPr>
                  <w:sdtContent>
                    <w:p>
                      <w:pPr>
                        <w:spacing w:line="252" w:lineRule="auto"/>
                        <w:ind w:firstLine="720"/>
                        <w:jc w:val="both"/>
                        <w:rPr>
                          <w:color w:val="000000"/>
                        </w:rPr>
                      </w:pPr>
                      <w:sdt>
                        <w:sdtPr>
                          <w:alias w:val="Numeris"/>
                          <w:tag w:val="nr_c6ffc3fdbdcd4eb49c7cbe5536d210bb"/>
                          <w:lock w:val="sdtLocked"/>
                          <w:richText/>
                        </w:sdtPr>
                        <w:sdtContent>
                          <w:r>
                            <w:rPr>
                              <w:color w:val="000000"/>
                            </w:rPr>
                            <w:t>29</w:t>
                          </w:r>
                        </w:sdtContent>
                      </w:sdt>
                      <w:r>
                        <w:rPr>
                          <w:color w:val="000000"/>
                        </w:rPr>
                        <w:t>.</w:t>
                        <w:tab/>
                      </w:r>
                      <w:r>
                        <w:rPr>
                          <w:color w:val="000000"/>
                          <w:lang w:eastAsia="lt-LT"/>
                        </w:rPr>
                        <w:t>Operatoriui teikiant gaminančiam vartotojui informaciją apie apskaičiuotą prijungimo įmoką, taikomos Metodikos 8.2.5 – 8.2.6 papunkčių nuostatos.</w:t>
                      </w:r>
                    </w:p>
                  </w:sdtContent>
                </w:sdt>
                <w:sdt>
                  <w:sdtPr>
                    <w:alias w:val="30 p."/>
                    <w:tag w:val="part_b984b0c7b2f948239a44bac1a3005d89"/>
                    <w:lock w:val="sdtLocked"/>
                    <w:richText/>
                  </w:sdtPr>
                  <w:sdtContent>
                    <w:p>
                      <w:pPr>
                        <w:spacing w:line="252" w:lineRule="auto"/>
                        <w:ind w:firstLine="720"/>
                        <w:jc w:val="both"/>
                        <w:rPr>
                          <w:color w:val="000000"/>
                        </w:rPr>
                      </w:pPr>
                      <w:sdt>
                        <w:sdtPr>
                          <w:alias w:val="Numeris"/>
                          <w:tag w:val="nr_b984b0c7b2f948239a44bac1a3005d89"/>
                          <w:lock w:val="sdtLocked"/>
                          <w:richText/>
                        </w:sdtPr>
                        <w:sdtContent>
                          <w:r>
                            <w:rPr>
                              <w:color w:val="000000"/>
                            </w:rPr>
                            <w:t>30</w:t>
                          </w:r>
                        </w:sdtContent>
                      </w:sdt>
                      <w:r>
                        <w:rPr>
                          <w:color w:val="000000"/>
                        </w:rPr>
                        <w:t>.</w:t>
                        <w:tab/>
                        <w:t>Gaminančiam vartotojui, pageidaujančiam rekonstruoti ar perkelti skirstomuosius tinklus, kliudančius statinių statybai ar dėl kitų priežasčių, taikomos Metodikos 10.14 papunkčio nuostatos</w:t>
                      </w:r>
                      <w:r>
                        <w:t>.</w:t>
                      </w:r>
                    </w:p>
                  </w:sdtContent>
                </w:sdt>
                <w:sdt>
                  <w:sdtPr>
                    <w:alias w:val="31 p."/>
                    <w:tag w:val="part_cfae574b9b4940d1a562fe4eaa90c7c9"/>
                    <w:lock w:val="sdtLocked"/>
                    <w:richText/>
                  </w:sdtPr>
                  <w:sdtContent>
                    <w:p>
                      <w:pPr>
                        <w:spacing w:line="252" w:lineRule="auto"/>
                        <w:ind w:firstLine="720"/>
                        <w:jc w:val="both"/>
                      </w:pPr>
                      <w:sdt>
                        <w:sdtPr>
                          <w:alias w:val="Numeris"/>
                          <w:tag w:val="nr_cfae574b9b4940d1a562fe4eaa90c7c9"/>
                          <w:lock w:val="sdtLocked"/>
                          <w:richText/>
                        </w:sdtPr>
                        <w:sdtContent>
                          <w:r>
                            <w:rPr>
                              <w:color w:val="000000"/>
                            </w:rPr>
                            <w:t>31</w:t>
                          </w:r>
                        </w:sdtContent>
                      </w:sdt>
                      <w:r>
                        <w:rPr>
                          <w:color w:val="000000"/>
                        </w:rPr>
                        <w:t>.</w:t>
                        <w:tab/>
                        <w:t>Apskaičiuota prijungimo įmoka, operatoriui pabaigus prijungimo paslaugos teikimą, gali būti perskaičiuojama prijungimo prie elektros tinklų paslaugos suteikimo sutartyje nustatytais atvejais. Tuo atveju, kai projektavimo darbus organizuoja operatorius, taikomos Metodikos 8.2.4.1-8.2.4.2 papunkčių nuostatos.</w:t>
                      </w:r>
                    </w:p>
                  </w:sdtContent>
                </w:sdt>
                <w:sdt>
                  <w:sdtPr>
                    <w:alias w:val="31-1 p."/>
                    <w:tag w:val="part_905b0a30b31f4401b0a47e8880bef57c"/>
                    <w:lock w:val="sdtLocked"/>
                    <w:richText/>
                  </w:sdtPr>
                  <w:sdtContent>
                    <w:p>
                      <w:pPr>
                        <w:tabs>
                          <w:tab w:val="left" w:pos="709"/>
                          <w:tab w:val="left" w:pos="1134"/>
                        </w:tabs>
                        <w:ind w:firstLine="709"/>
                        <w:jc w:val="both"/>
                        <w:rPr>
                          <w:color w:val="000000"/>
                          <w:sz w:val="20"/>
                        </w:rPr>
                      </w:pPr>
                      <w:sdt>
                        <w:sdtPr>
                          <w:alias w:val="Numeris"/>
                          <w:tag w:val="nr_905b0a30b31f4401b0a47e8880bef57c"/>
                          <w:lock w:val="sdtLocked"/>
                          <w:richText/>
                        </w:sdtPr>
                        <w:sdtContent>
                          <w:r>
                            <w:rPr>
                              <w:kern w:val="2"/>
                              <w:szCs w:val="24"/>
                              <w:lang w:eastAsia="zh-TW"/>
                            </w:rPr>
                            <w:t>31</w:t>
                          </w:r>
                          <w:r>
                            <w:rPr>
                              <w:kern w:val="2"/>
                              <w:szCs w:val="24"/>
                              <w:vertAlign w:val="superscript"/>
                              <w:lang w:eastAsia="zh-TW"/>
                            </w:rPr>
                            <w:t>1</w:t>
                          </w:r>
                        </w:sdtContent>
                      </w:sdt>
                      <w:r>
                        <w:rPr>
                          <w:kern w:val="2"/>
                          <w:szCs w:val="24"/>
                          <w:lang w:eastAsia="zh-TW"/>
                        </w:rPr>
                        <w:t xml:space="preserve">. Kai yra mažinama gaminančio vartotojo elektros energijos vartojimo įrenginių leistina naudoti galia, </w:t>
                      </w:r>
                      <w:r>
                        <w:rPr>
                          <w:i/>
                          <w:iCs/>
                          <w:kern w:val="2"/>
                          <w:szCs w:val="24"/>
                          <w:lang w:eastAsia="zh-TW"/>
                        </w:rPr>
                        <w:t>mutatis mutandis</w:t>
                      </w:r>
                      <w:r>
                        <w:rPr>
                          <w:kern w:val="2"/>
                          <w:szCs w:val="24"/>
                          <w:lang w:eastAsia="zh-TW"/>
                        </w:rPr>
                        <w:t xml:space="preserve"> taikomos Metodikos 10.21 papunkčio ir 14–16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Content>
            </w:sdt>
            <w:sdt>
              <w:sdtPr>
                <w:alias w:val="skirsnis"/>
                <w:tag w:val="part_c655b67e771f4cbb87c5a0c037ae8734"/>
                <w:lock w:val="sdtLocked"/>
                <w:richText/>
              </w:sdtPr>
              <w:sdtContent>
                <w:p>
                  <w:pPr>
                    <w:keepNext/>
                    <w:keepLines/>
                    <w:widowControl w:val="0"/>
                    <w:suppressAutoHyphens/>
                    <w:spacing w:line="252" w:lineRule="auto"/>
                    <w:jc w:val="center"/>
                    <w:rPr>
                      <w:b/>
                      <w:bCs/>
                      <w:caps/>
                      <w:color w:val="000000"/>
                      <w:szCs w:val="32"/>
                    </w:rPr>
                  </w:pPr>
                  <w:sdt>
                    <w:sdtPr>
                      <w:alias w:val="Numeris"/>
                      <w:tag w:val="nr_c655b67e771f4cbb87c5a0c037ae8734"/>
                      <w:lock w:val="sdtLocked"/>
                      <w:richText/>
                    </w:sdtPr>
                    <w:sdtContent>
                      <w:r>
                        <w:rPr>
                          <w:b/>
                          <w:bCs/>
                          <w:caps/>
                          <w:color w:val="000000"/>
                          <w:szCs w:val="32"/>
                        </w:rPr>
                        <w:t>trečiasIS</w:t>
                      </w:r>
                    </w:sdtContent>
                  </w:sdt>
                  <w:r>
                    <w:rPr>
                      <w:b/>
                      <w:bCs/>
                      <w:caps/>
                      <w:color w:val="000000"/>
                      <w:szCs w:val="32"/>
                    </w:rPr>
                    <w:t xml:space="preserve"> skirsnis </w:t>
                  </w:r>
                </w:p>
                <w:p>
                  <w:pPr>
                    <w:keepNext/>
                    <w:keepLines/>
                    <w:widowControl w:val="0"/>
                    <w:suppressAutoHyphens/>
                    <w:spacing w:line="252" w:lineRule="auto"/>
                    <w:jc w:val="center"/>
                    <w:rPr>
                      <w:b/>
                      <w:bCs/>
                      <w:caps/>
                      <w:color w:val="000000"/>
                      <w:szCs w:val="32"/>
                      <w:lang w:eastAsia="lt-LT"/>
                    </w:rPr>
                  </w:pPr>
                  <w:sdt>
                    <w:sdtPr>
                      <w:alias w:val="Pavadinimas"/>
                      <w:tag w:val="title_c655b67e771f4cbb87c5a0c037ae8734"/>
                      <w:lock w:val="sdtLocked"/>
                      <w:richText/>
                    </w:sdtPr>
                    <w:sdtContent>
                      <w:r>
                        <w:rPr>
                          <w:b/>
                          <w:bCs/>
                          <w:caps/>
                          <w:color w:val="000000"/>
                          <w:szCs w:val="32"/>
                          <w:lang w:eastAsia="lt-LT"/>
                        </w:rPr>
                        <w:t>GAMINTOJŲ, NAUDOJANČIŲ atsinaujinančius energijos išteklius, ELEKTROS ENERGIJOS ĮRENGINIŲ PRIJUNGIMO ĮKAINIŲ NUSTATYMO TVARKA</w:t>
                      </w:r>
                    </w:sdtContent>
                  </w:sdt>
                </w:p>
                <w:p>
                  <w:pPr>
                    <w:spacing w:line="252" w:lineRule="auto"/>
                    <w:jc w:val="center"/>
                    <w:rPr>
                      <w:b/>
                      <w:caps/>
                      <w:color w:val="000000"/>
                      <w:szCs w:val="24"/>
                      <w:lang w:eastAsia="lt-LT"/>
                    </w:rPr>
                  </w:pPr>
                </w:p>
                <w:sdt>
                  <w:sdtPr>
                    <w:alias w:val="32 p."/>
                    <w:tag w:val="part_e9f6b2e9179e4e858aecd6821f6b5540"/>
                    <w:lock w:val="sdtLocked"/>
                    <w:richText/>
                  </w:sdtPr>
                  <w:sdtContent>
                    <w:p>
                      <w:pPr>
                        <w:spacing w:line="252" w:lineRule="auto"/>
                        <w:ind w:firstLine="720"/>
                        <w:jc w:val="both"/>
                        <w:rPr>
                          <w:color w:val="000000"/>
                          <w:lang w:eastAsia="lt-LT"/>
                        </w:rPr>
                      </w:pPr>
                      <w:sdt>
                        <w:sdtPr>
                          <w:alias w:val="Numeris"/>
                          <w:tag w:val="nr_e9f6b2e9179e4e858aecd6821f6b5540"/>
                          <w:lock w:val="sdtLocked"/>
                          <w:richText/>
                        </w:sdtPr>
                        <w:sdtContent>
                          <w:r>
                            <w:rPr>
                              <w:color w:val="000000"/>
                              <w:lang w:eastAsia="lt-LT"/>
                            </w:rPr>
                            <w:t>32</w:t>
                          </w:r>
                        </w:sdtContent>
                      </w:sdt>
                      <w:r>
                        <w:rPr>
                          <w:color w:val="000000"/>
                          <w:lang w:eastAsia="lt-LT"/>
                        </w:rPr>
                        <w:t>.</w:t>
                        <w:tab/>
                        <w:t xml:space="preserve">Elektros energijos gamintojui, naudojančiam atsinaujinančius energijos išteklius, ir operatoriui teisės aktų nustatyta tvarka pasirašius prijungimo prie elektros tinklų paslaugos suteikimo sutartį, gamintojo elektros įrenginių prijungimo prie elektros tinklų darbus atlieka operatoriaus viešųjų pirkimų būdu  išrinktas metinis rangovas arba rangovas, operatoriaus paskelbtų viešųjų pirkimų būdu išrinktas atlikti šio gamintojo elektros energijos įrenginių prijungimo prie tinklo darbus. Operatoriui pateikiant gamintojui informaciją apie apskaičiuotą prijungimo įmoką, taikomos Metodikos 8.2.5 – 8.2.6 papunkčių nuostatos.</w:t>
                      </w:r>
                    </w:p>
                  </w:sdtContent>
                </w:sdt>
                <w:sdt>
                  <w:sdtPr>
                    <w:alias w:val="33 p."/>
                    <w:tag w:val="part_abc93aee391f416993f1d8c77b5d8154"/>
                    <w:lock w:val="sdtLocked"/>
                    <w:richText/>
                  </w:sdtPr>
                  <w:sdtContent>
                    <w:p>
                      <w:pPr>
                        <w:spacing w:line="252" w:lineRule="auto"/>
                        <w:ind w:firstLine="720"/>
                        <w:jc w:val="both"/>
                        <w:rPr>
                          <w:color w:val="000000"/>
                          <w:lang w:eastAsia="lt-LT"/>
                        </w:rPr>
                      </w:pPr>
                      <w:sdt>
                        <w:sdtPr>
                          <w:alias w:val="Numeris"/>
                          <w:tag w:val="nr_abc93aee391f416993f1d8c77b5d8154"/>
                          <w:lock w:val="sdtLocked"/>
                          <w:richText/>
                        </w:sdtPr>
                        <w:sdtContent>
                          <w:r>
                            <w:rPr>
                              <w:color w:val="000000"/>
                              <w:lang w:eastAsia="lt-LT"/>
                            </w:rPr>
                            <w:t>33</w:t>
                          </w:r>
                        </w:sdtContent>
                      </w:sdt>
                      <w:r>
                        <w:rPr>
                          <w:color w:val="000000"/>
                          <w:lang w:eastAsia="lt-LT"/>
                        </w:rPr>
                        <w:t>.</w:t>
                        <w:tab/>
                        <w:t>Operatorius, elektros įrenginius jungiančio elektros energijos gamintojo, naudojančio atsinaujinančius energetikos išteklius, prašymu, Apraše nustatyta tvarka privalo šiam gamintojui pateikti detalią informaciją, susijusią su viešuoju pirkimu ir rangos darbų vykdymu bei kitą su prijungimu tiesiogiai susijusią informaciją.</w:t>
                      </w:r>
                    </w:p>
                  </w:sdtContent>
                </w:sdt>
                <w:sdt>
                  <w:sdtPr>
                    <w:alias w:val="34 p."/>
                    <w:tag w:val="part_beb85bdb89964da88fc9f5a8a92663e7"/>
                    <w:lock w:val="sdtLocked"/>
                    <w:richText/>
                  </w:sdtPr>
                  <w:sdtContent>
                    <w:p>
                      <w:pPr>
                        <w:spacing w:line="252" w:lineRule="auto"/>
                        <w:ind w:firstLine="720"/>
                        <w:jc w:val="both"/>
                        <w:rPr>
                          <w:color w:val="000000"/>
                          <w:lang w:eastAsia="lt-LT"/>
                        </w:rPr>
                      </w:pPr>
                      <w:sdt>
                        <w:sdtPr>
                          <w:alias w:val="Numeris"/>
                          <w:tag w:val="nr_beb85bdb89964da88fc9f5a8a92663e7"/>
                          <w:lock w:val="sdtLocked"/>
                          <w:richText/>
                        </w:sdtPr>
                        <w:sdtContent>
                          <w:r>
                            <w:rPr>
                              <w:color w:val="000000"/>
                              <w:lang w:eastAsia="lt-LT"/>
                            </w:rPr>
                            <w:t>34</w:t>
                          </w:r>
                        </w:sdtContent>
                      </w:sdt>
                      <w:r>
                        <w:rPr>
                          <w:color w:val="000000"/>
                          <w:lang w:eastAsia="lt-LT"/>
                        </w:rPr>
                        <w:t>.</w:t>
                        <w:tab/>
                        <w:t xml:space="preserve">Elektros energijos gamintojų, naudojančių atsinaujinančius energijos išteklius, įrenginių prijungimo paslaugos prie tinklų kaina (prijungimo įmoka)  yra lygi rangovo, laimėjusio operatoriaus paskelbtą viešąjį pirkimą dėl elektros energijos gamintojo, naudojančio atsinaujinančius energijos išteklius, įrenginių prijungimo prie tinklų, atliktų rangos darbų bei operatoriaus ir (ar) rangovo  sunaudotų medžiagų ir kitų išlaidų, tiesiogiai susijusių su gamintojo elektros įrenginių prijungimu (pvz., kapitalizuotų darbuotojų darbo užmokesčio </w:t>
                      </w:r>
                      <w:r>
                        <w:rPr>
                          <w:color w:val="000000"/>
                        </w:rPr>
                        <w:t xml:space="preserve">sąnaudų, kurios nebuvo įvertintos skirstymo ar perdavimo paslaugų kainose, išlaidų valstybės institucijų leidimams, pažymoms, notarinių sandorių sudarymui, servituto registravimui, archeologiniams tyrinėjimams, techninei priežiūrai, techninio prižiūrėtojo draudimui, projekto ekspertizei) </w:t>
                      </w:r>
                      <w:r>
                        <w:rPr>
                          <w:color w:val="000000"/>
                          <w:lang w:eastAsia="lt-LT"/>
                        </w:rPr>
                        <w:t>faktinę kainą (prijungimo įmoką).</w:t>
                      </w:r>
                    </w:p>
                  </w:sdtContent>
                </w:sdt>
                <w:sdt>
                  <w:sdtPr>
                    <w:alias w:val="35 p."/>
                    <w:tag w:val="part_4b5705125cc145439b14f4655e0807ef"/>
                    <w:lock w:val="sdtLocked"/>
                    <w:richText/>
                  </w:sdtPr>
                  <w:sdtContent>
                    <w:p>
                      <w:pPr>
                        <w:spacing w:line="252" w:lineRule="auto"/>
                        <w:ind w:firstLine="720"/>
                        <w:jc w:val="both"/>
                        <w:rPr>
                          <w:color w:val="000000"/>
                          <w:lang w:eastAsia="lt-LT"/>
                        </w:rPr>
                      </w:pPr>
                      <w:sdt>
                        <w:sdtPr>
                          <w:alias w:val="Numeris"/>
                          <w:tag w:val="nr_4b5705125cc145439b14f4655e0807ef"/>
                          <w:lock w:val="sdtLocked"/>
                          <w:richText/>
                        </w:sdtPr>
                        <w:sdtContent>
                          <w:r>
                            <w:rPr>
                              <w:color w:val="000000"/>
                              <w:lang w:eastAsia="lt-LT"/>
                            </w:rPr>
                            <w:t>35</w:t>
                          </w:r>
                        </w:sdtContent>
                      </w:sdt>
                      <w:r>
                        <w:rPr>
                          <w:color w:val="000000"/>
                          <w:lang w:eastAsia="lt-LT"/>
                        </w:rPr>
                        <w:t>.</w:t>
                        <w:tab/>
                        <w:t>Elektros energijos gamintojai, naudojantys atsinaujinančius energijos išteklius, kurių gamybos įrenginiai jungiami prie tinklo, kai prijungiamų elektros energijos gamybos įrenginių įrengtoji galia neviršija vartojimo objektui suteiktos leistinos naudoti galios, taip pat gamintojai, naudojantys atsinaujinančius energijos išteklius, didinantys leistiną naudoti galią, moka 50 proc. skirstomųjų tinklų įrengimo sąnaudų (faktinių išlaidų). Kiti gamintojai moka 100 proc. skirstomųjų tinklų įrengimo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36 p."/>
                    <w:tag w:val="part_6ce105ab7e734cbaa6672d18b5f79c53"/>
                    <w:lock w:val="sdtLocked"/>
                    <w:richText/>
                  </w:sdtPr>
                  <w:sdtContent>
                    <w:p>
                      <w:pPr>
                        <w:spacing w:line="252" w:lineRule="auto"/>
                        <w:ind w:firstLine="720"/>
                        <w:jc w:val="both"/>
                        <w:rPr>
                          <w:color w:val="000000"/>
                        </w:rPr>
                      </w:pPr>
                      <w:sdt>
                        <w:sdtPr>
                          <w:alias w:val="Numeris"/>
                          <w:tag w:val="nr_6ce105ab7e734cbaa6672d18b5f79c53"/>
                          <w:lock w:val="sdtLocked"/>
                          <w:richText/>
                        </w:sdtPr>
                        <w:sdtContent>
                          <w:r>
                            <w:rPr>
                              <w:color w:val="000000"/>
                            </w:rPr>
                            <w:t>36</w:t>
                          </w:r>
                        </w:sdtContent>
                      </w:sdt>
                      <w:r>
                        <w:rPr>
                          <w:color w:val="000000"/>
                        </w:rPr>
                        <w:t>.</w:t>
                        <w:tab/>
                      </w:r>
                      <w:r>
                        <w:rPr>
                          <w:color w:val="000000"/>
                          <w:lang w:eastAsia="lt-LT"/>
                        </w:rPr>
                        <w:t>Išlaidas, patiriamas dėl gamintojo pasirinkto kito, nei operatorius nustatė prijungimo sąlygose, prijungimo taško, apmoka gamintojas, naudojantis atsinaujinančius energijos išteklius. Tinklo plėtros, optimizavimo ir (ar) rekonstrukcijos sąnaudas gamintojas kompensuoja operatoriui Atsinaujinančių išteklių energetikos įstatymo nustatyta tvarka.</w:t>
                      </w:r>
                    </w:p>
                  </w:sdtContent>
                </w:sdt>
                <w:sdt>
                  <w:sdtPr>
                    <w:alias w:val="37 p."/>
                    <w:tag w:val="part_533be8407638468ba9ca06ea2fd42fdc"/>
                    <w:lock w:val="sdtLocked"/>
                    <w:richText/>
                  </w:sdtPr>
                  <w:sdtContent>
                    <w:p>
                      <w:pPr>
                        <w:spacing w:line="252" w:lineRule="auto"/>
                        <w:ind w:firstLine="720"/>
                        <w:jc w:val="both"/>
                        <w:rPr>
                          <w:color w:val="000000"/>
                        </w:rPr>
                      </w:pPr>
                      <w:sdt>
                        <w:sdtPr>
                          <w:alias w:val="Numeris"/>
                          <w:tag w:val="nr_533be8407638468ba9ca06ea2fd42fdc"/>
                          <w:lock w:val="sdtLocked"/>
                          <w:richText/>
                        </w:sdtPr>
                        <w:sdtContent>
                          <w:r>
                            <w:rPr>
                              <w:color w:val="000000"/>
                            </w:rPr>
                            <w:t>37</w:t>
                          </w:r>
                        </w:sdtContent>
                      </w:sdt>
                      <w:r>
                        <w:rPr>
                          <w:color w:val="000000"/>
                        </w:rPr>
                        <w:t>.</w:t>
                        <w:tab/>
                        <w:t>Gamintojui, naudojančiam atsinaujinančius energijos išteklius, pageidaujančiam rekonstruoti ar perkelti skirstomuosius tinklus, kliudančius statinių statybai ar dėl kitų priežasčių, taikomos Metodikos 10.14 papunkčio nuostatos.</w:t>
                      </w:r>
                    </w:p>
                  </w:sdtContent>
                </w:sdt>
                <w:sdt>
                  <w:sdtPr>
                    <w:alias w:val="38 p."/>
                    <w:tag w:val="part_6947272d1e454615910d04fdcfb4912f"/>
                    <w:lock w:val="sdtLocked"/>
                    <w:richText/>
                  </w:sdtPr>
                  <w:sdtContent>
                    <w:p>
                      <w:pPr>
                        <w:spacing w:line="252" w:lineRule="auto"/>
                        <w:ind w:firstLine="720"/>
                        <w:jc w:val="both"/>
                      </w:pPr>
                      <w:sdt>
                        <w:sdtPr>
                          <w:alias w:val="Numeris"/>
                          <w:tag w:val="nr_6947272d1e454615910d04fdcfb4912f"/>
                          <w:lock w:val="sdtLocked"/>
                          <w:richText/>
                        </w:sdtPr>
                        <w:sdtContent>
                          <w:r>
                            <w:rPr>
                              <w:color w:val="000000"/>
                            </w:rPr>
                            <w:t>38</w:t>
                          </w:r>
                        </w:sdtContent>
                      </w:sdt>
                      <w:r>
                        <w:rPr>
                          <w:color w:val="000000"/>
                        </w:rPr>
                        <w:t>.</w:t>
                        <w:tab/>
                      </w:r>
                      <w:r>
                        <w:t>Apskaičiuota prijungimo įmoka, operatoriui pabaigus prijungimo paslaugos teikimą, gali būti perskaičiuojama prijungimo prie elektros tinklų paslaugos suteikimo sutartyje nustatytais atvejais. Tuo atveju, kai projektavimo darbus organizuoja operatorius, taikomos Metodikos 8.2.4.1-8.2.4.2 papunkčių nuostatos.</w:t>
                      </w:r>
                    </w:p>
                  </w:sdtContent>
                </w:sdt>
                <w:sdt>
                  <w:sdtPr>
                    <w:alias w:val="38-1 p."/>
                    <w:tag w:val="part_f3cd9b205ee844f880064bed9a5bed05"/>
                    <w:lock w:val="sdtLocked"/>
                    <w:richText/>
                  </w:sdtPr>
                  <w:sdtContent>
                    <w:p>
                      <w:pPr>
                        <w:tabs>
                          <w:tab w:val="left" w:pos="709"/>
                          <w:tab w:val="left" w:pos="1134"/>
                        </w:tabs>
                        <w:ind w:firstLine="709"/>
                        <w:jc w:val="both"/>
                        <w:rPr>
                          <w:color w:val="000000"/>
                        </w:rPr>
                      </w:pPr>
                      <w:sdt>
                        <w:sdtPr>
                          <w:alias w:val="Numeris"/>
                          <w:tag w:val="nr_f3cd9b205ee844f880064bed9a5bed05"/>
                          <w:lock w:val="sdtLocked"/>
                          <w:richText/>
                        </w:sdtPr>
                        <w:sdtContent>
                          <w:r>
                            <w:rPr>
                              <w:kern w:val="2"/>
                              <w:szCs w:val="24"/>
                              <w:lang w:eastAsia="zh-TW"/>
                            </w:rPr>
                            <w:t>38</w:t>
                          </w:r>
                          <w:r>
                            <w:rPr>
                              <w:kern w:val="2"/>
                              <w:szCs w:val="24"/>
                              <w:vertAlign w:val="superscript"/>
                              <w:lang w:eastAsia="zh-TW"/>
                            </w:rPr>
                            <w:t>1</w:t>
                          </w:r>
                        </w:sdtContent>
                      </w:sdt>
                      <w:r>
                        <w:rPr>
                          <w:kern w:val="2"/>
                          <w:szCs w:val="24"/>
                          <w:lang w:eastAsia="zh-TW"/>
                        </w:rPr>
                        <w:t xml:space="preserve">. Kai yra mažinama gamintojo, naudojančio atsinaujinančius energijos išteklius, elektros įrenginių leistina naudoti galia, </w:t>
                      </w:r>
                      <w:r>
                        <w:rPr>
                          <w:i/>
                          <w:iCs/>
                          <w:kern w:val="2"/>
                          <w:szCs w:val="24"/>
                          <w:lang w:eastAsia="zh-TW"/>
                        </w:rPr>
                        <w:t>mutatis mutandis</w:t>
                      </w:r>
                      <w:r>
                        <w:rPr>
                          <w:kern w:val="2"/>
                          <w:szCs w:val="24"/>
                          <w:lang w:eastAsia="zh-TW"/>
                        </w:rPr>
                        <w:t xml:space="preserve"> taikomos Metodikos 10.21 papunkčio ir 14–16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Content>
            </w:sdt>
            <w:sdt>
              <w:sdtPr>
                <w:alias w:val="skirsnis"/>
                <w:tag w:val="part_950c980121c44c76b6fd7ab7a620232a"/>
                <w:lock w:val="sdtLocked"/>
                <w:richText/>
              </w:sdtPr>
              <w:sdtContent>
                <w:p>
                  <w:pPr>
                    <w:keepNext/>
                    <w:keepLines/>
                    <w:widowControl w:val="0"/>
                    <w:suppressAutoHyphens/>
                    <w:spacing w:line="252" w:lineRule="auto"/>
                    <w:jc w:val="center"/>
                    <w:rPr>
                      <w:b/>
                      <w:bCs/>
                      <w:caps/>
                      <w:color w:val="000000"/>
                      <w:szCs w:val="32"/>
                    </w:rPr>
                  </w:pPr>
                  <w:sdt>
                    <w:sdtPr>
                      <w:alias w:val="Numeris"/>
                      <w:tag w:val="nr_950c980121c44c76b6fd7ab7a620232a"/>
                      <w:lock w:val="sdtLocked"/>
                      <w:richText/>
                    </w:sdtPr>
                    <w:sdtContent>
                      <w:r>
                        <w:rPr>
                          <w:b/>
                          <w:bCs/>
                          <w:caps/>
                          <w:color w:val="000000"/>
                          <w:szCs w:val="32"/>
                          <w:lang w:eastAsia="lt-LT"/>
                        </w:rPr>
                        <w:t>ketvirtasIS</w:t>
                      </w:r>
                    </w:sdtContent>
                  </w:sdt>
                  <w:r>
                    <w:rPr>
                      <w:b/>
                      <w:bCs/>
                      <w:caps/>
                      <w:color w:val="000000"/>
                      <w:szCs w:val="32"/>
                    </w:rPr>
                    <w:t xml:space="preserve"> skirsnis </w:t>
                  </w:r>
                </w:p>
                <w:p>
                  <w:pPr>
                    <w:keepNext/>
                    <w:keepLines/>
                    <w:widowControl w:val="0"/>
                    <w:suppressAutoHyphens/>
                    <w:spacing w:line="252" w:lineRule="auto"/>
                    <w:jc w:val="center"/>
                    <w:rPr>
                      <w:b/>
                      <w:bCs/>
                      <w:caps/>
                      <w:color w:val="000000"/>
                      <w:szCs w:val="32"/>
                      <w:lang w:eastAsia="lt-LT"/>
                    </w:rPr>
                  </w:pPr>
                  <w:sdt>
                    <w:sdtPr>
                      <w:alias w:val="Pavadinimas"/>
                      <w:tag w:val="title_950c980121c44c76b6fd7ab7a620232a"/>
                      <w:lock w:val="sdtLocked"/>
                      <w:richText/>
                    </w:sdtPr>
                    <w:sdtContent>
                      <w:r>
                        <w:rPr>
                          <w:b/>
                          <w:bCs/>
                          <w:caps/>
                          <w:color w:val="000000"/>
                          <w:szCs w:val="32"/>
                          <w:lang w:eastAsia="lt-LT"/>
                        </w:rPr>
                        <w:t>ENERGIJOS kaupimo ĮRENGINIŲ PRIJUNGIMO prie operatorių elektros tinklų ĮKAINIŲ NUSTATYMO TVARKA</w:t>
                      </w:r>
                    </w:sdtContent>
                  </w:sdt>
                </w:p>
                <w:p>
                  <w:pPr>
                    <w:spacing w:line="252" w:lineRule="auto"/>
                    <w:rPr>
                      <w:b/>
                      <w:caps/>
                      <w:color w:val="000000"/>
                      <w:szCs w:val="24"/>
                      <w:lang w:eastAsia="lt-LT"/>
                    </w:rPr>
                  </w:pPr>
                </w:p>
                <w:sdt>
                  <w:sdtPr>
                    <w:alias w:val="39 p."/>
                    <w:tag w:val="part_28d57cdecd4b4ddd96aa85358fff2105"/>
                    <w:lock w:val="sdtLocked"/>
                    <w:richText/>
                  </w:sdtPr>
                  <w:sdtContent>
                    <w:p>
                      <w:pPr>
                        <w:spacing w:line="252" w:lineRule="auto"/>
                        <w:ind w:firstLine="720"/>
                        <w:jc w:val="both"/>
                        <w:rPr>
                          <w:color w:val="000000"/>
                          <w:lang w:eastAsia="lt-LT"/>
                        </w:rPr>
                      </w:pPr>
                      <w:sdt>
                        <w:sdtPr>
                          <w:alias w:val="Numeris"/>
                          <w:tag w:val="nr_28d57cdecd4b4ddd96aa85358fff2105"/>
                          <w:lock w:val="sdtLocked"/>
                          <w:richText/>
                        </w:sdtPr>
                        <w:sdtContent>
                          <w:r>
                            <w:rPr>
                              <w:color w:val="000000"/>
                              <w:lang w:eastAsia="lt-LT"/>
                            </w:rPr>
                            <w:t>39</w:t>
                          </w:r>
                        </w:sdtContent>
                      </w:sdt>
                      <w:r>
                        <w:rPr>
                          <w:color w:val="000000"/>
                          <w:lang w:eastAsia="lt-LT"/>
                        </w:rPr>
                        <w:t>.</w:t>
                        <w:tab/>
                      </w:r>
                      <w:r>
                        <w:rPr>
                          <w:rFonts w:eastAsia="Arial"/>
                          <w:color w:val="000000"/>
                          <w:lang w:eastAsia="lt-LT"/>
                        </w:rPr>
                        <w:t>Asmeniui, pageidaujančiam prijungti energijos kaupimo įrenginius prie perdavimo tinklo, ir perdavimo sistemos operatoriui teisės aktų nustatyta tvarka pasirašius prijungimo prie elektros tinklų paslaugos suteikimo sutartį, asmuo, pageidaujantis prijungti energijos kaupimo įrenginius, su perdavimo sistemos operatoriaus pritarimu ar perdavimo sistemos operatorius organizuoja viešąjį pirkimą šio asmens energijos kaupimo įrenginių prijungimo prie elektros tinklo darbų rangovui išrinkti. Operatoriui pateikiant energijos kaupimo įrenginio savininkui (valdytojui) informaciją apie apskaičiuotą prijungimo įmoką, taikomos Metodikos 8.2.5 – 8.2.6 papunkčių nuostatos. Jei viešąjį pirkimą energijos kaupimo įrenginių prijungimo prie perdavimo tinklo darbų rangovui išrinkti organizuoja ne asmuo, pageidaujantis prijungti energijos kaupimo įrenginius, o perdavimo sistemos operatorius, prie kurio tinklo energijos kaupimo įrenginiai yra prijungiami, perdavimo sistemos operatorius šio asmens prašymu, Apraše nustatyta tvarka privalo šiam asmeniui pateikti detalią informaciją, susijusią su viešuoju pirkimu ir rangos darbų vykdymu</w:t>
                      </w:r>
                      <w:r>
                        <w:rPr>
                          <w:color w:val="000000"/>
                          <w:szCs w:val="24"/>
                          <w:lang w:eastAsia="lt-LT"/>
                        </w:rPr>
                        <w:t xml:space="preserve"> bei kitą su prijungimu tiesiogiai susijusią informaciją</w:t>
                      </w:r>
                      <w:r>
                        <w:rPr>
                          <w:rFonts w:eastAsia="Arial"/>
                          <w:color w:val="000000"/>
                          <w:lang w:eastAsia="lt-LT"/>
                        </w:rPr>
                        <w:t>.</w:t>
                      </w:r>
                    </w:p>
                  </w:sdtContent>
                </w:sdt>
                <w:sdt>
                  <w:sdtPr>
                    <w:alias w:val="40 p."/>
                    <w:tag w:val="part_444caecccc374086bfc6ebde3293cce1"/>
                    <w:lock w:val="sdtLocked"/>
                    <w:richText/>
                  </w:sdtPr>
                  <w:sdtContent>
                    <w:p>
                      <w:pPr>
                        <w:spacing w:line="252" w:lineRule="auto"/>
                        <w:ind w:firstLine="720"/>
                        <w:jc w:val="both"/>
                        <w:rPr>
                          <w:rFonts w:eastAsia="Arial"/>
                          <w:color w:val="000000"/>
                          <w:bdr w:val="nil"/>
                          <w:lang w:eastAsia="lt-LT"/>
                        </w:rPr>
                      </w:pPr>
                      <w:sdt>
                        <w:sdtPr>
                          <w:alias w:val="Numeris"/>
                          <w:tag w:val="nr_444caecccc374086bfc6ebde3293cce1"/>
                          <w:lock w:val="sdtLocked"/>
                          <w:richText/>
                        </w:sdtPr>
                        <w:sdtContent>
                          <w:r>
                            <w:rPr>
                              <w:rFonts w:eastAsia="Arial"/>
                              <w:color w:val="000000"/>
                              <w:bdr w:val="nil"/>
                              <w:lang w:eastAsia="lt-LT"/>
                            </w:rPr>
                            <w:t>40</w:t>
                          </w:r>
                        </w:sdtContent>
                      </w:sdt>
                      <w:r>
                        <w:rPr>
                          <w:rFonts w:eastAsia="Arial"/>
                          <w:color w:val="000000"/>
                          <w:bdr w:val="nil"/>
                          <w:lang w:eastAsia="lt-LT"/>
                        </w:rPr>
                        <w:t>.</w:t>
                        <w:tab/>
                        <w:t xml:space="preserve">Asmenų, pageidaujančių prijungti energijos kaupimo įrenginius, energijos kaupimo įrenginių prijungimo paslaugos prie tinklų kaina (prijungimo įmoka) nustatoma pagal rangovo, laimėjusio skirstomųjų tinklų operatoriaus, o, kai energijos kaupimo įrenginiai prijungiami prie perdavimo tinklo, perdavimo sistemos operatoriaus arba asmens, pageidaujančio prijungti energijos kaupimo įrenginius prie perdavimo tinklo, paskelbtą viešąjį pirkimą dėl šio asmens energijos kaupimo įrenginių prijungimo prie tinklų, atliktų rangos darbų ir sunaudotų medžiagų bei kitų operatoriaus išlaidų, tiesiogiai susijusių su energijos kaupimo įrenginių prijungimu (pvz., </w:t>
                      </w:r>
                      <w:r>
                        <w:rPr>
                          <w:color w:val="000000"/>
                        </w:rPr>
                        <w:t>kapitalizuotų darbuotojų darbo užmokesčio sąnaudų, kurios nebuvo įvertintos skirstymo ar perdavimo paslaugų kainose, </w:t>
                      </w:r>
                      <w:r>
                        <w:rPr>
                          <w:rFonts w:eastAsia="Arial"/>
                          <w:color w:val="000000"/>
                          <w:bdr w:val="nil"/>
                          <w:lang w:eastAsia="lt-LT"/>
                        </w:rPr>
                        <w:t xml:space="preserve">išlaidų valstybės institucijų leidimams, pažymoms, notarinių sandorių sudarymui, servituto registravimui, archeologiniams tyrinėjimams, </w:t>
                      </w:r>
                      <w:r>
                        <w:rPr>
                          <w:color w:val="000000"/>
                        </w:rPr>
                        <w:t>projektavimo darbams</w:t>
                      </w:r>
                      <w:r>
                        <w:rPr>
                          <w:rFonts w:eastAsia="Arial"/>
                          <w:color w:val="000000"/>
                          <w:bdr w:val="nil"/>
                          <w:lang w:eastAsia="lt-LT"/>
                        </w:rPr>
                        <w:t>, techninei priežiūrai, techninio prižiūrėtojo draudimui, projekto ekspertizei) faktinę kainą. Kai asmuo pageidauja prijungti energijos kaupimo įrenginius prie skirstomųjų tinklų, skirstomųjų tinklų operatorius gali pasitelkti viešųjų pirkimų būdu atrinktus rangovus, su kuriais yra sudarytos ilgalaikės rangos darbų sutartys.</w:t>
                      </w:r>
                    </w:p>
                  </w:sdtContent>
                </w:sdt>
                <w:sdt>
                  <w:sdtPr>
                    <w:alias w:val="41 p."/>
                    <w:tag w:val="part_a92b5b9e292042d99f6ee256a5046e5f"/>
                    <w:lock w:val="sdtLocked"/>
                    <w:richText/>
                  </w:sdtPr>
                  <w:sdtContent>
                    <w:p>
                      <w:pPr>
                        <w:spacing w:line="252" w:lineRule="auto"/>
                        <w:ind w:firstLine="720"/>
                        <w:jc w:val="both"/>
                        <w:rPr>
                          <w:color w:val="000000"/>
                        </w:rPr>
                      </w:pPr>
                      <w:sdt>
                        <w:sdtPr>
                          <w:alias w:val="Numeris"/>
                          <w:tag w:val="nr_a92b5b9e292042d99f6ee256a5046e5f"/>
                          <w:lock w:val="sdtLocked"/>
                          <w:richText/>
                        </w:sdtPr>
                        <w:sdtContent>
                          <w:r>
                            <w:rPr>
                              <w:color w:val="000000"/>
                            </w:rPr>
                            <w:t>41</w:t>
                          </w:r>
                        </w:sdtContent>
                      </w:sdt>
                      <w:r>
                        <w:rPr>
                          <w:color w:val="000000"/>
                        </w:rPr>
                        <w:t>.</w:t>
                        <w:tab/>
                      </w:r>
                      <w:r>
                        <w:rPr>
                          <w:rFonts w:eastAsia="Arial"/>
                          <w:color w:val="000000"/>
                          <w:lang w:eastAsia="lt-LT"/>
                        </w:rPr>
                        <w:t xml:space="preserve">Asmuo, kurio energijos kaupimo įrenginiams prijungti prie elektros tinklo reikia įrengti transformatorių pastotes, transformatorines, skirstomuosius punktus, kuris pageidauja, suderinęs su skirstomųjų tinklų operatoriumi, įrengti šiuos elektros tinklus ir organizuoti jų įrengimo darbus, moka 100 proc. </w:t>
                      </w:r>
                      <w:r>
                        <w:rPr>
                          <w:color w:val="000000"/>
                          <w:lang w:eastAsia="lt-LT"/>
                        </w:rPr>
                        <w:t xml:space="preserve">skirstomųjų tinklų įrengimo sąnaudų. </w:t>
                      </w:r>
                      <w:r>
                        <w:rPr>
                          <w:color w:val="000000"/>
                        </w:rPr>
                        <w:t>Atlikti skirstomųjų tinklų įrengimo darbai laikomi prijungimo prie skirstomųjų tinklų paslaugos dalimi ir yra laikomi skirstomųjų tinklų operatoriaus nuosavybe. Prie šių skirstomųjų tinklų prijungiant kitų tinklų naudotojų įrenginius, už jų įrengimą ir (ar) naudojimą šių skirstomųjų tinklų įrengimą atlikusiems asmenims neatlyginama.</w:t>
                      </w:r>
                    </w:p>
                  </w:sdtContent>
                </w:sdt>
                <w:sdt>
                  <w:sdtPr>
                    <w:alias w:val="42 p."/>
                    <w:tag w:val="part_c63c616dd4b4440dbabe873b1f75f2c6"/>
                    <w:lock w:val="sdtLocked"/>
                    <w:richText/>
                  </w:sdtPr>
                  <w:sdtContent>
                    <w:p>
                      <w:pPr>
                        <w:spacing w:line="252" w:lineRule="auto"/>
                        <w:ind w:firstLine="720"/>
                        <w:jc w:val="both"/>
                        <w:rPr>
                          <w:color w:val="000000"/>
                        </w:rPr>
                      </w:pPr>
                      <w:sdt>
                        <w:sdtPr>
                          <w:alias w:val="Numeris"/>
                          <w:tag w:val="nr_c63c616dd4b4440dbabe873b1f75f2c6"/>
                          <w:lock w:val="sdtLocked"/>
                          <w:richText/>
                        </w:sdtPr>
                        <w:sdtContent>
                          <w:r>
                            <w:rPr>
                              <w:color w:val="000000"/>
                            </w:rPr>
                            <w:t>42</w:t>
                          </w:r>
                        </w:sdtContent>
                      </w:sdt>
                      <w:r>
                        <w:rPr>
                          <w:color w:val="000000"/>
                        </w:rPr>
                        <w:t>.</w:t>
                        <w:tab/>
                        <w:t xml:space="preserve">Asmenys, išskyrus 41 punkte nurodytus, už energijos kaupimo įrenginių prijungimą moka šia tvarka: </w:t>
                      </w:r>
                    </w:p>
                    <w:sdt>
                      <w:sdtPr>
                        <w:alias w:val="42.1 pp."/>
                        <w:tag w:val="part_bf639954c7db4e069a8077d0b07599e7"/>
                        <w:lock w:val="sdtLocked"/>
                        <w:richText/>
                      </w:sdtPr>
                      <w:sdtContent>
                        <w:p>
                          <w:pPr>
                            <w:spacing w:line="252" w:lineRule="auto"/>
                            <w:ind w:firstLine="720"/>
                            <w:jc w:val="both"/>
                            <w:rPr>
                              <w:color w:val="000000"/>
                            </w:rPr>
                          </w:pPr>
                          <w:sdt>
                            <w:sdtPr>
                              <w:alias w:val="Numeris"/>
                              <w:tag w:val="nr_bf639954c7db4e069a8077d0b07599e7"/>
                              <w:lock w:val="sdtLocked"/>
                              <w:richText/>
                            </w:sdtPr>
                            <w:sdtContent>
                              <w:r>
                                <w:rPr>
                                  <w:color w:val="000000"/>
                                </w:rPr>
                                <w:t>42.1</w:t>
                              </w:r>
                            </w:sdtContent>
                          </w:sdt>
                          <w:r>
                            <w:rPr>
                              <w:color w:val="000000"/>
                            </w:rPr>
                            <w:t>.</w:t>
                            <w:tab/>
                            <w:t xml:space="preserve">kai energijos kaupimo įrenginys prijungiamas tame pačiame prijungimo taške kaip jau prie elektros tinklų prijungta esamo gamintojo ar gaminančio vartotojo elektrinė  ir yra didinama bendra objekto leistina generuoti galia, laikytina, kad elektros energija iš energijos kaupimo įrenginio elektros energija bus grąžinama į elektros tinklus, ir asmuo moka 100 proc. skirstomųjų tinklų įrengimo sąnaudų (faktinių išlaidų);</w:t>
                          </w:r>
                        </w:p>
                      </w:sdtContent>
                    </w:sdt>
                    <w:sdt>
                      <w:sdtPr>
                        <w:alias w:val="42.2 pp."/>
                        <w:tag w:val="part_e819293872924efb9bd2a2fdbd505547"/>
                        <w:lock w:val="sdtLocked"/>
                        <w:richText/>
                      </w:sdtPr>
                      <w:sdtContent>
                        <w:p>
                          <w:pPr>
                            <w:spacing w:line="252" w:lineRule="auto"/>
                            <w:ind w:firstLine="720"/>
                            <w:jc w:val="both"/>
                            <w:rPr>
                              <w:color w:val="000000"/>
                            </w:rPr>
                          </w:pPr>
                          <w:sdt>
                            <w:sdtPr>
                              <w:alias w:val="Numeris"/>
                              <w:tag w:val="nr_e819293872924efb9bd2a2fdbd505547"/>
                              <w:lock w:val="sdtLocked"/>
                              <w:richText/>
                            </w:sdtPr>
                            <w:sdtContent>
                              <w:r>
                                <w:rPr>
                                  <w:color w:val="000000"/>
                                </w:rPr>
                                <w:t>42.2</w:t>
                              </w:r>
                            </w:sdtContent>
                          </w:sdt>
                          <w:r>
                            <w:rPr>
                              <w:color w:val="000000"/>
                            </w:rPr>
                            <w:t>.</w:t>
                            <w:tab/>
                            <w:t>kai tame pačiame prijungimo taške vienu metu prijungiama elektrinė ir energijos kaupimo įrenginys ir jų bendra leistina generuoti galia didesnė nei elektrinės (be energijos kaupimo įrenginio) įrengtoji galia, laikytina, kad elektros energija iš energijos kaupimo įrenginio elektros energija bus grąžinama į elektros tinklus, ir asmuo moka 100 proc. skirstomųjų tinklų įrengimo sąnaudų (faktinių išlaidų);</w:t>
                          </w:r>
                        </w:p>
                      </w:sdtContent>
                    </w:sdt>
                    <w:sdt>
                      <w:sdtPr>
                        <w:alias w:val="42.3 pp."/>
                        <w:tag w:val="part_7834de78e7dc4bd081b090e11a9f392e"/>
                        <w:lock w:val="sdtLocked"/>
                        <w:richText/>
                      </w:sdtPr>
                      <w:sdtContent>
                        <w:p>
                          <w:pPr>
                            <w:spacing w:line="252" w:lineRule="auto"/>
                            <w:ind w:firstLine="720"/>
                            <w:jc w:val="both"/>
                            <w:rPr>
                              <w:color w:val="000000"/>
                            </w:rPr>
                          </w:pPr>
                          <w:sdt>
                            <w:sdtPr>
                              <w:alias w:val="Numeris"/>
                              <w:tag w:val="nr_7834de78e7dc4bd081b090e11a9f392e"/>
                              <w:lock w:val="sdtLocked"/>
                              <w:richText/>
                            </w:sdtPr>
                            <w:sdtContent>
                              <w:r>
                                <w:rPr>
                                  <w:color w:val="000000"/>
                                </w:rPr>
                                <w:t>42.3</w:t>
                              </w:r>
                            </w:sdtContent>
                          </w:sdt>
                          <w:r>
                            <w:rPr>
                              <w:color w:val="000000"/>
                            </w:rPr>
                            <w:t>.</w:t>
                            <w:tab/>
                            <w:t>kai tame pačiame prijungimo taške, kuriame yra prijungta ar yra prijungiama gamintojo ar gaminančio vartotojo elektrinė ir energijos kaupimo įrenginys, leistina generuoti galia lygi 0 kW, laikytina, kad elektros energija iš energijos kaupimo įrenginio elektros energija nebus grąžinama į elektros tinklus (bus naudojama tik vartojimo tikslams), asmuo apmoka 50 proc. skirstomųjų tinklų įrengimo sąnaudų (faktinių išlaidų);</w:t>
                          </w:r>
                        </w:p>
                      </w:sdtContent>
                    </w:sdt>
                    <w:sdt>
                      <w:sdtPr>
                        <w:alias w:val="42.4 pp."/>
                        <w:tag w:val="part_36bee8d00cc3411fb3a27fa363406ad0"/>
                        <w:lock w:val="sdtLocked"/>
                        <w:richText/>
                      </w:sdtPr>
                      <w:sdtContent>
                        <w:p>
                          <w:pPr>
                            <w:spacing w:line="252" w:lineRule="auto"/>
                            <w:ind w:firstLine="720"/>
                            <w:jc w:val="both"/>
                            <w:rPr>
                              <w:color w:val="000000"/>
                            </w:rPr>
                          </w:pPr>
                          <w:sdt>
                            <w:sdtPr>
                              <w:alias w:val="Numeris"/>
                              <w:tag w:val="nr_36bee8d00cc3411fb3a27fa363406ad0"/>
                              <w:lock w:val="sdtLocked"/>
                              <w:richText/>
                            </w:sdtPr>
                            <w:sdtContent>
                              <w:r>
                                <w:rPr>
                                  <w:color w:val="000000"/>
                                </w:rPr>
                                <w:t>42.4</w:t>
                              </w:r>
                            </w:sdtContent>
                          </w:sdt>
                          <w:r>
                            <w:rPr>
                              <w:color w:val="000000"/>
                            </w:rPr>
                            <w:t>.</w:t>
                            <w:tab/>
                            <w:t xml:space="preserve">kai energijos kaupimo įrenginys prijungiamas tame pačiame prijungimo taške  kartu su gamintojo ar gaminančio vartotojo elektrine ir nedidinama (nekeičiama) leistina generuoti galia, kuri yra didesnė už 0 kW, laikytina, kad elektros energija iš energijos kaupimo įrenginio bus grąžinama į elektros tinklus ir asmuo moka 100 proc. skirstomųjų tinklų įrengimo sąnaudų (faktinių išlaidų);</w:t>
                          </w:r>
                        </w:p>
                      </w:sdtContent>
                    </w:sdt>
                    <w:sdt>
                      <w:sdtPr>
                        <w:alias w:val="42.5 pp."/>
                        <w:tag w:val="part_f94989f014214558ae105c8814d8cc97"/>
                        <w:lock w:val="sdtLocked"/>
                        <w:richText/>
                      </w:sdtPr>
                      <w:sdtContent>
                        <w:p>
                          <w:pPr>
                            <w:spacing w:line="252" w:lineRule="auto"/>
                            <w:ind w:firstLine="720"/>
                            <w:jc w:val="both"/>
                            <w:rPr>
                              <w:color w:val="000000"/>
                            </w:rPr>
                          </w:pPr>
                          <w:sdt>
                            <w:sdtPr>
                              <w:alias w:val="Numeris"/>
                              <w:tag w:val="nr_f94989f014214558ae105c8814d8cc97"/>
                              <w:lock w:val="sdtLocked"/>
                              <w:richText/>
                            </w:sdtPr>
                            <w:sdtContent>
                              <w:r>
                                <w:rPr>
                                  <w:color w:val="000000"/>
                                </w:rPr>
                                <w:t>42.5</w:t>
                              </w:r>
                            </w:sdtContent>
                          </w:sdt>
                          <w:r>
                            <w:rPr>
                              <w:color w:val="000000"/>
                            </w:rPr>
                            <w:t>.</w:t>
                            <w:tab/>
                            <w:t xml:space="preserve">kai energijos kaupimo įrenginys prie elektros tinklų prijungiamas atskirame nei elektrinė prijungimo taške bei kitais nei 42.1–42.4 papunkčiuose nurodytais atvejais asmuo </w:t>
                          </w:r>
                          <w:r>
                            <w:rPr>
                              <w:rFonts w:eastAsia="Arial"/>
                              <w:color w:val="000000"/>
                              <w:lang w:eastAsia="lt-LT"/>
                            </w:rPr>
                            <w:t xml:space="preserve">moka 100 proc. </w:t>
                          </w:r>
                          <w:r>
                            <w:rPr>
                              <w:color w:val="000000"/>
                              <w:lang w:eastAsia="lt-LT"/>
                            </w:rPr>
                            <w:t xml:space="preserve">skirstomųjų tinklų įrengimo sąnaudų (faktinių išlaidų), </w:t>
                          </w:r>
                          <w:r>
                            <w:rPr>
                              <w:color w:val="000000"/>
                            </w:rPr>
                            <w:t>jeigu elektros energija ar jos dalis, persiunčiama energijos kaupimo įrenginiams įkrauti, vėliau bus grąžinama į skirstomųjų tinklų operatorių elektros tinklus, o. jeigu elektros energija bus persiunčiama tik energijos kaupimo įrenginiams įkrauti ir bus naudojama tik vartojimo tikslams, asmenys moka 50 proc. skirstomųjų tinklų įrengimo sąnaudų (faktinių išlaidų). Tuo atveju, jeigu energijos kaupimo įrenginį numatoma naudoti abiem tikslams – elektros energijai grąžinti į tinklus ir vartojimo tikslams, apmokama 100 proc. skirstomųjų tinklų įrengimo sąnaudų (faktinių išlaidų).</w:t>
                          </w:r>
                        </w:p>
                      </w:sdtContent>
                    </w:sdt>
                  </w:sdtContent>
                </w:sdt>
                <w:sdt>
                  <w:sdtPr>
                    <w:alias w:val="43 p."/>
                    <w:tag w:val="part_bc6bc81aa018430db55cd20f0c9a87f7"/>
                    <w:lock w:val="sdtLocked"/>
                    <w:richText/>
                  </w:sdtPr>
                  <w:sdtContent>
                    <w:p>
                      <w:pPr>
                        <w:spacing w:line="252" w:lineRule="auto"/>
                        <w:ind w:firstLine="709"/>
                        <w:jc w:val="both"/>
                        <w:rPr>
                          <w:color w:val="000000"/>
                          <w:lang w:eastAsia="lt-LT"/>
                        </w:rPr>
                      </w:pPr>
                      <w:sdt>
                        <w:sdtPr>
                          <w:alias w:val="Numeris"/>
                          <w:tag w:val="nr_bc6bc81aa018430db55cd20f0c9a87f7"/>
                          <w:lock w:val="sdtLocked"/>
                          <w:richText/>
                        </w:sdtPr>
                        <w:sdtContent>
                          <w:r>
                            <w:rPr>
                              <w:color w:val="000000"/>
                              <w:lang w:eastAsia="lt-LT"/>
                            </w:rPr>
                            <w:t>43</w:t>
                          </w:r>
                        </w:sdtContent>
                      </w:sdt>
                      <w:r>
                        <w:rPr>
                          <w:color w:val="000000"/>
                          <w:lang w:eastAsia="lt-LT"/>
                        </w:rPr>
                        <w:t>.</w:t>
                        <w:tab/>
                        <w:t>Asmuo, kurio energijos kaupimo įrenginiai jungiami tiesiogiai prie perdavimo tinklo, moka 100 proc. faktinės prijungimo prie tinklo kainos (prijungimo įmokos). Prijungimo įmoka dengiama asmens, pageidaujančio prijungti energijos kaupimo įrenginius, mokėjimais rangovui, laimėjusiam šio asmens paskelbtą viešąjį pirkimą, kai energijos kaupimo įrenginius įrengiantis asmuo teisės aktų nustatyta tvarka organizuoja viešąjį pirkimą šio asmens energijos kaupimo įrenginių prijungimo prie tinklo darbų rangovui išrinkti.</w:t>
                      </w:r>
                    </w:p>
                  </w:sdtContent>
                </w:sdt>
                <w:sdt>
                  <w:sdtPr>
                    <w:alias w:val="44 p."/>
                    <w:tag w:val="part_9f4c5820f33940158ff02b898d9efa32"/>
                    <w:lock w:val="sdtLocked"/>
                    <w:richText/>
                  </w:sdtPr>
                  <w:sdtContent>
                    <w:p>
                      <w:pPr>
                        <w:spacing w:line="252" w:lineRule="auto"/>
                        <w:ind w:firstLine="720"/>
                        <w:jc w:val="both"/>
                        <w:rPr>
                          <w:color w:val="000000"/>
                          <w:szCs w:val="24"/>
                          <w:lang w:eastAsia="lt-LT"/>
                        </w:rPr>
                      </w:pPr>
                      <w:sdt>
                        <w:sdtPr>
                          <w:alias w:val="Numeris"/>
                          <w:tag w:val="nr_9f4c5820f33940158ff02b898d9efa32"/>
                          <w:lock w:val="sdtLocked"/>
                          <w:richText/>
                        </w:sdtPr>
                        <w:sdtContent>
                          <w:r>
                            <w:rPr>
                              <w:color w:val="000000"/>
                              <w:szCs w:val="24"/>
                              <w:lang w:eastAsia="lt-LT"/>
                            </w:rPr>
                            <w:t>44</w:t>
                          </w:r>
                        </w:sdtContent>
                      </w:sdt>
                      <w:r>
                        <w:rPr>
                          <w:color w:val="000000"/>
                          <w:szCs w:val="24"/>
                          <w:lang w:eastAsia="lt-LT"/>
                        </w:rPr>
                        <w:t>.</w:t>
                        <w:tab/>
                        <w:t>Išlaidas, patiriamas dėl asmens, pageidaujančio prijungti energijos kaupimo įrenginius, pasirinkto kito, nei operatorius nustatė prijungimo sąlygose, prijungimo taško, apmoka asmuo, pageidaujantis prijungti energijos kaupimo įrenginius.</w:t>
                      </w:r>
                    </w:p>
                  </w:sdtContent>
                </w:sdt>
                <w:sdt>
                  <w:sdtPr>
                    <w:alias w:val="45 p."/>
                    <w:tag w:val="part_29c616b1e9e84b26ad43abc03515fc5c"/>
                    <w:lock w:val="sdtLocked"/>
                    <w:richText/>
                  </w:sdtPr>
                  <w:sdtContent>
                    <w:p>
                      <w:pPr>
                        <w:spacing w:line="252" w:lineRule="auto"/>
                        <w:ind w:firstLine="720"/>
                        <w:jc w:val="both"/>
                        <w:rPr>
                          <w:color w:val="000000"/>
                          <w:szCs w:val="24"/>
                        </w:rPr>
                      </w:pPr>
                      <w:sdt>
                        <w:sdtPr>
                          <w:alias w:val="Numeris"/>
                          <w:tag w:val="nr_29c616b1e9e84b26ad43abc03515fc5c"/>
                          <w:lock w:val="sdtLocked"/>
                          <w:richText/>
                        </w:sdtPr>
                        <w:sdtContent>
                          <w:r>
                            <w:rPr>
                              <w:color w:val="000000"/>
                              <w:szCs w:val="24"/>
                            </w:rPr>
                            <w:t>45</w:t>
                          </w:r>
                        </w:sdtContent>
                      </w:sdt>
                      <w:r>
                        <w:rPr>
                          <w:color w:val="000000"/>
                          <w:szCs w:val="24"/>
                        </w:rPr>
                        <w:t>.</w:t>
                        <w:tab/>
                      </w:r>
                      <w:r>
                        <w:rPr>
                          <w:color w:val="000000"/>
                          <w:szCs w:val="24"/>
                          <w:lang w:eastAsia="lt-LT"/>
                        </w:rPr>
                        <w:t>Operatoriai teisės aktų nustatyta tvarka teikia suinteresuotiems asmenims visą informaciją, susijusią su energijos kaupimo įrenginių prijungimu prie elektros tinklų, įskaitant techninius reikalavimus, prijungimo terminus ir (ar) informaciją apie reikalingas investicijas.</w:t>
                      </w:r>
                      <w:r>
                        <w:rPr>
                          <w:color w:val="000000"/>
                          <w:szCs w:val="24"/>
                        </w:rPr>
                        <w:t xml:space="preserve"> </w:t>
                      </w:r>
                    </w:p>
                  </w:sdtContent>
                </w:sdt>
                <w:sdt>
                  <w:sdtPr>
                    <w:alias w:val="46 p."/>
                    <w:tag w:val="part_ee6d70fe56e740cca9b036430ea1a73f"/>
                    <w:lock w:val="sdtLocked"/>
                    <w:richText/>
                  </w:sdtPr>
                  <w:sdtContent>
                    <w:p>
                      <w:pPr>
                        <w:spacing w:line="252" w:lineRule="auto"/>
                        <w:ind w:firstLine="720"/>
                        <w:jc w:val="both"/>
                        <w:rPr>
                          <w:color w:val="000000"/>
                        </w:rPr>
                      </w:pPr>
                      <w:sdt>
                        <w:sdtPr>
                          <w:alias w:val="Numeris"/>
                          <w:tag w:val="nr_ee6d70fe56e740cca9b036430ea1a73f"/>
                          <w:lock w:val="sdtLocked"/>
                          <w:richText/>
                        </w:sdtPr>
                        <w:sdtContent>
                          <w:r>
                            <w:rPr>
                              <w:color w:val="000000"/>
                            </w:rPr>
                            <w:t>46</w:t>
                          </w:r>
                        </w:sdtContent>
                      </w:sdt>
                      <w:r>
                        <w:rPr>
                          <w:color w:val="000000"/>
                        </w:rPr>
                        <w:t>.</w:t>
                        <w:tab/>
                        <w:t>Energijos kaupimo įrenginių savininkui, pageidaujančiam rekonstruoti ar perkelti skirstomuosius tinklus, kliudančius statinių statybai ar dėl kitų priežasčių, taikomos Metodikos 10.14 papunkčio nuostatos.</w:t>
                      </w:r>
                    </w:p>
                  </w:sdtContent>
                </w:sdt>
                <w:sdt>
                  <w:sdtPr>
                    <w:alias w:val="47 p."/>
                    <w:tag w:val="part_bccdb68575ce4d1e8bc0cc85c64ce98e"/>
                    <w:lock w:val="sdtLocked"/>
                    <w:richText/>
                  </w:sdtPr>
                  <w:sdtContent>
                    <w:p>
                      <w:pPr>
                        <w:spacing w:line="252" w:lineRule="auto"/>
                        <w:ind w:firstLine="720"/>
                        <w:jc w:val="both"/>
                      </w:pPr>
                      <w:sdt>
                        <w:sdtPr>
                          <w:alias w:val="Numeris"/>
                          <w:tag w:val="nr_bccdb68575ce4d1e8bc0cc85c64ce98e"/>
                          <w:lock w:val="sdtLocked"/>
                          <w:richText/>
                        </w:sdtPr>
                        <w:sdtContent>
                          <w:r>
                            <w:rPr>
                              <w:color w:val="000000"/>
                              <w:szCs w:val="24"/>
                            </w:rPr>
                            <w:t>47</w:t>
                          </w:r>
                        </w:sdtContent>
                      </w:sdt>
                      <w:r>
                        <w:rPr>
                          <w:color w:val="000000"/>
                          <w:szCs w:val="24"/>
                        </w:rPr>
                        <w:t>.</w:t>
                        <w:tab/>
                      </w:r>
                      <w:r>
                        <w:rPr>
                          <w:szCs w:val="24"/>
                        </w:rPr>
                        <w:t>Apskaičiuota prijungimo įmoka, operatoriui pabaigus prijungimo paslaugos teikimą, gali būti perskaičiuojama prijungimo prie elektros tinklų paslaugos suteikimo sutartyje nustatytais atvejais. Tuo atveju, kai projektavimo darbus organizuoja operatorius, taikomos Metodikos 8.2.4.1-8.2.4.2 papunkčių nuostatos.</w:t>
                      </w:r>
                    </w:p>
                  </w:sdtContent>
                </w:sdt>
                <w:sdt>
                  <w:sdtPr>
                    <w:alias w:val="47-1 p."/>
                    <w:tag w:val="part_ba9f51833afa45f4b213b184cda2f29f"/>
                    <w:lock w:val="sdtLocked"/>
                    <w:richText/>
                  </w:sdtPr>
                  <w:sdtContent>
                    <w:p>
                      <w:pPr>
                        <w:tabs>
                          <w:tab w:val="left" w:pos="709"/>
                          <w:tab w:val="left" w:pos="1134"/>
                        </w:tabs>
                        <w:ind w:firstLine="709"/>
                        <w:jc w:val="both"/>
                        <w:rPr>
                          <w:color w:val="000000"/>
                        </w:rPr>
                      </w:pPr>
                      <w:sdt>
                        <w:sdtPr>
                          <w:alias w:val="Numeris"/>
                          <w:tag w:val="nr_ba9f51833afa45f4b213b184cda2f29f"/>
                          <w:lock w:val="sdtLocked"/>
                          <w:richText/>
                        </w:sdtPr>
                        <w:sdtContent>
                          <w:r>
                            <w:rPr>
                              <w:kern w:val="2"/>
                              <w:szCs w:val="24"/>
                              <w:lang w:eastAsia="zh-TW"/>
                            </w:rPr>
                            <w:t>47</w:t>
                          </w:r>
                          <w:r>
                            <w:rPr>
                              <w:kern w:val="2"/>
                              <w:szCs w:val="24"/>
                              <w:vertAlign w:val="superscript"/>
                              <w:lang w:eastAsia="zh-TW"/>
                            </w:rPr>
                            <w:t>1</w:t>
                          </w:r>
                        </w:sdtContent>
                      </w:sdt>
                      <w:r>
                        <w:rPr>
                          <w:kern w:val="2"/>
                          <w:szCs w:val="24"/>
                          <w:lang w:eastAsia="zh-TW"/>
                        </w:rPr>
                        <w:t xml:space="preserve">. Kai asmenys, prijungę energijos kaupimo įrenginius, siekia mažinti energijos kaupimo įrenginių leistiną naudoti galią, už kurios suteikimą ar padidinimą apmokėjo mažiau nei 100 proc. skirstomųjų elektros tinklų įrengimo sąnaudų, </w:t>
                      </w:r>
                      <w:r>
                        <w:rPr>
                          <w:i/>
                          <w:iCs/>
                          <w:kern w:val="2"/>
                          <w:szCs w:val="24"/>
                          <w:lang w:eastAsia="zh-TW"/>
                        </w:rPr>
                        <w:t>mutatis mutandis</w:t>
                      </w:r>
                      <w:r>
                        <w:rPr>
                          <w:kern w:val="2"/>
                          <w:szCs w:val="24"/>
                          <w:lang w:eastAsia="zh-TW"/>
                        </w:rPr>
                        <w:t xml:space="preserve"> taikomos Metodikos 10.21 papunkčio ir 14–16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3f786e62b11f08918e1adc7c5b1ec">
                        <w:r w:rsidRPr="00532B9F">
                          <w:rPr>
                            <w:rFonts w:ascii="Times New Roman" w:eastAsia="MS Mincho" w:hAnsi="Times New Roman"/>
                            <w:sz w:val="20"/>
                            <w:i/>
                            <w:iCs/>
                            <w:color w:val="0000FF" w:themeColor="hyperlink"/>
                            <w:u w:val="single"/>
                          </w:rPr>
                          <w:t>O3E-1957</w:t>
                        </w:r>
                      </w:fldSimple>
                      <w:r>
                        <w:rPr>
                          <w:rFonts w:ascii="Times New Roman" w:eastAsia="MS Mincho" w:hAnsi="Times New Roman"/>
                          <w:sz w:val="20"/>
                          <w:i/>
                          <w:iCs/>
                        </w:rPr>
                        <w:t>,
2025-12-31,
paskelbta TAR 2025-12-31, i. k. 2025-23136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89fb6395011f180c9c618618421ed">
                        <w:r w:rsidRPr="00532B9F">
                          <w:rPr>
                            <w:rFonts w:ascii="Times New Roman" w:eastAsia="MS Mincho" w:hAnsi="Times New Roman"/>
                            <w:sz w:val="20"/>
                            <w:i/>
                            <w:iCs/>
                            <w:color w:val="0000FF" w:themeColor="hyperlink"/>
                            <w:u w:val="single"/>
                          </w:rPr>
                          <w:t>O3-401</w:t>
                        </w:r>
                      </w:fldSimple>
                      <w:r>
                        <w:rPr>
                          <w:rFonts w:ascii="Times New Roman" w:eastAsia="MS Mincho" w:hAnsi="Times New Roman"/>
                          <w:sz w:val="20"/>
                          <w:i/>
                          <w:iCs/>
                        </w:rPr>
                        <w:t>,
2026-04-16,
paskelbta TAR 2026-04-16, i. k. 2026-06165            </w:t>
                      </w:r>
                    </w:p>
                    <w:p/>
                  </w:sdtContent>
                </w:sdt>
              </w:sdtContent>
            </w:sdt>
            <w:sdt>
              <w:sdtPr>
                <w:alias w:val="skirsnis"/>
                <w:tag w:val="part_5f23502591eb4feabec605f5c989a00f"/>
                <w:lock w:val="sdtLocked"/>
                <w:richText/>
              </w:sdtPr>
              <w:sdtContent>
                <w:p>
                  <w:pPr>
                    <w:spacing w:line="252" w:lineRule="auto"/>
                    <w:jc w:val="center"/>
                    <w:rPr>
                      <w:b/>
                      <w:bCs/>
                      <w:color w:val="000000"/>
                    </w:rPr>
                  </w:pPr>
                  <w:sdt>
                    <w:sdtPr>
                      <w:alias w:val="Numeris"/>
                      <w:tag w:val="nr_5f23502591eb4feabec605f5c989a00f"/>
                      <w:lock w:val="sdtLocked"/>
                      <w:richText/>
                    </w:sdtPr>
                    <w:sdtContent>
                      <w:r>
                        <w:rPr>
                          <w:b/>
                          <w:bCs/>
                          <w:color w:val="000000"/>
                        </w:rPr>
                        <w:t>PENKTASIS</w:t>
                      </w:r>
                    </w:sdtContent>
                  </w:sdt>
                  <w:r>
                    <w:rPr>
                      <w:b/>
                      <w:bCs/>
                      <w:color w:val="000000"/>
                    </w:rPr>
                    <w:t xml:space="preserve"> SKIRSNIS</w:t>
                  </w:r>
                </w:p>
                <w:p>
                  <w:pPr>
                    <w:spacing w:line="252" w:lineRule="auto"/>
                    <w:ind w:firstLine="720"/>
                    <w:jc w:val="center"/>
                    <w:rPr>
                      <w:b/>
                      <w:bCs/>
                      <w:color w:val="000000"/>
                    </w:rPr>
                  </w:pPr>
                  <w:sdt>
                    <w:sdtPr>
                      <w:alias w:val="Pavadinimas"/>
                      <w:tag w:val="title_5f23502591eb4feabec605f5c989a00f"/>
                      <w:lock w:val="sdtLocked"/>
                      <w:richText/>
                    </w:sdtPr>
                    <w:sdtContent>
                      <w:r>
                        <w:rPr>
                          <w:b/>
                          <w:bCs/>
                          <w:color w:val="000000"/>
                        </w:rPr>
                        <w:t>ELEKTROS TINKLŲ PLĖTROS KAINOS TAIKYMAS JUNGIANT GAMINTOJŲ, GAMINANČIŲ VARTOTOJŲ ĮRENGINIUS IR ENERGIJOS KAUPIMO ĮRENGINIUS</w:t>
                      </w:r>
                    </w:sdtContent>
                  </w:sdt>
                </w:p>
                <w:p>
                  <w:pPr>
                    <w:spacing w:line="252" w:lineRule="auto"/>
                    <w:ind w:firstLine="851"/>
                    <w:rPr>
                      <w:color w:val="000000"/>
                    </w:rPr>
                  </w:pPr>
                </w:p>
                <w:sdt>
                  <w:sdtPr>
                    <w:alias w:val="48 p."/>
                    <w:tag w:val="part_c63a19113b794561ab7af5db0bf7b107"/>
                    <w:lock w:val="sdtLocked"/>
                    <w:richText/>
                  </w:sdtPr>
                  <w:sdtContent>
                    <w:p>
                      <w:pPr>
                        <w:ind w:firstLine="720"/>
                        <w:jc w:val="both"/>
                        <w:rPr>
                          <w:color w:val="000000"/>
                        </w:rPr>
                      </w:pPr>
                      <w:sdt>
                        <w:sdtPr>
                          <w:alias w:val="Numeris"/>
                          <w:tag w:val="nr_c63a19113b794561ab7af5db0bf7b107"/>
                          <w:lock w:val="sdtLocked"/>
                          <w:richText/>
                        </w:sdtPr>
                        <w:sdtContent>
                          <w:r>
                            <w:rPr>
                              <w:color w:val="000000"/>
                            </w:rPr>
                            <w:t>48</w:t>
                          </w:r>
                        </w:sdtContent>
                      </w:sdt>
                      <w:r>
                        <w:rPr>
                          <w:color w:val="000000"/>
                        </w:rPr>
                        <w:t>.</w:t>
                        <w:tab/>
                        <w:t>Kai prie elektros tinklo jungiami subjektų, nurodytų šio skyriaus pirmajame, antrajame, trečiajame ir ketvirtajame skirsniuose (gamintojų, naudojančių neatsinaujinančius energijos išteklius ir naudojančių atsinaujinančius energijos išteklius, asmenų, siekiančių prijungti energijos kaupimo įrenginius, gaminančių vartotojų) elektros įrenginiai, ir šių subjektų įrenginiams prijungti būtina atlikti plėtros, rekonstrukcijos, keitimo ar panašius techninio parengimo darbus skirstomajame tinkle (110-35/10 kV transformatorių pastotės, 10 kV skirstomieji punktai) ir perdavimo tinkle (330-110 kV transformatorių pastotės, 330-110 kV elektros linijos), prijungiantis skirstomojo tinklo operatorius organizuoja viešąjį pirkimą elektros energijos įrenginių prijungimo prie skirstomojo tinklo darbų rangovui išrinkti, perdavimo tinklo operatorius atitinkamai organizuoja viešąjį pirkimą plėtros, rekonstrukcijos, keitimo ar panašių techninio parengimo darbų atlikimo perdavimo tinkle rangovui išrinkti. Šiame punkte nurodyti subjektai už elektros tinklų plėtros, rekonstrukcijos, keitimo ar panašius techninio parengimo darbus skirstomajame tinkle (110-35/10 kV transformatorių pastotės, 10 kV skirstomieji punktai) ir perdavimo tinkle (330-110 kV transformatorių pastotės, 330-110 kV elektros linijos) apmoka šia tvarka:</w:t>
                      </w:r>
                    </w:p>
                    <w:sdt>
                      <w:sdtPr>
                        <w:alias w:val="48.1 pp."/>
                        <w:tag w:val="part_17f5811ca2a349acb47c90a1a6972e01"/>
                        <w:lock w:val="sdtLocked"/>
                        <w:richText/>
                      </w:sdtPr>
                      <w:sdtContent>
                        <w:p>
                          <w:pPr>
                            <w:ind w:firstLine="720"/>
                            <w:jc w:val="both"/>
                            <w:rPr>
                              <w:color w:val="000000"/>
                            </w:rPr>
                          </w:pPr>
                          <w:sdt>
                            <w:sdtPr>
                              <w:alias w:val="Numeris"/>
                              <w:tag w:val="nr_17f5811ca2a349acb47c90a1a6972e01"/>
                              <w:lock w:val="sdtLocked"/>
                              <w:richText/>
                            </w:sdtPr>
                            <w:sdtContent>
                              <w:r>
                                <w:rPr>
                                  <w:color w:val="000000"/>
                                </w:rPr>
                                <w:t>48.1</w:t>
                              </w:r>
                            </w:sdtContent>
                          </w:sdt>
                          <w:r>
                            <w:rPr>
                              <w:color w:val="000000"/>
                            </w:rPr>
                            <w:t>.</w:t>
                            <w:tab/>
                            <w:t>gamintojams, naudojantiems neatsinaujinančius energijos išteklius, elektros tinklų plėtros kaina apskaičiuojama pagal Metodikos 23 punkte nurodytą išlaidų padengimo procentinį dydį;</w:t>
                          </w:r>
                        </w:p>
                      </w:sdtContent>
                    </w:sdt>
                    <w:sdt>
                      <w:sdtPr>
                        <w:alias w:val="48.2 pp."/>
                        <w:tag w:val="part_44688fe3e4474352894b396a75cf51d6"/>
                        <w:lock w:val="sdtLocked"/>
                        <w:richText/>
                      </w:sdtPr>
                      <w:sdtContent>
                        <w:p>
                          <w:pPr>
                            <w:ind w:firstLine="720"/>
                            <w:jc w:val="both"/>
                            <w:rPr>
                              <w:color w:val="000000"/>
                            </w:rPr>
                          </w:pPr>
                          <w:sdt>
                            <w:sdtPr>
                              <w:alias w:val="Numeris"/>
                              <w:tag w:val="nr_44688fe3e4474352894b396a75cf51d6"/>
                              <w:lock w:val="sdtLocked"/>
                              <w:richText/>
                            </w:sdtPr>
                            <w:sdtContent>
                              <w:r>
                                <w:rPr>
                                  <w:color w:val="000000"/>
                                </w:rPr>
                                <w:t>48.2</w:t>
                              </w:r>
                            </w:sdtContent>
                          </w:sdt>
                          <w:r>
                            <w:rPr>
                              <w:color w:val="000000"/>
                            </w:rPr>
                            <w:t>.</w:t>
                            <w:tab/>
                            <w:t>gamintojams, naudojantiems atsinaujinančius energijos išteklius, elektros tinklų plėtros kaina apskaičiuojama pagal Metodikos 35 punkte nurodytą išlaidų padengimo procentinį dydį;</w:t>
                          </w:r>
                        </w:p>
                      </w:sdtContent>
                    </w:sdt>
                    <w:sdt>
                      <w:sdtPr>
                        <w:alias w:val="48.3 pp."/>
                        <w:tag w:val="part_796979dc169b405d8c25038f74f67ae3"/>
                        <w:lock w:val="sdtLocked"/>
                        <w:richText/>
                      </w:sdtPr>
                      <w:sdtContent>
                        <w:p>
                          <w:pPr>
                            <w:ind w:firstLine="720"/>
                            <w:jc w:val="both"/>
                            <w:rPr>
                              <w:color w:val="000000"/>
                            </w:rPr>
                          </w:pPr>
                          <w:sdt>
                            <w:sdtPr>
                              <w:alias w:val="Numeris"/>
                              <w:tag w:val="nr_796979dc169b405d8c25038f74f67ae3"/>
                              <w:lock w:val="sdtLocked"/>
                              <w:richText/>
                            </w:sdtPr>
                            <w:sdtContent>
                              <w:r>
                                <w:rPr>
                                  <w:color w:val="000000"/>
                                </w:rPr>
                                <w:t>48.3</w:t>
                              </w:r>
                            </w:sdtContent>
                          </w:sdt>
                          <w:r>
                            <w:rPr>
                              <w:color w:val="000000"/>
                            </w:rPr>
                            <w:t>.</w:t>
                            <w:tab/>
                            <w:t>gaminantiems vartotojams elektros tinklų plėtros kaina apskaičiuojama atitinkamai pagal Metodikos 26 punkte nurodytus išlaidų padengimo procentinius dydžius;</w:t>
                          </w:r>
                        </w:p>
                      </w:sdtContent>
                    </w:sdt>
                    <w:sdt>
                      <w:sdtPr>
                        <w:alias w:val="48.4 pp."/>
                        <w:tag w:val="part_7e8ca5bcba97456180ab9ca674f5717d"/>
                        <w:lock w:val="sdtLocked"/>
                        <w:richText/>
                      </w:sdtPr>
                      <w:sdtContent>
                        <w:p>
                          <w:pPr>
                            <w:ind w:firstLine="720"/>
                            <w:jc w:val="both"/>
                            <w:rPr>
                              <w:color w:val="000000"/>
                            </w:rPr>
                          </w:pPr>
                          <w:sdt>
                            <w:sdtPr>
                              <w:alias w:val="Numeris"/>
                              <w:tag w:val="nr_7e8ca5bcba97456180ab9ca674f5717d"/>
                              <w:lock w:val="sdtLocked"/>
                              <w:richText/>
                            </w:sdtPr>
                            <w:sdtContent>
                              <w:r>
                                <w:rPr>
                                  <w:color w:val="000000"/>
                                </w:rPr>
                                <w:t>48.4</w:t>
                              </w:r>
                            </w:sdtContent>
                          </w:sdt>
                          <w:r>
                            <w:rPr>
                              <w:color w:val="000000"/>
                            </w:rPr>
                            <w:t>.</w:t>
                            <w:tab/>
                            <w:t xml:space="preserve">elektros kaupimo įrenginių savininkams elektros tinklų plėtros kaina apskaičiuojama, atitinkamai pagal Metodikos 42 punkte nurodytus išlaidų padengimo procentinius dydžius. </w:t>
                          </w:r>
                        </w:p>
                        <w:p>
                          <w:pPr>
                            <w:spacing w:line="252" w:lineRule="auto"/>
                            <w:rPr>
                              <w:color w:val="000000"/>
                            </w:rPr>
                          </w:pPr>
                        </w:p>
                      </w:sdtContent>
                    </w:sdt>
                  </w:sdtContent>
                </w:sdt>
              </w:sdtContent>
            </w:sdt>
          </w:sdtContent>
        </w:sdt>
        <w:sdt>
          <w:sdtPr>
            <w:alias w:val="skyrius"/>
            <w:tag w:val="part_b9c01b09163a41ef89a2892eecce8158"/>
            <w:lock w:val="sdtLocked"/>
            <w:richText/>
          </w:sdtPr>
          <w:sdtContent>
            <w:p>
              <w:pPr>
                <w:keepNext/>
                <w:keepLines/>
                <w:widowControl w:val="0"/>
                <w:suppressAutoHyphens/>
                <w:spacing w:line="252" w:lineRule="auto"/>
                <w:jc w:val="center"/>
                <w:rPr>
                  <w:b/>
                  <w:bCs/>
                  <w:caps/>
                  <w:color w:val="000000"/>
                  <w:szCs w:val="32"/>
                </w:rPr>
              </w:pPr>
              <w:sdt>
                <w:sdtPr>
                  <w:alias w:val="Numeris"/>
                  <w:tag w:val="nr_b9c01b09163a41ef89a2892eecce8158"/>
                  <w:lock w:val="sdtLocked"/>
                  <w:richText/>
                </w:sdtPr>
                <w:sdtContent>
                  <w:r>
                    <w:rPr>
                      <w:b/>
                      <w:bCs/>
                      <w:caps/>
                      <w:color w:val="000000"/>
                      <w:szCs w:val="32"/>
                    </w:rPr>
                    <w:t>IV</w:t>
                  </w:r>
                </w:sdtContent>
              </w:sdt>
              <w:r>
                <w:rPr>
                  <w:b/>
                  <w:bCs/>
                  <w:caps/>
                  <w:color w:val="000000"/>
                  <w:szCs w:val="32"/>
                </w:rPr>
                <w:t xml:space="preserve"> SKYRIUS</w:t>
              </w:r>
            </w:p>
            <w:p>
              <w:pPr>
                <w:keepNext/>
                <w:keepLines/>
                <w:widowControl w:val="0"/>
                <w:suppressAutoHyphens/>
                <w:spacing w:line="252" w:lineRule="auto"/>
                <w:jc w:val="center"/>
                <w:rPr>
                  <w:b/>
                  <w:bCs/>
                  <w:caps/>
                  <w:color w:val="000000"/>
                  <w:szCs w:val="24"/>
                </w:rPr>
              </w:pPr>
              <w:sdt>
                <w:sdtPr>
                  <w:alias w:val="Pavadinimas"/>
                  <w:tag w:val="title_b9c01b09163a41ef89a2892eecce8158"/>
                  <w:lock w:val="sdtLocked"/>
                  <w:richText/>
                </w:sdtPr>
                <w:sdtContent>
                  <w:r>
                    <w:rPr>
                      <w:b/>
                      <w:bCs/>
                      <w:caps/>
                      <w:color w:val="000000"/>
                      <w:szCs w:val="32"/>
                    </w:rPr>
                    <w:t>REIKALAVIMAI, SUSIJĘ SU VARTOTOJŲ ELEKTROS ENERGIJOS ĮRENGINIŲ PRIJUNGIMO ĮKAINIŲ NUSTATYMU</w:t>
                  </w:r>
                </w:sdtContent>
              </w:sdt>
            </w:p>
            <w:p>
              <w:pPr>
                <w:spacing w:line="252" w:lineRule="auto"/>
                <w:jc w:val="both"/>
                <w:rPr>
                  <w:color w:val="000000"/>
                  <w:szCs w:val="24"/>
                </w:rPr>
              </w:pPr>
            </w:p>
            <w:sdt>
              <w:sdtPr>
                <w:alias w:val="49 p."/>
                <w:tag w:val="part_473de46ba4ee4bd2995c8856580e07ee"/>
                <w:lock w:val="sdtLocked"/>
                <w:richText/>
              </w:sdtPr>
              <w:sdtContent>
                <w:p>
                  <w:pPr>
                    <w:spacing w:line="252" w:lineRule="auto"/>
                    <w:ind w:firstLine="720"/>
                    <w:jc w:val="both"/>
                    <w:rPr>
                      <w:color w:val="000000"/>
                    </w:rPr>
                  </w:pPr>
                  <w:sdt>
                    <w:sdtPr>
                      <w:alias w:val="Numeris"/>
                      <w:tag w:val="nr_473de46ba4ee4bd2995c8856580e07ee"/>
                      <w:lock w:val="sdtLocked"/>
                      <w:richText/>
                    </w:sdtPr>
                    <w:sdtContent>
                      <w:r>
                        <w:rPr>
                          <w:color w:val="000000"/>
                        </w:rPr>
                        <w:t>49</w:t>
                      </w:r>
                    </w:sdtContent>
                  </w:sdt>
                  <w:r>
                    <w:rPr>
                      <w:color w:val="000000"/>
                    </w:rPr>
                    <w:t>.</w:t>
                    <w:tab/>
                  </w:r>
                  <w:r>
                    <w:rPr>
                      <w:color w:val="000000"/>
                      <w:lang w:eastAsia="lt-LT"/>
                    </w:rPr>
                    <w:t>Skirstomųjų</w:t>
                  </w:r>
                  <w:r>
                    <w:rPr>
                      <w:color w:val="000000"/>
                    </w:rPr>
                    <w:t xml:space="preserve"> tinklų operatorius kiekvienų einamųjų metų III ketvirčiui pasibaigus per 30  kalendorinių dienų pagal Metodikos priede nurodytas formas (1, 2 ir 3 priedai) teikia Tarybai:</w:t>
                  </w:r>
                </w:p>
                <w:sdt>
                  <w:sdtPr>
                    <w:alias w:val="49.1 pp."/>
                    <w:tag w:val="part_fd177f8cf6ec41efa79e21b9fe93792e"/>
                    <w:lock w:val="sdtLocked"/>
                    <w:richText/>
                  </w:sdtPr>
                  <w:sdtContent>
                    <w:p>
                      <w:pPr>
                        <w:spacing w:line="252" w:lineRule="auto"/>
                        <w:ind w:firstLine="720"/>
                        <w:jc w:val="both"/>
                        <w:rPr>
                          <w:color w:val="000000"/>
                        </w:rPr>
                      </w:pPr>
                      <w:sdt>
                        <w:sdtPr>
                          <w:alias w:val="Numeris"/>
                          <w:tag w:val="nr_fd177f8cf6ec41efa79e21b9fe93792e"/>
                          <w:lock w:val="sdtLocked"/>
                          <w:richText/>
                        </w:sdtPr>
                        <w:sdtContent>
                          <w:r>
                            <w:rPr>
                              <w:color w:val="000000"/>
                            </w:rPr>
                            <w:t>49.1</w:t>
                          </w:r>
                        </w:sdtContent>
                      </w:sdt>
                      <w:r>
                        <w:rPr>
                          <w:color w:val="000000"/>
                        </w:rPr>
                        <w:t>.</w:t>
                        <w:tab/>
                        <w:t>faktinių prijungimo išlaidų ataskaitą už einamųjų metų tris ketvirčius ir praėjusių metų paskutinį ketvirtį su paaiškinimais dėl įkainių pokyčių, lyginant su nustatytais;</w:t>
                      </w:r>
                    </w:p>
                  </w:sdtContent>
                </w:sdt>
                <w:sdt>
                  <w:sdtPr>
                    <w:alias w:val="49.2 pp."/>
                    <w:tag w:val="part_817035c3b71c43ac93bd4545eb028ad9"/>
                    <w:lock w:val="sdtLocked"/>
                    <w:richText/>
                  </w:sdtPr>
                  <w:sdtContent>
                    <w:p>
                      <w:pPr>
                        <w:spacing w:line="252" w:lineRule="auto"/>
                        <w:ind w:firstLine="720"/>
                        <w:jc w:val="both"/>
                        <w:rPr>
                          <w:color w:val="000000"/>
                        </w:rPr>
                      </w:pPr>
                      <w:sdt>
                        <w:sdtPr>
                          <w:alias w:val="Numeris"/>
                          <w:tag w:val="nr_817035c3b71c43ac93bd4545eb028ad9"/>
                          <w:lock w:val="sdtLocked"/>
                          <w:richText/>
                        </w:sdtPr>
                        <w:sdtContent>
                          <w:r>
                            <w:rPr>
                              <w:color w:val="000000"/>
                            </w:rPr>
                            <w:t>49.2</w:t>
                          </w:r>
                        </w:sdtContent>
                      </w:sdt>
                      <w:r>
                        <w:rPr>
                          <w:color w:val="000000"/>
                        </w:rPr>
                        <w:t>.</w:t>
                        <w:tab/>
                        <w:t>detalų rangovų darbų, skirtų leistinai naudoti galiai įrengti, elektros tinklui nutiesti ir projektui parengti, kainų per paskutinių dvejų metų atitinkamus laikotarpius palyginimą;</w:t>
                      </w:r>
                    </w:p>
                  </w:sdtContent>
                </w:sdt>
                <w:sdt>
                  <w:sdtPr>
                    <w:alias w:val="49.3 pp."/>
                    <w:tag w:val="part_4c0b6d8acb9746a7ace161abf7c37e7d"/>
                    <w:lock w:val="sdtLocked"/>
                    <w:richText/>
                  </w:sdtPr>
                  <w:sdtContent>
                    <w:p>
                      <w:pPr>
                        <w:spacing w:line="252" w:lineRule="auto"/>
                        <w:ind w:firstLine="720"/>
                        <w:jc w:val="both"/>
                        <w:rPr>
                          <w:color w:val="000000"/>
                        </w:rPr>
                      </w:pPr>
                      <w:sdt>
                        <w:sdtPr>
                          <w:alias w:val="Numeris"/>
                          <w:tag w:val="nr_4c0b6d8acb9746a7ace161abf7c37e7d"/>
                          <w:lock w:val="sdtLocked"/>
                          <w:richText/>
                        </w:sdtPr>
                        <w:sdtContent>
                          <w:r>
                            <w:rPr>
                              <w:color w:val="000000"/>
                            </w:rPr>
                            <w:t>49.3</w:t>
                          </w:r>
                        </w:sdtContent>
                      </w:sdt>
                      <w:r>
                        <w:rPr>
                          <w:color w:val="000000"/>
                        </w:rPr>
                        <w:t>.</w:t>
                        <w:tab/>
                        <w:t>detalią elektros tinklų plėtros išlaidų ataskaitą už einamųjų metų tris ketvirčius ir praėjusių metų paskutinį ketvirtį, kurioje pateikiamos elektros tinklų plėtros, kai tokia reikalinga prie elektros tinklų jungiant vartotojų įrenginius, investicijos, medžiagų ir darbų išlaidos.</w:t>
                      </w:r>
                    </w:p>
                  </w:sdtContent>
                </w:sdt>
              </w:sdtContent>
            </w:sdt>
            <w:sdt>
              <w:sdtPr>
                <w:alias w:val="50 p."/>
                <w:tag w:val="part_93e5373f3fd54edea200efbad6fca0f0"/>
                <w:lock w:val="sdtLocked"/>
                <w:richText/>
              </w:sdtPr>
              <w:sdtContent>
                <w:p>
                  <w:pPr>
                    <w:spacing w:line="252" w:lineRule="auto"/>
                    <w:ind w:firstLine="720"/>
                    <w:jc w:val="both"/>
                    <w:rPr>
                      <w:rFonts w:cs="TimesLT"/>
                      <w:color w:val="000000"/>
                      <w:szCs w:val="24"/>
                    </w:rPr>
                  </w:pPr>
                  <w:sdt>
                    <w:sdtPr>
                      <w:alias w:val="Numeris"/>
                      <w:tag w:val="nr_93e5373f3fd54edea200efbad6fca0f0"/>
                      <w:lock w:val="sdtLocked"/>
                      <w:richText/>
                    </w:sdtPr>
                    <w:sdtContent>
                      <w:r>
                        <w:rPr>
                          <w:rFonts w:cs="TimesLT"/>
                          <w:color w:val="000000"/>
                          <w:szCs w:val="24"/>
                        </w:rPr>
                        <w:t>50</w:t>
                      </w:r>
                    </w:sdtContent>
                  </w:sdt>
                  <w:r>
                    <w:rPr>
                      <w:rFonts w:cs="TimesLT"/>
                      <w:color w:val="000000"/>
                      <w:szCs w:val="24"/>
                    </w:rPr>
                    <w:t>.</w:t>
                    <w:tab/>
                    <w:t>Taryba, apskaičiuodama prijungimo įkainius, įvertina tik tas faktines operatoriaus sąnaudas, kurios yra susijusios su vartotojų prijungimu.</w:t>
                  </w:r>
                </w:p>
              </w:sdtContent>
            </w:sdt>
            <w:sdt>
              <w:sdtPr>
                <w:alias w:val="51 p."/>
                <w:tag w:val="part_b257ebc86fed4fd2b01d00ec322f6ec9"/>
                <w:lock w:val="sdtLocked"/>
                <w:richText/>
              </w:sdtPr>
              <w:sdtContent>
                <w:p>
                  <w:pPr>
                    <w:spacing w:line="252" w:lineRule="auto"/>
                    <w:ind w:firstLine="720"/>
                    <w:jc w:val="both"/>
                    <w:rPr>
                      <w:rFonts w:cs="TimesLT"/>
                      <w:color w:val="000000"/>
                      <w:szCs w:val="24"/>
                    </w:rPr>
                  </w:pPr>
                  <w:sdt>
                    <w:sdtPr>
                      <w:alias w:val="Numeris"/>
                      <w:tag w:val="nr_b257ebc86fed4fd2b01d00ec322f6ec9"/>
                      <w:lock w:val="sdtLocked"/>
                      <w:richText/>
                    </w:sdtPr>
                    <w:sdtContent>
                      <w:r>
                        <w:rPr>
                          <w:rFonts w:cs="TimesLT"/>
                          <w:color w:val="000000"/>
                          <w:szCs w:val="24"/>
                        </w:rPr>
                        <w:t>51</w:t>
                      </w:r>
                    </w:sdtContent>
                  </w:sdt>
                  <w:r>
                    <w:rPr>
                      <w:rFonts w:cs="TimesLT"/>
                      <w:color w:val="000000"/>
                      <w:szCs w:val="24"/>
                    </w:rPr>
                    <w:t>.</w:t>
                    <w:tab/>
                    <w:t>Taryba ne vėliau kaip iki einamųjų kalendorinių metų lapkričio 30 d. apskaičiuoja, tvirtina ir savo interneto tinklalapyje skelbia ateinančių metų vartotojų įrenginių prijungimo įkainius ir maksimalius kompensuotinus skirstomųjų elektros tinklų projektavimo dydžius arba motyvuotu sprendimu pratęsia Tarybos patvirtintų ir galiojančių vartotojų įrenginių prijungimo įkainių ir (ar) maksimalių kompensuotinų skirstomųjų elektros tinklų projektavimo dydžių galiojimo laikotarpį, bet ne ilgesniam 3 mėnesių laikotarpiui. Sprendimas pratęsti įkainių galiojimą gali būti motyvuojamas įstatymų nuostatų, reglamentuojančių vartotojų įrenginių prijungimo įkainių ir (ar) maksimalių kompensuotinų projektavimo dydžių nustatymą, pakeitimu, poreikiu atlikti Metodikos pokyčius esant kitų valstybinių institucijų pateiktoms išvadoms ir (ar) rekomendacijoms dėl Metodikos nuostatų tobulinimo, esant esminiams rinkos sąlygų pokyčiams, turintiems įtakos prijungimo paslaugų kainodarai, esant poreikiui įgyvendinti prijungimo kainodaros pokyčius, siekiant užtikrinti objektyvesnį prijungimo paslaugos sąnaudų apmokėjimą. Ne vėliau kaip likus 30 dienų iki pratęsto laikotarpio pabaigos, Taryba apskaičiuoja, tvirtina ir savo interneto tinklalapyje paskelbia naujus vartotojų įrenginių prijungimo įkainius ir (ar) maksimalius kompensuotinus skirstomųjų elektros tinklų projektavimo dydžius einamiesiems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52 p."/>
                <w:tag w:val="part_5b305db53d7c4537acf8860a03d8772a"/>
                <w:lock w:val="sdtLocked"/>
                <w:richText/>
              </w:sdtPr>
              <w:sdtContent>
                <w:p>
                  <w:pPr>
                    <w:pBdr>
                      <w:top w:val="nil"/>
                      <w:left w:val="nil"/>
                      <w:bottom w:val="nil"/>
                      <w:right w:val="nil"/>
                      <w:between w:val="nil"/>
                      <w:bar w:val="nil"/>
                    </w:pBdr>
                    <w:ind w:firstLine="720"/>
                    <w:jc w:val="both"/>
                    <w:rPr>
                      <w:rFonts w:eastAsia="Arial Unicode MS"/>
                      <w:szCs w:val="24"/>
                      <w:bdr w:val="nil"/>
                      <w:lang w:eastAsia="lt-LT"/>
                    </w:rPr>
                  </w:pPr>
                  <w:sdt>
                    <w:sdtPr>
                      <w:alias w:val="Numeris"/>
                      <w:tag w:val="nr_5b305db53d7c4537acf8860a03d8772a"/>
                      <w:lock w:val="sdtLocked"/>
                      <w:richText/>
                    </w:sdtPr>
                    <w:sdtContent>
                      <w:r>
                        <w:rPr>
                          <w:szCs w:val="24"/>
                          <w:lang w:eastAsia="lt-LT"/>
                        </w:rPr>
                        <w:t>52</w:t>
                      </w:r>
                    </w:sdtContent>
                  </w:sdt>
                  <w:r>
                    <w:rPr>
                      <w:szCs w:val="24"/>
                      <w:lang w:eastAsia="lt-LT"/>
                    </w:rPr>
                    <w:t xml:space="preserve">. </w:t>
                  </w:r>
                  <w:r>
                    <w:rPr>
                      <w:rFonts w:eastAsia="Arial Unicode MS"/>
                      <w:szCs w:val="24"/>
                      <w:bdr w:val="nil"/>
                      <w:lang w:eastAsia="lt-LT"/>
                    </w:rPr>
                    <w:t>Prijungimo prie elektros tinklų paslaugos suteikimo sutartims taikomi paraiškos dėl prijungimo paslaugos suteikimo gavimo dieną galiojantys Tarybos patvirtinti prijungimo įkainiai. Jei per 30 kalendorinių dienų nuo paraiškos dėl prijungimo paslaugos suteikimo gavimo įmoka už prijungimo sąlygų, išankstinių prijungimo sąlygų ar prijungimo paslaugos sutarčių, kai jose nurodomos prijungimo sąlygos, parengimo paslaugą nėra įskaitoma į tinklų operatoriaus sąskaitą, tinklų operatorius anuliuoja šią paraišką. Jei prijungimo paslaugos sutartis nėra sudaroma per 3 mėnesius nuo sutarties pateikimo vartotojui dienos ir šių 3 mėnesių laikotarpiu keičiami Tarybos nustatyti prijungimo įkainiai, prijungimo paslaugos sutarties oferta laikoma negaliojančia ir operatorius ne vėliau kaip per 5 darbo dienas pasibaigus 3 mėnesių laikotarpiui parengia atnaujintą prijungimo paslaugos sutartį, kurioje prijungimo įmoka nustatoma vadovaujantis kitą darbo dieną po 3 mėnesių termino pabaigos galiojančiais Tarybos prijungimo įkainiais.</w:t>
                  </w:r>
                  <w:r>
                    <w:rPr>
                      <w:rFonts w:eastAsia="PMingLiU"/>
                      <w:kern w:val="2"/>
                      <w:szCs w:val="24"/>
                      <w:lang w:eastAsia="zh-TW"/>
                      <w14:ligatures w14:val="standardContextual"/>
                    </w:rPr>
                    <w:t xml:space="preserve"> </w:t>
                  </w:r>
                  <w:r>
                    <w:rPr>
                      <w:rFonts w:eastAsia="Arial Unicode MS"/>
                      <w:szCs w:val="24"/>
                      <w:bdr w:val="nil"/>
                      <w:lang w:eastAsia="lt-LT"/>
                    </w:rPr>
                    <w:t>Jei prijungimo paslaugos sutartis nėra sudaroma per 3 mėnesius nuo sutarties pateikimo vartotojui dienos ir šių 3 mėnesių laikotarpiu nėra keičiami Tarybos nustatyti prijungimo įkainiai, sutarties sudarymo oferta laikoma galiojančia iki naujų Tarybos prijungimo įkainių įsigaliojimo (bet ne ilgiau nei prijungimo sąlygų galiojimo laikotarpis), o jiems įsigaliojus operatorius ne vėliau kaip per 5 darbo dienas nuo jų įsigaliojimo parengia atnaujintą prijungimo paslaugos sutartį, kurioje prijungimo įmoka nustatoma vadovaujantis naujais Tarybos prijungimo įkainiais.</w:t>
                  </w:r>
                </w:p>
                <w:p>
                  <w:pPr>
                    <w:spacing w:line="252" w:lineRule="auto"/>
                    <w:ind w:firstLine="720"/>
                    <w:jc w:val="both"/>
                  </w:pPr>
                  <w:r>
                    <w:rPr>
                      <w:rFonts w:eastAsia="Arial Unicode MS"/>
                      <w:szCs w:val="24"/>
                      <w:bdr w:val="nil"/>
                      <w:lang w:eastAsia="lt-LT"/>
                    </w:rPr>
                    <w:t>Tarybos patvirtinti vartotojų įrenginių prijungimo įkainiai ir (ar) maksimalūs kompensuotini skirstomųjų elektros tinklų projektavimo dydžiai gali būti koreguojami dėl įstatymų nuostatų, reglamentuojančių vartotojų įrenginių prijungimo įkainių ir (ar) maksimalių kompensuotinų skirstomųjų elektros tinklų projektavimo dydžių nustatymą,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
              <w:sdtPr>
                <w:alias w:val="53 p."/>
                <w:tag w:val="part_44fb386d9825412f8f72193db2d115fe"/>
                <w:lock w:val="sdtLocked"/>
                <w:richText/>
              </w:sdtPr>
              <w:sdtContent>
                <w:p>
                  <w:pPr>
                    <w:spacing w:line="252" w:lineRule="auto"/>
                    <w:ind w:firstLine="720"/>
                    <w:jc w:val="both"/>
                    <w:rPr>
                      <w:color w:val="000000"/>
                      <w:sz w:val="20"/>
                    </w:rPr>
                  </w:pPr>
                  <w:sdt>
                    <w:sdtPr>
                      <w:alias w:val="Numeris"/>
                      <w:tag w:val="nr_44fb386d9825412f8f72193db2d115fe"/>
                      <w:lock w:val="sdtLocked"/>
                      <w:richText/>
                    </w:sdtPr>
                    <w:sdtContent>
                      <w:r>
                        <w:rPr>
                          <w:color w:val="000000"/>
                          <w:szCs w:val="24"/>
                        </w:rPr>
                        <w:t>53</w:t>
                      </w:r>
                    </w:sdtContent>
                  </w:sdt>
                  <w:r>
                    <w:rPr>
                      <w:color w:val="000000"/>
                      <w:szCs w:val="24"/>
                    </w:rPr>
                    <w:t>.</w:t>
                    <w:tab/>
                    <w:t>Jeigu dėl duomenų trūkumo ar per mažos imties skirstomųjų tinklų operatoriui nėra apskaičiuoti ir patvirtinti vartotojų elektros įrenginių prijungimo įkainiai ir maksimalūs kompensuotini skirstomųjų elektros tinklų projektavimo dydžiai atitinkamiems metams, operatorius prijungimo įmoką vartotojui apskaičiuoja pagal Metodikos 10.1 ar 10.3 papunkčiuose nustatytą tvarką ir taiko didžiausią rinkos dalį užimančio operatoriaus atitinkamai vartotojų grupei nustatytus maksimalius kompensuotinus skirstomųjų elektros tinklų projektavimo dydžius, jei projektą savo lėšomis rengia prijungiamas vartotojas.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a0e1c69d2511f0a34db2fbd35a03b2">
                    <w:r w:rsidRPr="00532B9F">
                      <w:rPr>
                        <w:rFonts w:ascii="Times New Roman" w:eastAsia="MS Mincho" w:hAnsi="Times New Roman"/>
                        <w:sz w:val="20"/>
                        <w:i/>
                        <w:iCs/>
                        <w:color w:val="0000FF" w:themeColor="hyperlink"/>
                        <w:u w:val="single"/>
                      </w:rPr>
                      <w:t>O3E-1393</w:t>
                    </w:r>
                  </w:fldSimple>
                  <w:r>
                    <w:rPr>
                      <w:rFonts w:ascii="Times New Roman" w:eastAsia="MS Mincho" w:hAnsi="Times New Roman"/>
                      <w:sz w:val="20"/>
                      <w:i/>
                      <w:iCs/>
                    </w:rPr>
                    <w:t>,
2025-09-29,
paskelbta TAR 2025-09-29, i. k. 2025-16285            </w:t>
                  </w:r>
                </w:p>
                <w:p/>
              </w:sdtContent>
            </w:sdt>
          </w:sdtContent>
        </w:sdt>
        <w:sdt>
          <w:sdtPr>
            <w:alias w:val="skyrius"/>
            <w:tag w:val="part_addd88516d644556a59307c3c18d0048"/>
            <w:lock w:val="sdtLocked"/>
            <w:richText/>
          </w:sdtPr>
          <w:sdtContent>
            <w:p>
              <w:pPr>
                <w:keepNext/>
                <w:keepLines/>
                <w:widowControl w:val="0"/>
                <w:suppressAutoHyphens/>
                <w:spacing w:line="252" w:lineRule="auto"/>
                <w:jc w:val="center"/>
                <w:rPr>
                  <w:b/>
                  <w:bCs/>
                  <w:caps/>
                  <w:color w:val="000000"/>
                  <w:szCs w:val="32"/>
                  <w:lang w:eastAsia="lt-LT"/>
                </w:rPr>
              </w:pPr>
              <w:sdt>
                <w:sdtPr>
                  <w:alias w:val="Numeris"/>
                  <w:tag w:val="nr_addd88516d644556a59307c3c18d0048"/>
                  <w:lock w:val="sdtLocked"/>
                  <w:richText/>
                </w:sdtPr>
                <w:sdtContent>
                  <w:r>
                    <w:rPr>
                      <w:b/>
                      <w:caps/>
                      <w:color w:val="000000"/>
                      <w:szCs w:val="32"/>
                      <w:lang w:eastAsia="lt-LT"/>
                    </w:rPr>
                    <w:t>V</w:t>
                  </w:r>
                </w:sdtContent>
              </w:sdt>
              <w:r>
                <w:rPr>
                  <w:b/>
                  <w:bCs/>
                  <w:caps/>
                  <w:color w:val="000000"/>
                  <w:szCs w:val="32"/>
                  <w:lang w:eastAsia="lt-LT"/>
                </w:rPr>
                <w:t xml:space="preserve"> SKYRIUS</w:t>
              </w:r>
            </w:p>
            <w:p>
              <w:pPr>
                <w:keepNext/>
                <w:keepLines/>
                <w:widowControl w:val="0"/>
                <w:suppressAutoHyphens/>
                <w:spacing w:line="252" w:lineRule="auto"/>
                <w:jc w:val="center"/>
                <w:rPr>
                  <w:b/>
                  <w:bCs/>
                  <w:caps/>
                  <w:color w:val="000000"/>
                  <w:szCs w:val="32"/>
                  <w:lang w:eastAsia="lt-LT"/>
                </w:rPr>
              </w:pPr>
              <w:sdt>
                <w:sdtPr>
                  <w:alias w:val="Pavadinimas"/>
                  <w:tag w:val="title_addd88516d644556a59307c3c18d0048"/>
                  <w:lock w:val="sdtLocked"/>
                  <w:richText/>
                </w:sdtPr>
                <w:sdtContent>
                  <w:r>
                    <w:rPr>
                      <w:b/>
                      <w:bCs/>
                      <w:caps/>
                      <w:color w:val="000000"/>
                      <w:szCs w:val="32"/>
                      <w:lang w:eastAsia="lt-LT"/>
                    </w:rPr>
                    <w:t>BAIGIAMOSIOS NUOSTATOS</w:t>
                  </w:r>
                </w:sdtContent>
              </w:sdt>
            </w:p>
            <w:p>
              <w:pPr>
                <w:spacing w:line="252" w:lineRule="auto"/>
                <w:ind w:firstLine="629"/>
                <w:jc w:val="both"/>
                <w:rPr>
                  <w:color w:val="000000"/>
                  <w:szCs w:val="24"/>
                  <w:lang w:eastAsia="lt-LT"/>
                </w:rPr>
              </w:pPr>
            </w:p>
            <w:sdt>
              <w:sdtPr>
                <w:alias w:val="54 p."/>
                <w:tag w:val="part_97d8b39e8316494bb3d36fe76346fdd0"/>
                <w:lock w:val="sdtLocked"/>
                <w:richText/>
              </w:sdtPr>
              <w:sdtContent>
                <w:p>
                  <w:pPr>
                    <w:spacing w:line="252" w:lineRule="auto"/>
                    <w:ind w:firstLine="720"/>
                    <w:jc w:val="both"/>
                    <w:rPr>
                      <w:rFonts w:cs="TimesLT"/>
                      <w:color w:val="000000"/>
                      <w:szCs w:val="24"/>
                    </w:rPr>
                  </w:pPr>
                  <w:sdt>
                    <w:sdtPr>
                      <w:alias w:val="Numeris"/>
                      <w:tag w:val="nr_97d8b39e8316494bb3d36fe76346fdd0"/>
                      <w:lock w:val="sdtLocked"/>
                      <w:richText/>
                    </w:sdtPr>
                    <w:sdtContent>
                      <w:r>
                        <w:rPr>
                          <w:rFonts w:cs="TimesLT"/>
                          <w:color w:val="000000"/>
                          <w:szCs w:val="24"/>
                        </w:rPr>
                        <w:t>54</w:t>
                      </w:r>
                    </w:sdtContent>
                  </w:sdt>
                  <w:r>
                    <w:rPr>
                      <w:rFonts w:cs="TimesLT"/>
                      <w:color w:val="000000"/>
                      <w:szCs w:val="24"/>
                    </w:rPr>
                    <w:t>.</w:t>
                    <w:tab/>
                  </w:r>
                  <w:r>
                    <w:rPr>
                      <w:color w:val="000000"/>
                      <w:lang w:eastAsia="lt-LT"/>
                    </w:rPr>
                    <w:t xml:space="preserve">Taryba turi </w:t>
                  </w:r>
                  <w:r>
                    <w:rPr>
                      <w:rFonts w:cs="TimesLT"/>
                      <w:color w:val="000000"/>
                      <w:szCs w:val="24"/>
                    </w:rPr>
                    <w:t xml:space="preserve">teisę Energetikos įstatymo 25 straipsnio 1 dalies ir kitų teisės aktų nustatyta tvarka iš energetikos įmonių ar asmenų, kurių vykdoma veikla tiesiogiai ar netiesiogiai susijusi su energetikos veikla, bei valstybės institucijų gauti visą reikalingą informaciją ir dokumentus, būtinus prijungimo įkainiams apskaičiuoti ir nustatyti. </w:t>
                  </w:r>
                </w:p>
              </w:sdtContent>
            </w:sdt>
            <w:sdt>
              <w:sdtPr>
                <w:alias w:val="55 p."/>
                <w:tag w:val="part_ee3a94318ecc462a89150273610de8eb"/>
                <w:lock w:val="sdtLocked"/>
                <w:richText/>
              </w:sdtPr>
              <w:sdtContent>
                <w:p>
                  <w:pPr>
                    <w:spacing w:line="252" w:lineRule="auto"/>
                    <w:ind w:firstLine="720"/>
                    <w:jc w:val="both"/>
                    <w:rPr>
                      <w:rFonts w:cs="TimesLT"/>
                      <w:color w:val="000000"/>
                      <w:szCs w:val="24"/>
                    </w:rPr>
                  </w:pPr>
                  <w:sdt>
                    <w:sdtPr>
                      <w:alias w:val="Numeris"/>
                      <w:tag w:val="nr_ee3a94318ecc462a89150273610de8eb"/>
                      <w:lock w:val="sdtLocked"/>
                      <w:richText/>
                    </w:sdtPr>
                    <w:sdtContent>
                      <w:r>
                        <w:rPr>
                          <w:rFonts w:cs="TimesLT"/>
                          <w:color w:val="000000"/>
                          <w:szCs w:val="24"/>
                        </w:rPr>
                        <w:t>55</w:t>
                      </w:r>
                    </w:sdtContent>
                  </w:sdt>
                  <w:r>
                    <w:rPr>
                      <w:rFonts w:cs="TimesLT"/>
                      <w:color w:val="000000"/>
                      <w:szCs w:val="24"/>
                    </w:rPr>
                    <w:t>.</w:t>
                    <w:tab/>
                    <w:t>Asmenys, pažeidę šios Metodikos reikalavimus, atsako Lietuvos Respublikos įstatymų nustatyta tvarka.</w:t>
                  </w:r>
                </w:p>
              </w:sdtContent>
            </w:sdt>
            <w:sdt>
              <w:sdtPr>
                <w:alias w:val="56 p."/>
                <w:tag w:val="part_f2020e5af9704614b2f2d3a5a3a0abf7"/>
                <w:lock w:val="sdtLocked"/>
                <w:richText/>
              </w:sdtPr>
              <w:sdtContent>
                <w:p>
                  <w:pPr>
                    <w:spacing w:line="252" w:lineRule="auto"/>
                    <w:ind w:firstLine="720"/>
                    <w:jc w:val="both"/>
                    <w:rPr>
                      <w:rFonts w:eastAsia="Calibri"/>
                      <w:color w:val="000000"/>
                    </w:rPr>
                  </w:pPr>
                  <w:sdt>
                    <w:sdtPr>
                      <w:alias w:val="Numeris"/>
                      <w:tag w:val="nr_f2020e5af9704614b2f2d3a5a3a0abf7"/>
                      <w:lock w:val="sdtLocked"/>
                      <w:richText/>
                    </w:sdtPr>
                    <w:sdtContent>
                      <w:r>
                        <w:rPr>
                          <w:rFonts w:eastAsia="Calibri"/>
                          <w:color w:val="000000"/>
                        </w:rPr>
                        <w:t>56</w:t>
                      </w:r>
                    </w:sdtContent>
                  </w:sdt>
                  <w:r>
                    <w:rPr>
                      <w:rFonts w:eastAsia="Calibri"/>
                      <w:color w:val="000000"/>
                    </w:rPr>
                    <w:t>.</w:t>
                    <w:tab/>
                  </w:r>
                  <w:r>
                    <w:rPr>
                      <w:rFonts w:cs="TimesLT"/>
                      <w:color w:val="000000"/>
                      <w:szCs w:val="24"/>
                    </w:rPr>
                    <w:t>Tarybos veiksmai arba neveikimas, įgyvendinant šią Metodiką, gali būti skundžiami Lietuvos Respublikos administracinių</w:t>
                  </w:r>
                  <w:r>
                    <w:rPr>
                      <w:color w:val="000000"/>
                      <w:lang w:eastAsia="lt-LT"/>
                    </w:rPr>
                    <w:t xml:space="preserve"> bylų teisenos įstatymo nustatyta tvarka ir sąlygomis. </w:t>
                  </w:r>
                </w:p>
              </w:sdtContent>
            </w:sdt>
          </w:sdtContent>
        </w:sdt>
        <w:sdt>
          <w:sdtPr>
            <w:alias w:val="pabaiga"/>
            <w:tag w:val="part_d797a41b7c154ba4b9b6fd48ae334445"/>
            <w:lock w:val="sdtLocked"/>
            <w:richText/>
          </w:sdtPr>
          <w:sdtContent>
            <w:p>
              <w:pPr>
                <w:keepNext/>
                <w:widowControl w:val="0"/>
                <w:spacing w:line="23" w:lineRule="atLeast"/>
                <w:jc w:val="center"/>
                <w:rPr>
                  <w:color w:val="000000"/>
                </w:rPr>
              </w:pPr>
              <w:r>
                <w:rPr>
                  <w:color w:val="000000"/>
                </w:rPr>
                <w:t>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f9eb00ca6c11eea5a28c81c82193a8">
            <w:r w:rsidRPr="00532B9F">
              <w:rPr>
                <w:rFonts w:ascii="Times New Roman" w:eastAsia="MS Mincho" w:hAnsi="Times New Roman"/>
                <w:sz w:val="20"/>
                <w:i/>
                <w:iCs/>
                <w:color w:val="0000FF" w:themeColor="hyperlink"/>
                <w:u w:val="single"/>
              </w:rPr>
              <w:t>O3E-168</w:t>
            </w:r>
          </w:fldSimple>
          <w:r>
            <w:rPr>
              <w:rFonts w:ascii="Times New Roman" w:eastAsia="MS Mincho" w:hAnsi="Times New Roman"/>
              <w:sz w:val="20"/>
              <w:i/>
              <w:iCs/>
            </w:rPr>
            <w:t>,
2024-02-13,
paskelbta TAR 2024-02-13, i. k. 2024-02686            </w:t>
          </w:r>
        </w:p>
        <w:p/>
      </w:sdtContent>
    </w:sdt>
    <w:sdt>
      <w:sdtPr>
        <w:alias w:val="pr."/>
        <w:tag w:val="part_215a929bee1d4314991585f685413bbf"/>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1-3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f9eb00ca6c11eea5a28c81c82193a8">
            <w:r w:rsidRPr="00532B9F">
              <w:rPr>
                <w:rFonts w:ascii="Times New Roman" w:eastAsia="MS Mincho" w:hAnsi="Times New Roman"/>
                <w:sz w:val="20"/>
                <w:i/>
                <w:iCs/>
                <w:color w:val="0000FF" w:themeColor="hyperlink"/>
                <w:u w:val="single"/>
              </w:rPr>
              <w:t>O3E-168</w:t>
            </w:r>
          </w:fldSimple>
          <w:r>
            <w:rPr>
              <w:rFonts w:ascii="Times New Roman" w:eastAsia="MS Mincho" w:hAnsi="Times New Roman"/>
              <w:sz w:val="20"/>
              <w:i/>
              <w:iCs/>
            </w:rPr>
            <w:t>,
2024-02-13,
paskelbta TAR 2024-02-13, i. k. 2024-02686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F114DE0ABE2">
            <w:r w:rsidRPr="00532B9F">
              <w:rPr>
                <w:rFonts w:ascii="Times New Roman" w:eastAsia="MS Mincho" w:hAnsi="Times New Roman"/>
                <w:sz w:val="20"/>
                <w:iCs/>
                <w:color w:val="0000FF" w:themeColor="hyperlink"/>
                <w:u w:val="single"/>
              </w:rPr>
              <w:t>O3-248</w:t>
            </w:r>
          </w:fldSimple>
          <w:r>
            <w:rPr>
              <w:rFonts w:ascii="Times New Roman" w:eastAsia="MS Mincho" w:hAnsi="Times New Roman"/>
              <w:sz w:val="20"/>
              <w:iCs/>
            </w:rPr>
            <w:t>,
2012-09-14,
Žin., 2012, Nr.
108-5510 (2012-09-19), i. k. 112106ANUTA00O3-248                </w:t>
          </w:r>
        </w:p>
        <w:p>
          <w:pPr>
            <w:jc w:val="both"/>
            <w:rPr>
              <w:rFonts w:ascii="Times New Roman" w:hAnsi="Times New Roman"/>
            </w:rPr>
          </w:pPr>
          <w:r>
            <w:rPr>
              <w:rFonts w:ascii="Times New Roman" w:hAnsi="Times New Roman"/>
              <w:sz w:val="20"/>
            </w:rPr>
            <w:t>Dėl Valstybinės kainų ir energetikos kontrolės komisijos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A861FD53374">
            <w:r w:rsidRPr="00532B9F">
              <w:rPr>
                <w:rFonts w:ascii="Times New Roman" w:eastAsia="MS Mincho" w:hAnsi="Times New Roman"/>
                <w:sz w:val="20"/>
                <w:iCs/>
                <w:color w:val="0000FF" w:themeColor="hyperlink"/>
                <w:u w:val="single"/>
              </w:rPr>
              <w:t>O3-139</w:t>
            </w:r>
          </w:fldSimple>
          <w:r>
            <w:rPr>
              <w:rFonts w:ascii="Times New Roman" w:eastAsia="MS Mincho" w:hAnsi="Times New Roman"/>
              <w:sz w:val="20"/>
              <w:iCs/>
            </w:rPr>
            <w:t>,
2013-04-29,
Žin., 2013, Nr.
46-2315 (2013-05-07), i. k. 113106ANUTA00O3-139                </w:t>
          </w:r>
        </w:p>
        <w:p>
          <w:pPr>
            <w:jc w:val="both"/>
            <w:rPr>
              <w:rFonts w:ascii="Times New Roman" w:hAnsi="Times New Roman"/>
            </w:rPr>
          </w:pPr>
          <w:r>
            <w:rPr>
              <w:rFonts w:ascii="Times New Roman" w:hAnsi="Times New Roman"/>
              <w:sz w:val="20"/>
            </w:rPr>
            <w:t>Dėl Valstybinės kainų ir energetikos kontrolės komisijos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6BCF34DA59D">
            <w:r w:rsidRPr="00532B9F">
              <w:rPr>
                <w:rFonts w:ascii="Times New Roman" w:eastAsia="MS Mincho" w:hAnsi="Times New Roman"/>
                <w:sz w:val="20"/>
                <w:iCs/>
                <w:color w:val="0000FF" w:themeColor="hyperlink"/>
                <w:u w:val="single"/>
              </w:rPr>
              <w:t>O3-341</w:t>
            </w:r>
          </w:fldSimple>
          <w:r>
            <w:rPr>
              <w:rFonts w:ascii="Times New Roman" w:eastAsia="MS Mincho" w:hAnsi="Times New Roman"/>
              <w:sz w:val="20"/>
              <w:iCs/>
            </w:rPr>
            <w:t>,
2013-08-27,
Žin., 2013, Nr.
92-4637 (2013-08-31), i. k. 113106ANUTA00O3-341                </w:t>
          </w:r>
        </w:p>
        <w:p>
          <w:pPr>
            <w:jc w:val="both"/>
            <w:rPr>
              <w:rFonts w:ascii="Times New Roman" w:hAnsi="Times New Roman"/>
            </w:rPr>
          </w:pPr>
          <w:r>
            <w:rPr>
              <w:rFonts w:ascii="Times New Roman" w:hAnsi="Times New Roman"/>
              <w:sz w:val="20"/>
            </w:rPr>
            <w:t>Dėl Valstybinės kainų ir energetikos kontrolės komisijos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86f570487811e483c6e89f9dba57fd">
            <w:r w:rsidRPr="00532B9F">
              <w:rPr>
                <w:rFonts w:ascii="Times New Roman" w:eastAsia="MS Mincho" w:hAnsi="Times New Roman"/>
                <w:sz w:val="20"/>
                <w:iCs/>
                <w:color w:val="0000FF" w:themeColor="hyperlink"/>
                <w:u w:val="single"/>
              </w:rPr>
              <w:t>O3-819</w:t>
            </w:r>
          </w:fldSimple>
          <w:r>
            <w:rPr>
              <w:rFonts w:ascii="Times New Roman" w:eastAsia="MS Mincho" w:hAnsi="Times New Roman"/>
              <w:sz w:val="20"/>
              <w:iCs/>
            </w:rPr>
            <w:t>,
2014-09-30,
paskelbta TAR 2014-09-30, i. k. 2014-13255                </w:t>
          </w:r>
        </w:p>
        <w:p>
          <w:pPr>
            <w:jc w:val="both"/>
            <w:rPr>
              <w:rFonts w:ascii="Times New Roman" w:hAnsi="Times New Roman"/>
            </w:rPr>
          </w:pPr>
          <w:r>
            <w:rPr>
              <w:rFonts w:ascii="Times New Roman" w:hAnsi="Times New Roman"/>
              <w:sz w:val="20"/>
            </w:rPr>
            <w:t>Dėl Valstybinės kainų ir energetikos kontrolės komisijos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c8e04c02c8311e5be2eca50406acf3c">
            <w:r w:rsidRPr="00532B9F">
              <w:rPr>
                <w:rFonts w:ascii="Times New Roman" w:eastAsia="MS Mincho" w:hAnsi="Times New Roman"/>
                <w:sz w:val="20"/>
                <w:iCs/>
                <w:color w:val="0000FF" w:themeColor="hyperlink"/>
                <w:u w:val="single"/>
              </w:rPr>
              <w:t>O3-436</w:t>
            </w:r>
          </w:fldSimple>
          <w:r>
            <w:rPr>
              <w:rFonts w:ascii="Times New Roman" w:eastAsia="MS Mincho" w:hAnsi="Times New Roman"/>
              <w:sz w:val="20"/>
              <w:iCs/>
            </w:rPr>
            <w:t>,
2015-07-17,
paskelbta TAR 2015-07-20, i. k. 2015-11471                </w:t>
          </w:r>
        </w:p>
        <w:p>
          <w:pPr>
            <w:jc w:val="both"/>
            <w:rPr>
              <w:rFonts w:ascii="Times New Roman" w:hAnsi="Times New Roman"/>
            </w:rPr>
          </w:pPr>
          <w:r>
            <w:rPr>
              <w:rFonts w:ascii="Times New Roman" w:hAnsi="Times New Roman"/>
              <w:sz w:val="20"/>
            </w:rPr>
            <w:t>Dėl Valstybinės kainų ir energetikos kontrolės komisijos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e449860f79b11e880d0fe0db08fac89">
            <w:r w:rsidRPr="00532B9F">
              <w:rPr>
                <w:rFonts w:ascii="Times New Roman" w:eastAsia="MS Mincho" w:hAnsi="Times New Roman"/>
                <w:sz w:val="20"/>
                <w:iCs/>
                <w:color w:val="0000FF" w:themeColor="hyperlink"/>
                <w:u w:val="single"/>
              </w:rPr>
              <w:t>O3E-436</w:t>
            </w:r>
          </w:fldSimple>
          <w:r>
            <w:rPr>
              <w:rFonts w:ascii="Times New Roman" w:eastAsia="MS Mincho" w:hAnsi="Times New Roman"/>
              <w:sz w:val="20"/>
              <w:iCs/>
            </w:rPr>
            <w:t>,
2018-12-04,
paskelbta TAR 2018-12-04, i. k. 2018-19682                </w:t>
          </w:r>
        </w:p>
        <w:p>
          <w:pPr>
            <w:jc w:val="both"/>
            <w:rPr>
              <w:rFonts w:ascii="Times New Roman" w:hAnsi="Times New Roman"/>
            </w:rPr>
          </w:pPr>
          <w:r>
            <w:rPr>
              <w:rFonts w:ascii="Times New Roman" w:hAnsi="Times New Roman"/>
              <w:sz w:val="20"/>
            </w:rPr>
            <w:t>Dėl Valstybinės kainų ir energetikos kontrolės komisijos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71d6d0734e11eabee4a336e7e6fdab">
            <w:r w:rsidRPr="00532B9F">
              <w:rPr>
                <w:rFonts w:ascii="Times New Roman" w:eastAsia="MS Mincho" w:hAnsi="Times New Roman"/>
                <w:sz w:val="20"/>
                <w:iCs/>
                <w:color w:val="0000FF" w:themeColor="hyperlink"/>
                <w:u w:val="single"/>
              </w:rPr>
              <w:t>O3E-261</w:t>
            </w:r>
          </w:fldSimple>
          <w:r>
            <w:rPr>
              <w:rFonts w:ascii="Times New Roman" w:eastAsia="MS Mincho" w:hAnsi="Times New Roman"/>
              <w:sz w:val="20"/>
              <w:iCs/>
            </w:rPr>
            <w:t>,
2020-03-31,
paskelbta TAR 2020-03-31, i. k. 2020-06713                </w:t>
          </w:r>
        </w:p>
        <w:p>
          <w:pPr>
            <w:jc w:val="both"/>
            <w:rPr>
              <w:rFonts w:ascii="Times New Roman" w:hAnsi="Times New Roman"/>
            </w:rPr>
          </w:pPr>
          <w:r>
            <w:rPr>
              <w:rFonts w:ascii="Times New Roman" w:hAnsi="Times New Roman"/>
              <w:sz w:val="20"/>
            </w:rPr>
            <w:t>Dėl Valstybinės kainų ir energetikos kontrolės komisijos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7feac50308011eb932eb1ed7f923910">
            <w:r w:rsidRPr="00532B9F">
              <w:rPr>
                <w:rFonts w:ascii="Times New Roman" w:eastAsia="MS Mincho" w:hAnsi="Times New Roman"/>
                <w:sz w:val="20"/>
                <w:iCs/>
                <w:color w:val="0000FF" w:themeColor="hyperlink"/>
                <w:u w:val="single"/>
              </w:rPr>
              <w:t>O3E-1252</w:t>
            </w:r>
          </w:fldSimple>
          <w:r>
            <w:rPr>
              <w:rFonts w:ascii="Times New Roman" w:eastAsia="MS Mincho" w:hAnsi="Times New Roman"/>
              <w:sz w:val="20"/>
              <w:iCs/>
            </w:rPr>
            <w:t>,
2020-11-27,
paskelbta TAR 2020-11-27, i. k. 2020-25279                </w:t>
          </w:r>
        </w:p>
        <w:p>
          <w:pPr>
            <w:jc w:val="both"/>
            <w:rPr>
              <w:rFonts w:ascii="Times New Roman" w:hAnsi="Times New Roman"/>
            </w:rPr>
          </w:pPr>
          <w:r>
            <w:rPr>
              <w:rFonts w:ascii="Times New Roman" w:hAnsi="Times New Roman"/>
              <w:sz w:val="20"/>
            </w:rPr>
            <w:t>Dėl Valstybinės energetikos reguliavimo tarybos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77db304b3911eb8d9fe110e148c770">
            <w:r w:rsidRPr="00532B9F">
              <w:rPr>
                <w:rFonts w:ascii="Times New Roman" w:eastAsia="MS Mincho" w:hAnsi="Times New Roman"/>
                <w:sz w:val="20"/>
                <w:iCs/>
                <w:color w:val="0000FF" w:themeColor="hyperlink"/>
                <w:u w:val="single"/>
              </w:rPr>
              <w:t>O3E-1574</w:t>
            </w:r>
          </w:fldSimple>
          <w:r>
            <w:rPr>
              <w:rFonts w:ascii="Times New Roman" w:eastAsia="MS Mincho" w:hAnsi="Times New Roman"/>
              <w:sz w:val="20"/>
              <w:iCs/>
            </w:rPr>
            <w:t>,
2020-12-31,
paskelbta TAR 2020-12-31, i. k. 2020-29274                </w:t>
          </w:r>
        </w:p>
        <w:p>
          <w:pPr>
            <w:jc w:val="both"/>
            <w:rPr>
              <w:rFonts w:ascii="Times New Roman" w:hAnsi="Times New Roman"/>
            </w:rPr>
          </w:pPr>
          <w:r>
            <w:rPr>
              <w:rFonts w:ascii="Times New Roman" w:hAnsi="Times New Roman"/>
              <w:sz w:val="20"/>
            </w:rPr>
            <w:t>Nutarimas dėl valstybinės energetikos reguliavimo tarybos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1844d40618711eb9dc7b575f08e8bea">
            <w:r w:rsidRPr="00532B9F">
              <w:rPr>
                <w:rFonts w:ascii="Times New Roman" w:eastAsia="MS Mincho" w:hAnsi="Times New Roman"/>
                <w:sz w:val="20"/>
                <w:iCs/>
                <w:color w:val="0000FF" w:themeColor="hyperlink"/>
                <w:u w:val="single"/>
              </w:rPr>
              <w:t>O3E-104</w:t>
            </w:r>
          </w:fldSimple>
          <w:r>
            <w:rPr>
              <w:rFonts w:ascii="Times New Roman" w:eastAsia="MS Mincho" w:hAnsi="Times New Roman"/>
              <w:sz w:val="20"/>
              <w:iCs/>
            </w:rPr>
            <w:t>,
2021-01-28,
paskelbta TAR 2021-01-29, i. k. 2021-01563                </w:t>
          </w:r>
        </w:p>
        <w:p>
          <w:pPr>
            <w:jc w:val="both"/>
            <w:rPr>
              <w:rFonts w:ascii="Times New Roman" w:hAnsi="Times New Roman"/>
            </w:rPr>
          </w:pPr>
          <w:r>
            <w:rPr>
              <w:rFonts w:ascii="Times New Roman" w:hAnsi="Times New Roman"/>
              <w:sz w:val="20"/>
            </w:rPr>
            <w:t>Dėl Valstybinės energetikos reguliavimo tarybos 2020 m. gruodžio 30 d. nutarimo Nr. O3E-1574 „Dėl Valstybinės energetikos reguliavimo tarybos 2011 m. liepos 29 d. nutarimo Nr. O3-235 „Dėl Elektros energijos įrenginių prijungimo prie elektros tinklų įkainių nustatymo metodikos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1ce9e000a6311ec9f09e7df20500045">
            <w:r w:rsidRPr="00532B9F">
              <w:rPr>
                <w:rFonts w:ascii="Times New Roman" w:eastAsia="MS Mincho" w:hAnsi="Times New Roman"/>
                <w:sz w:val="20"/>
                <w:iCs/>
                <w:color w:val="0000FF" w:themeColor="hyperlink"/>
                <w:u w:val="single"/>
              </w:rPr>
              <w:t>O3E-1066</w:t>
            </w:r>
          </w:fldSimple>
          <w:r>
            <w:rPr>
              <w:rFonts w:ascii="Times New Roman" w:eastAsia="MS Mincho" w:hAnsi="Times New Roman"/>
              <w:sz w:val="20"/>
              <w:iCs/>
            </w:rPr>
            <w:t>,
2021-08-31,
paskelbta TAR 2021-08-31, i. k. 2021-18505                </w:t>
          </w:r>
        </w:p>
        <w:p>
          <w:pPr>
            <w:jc w:val="both"/>
            <w:rPr>
              <w:rFonts w:ascii="Times New Roman" w:hAnsi="Times New Roman"/>
            </w:rPr>
          </w:pPr>
          <w:r>
            <w:rPr>
              <w:rFonts w:ascii="Times New Roman" w:hAnsi="Times New Roman"/>
              <w:sz w:val="20"/>
            </w:rPr>
            <w:t>Dėl Valstybinės energetikos reguliavimo tarybos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2abd20220811edb4cae1b158f98ea5">
            <w:r w:rsidRPr="00532B9F">
              <w:rPr>
                <w:rFonts w:ascii="Times New Roman" w:eastAsia="MS Mincho" w:hAnsi="Times New Roman"/>
                <w:sz w:val="20"/>
                <w:iCs/>
                <w:color w:val="0000FF" w:themeColor="hyperlink"/>
                <w:u w:val="single"/>
              </w:rPr>
              <w:t>O3E-1123</w:t>
            </w:r>
          </w:fldSimple>
          <w:r>
            <w:rPr>
              <w:rFonts w:ascii="Times New Roman" w:eastAsia="MS Mincho" w:hAnsi="Times New Roman"/>
              <w:sz w:val="20"/>
              <w:iCs/>
            </w:rPr>
            <w:t>,
2022-08-22,
paskelbta TAR 2022-08-22, i. k. 2022-17388                </w:t>
          </w:r>
        </w:p>
        <w:p>
          <w:pPr>
            <w:jc w:val="both"/>
            <w:rPr>
              <w:rFonts w:ascii="Times New Roman" w:hAnsi="Times New Roman"/>
            </w:rPr>
          </w:pPr>
          <w:r>
            <w:rPr>
              <w:rFonts w:ascii="Times New Roman" w:hAnsi="Times New Roman"/>
              <w:sz w:val="20"/>
            </w:rPr>
            <w:t>Dėl Valstybinės energetikos reguliavimo tarybos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5e15a08ad111eea5a28c81c82193a8">
            <w:r w:rsidRPr="00532B9F">
              <w:rPr>
                <w:rFonts w:ascii="Times New Roman" w:eastAsia="MS Mincho" w:hAnsi="Times New Roman"/>
                <w:sz w:val="20"/>
                <w:iCs/>
                <w:color w:val="0000FF" w:themeColor="hyperlink"/>
                <w:u w:val="single"/>
              </w:rPr>
              <w:t>O3E-1706</w:t>
            </w:r>
          </w:fldSimple>
          <w:r>
            <w:rPr>
              <w:rFonts w:ascii="Times New Roman" w:eastAsia="MS Mincho" w:hAnsi="Times New Roman"/>
              <w:sz w:val="20"/>
              <w:iCs/>
            </w:rPr>
            <w:t>,
2023-11-24,
paskelbta TAR 2023-11-27, i. k. 2023-22698                </w:t>
          </w:r>
        </w:p>
        <w:p>
          <w:pPr>
            <w:jc w:val="both"/>
            <w:rPr>
              <w:rFonts w:ascii="Times New Roman" w:hAnsi="Times New Roman"/>
            </w:rPr>
          </w:pPr>
          <w:r>
            <w:rPr>
              <w:rFonts w:ascii="Times New Roman" w:hAnsi="Times New Roman"/>
              <w:sz w:val="20"/>
            </w:rPr>
            <w:t>Dėl Valstybinės energetikos reguliavimo tarybos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f9eb00ca6c11eea5a28c81c82193a8">
            <w:r w:rsidRPr="00532B9F">
              <w:rPr>
                <w:rFonts w:ascii="Times New Roman" w:eastAsia="MS Mincho" w:hAnsi="Times New Roman"/>
                <w:sz w:val="20"/>
                <w:iCs/>
                <w:color w:val="0000FF" w:themeColor="hyperlink"/>
                <w:u w:val="single"/>
              </w:rPr>
              <w:t>O3E-168</w:t>
            </w:r>
          </w:fldSimple>
          <w:r>
            <w:rPr>
              <w:rFonts w:ascii="Times New Roman" w:eastAsia="MS Mincho" w:hAnsi="Times New Roman"/>
              <w:sz w:val="20"/>
              <w:iCs/>
            </w:rPr>
            <w:t>,
2024-02-13,
paskelbta TAR 2024-02-13, i. k. 2024-02686                </w:t>
          </w:r>
        </w:p>
        <w:p>
          <w:pPr>
            <w:jc w:val="both"/>
            <w:rPr>
              <w:rFonts w:ascii="Times New Roman" w:hAnsi="Times New Roman"/>
            </w:rPr>
          </w:pPr>
          <w:r>
            <w:rPr>
              <w:rFonts w:ascii="Times New Roman" w:hAnsi="Times New Roman"/>
              <w:sz w:val="20"/>
            </w:rPr>
            <w:t>Dėl Valstybinės energetikos reguliavimo tarybos 2011 m. liepos 29 d. nutarimo Nr. O3-235 „Dėl Elektros energijos įrenginių prijungimo prie elektros tinklų įkainių nustatymo metodikos“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ba0e1c69d2511f0a34db2fbd35a03b2">
            <w:r w:rsidRPr="00532B9F">
              <w:rPr>
                <w:rFonts w:ascii="Times New Roman" w:eastAsia="MS Mincho" w:hAnsi="Times New Roman"/>
                <w:sz w:val="20"/>
                <w:iCs/>
                <w:color w:val="0000FF" w:themeColor="hyperlink"/>
                <w:u w:val="single"/>
              </w:rPr>
              <w:t>O3E-1393</w:t>
            </w:r>
          </w:fldSimple>
          <w:r>
            <w:rPr>
              <w:rFonts w:ascii="Times New Roman" w:eastAsia="MS Mincho" w:hAnsi="Times New Roman"/>
              <w:sz w:val="20"/>
              <w:iCs/>
            </w:rPr>
            <w:t>,
2025-09-29,
paskelbta TAR 2025-09-29, i. k. 2025-16285                </w:t>
          </w:r>
        </w:p>
        <w:p>
          <w:pPr>
            <w:jc w:val="both"/>
            <w:rPr>
              <w:rFonts w:ascii="Times New Roman" w:hAnsi="Times New Roman"/>
            </w:rPr>
          </w:pPr>
          <w:r>
            <w:rPr>
              <w:rFonts w:ascii="Times New Roman" w:hAnsi="Times New Roman"/>
              <w:sz w:val="20"/>
            </w:rPr>
            <w:t>Dėl Valstybinės energetikos reguliavimo tarybos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df3f786e62b11f08918e1adc7c5b1ec">
            <w:r w:rsidRPr="00532B9F">
              <w:rPr>
                <w:rFonts w:ascii="Times New Roman" w:eastAsia="MS Mincho" w:hAnsi="Times New Roman"/>
                <w:sz w:val="20"/>
                <w:iCs/>
                <w:color w:val="0000FF" w:themeColor="hyperlink"/>
                <w:u w:val="single"/>
              </w:rPr>
              <w:t>O3E-1957</w:t>
            </w:r>
          </w:fldSimple>
          <w:r>
            <w:rPr>
              <w:rFonts w:ascii="Times New Roman" w:eastAsia="MS Mincho" w:hAnsi="Times New Roman"/>
              <w:sz w:val="20"/>
              <w:iCs/>
            </w:rPr>
            <w:t>,
2025-12-31,
paskelbta TAR 2025-12-31, i. k. 2025-23136                </w:t>
          </w:r>
        </w:p>
        <w:p>
          <w:pPr>
            <w:jc w:val="both"/>
            <w:rPr>
              <w:rFonts w:ascii="Times New Roman" w:hAnsi="Times New Roman"/>
            </w:rPr>
          </w:pPr>
          <w:r>
            <w:rPr>
              <w:rFonts w:ascii="Times New Roman" w:hAnsi="Times New Roman"/>
              <w:sz w:val="20"/>
            </w:rPr>
            <w:t>Dėl Valstybinės energetikos reguliavimo tarybos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e89fb6395011f180c9c618618421ed">
            <w:r w:rsidRPr="00532B9F">
              <w:rPr>
                <w:rFonts w:ascii="Times New Roman" w:eastAsia="MS Mincho" w:hAnsi="Times New Roman"/>
                <w:sz w:val="20"/>
                <w:iCs/>
                <w:color w:val="0000FF" w:themeColor="hyperlink"/>
                <w:u w:val="single"/>
              </w:rPr>
              <w:t>O3-401</w:t>
            </w:r>
          </w:fldSimple>
          <w:r>
            <w:rPr>
              <w:rFonts w:ascii="Times New Roman" w:eastAsia="MS Mincho" w:hAnsi="Times New Roman"/>
              <w:sz w:val="20"/>
              <w:iCs/>
            </w:rPr>
            <w:t>,
2026-04-16,
paskelbta TAR 2026-04-16, i. k. 2026-06165                </w:t>
          </w:r>
        </w:p>
        <w:p>
          <w:pPr>
            <w:jc w:val="both"/>
            <w:rPr>
              <w:rFonts w:ascii="Times New Roman" w:hAnsi="Times New Roman"/>
            </w:rPr>
          </w:pPr>
          <w:r>
            <w:rPr>
              <w:rFonts w:ascii="Times New Roman" w:hAnsi="Times New Roman"/>
              <w:sz w:val="20"/>
            </w:rPr>
            <w:t>Dėl Valstybinės energetikos reguliavimo tarybos 2011 m. liepos 29 d. nutarimo Nr. O3-235 „Dėl Elektros energijos įrenginių prijungimo prie elektros tinklų įkainių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szCs w:val="24"/>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szCs w:val="24"/>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szCs w:val="24"/>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val="en-GB"/>
      </w:rPr>
    </w:pPr>
    <w:r>
      <w:rPr>
        <w:rFonts w:ascii="Arial" w:hAnsi="Arial" w:cs="Arial"/>
        <w:sz w:val="20"/>
        <w:lang w:val="en-GB"/>
      </w:rPr>
      <w:fldChar w:fldCharType="begin"/>
    </w:r>
    <w:r>
      <w:rPr>
        <w:rFonts w:ascii="Arial" w:hAnsi="Arial" w:cs="Arial"/>
        <w:sz w:val="20"/>
        <w:lang w:val="en-GB"/>
      </w:rPr>
      <w:instrText xml:space="preserve">PAGE  </w:instrText>
    </w:r>
    <w:r>
      <w:rPr>
        <w:rFonts w:ascii="Arial" w:hAnsi="Arial" w:cs="Arial"/>
        <w:sz w:val="20"/>
        <w:lang w:val="en-GB"/>
      </w:rPr>
      <w:fldChar w:fldCharType="separate"/>
    </w:r>
    <w:r>
      <w:rPr>
        <w:rFonts w:ascii="Arial" w:hAnsi="Arial" w:cs="Arial"/>
        <w:sz w:val="20"/>
        <w:lang w:val="en-GB"/>
      </w:rPr>
      <w:t>7</w:t>
    </w:r>
    <w:r>
      <w:rPr>
        <w:rFonts w:ascii="Arial" w:hAnsi="Arial" w:cs="Arial"/>
        <w:sz w:val="20"/>
        <w:lang w:val="en-GB"/>
      </w:rPr>
      <w:fldChar w:fldCharType="end"/>
    </w:r>
  </w:p>
  <w:p>
    <w:pPr>
      <w:tabs>
        <w:tab w:val="center" w:pos="4153"/>
        <w:tab w:val="right" w:pos="8306"/>
      </w:tabs>
      <w:ind w:firstLine="720"/>
      <w:rPr>
        <w:rFonts w:ascii="Arial" w:hAnsi="Arial" w:cs="Arial"/>
        <w:sz w:val="20"/>
        <w:lang w:val="en-GB"/>
      </w:rPr>
    </w:pPr>
  </w:p>
  <w:p/>
  <w:p>
    <w:pPr>
      <w:ind w:firstLine="720"/>
      <w:rPr>
        <w:rFonts w:ascii="Arial" w:hAnsi="Arial" w:cs="Arial"/>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rPr>
        <w:rFonts w:ascii="Arial" w:hAnsi="Arial" w:cs="Arial"/>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val="en-GB"/>
      </w:rPr>
    </w:pPr>
    <w:r>
      <w:rPr>
        <w:rFonts w:ascii="Arial" w:hAnsi="Arial" w:cs="Arial"/>
        <w:sz w:val="20"/>
        <w:lang w:val="en-GB"/>
      </w:rPr>
      <w:fldChar w:fldCharType="begin"/>
    </w:r>
    <w:r>
      <w:rPr>
        <w:rFonts w:ascii="Arial" w:hAnsi="Arial" w:cs="Arial"/>
        <w:sz w:val="20"/>
        <w:lang w:val="en-GB"/>
      </w:rPr>
      <w:instrText xml:space="preserve">PAGE  </w:instrText>
    </w:r>
    <w:r>
      <w:rPr>
        <w:rFonts w:ascii="Arial" w:hAnsi="Arial" w:cs="Arial"/>
        <w:sz w:val="20"/>
        <w:lang w:val="en-GB"/>
      </w:rPr>
      <w:fldChar w:fldCharType="separate"/>
    </w:r>
    <w:r>
      <w:rPr>
        <w:rFonts w:ascii="Arial" w:hAnsi="Arial" w:cs="Arial"/>
        <w:sz w:val="20"/>
        <w:lang w:val="en-GB"/>
      </w:rPr>
      <w:t>7</w:t>
    </w:r>
    <w:r>
      <w:rPr>
        <w:rFonts w:ascii="Arial" w:hAnsi="Arial" w:cs="Arial"/>
        <w:sz w:val="20"/>
        <w:lang w:val="en-GB"/>
      </w:rPr>
      <w:fldChar w:fldCharType="end"/>
    </w:r>
  </w:p>
  <w:p>
    <w:pPr>
      <w:tabs>
        <w:tab w:val="center" w:pos="4153"/>
        <w:tab w:val="right" w:pos="8306"/>
      </w:tabs>
      <w:ind w:firstLine="720"/>
      <w:rPr>
        <w:rFonts w:ascii="Arial" w:hAnsi="Arial" w:cs="Arial"/>
        <w:sz w:val="20"/>
        <w:lang w:val="en-GB"/>
      </w:rPr>
    </w:pPr>
  </w:p>
  <w:p/>
  <w:p>
    <w:pPr>
      <w:ind w:firstLine="720"/>
      <w:rPr>
        <w:rFonts w:ascii="Arial" w:hAnsi="Arial" w:cs="Arial"/>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rPr>
        <w:rFonts w:ascii="Arial" w:hAnsi="Arial" w:cs="Arial"/>
        <w:sz w:val="20"/>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pPr>
    <w:r>
      <w:fldChar w:fldCharType="begin"/>
    </w:r>
    <w:r>
      <w:instrText>PAGE   \* MERGEFORMAT</w:instrText>
    </w:r>
    <w:r>
      <w:fldChar w:fldCharType="separate"/>
    </w:r>
    <w:r>
      <w:t>2</w:t>
    </w:r>
    <w:r>
      <w:fldChar w:fldCharType="end"/>
    </w:r>
  </w:p>
  <w:p>
    <w:pPr>
      <w:tabs>
        <w:tab w:val="center" w:pos="4819"/>
        <w:tab w:val="right" w:pos="9638"/>
      </w:tabs>
      <w:spacing w:after="160" w:line="259" w:lineRule="auto"/>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819"/>
        <w:tab w:val="right" w:pos="9638"/>
      </w:tabs>
      <w:spacing w:after="160" w:line="259" w:lineRule="auto"/>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pPr>
    <w:r>
      <w:fldChar w:fldCharType="begin"/>
    </w:r>
    <w:r>
      <w:instrText>PAGE   \* MERGEFORMAT</w:instrText>
    </w:r>
    <w:r>
      <w:fldChar w:fldCharType="separate"/>
    </w:r>
    <w:r>
      <w:t>13</w:t>
    </w:r>
    <w:r>
      <w:fldChar w:fldCharType="end"/>
    </w:r>
  </w:p>
  <w:p>
    <w:pPr>
      <w:tabs>
        <w:tab w:val="center" w:pos="4819"/>
        <w:tab w:val="right" w:pos="9638"/>
      </w:tabs>
      <w:spacing w:after="160" w:line="259" w:lineRule="auto"/>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pPr>
    <w:r>
      <w:fldChar w:fldCharType="begin"/>
    </w:r>
    <w:r>
      <w:instrText>PAGE   \* MERGEFORMAT</w:instrText>
    </w:r>
    <w:r>
      <w:fldChar w:fldCharType="separate"/>
    </w:r>
    <w:r>
      <w:t>14</w:t>
    </w:r>
    <w:r>
      <w:fldChar w:fldCharType="end"/>
    </w:r>
  </w:p>
  <w:p>
    <w:pPr>
      <w:tabs>
        <w:tab w:val="center" w:pos="4819"/>
        <w:tab w:val="right" w:pos="9638"/>
      </w:tabs>
      <w:spacing w:after="160" w:line="259" w:lineRule="auto"/>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pPr>
    <w:r>
      <w:fldChar w:fldCharType="begin"/>
    </w:r>
    <w:r>
      <w:instrText>PAGE   \* MERGEFORMAT</w:instrText>
    </w:r>
    <w:r>
      <w:fldChar w:fldCharType="separate"/>
    </w:r>
    <w:r>
      <w:t>2</w:t>
    </w:r>
    <w:r>
      <w:fldChar w:fldCharType="end"/>
    </w:r>
  </w:p>
  <w:p>
    <w:pPr>
      <w:tabs>
        <w:tab w:val="center" w:pos="4819"/>
        <w:tab w:val="right" w:pos="9638"/>
      </w:tabs>
      <w:spacing w:after="160" w:line="259" w:lineRule="auto"/>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pPr>
    <w:r>
      <w:fldChar w:fldCharType="begin"/>
    </w:r>
    <w:r>
      <w:instrText>PAGE   \* MERGEFORMAT</w:instrText>
    </w:r>
    <w:r>
      <w:fldChar w:fldCharType="separate"/>
    </w:r>
    <w:r>
      <w:t>16</w:t>
    </w:r>
    <w:r>
      <w:fldChar w:fldCharType="end"/>
    </w:r>
  </w:p>
  <w:p>
    <w:pPr>
      <w:tabs>
        <w:tab w:val="center" w:pos="4819"/>
        <w:tab w:val="right" w:pos="9638"/>
      </w:tabs>
      <w:spacing w:after="160" w:line="259" w:lineRule="auto"/>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819"/>
        <w:tab w:val="right" w:pos="9638"/>
      </w:tabs>
      <w:spacing w:after="160" w:line="259" w:lineRule="auto"/>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17</w:t>
    </w:r>
    <w:r>
      <w:rPr>
        <w:sz w:val="22"/>
        <w:szCs w:val="24"/>
        <w:lang w:eastAsia="lt-LT"/>
      </w:rPr>
      <w:fldChar w:fldCharType="end"/>
    </w:r>
  </w:p>
  <w:p>
    <w:pPr>
      <w:tabs>
        <w:tab w:val="center" w:pos="4819"/>
        <w:tab w:val="right" w:pos="9638"/>
      </w:tabs>
      <w:spacing w:after="160" w:line="259" w:lineRule="auto"/>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23</w:t>
    </w:r>
    <w:r>
      <w:rPr>
        <w:sz w:val="22"/>
        <w:szCs w:val="24"/>
        <w:lang w:eastAsia="lt-LT"/>
      </w:rPr>
      <w:fldChar w:fldCharType="end"/>
    </w:r>
  </w:p>
  <w:p>
    <w:pPr>
      <w:tabs>
        <w:tab w:val="center" w:pos="4819"/>
        <w:tab w:val="right" w:pos="9638"/>
      </w:tabs>
      <w:spacing w:after="160" w:line="259" w:lineRule="auto"/>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val="en-GB"/>
      </w:rPr>
    </w:pPr>
    <w:r>
      <w:rPr>
        <w:rFonts w:ascii="Arial" w:hAnsi="Arial" w:cs="Arial"/>
        <w:sz w:val="20"/>
        <w:lang w:val="en-GB"/>
      </w:rPr>
      <w:fldChar w:fldCharType="begin"/>
    </w:r>
    <w:r>
      <w:rPr>
        <w:rFonts w:ascii="Arial" w:hAnsi="Arial" w:cs="Arial"/>
        <w:sz w:val="20"/>
        <w:lang w:val="en-GB"/>
      </w:rPr>
      <w:instrText xml:space="preserve">PAGE  </w:instrText>
    </w:r>
    <w:r>
      <w:rPr>
        <w:rFonts w:ascii="Arial" w:hAnsi="Arial" w:cs="Arial"/>
        <w:sz w:val="20"/>
        <w:lang w:val="en-GB"/>
      </w:rPr>
      <w:fldChar w:fldCharType="separate"/>
    </w:r>
    <w:r>
      <w:rPr>
        <w:rFonts w:ascii="Arial" w:hAnsi="Arial" w:cs="Arial"/>
        <w:sz w:val="20"/>
        <w:lang w:val="en-GB"/>
      </w:rPr>
      <w:t>7</w:t>
    </w:r>
    <w:r>
      <w:rPr>
        <w:rFonts w:ascii="Arial" w:hAnsi="Arial" w:cs="Arial"/>
        <w:sz w:val="20"/>
        <w:lang w:val="en-GB"/>
      </w:rPr>
      <w:fldChar w:fldCharType="end"/>
    </w:r>
  </w:p>
  <w:p>
    <w:pPr>
      <w:tabs>
        <w:tab w:val="center" w:pos="4153"/>
        <w:tab w:val="right" w:pos="8306"/>
      </w:tabs>
      <w:ind w:firstLine="720"/>
      <w:rPr>
        <w:rFonts w:ascii="Arial" w:hAnsi="Arial" w:cs="Arial"/>
        <w:sz w:val="20"/>
        <w:lang w:val="en-GB"/>
      </w:rPr>
    </w:pPr>
  </w:p>
  <w:p/>
  <w:p>
    <w:pPr>
      <w:ind w:firstLine="720"/>
      <w:rPr>
        <w:rFonts w:ascii="Arial" w:hAnsi="Arial" w:cs="Arial"/>
        <w:sz w:val="20"/>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33</w:t>
    </w:r>
    <w:r>
      <w:rPr>
        <w:sz w:val="22"/>
        <w:szCs w:val="24"/>
        <w:lang w:eastAsia="lt-LT"/>
      </w:rPr>
      <w:fldChar w:fldCharType="end"/>
    </w:r>
  </w:p>
  <w:p>
    <w:pPr>
      <w:tabs>
        <w:tab w:val="center" w:pos="4819"/>
        <w:tab w:val="right" w:pos="9638"/>
      </w:tabs>
      <w:spacing w:after="160" w:line="259" w:lineRule="auto"/>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32</w:t>
    </w:r>
    <w:r>
      <w:rPr>
        <w:sz w:val="22"/>
        <w:szCs w:val="24"/>
        <w:lang w:eastAsia="lt-LT"/>
      </w:rPr>
      <w:fldChar w:fldCharType="end"/>
    </w:r>
  </w:p>
  <w:p>
    <w:pPr>
      <w:tabs>
        <w:tab w:val="center" w:pos="4819"/>
        <w:tab w:val="right" w:pos="9638"/>
      </w:tabs>
      <w:spacing w:after="160" w:line="259" w:lineRule="auto"/>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rPr>
        <w:rFonts w:ascii="Arial" w:hAnsi="Arial" w:cs="Arial"/>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pPr>
    <w:r>
      <w:fldChar w:fldCharType="begin"/>
    </w:r>
    <w:r>
      <w:instrText>PAGE   \* MERGEFORMAT</w:instrText>
    </w:r>
    <w:r>
      <w:fldChar w:fldCharType="separate"/>
    </w:r>
    <w:r>
      <w:t>3</w:t>
    </w:r>
    <w:r>
      <w:fldChar w:fldCharType="end"/>
    </w:r>
  </w:p>
  <w:p>
    <w:pPr>
      <w:tabs>
        <w:tab w:val="center" w:pos="4819"/>
        <w:tab w:val="right" w:pos="9638"/>
      </w:tabs>
      <w:spacing w:after="160" w:line="259" w:lineRule="auto"/>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7F8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2341A6-2FE9-4EF3-98C3-9659E6A6A8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3.xml"/>
  <Relationship Id="rId11" Type="http://schemas.openxmlformats.org/officeDocument/2006/relationships/footer" Target="footer44.xml"/>
  <Relationship Id="rId12" Type="http://schemas.openxmlformats.org/officeDocument/2006/relationships/header" Target="header45.xml"/>
  <Relationship Id="rId13" Type="http://schemas.openxmlformats.org/officeDocument/2006/relationships/footer" Target="footer4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3.xml"/>
  <Relationship Id="rId9" Type="http://schemas.openxmlformats.org/officeDocument/2006/relationships/header" Target="header44.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d952021e32f4fd9bd6e875c29c04e72" PartId="59a9af09dd14460abaa2bab22aa306e1">
    <Part Type="preambule" DocPartId="40ed8c92c716466bac2db6b25c4b2491" PartId="4b88623e7ca040709c961907f93aa8a5"/>
    <Part Type="punktas" Nr="1" Abbr="1 p." DocPartId="5ef1f858387e41a7999f462ee72dc539" PartId="a3a9c99c54124ed893cf5a0bf7d06cbe"/>
    <Part Type="signatura" DocPartId="028030808a2447f281b666090b7ea6cf" PartId="cc934faff31d416f8e82632a91f09929"/>
  </Part>
  <Part Type="patvirtinta" Title="ELEKTROS ENERGIJOS ĮRENGINIŲ PRIJUNGIMO PRIE ELEKTROS TINKLŲ ĮKAINIŲ NUSTATYMO METODIKA" DocPartId="52d42b6b6bc3496d96a5c2ec80bf5c7b" PartId="22d0cbf7f28b4e449024809049d7f5f1">
    <Part Type="skyrius" Nr="1" Title="BENDROSIOS NUOSTATOS" DocPartId="9daad31ed98344629f203142f9262a94" PartId="280b432360424d9891486a2a17780f60">
      <Part Type="punktas" Nr="1" Abbr="1 p." DocPartId="69e1ca7dceca40c5b27ec96a4528403b" PartId="005f4ddaecec42a29a46100fd2c84108"/>
      <Part Type="punktas" Nr="2" Abbr="2 p." DocPartId="87bb38bd707643f391ac6389e76ba947" PartId="555f77bee67a466aa1f8eaaa757de3d3"/>
      <Part Type="punktas" Nr="3" Abbr="3 p." DocPartId="ef0a44a514eb4e598ab8c2b72255b2bb" PartId="c64e47aaa8de45dcaf36f27fcdbedcad">
        <Part Type="papunktis" Nr="3.1" Abbr="3.1 pp." DocPartId="9823e4780e624069a2dd22c3b0abe4dc" PartId="ada89fc549144504b23b75d64e563fed"/>
        <Part Type="papunktis" Nr="3.2" Abbr="3.2 pp." DocPartId="7a6bd042cd944bf4a80ff23f5a33e377" PartId="ef57646586ff4339a016468e80f6f091"/>
        <Part Type="papunktis" Nr="3.3" Abbr="3.3 pp." DocPartId="99b8d2cf678044029b7d3b8c091a01e1" PartId="a9512db50e0f4c2baaabad12cb1c6853"/>
        <Part Type="papunktis" Nr="3.4" Abbr="3.4 pp." DocPartId="a5014777764f474f99e9da293fbd0bfb" PartId="ed47852e452148a18d03f8587dde4a81"/>
        <Part Type="papunktis" Nr="3.5" Abbr="3.5 pp." DocPartId="02992dcb9be24130b3e56bc645fd2d93" PartId="64b58056fd8f40519657b8578fcd7602"/>
      </Part>
    </Part>
    <Part Type="skyrius" Nr="2" Title="VARTOTOJŲ ELEKTROS ĮRENGINIŲ PRIJUNGIMO KAINODARA IR SĄLYGOS" DocPartId="1fd8f631d238465e80446bf0c0ff342e" PartId="278b826ea230430cadbe9edeaea957e6">
      <Part Type="skirsnis" Nr="1" Title="VARTOTOJŲ ELEKTROS ENERGIJOS ĮRENGINIŲ PRIJUNGIMO ĮKAINIŲ NUSTATYMO TVARKA" DocPartId="802c1e33ee9f40388ac51c199b3d3dcc" PartId="b6a6314e41c2469083ffa1cfa6a08fe6">
        <Part Type="punktas" Nr="4" Abbr="4 p." DocPartId="a5d171c68f4e4d6c8522b06102ba6781" PartId="4349704cc5d043d3a625b813002bb705">
          <Part Type="papunktis" Nr="4.1" Abbr="4.1 pp." DocPartId="6dddfe5f1be0443e9db12053fd211096" PartId="1333b375a66b478096b4197f26e3ed7b"/>
          <Part Type="papunktis" Nr="4.2" Abbr="4.2 pp." DocPartId="ddbf67a1ed4845a8b44f1716534c13fe" PartId="6bcb91455ab245d495df0a97f1d07832"/>
          <Part Type="papunktis" Nr="4.3" Abbr="4.3 pp." DocPartId="7e31a23472fa49f3bcaef25a6fa643e4" PartId="56123c481b8d4cf4bfdcee52ce973b5d">
            <Part Type="papunktis" Nr="4.3.1" Abbr="4.3.1 pp." DocPartId="15546ee388f54f519f40fe09b0bee95d" PartId="a4f00ec95abf41b282632c7e3a06af98"/>
            <Part Type="papunktis" Nr="4.3.2" Abbr="4.3.2 pp." DocPartId="2c9e6e7a5b2b45dea90be68aa52e6503" PartId="df73d59d12504f3dac59ab591dc0ecf7"/>
          </Part>
          <Part Type="papunktis" Nr="4.4" Abbr="4.4 pp." DocPartId="316aa111e8f7408f8ac6db2dce7c37d9" PartId="01d9aeff4ba1450fb4177fb0ef370d07"/>
        </Part>
        <Part Type="punktas" Nr="5" Abbr="5 p." DocPartId="0b36dffac975413d82c6710a6e53774d" PartId="d97216c0a2fe4b9ea84ad6b5321c614a">
          <Part Type="papunktis" Nr="5.1" Abbr="5.1 pp." DocPartId="adbc87c26de34c0886e8ef30af851429" PartId="c804c6e68138407fb1c35f780ff361e3"/>
          <Part Type="papunktis" Nr="5.2" Abbr="5.2 pp." DocPartId="095a06a71d99421f9a3e0359d451d6ee" PartId="7628bd4baabb49299c20dcfacb995180"/>
          <Part Type="papunktis" Nr="5.3" Abbr="5.3 pp." DocPartId="f8ab857e100e4985a28ac15e090215ca" PartId="796d46b2e8094418a55690b1c109b8f3"/>
        </Part>
        <Part Type="punktas" Nr="6" Abbr="6 p." DocPartId="96de222b5c5b41f0aab495f8b10150c0" PartId="89e8146b014e4d71b054385b6f0650b8"/>
      </Part>
      <Part Type="skirsnis" Nr="2" Title="VARTOTOJŲ PRIJUNGIMO ĮMOKŲ APSKAIČIAVIMO BŪDAI IR SĄLYGOS" DocPartId="f648b8d5ba4a4e84807ebae44aece21d" PartId="641f8e887b5241f582e842542684206d">
        <Part Type="punktas" Nr="7" Abbr="7 p." DocPartId="7e0aac28c63a450cb9b309ad6f2d44dc" PartId="33908b8e35744732b8191a0530d4fb25">
          <Part Type="papunktis" Nr="7.1" Abbr="7.1 pp." DocPartId="e115452511834add83b98b5a2b17ffae" PartId="e726b37e4a794dd8a86daa3e2138c84b">
            <Part Type="papunktis" Nr="7.1.1" Abbr="7.1.1 pp." DocPartId="9523ea0fae18456f82a22d340753a967" PartId="d1f052db1dfa4614acebdb8588575edb"/>
            <Part Type="papunktis" Nr="7.1.2" Abbr="7.1.2 pp." DocPartId="885bf7b5f6fc4a9187e80d3db7c4406e" PartId="4ca8162ea9534db9bffe3dae07bee6b4"/>
            <Part Type="papunktis" Nr="7.1.3" Abbr="7.1.3 pp." DocPartId="bc8aefbbe68e44d8bd6660f65505e92c" PartId="8d104d8807324b29ab69ef659a092e30"/>
          </Part>
          <Part Type="papunktis" Nr="7.2" Abbr="7.2 pp." DocPartId="06011479e3834f38be664e2eb7ecfad0" PartId="61e0af8b55bc483eac1350fd626b33d7"/>
          <Part Type="papunktis" Nr="7.3" Abbr="7.3 pp." DocPartId="4f962455d08a4da1ace413d8156b40fa" PartId="834eccf756aa4772bfdd7b4bfb14f37e">
            <Part Type="papunktis" Nr="7.3.1" Abbr="7.3.1 pp." DocPartId="645424f95bc24e9db1bc79f829a9d83f" PartId="60f7b770e9f74051b471ca6638f9326f"/>
            <Part Type="papunktis" Nr="7.3.2" Abbr="7.3.2 pp." DocPartId="7c430bda14bd404baef7d2279c32ad2e" PartId="bc3e955cf4e74aeea416dec3e344757b"/>
            <Part Type="papunktis" Nr="7.3.3" Abbr="7.3.3 pp." DocPartId="66c58498010f4db8a18a0f9aada94c7d" PartId="28ab4b814a33437b85a043a21c25ec32"/>
            <Part Type="papunktis" Nr="7.3.4" Abbr="7.3.4 pp." DocPartId="a80f01e8cd1241c7ad937a96fffc258f" PartId="a1df9dc78bde430e8b185e8cc4e14c77"/>
            <Part Type="papunktis" Nr="7.3.5" Abbr="7.3.5 pp." DocPartId="46a759333dc245e697512b389749bf0c" PartId="dcf729392e924a52b4b1d4e1cae64f5f"/>
          </Part>
          <Part Type="papunktis" Nr="7.4" Abbr="7.4 pp." DocPartId="b7a982d847934703a683c013f4b2ee2e" PartId="a647bba78875423fa433d954bd78fece"/>
        </Part>
        <Part Type="punktas" Nr="8" Abbr="8 p." DocPartId="8aa20d7347384145a16abc3ac05fc483" PartId="daf02e38a301414cb46d6dec3bf7de5f">
          <Part Type="papunktis" Nr="8.1" Abbr="8.1 pp." DocPartId="31f0c0b2063d44a5bed426eae25ad4ab" PartId="8518c42c66c34598a81e17fe20459080">
            <Part Type="papunktis" Nr="8.1.1" Abbr="8.1.1 pp." DocPartId="e8b2910a4c5e49d59a6c77ff60d2aff9" PartId="ee884bd24a8544c7b01f433a61a3c743"/>
            <Part Type="papunktis" Nr="8.1.2" Abbr="8.1.2 pp." DocPartId="372769257443453eb7647dbce8e52292" PartId="20e32539112f47af92376fc1db6ef8aa"/>
            <Part Type="papunktis" Nr="8.1.2-1" Abbr="8.1.2-1 pp." DocPartId="40c2fd358e974dd1b596ffd9cdb4f37a" PartId="16fc46e8ceec4ad982de023d0096bee5"/>
            <Part Type="papunktis" Nr="8.1.2-2" Abbr="8.1.2-2 pp." DocPartId="c4241cbc37c74d9db5537d805ca867a5" PartId="471d7318345f4dc5979d8052577928db"/>
            <Part Type="papunktis" Nr="8.1.3" Abbr="8.1.3 pp." DocPartId="c6a4a12947bc461ca7c081964567df9a" PartId="64e69f98f5d24d05b69d3fc185469003"/>
            <Part Type="papunktis" Nr="8.1.4" Abbr="8.1.4 pp." DocPartId="b8b5877df5584013a83723245446b122" PartId="b758a78f450b4654a7d5369a67b2392f"/>
            <Part Type="papunktis" Nr="8.1.5" Abbr="8.1.5 pp." DocPartId="8707a61e816b4a59b2b785a1c0f1fe2d" PartId="3c1a1db57089496fbbea9350773ebf28"/>
          </Part>
          <Part Type="papunktis" Nr="8.2" Abbr="8.2 pp." DocPartId="6f2cbd1e285e4349a5285f2902f48398" PartId="b24d034efbc244fab553dba0c1b033b5">
            <Part Type="papunktis" Nr="8.2.1" Abbr="8.2.1 pp." DocPartId="ba71c17500f1490aaefe6b44d2dddf68" PartId="07b25fafb46c4715893c4e3e83e631bf"/>
            <Part Type="papunktis" Nr="8.2.2" Abbr="8.2.2 pp." DocPartId="5127b9f848d2437dbb579894bb60d981" PartId="c360bee0691d46ddb6123bd638c0d1e8"/>
            <Part Type="papunktis" Nr="8.2.2-1" Abbr="8.2.2-1 pp." DocPartId="13e3b66874534042b9e38629b959d833" PartId="cfa5887c1d3848acb1848ed02f4bed46"/>
            <Part Type="papunktis" Nr="8.2.2-2" Abbr="8.2.2-2 pp." DocPartId="bbf83f33506246dc999a33ceff55a38f" PartId="d641372d2696441699049ef036e8c9ed"/>
            <Part Type="papunktis" Nr="8.2.3" Abbr="8.2.3 pp." DocPartId="95cc7911264645309aa87750a718941f" PartId="05db57a206a545f6ba8019f3a87c0571"/>
            <Part Type="papunktis" Nr="8.2.4" Abbr="8.2.4 pp." DocPartId="d4b8e1dbfec144688a66ee31f12a82c7" PartId="331f00ddc27844dfb9d4fea9c292bae4">
              <Part Type="papunktis" Nr="8.2.4.1" Abbr="8.2.4.1 pp." DocPartId="be1a6d1bd6ac4103857e77a7472b5d1c" PartId="ac74f9f44a6a44b29a983b2536bc689b"/>
              <Part Type="papunktis" Nr="8.2.4.2" Abbr="8.2.4.2 pp." DocPartId="7e2b68c16d9243f289c29aeefbca03ed" PartId="f443cca94abf4124a136f31341d23de6"/>
            </Part>
            <Part Type="papunktis" Nr="8.2.5" Abbr="8.2.5 pp." DocPartId="dd26d894f9934f9f995620a1b84db0ff" PartId="08c11a5a8a954d11b93111f12424e49c"/>
            <Part Type="papunktis" Nr="8.2.6" Abbr="8.2.6 pp." DocPartId="6141034c53004ebd9fef08f8acda1c8b" PartId="09015efa84244e7ba853f050bf16710f"/>
            <Part Type="papunktis" Nr="8.2.7" Abbr="8.2.7 pp." DocPartId="d0ac4e81ce354ee3bf65de14c3cec306" PartId="a49149808c2944b8ad09616d2f5c2892"/>
          </Part>
          <Part Type="papunktis" Nr="8.3" Abbr="8.3 pp." DocPartId="2f465ce06aae47a384b69a30fe1078d9" PartId="032a3553cfb641a79c94e58c60c3d45b"/>
          <Part Type="papunktis" Nr="8.4" Abbr="8.4 pp." DocPartId="558e03c2467748e8833f460067206c42" PartId="bc239f7debb8489aaa6962d433239c06"/>
          <Part Type="papunktis" Nr="8.5" Abbr="8.5 pp." DocPartId="78b3731f4a26496c8aa1aa472eb5610c" PartId="f477ad7db94b4e198e93f96a775bc2e2"/>
        </Part>
      </Part>
      <Part Type="skirsnis" Nr="3" Title="PRIJUNGIMO IŠLAIDŲ PASKIRSTYMO TARP OPERATORIAUS IR VARTOTOJŲ TVARKA IR SĄLYGOS" DocPartId="cb53d1885a854a27ab9f3d7b30ff5e34" PartId="a593e0b5ce60469f8c0e3c19bf07c932">
        <Part Type="punktas" Nr="9" Abbr="9 p." DocPartId="2b7afbf3a0114e1eb7b3aa15daff5dc6" PartId="2baad9d2837c4c71898cee616eb4939a"/>
        <Part Type="punktas" Nr="9-1" Abbr="9-1 p." DocPartId="a46f23dc85384d0198552b1087697629" PartId="a9235a66ec3c414d866f47aa3759de47"/>
        <Part Type="punktas" Nr="10" Abbr="10 p." DocPartId="7d593bfa656c46b8a04745dcfa9fa3a7" PartId="ffd114cb47d644118f66123e74891179"/>
        <Part Type="punktas" Nr="10-1" Abbr="10-1 p." DocPartId="b01564ae47f34a2e84c9114d8cfa6190" PartId="75f93d726f9948048b34f4b64d5826ff"/>
        <Part Type="punktas" Nr="10-2" Abbr="10-2 p." DocPartId="9e03c531adda4dc4a23db5c2bd2f9179" PartId="1d95661eb8a74e258d1ce90f048af279"/>
        <Part Type="punktas" Nr="10-3" Abbr="10-3 p." DocPartId="fac81c6f7d8d4af7a808e8734f4e0f14" PartId="828105e512db4f09ae33578e1a91f725"/>
      </Part>
      <Part Type="skirsnis" Nr="4" Title="ELEKTROS TINKLŲ PLĖTROS KAINOS APSKAIČIAVIMAS IR TAIKYMAS" DocPartId="fb55e504e2ae4e3e9a9bef53b8d615df" PartId="0626b1ccb5a74c99a812e87d8b40e62e">
        <Part Type="punktas" Nr="11" Abbr="11 p." DocPartId="f6bb06751a824dfca1e870e7e6652bbd" PartId="9a93c3b7d76c43bdbf323de14773bd4f">
          <Part Type="papunktis" Nr="11.1" Abbr="11.1 pp." DocPartId="f6e7d29e02cd49bbb543c7bcd50f0f1a" PartId="5230761486e0489a892c4ca79d269716"/>
          <Part Type="papunktis" Nr="11.2" Abbr="11.2 pp." DocPartId="e62953e6412844d9893f9a12172f939c" PartId="3229d4082cb14051a4ab51e4bad660a6"/>
          <Part Type="papunktis" Nr="11.3" Abbr="11.3 pp." DocPartId="da6f8376903440adb2021c5f5941f9ac" PartId="47644da8d0064a1ca950a18ea2567df6"/>
          <Part Type="papunktis" Nr="11.4" Abbr="11.4 pp." DocPartId="264feedaff854314a69823cc97bb4bf1" PartId="5a7e9ea72a1d4a49a944f9878d30ff0d"/>
        </Part>
        <Part Type="punktas" Nr="11-1" Abbr="11-1 p." DocPartId="1966d8557ffa444fb0b0b37212e43223" PartId="9bdfca72312046de89e67538c7a26d46">
          <Part Type="papunktis" Nr="11-1.1" Abbr="11-1.1 pp." DocPartId="738f21c1381b44fa8b79eed5565de2f6" PartId="c0b0c4704eee435983cd47f9712240fe"/>
          <Part Type="papunktis" Nr="11-1.2" Abbr="11-1.2 pp." DocPartId="d45edab2315f4a09b28db79b945a8362" PartId="7ff803d2d3d24c43af9a4d263b1e8dad"/>
        </Part>
        <Part Type="punktas" Nr="11-2" Abbr="11-2 p." DocPartId="36060e41257e428195ca6e3693c35984" PartId="e224ae8a4c2940e9a5e0d7d32090e87f"/>
        <Part Type="punktas" Nr="12" Abbr="12 p." DocPartId="dfa6004ad8064124a1189ce77c710256" PartId="f35512abf0354828874d6090927f86b6">
          <Part Type="papunktis" Nr="12.1" Abbr="12.1 pp." DocPartId="faef3a59569d4e72b92fade9e45143d5" PartId="e4c8437942c040c4875e6425cb62e385"/>
          <Part Type="papunktis" Nr="12.2" Abbr="12.2 pp." DocPartId="28e400f6da694904ab80a90b256a99f5" PartId="49645a2b4bc4414a96d25a137c0296ef"/>
          <Part Type="papunktis" Nr="12.3" Abbr="12.3 pp." DocPartId="0dbcc031ae1e4eed8a09fe458f8a863a" PartId="42a7f9a7b43740d8a413857426cf04e8"/>
          <Part Type="papunktis" Nr="12.4" Abbr="12.4 pp." DocPartId="2efda2287df34ee3bbcfb3c2d4ecd401" PartId="7a79c38f9b1b417bb51952898c36a84b"/>
          <Part Type="papunktis" Nr="12.5" Abbr="12.5 pp." DocPartId="0dae07d2c0894158acd86322cd4ccdbb" PartId="b3f1c9ce368340819be2886c9fae163c"/>
        </Part>
        <Part Type="punktas" Nr="13" Abbr="13 p." DocPartId="a84bdd1209584076ac8517b4b7101233" PartId="2fc2947593f2419f918c705ebf2e1d52">
          <Part Type="papunktis" Nr="13.1" Abbr="13.1 pp." DocPartId="dad762b624734ed086b9b952f4f05fa3" PartId="a5717e15efde4298ad1e07ceffe7ad81"/>
          <Part Type="papunktis" Nr="13.2" Abbr="13.2 pp." DocPartId="0dc995bcbe03473a878cec317791827a" PartId="7c123028f5944328af1dfd74d1bf38e5"/>
          <Part Type="papunktis" Nr="13.3" Abbr="13.3 pp." DocPartId="140b050b98fd4a139c2aa84eb5425867" PartId="055f3e44df484d98b51ed987c549d299"/>
          <Part Type="papunktis" Nr="13.4" Abbr="13.4 pp." DocPartId="42e944b9bc7d42ab95a35ca14fcc49dc" PartId="d70c1c50e1f8445f8c9bed6aadb4390b"/>
          <Part Type="papunktis" Nr="13.5" Abbr="13.5 pp." DocPartId="6733b3b584b945c193eea9afc3888631" PartId="a4075d6019724022b7f7515278342687"/>
        </Part>
      </Part>
      <Part Type="skirsnis" Nr="5" Title="ĮMOKŲ UŽ LEISTINOSIOS NAUDOTI GALIOS MAŽINIMĄ IR INFRASTRUKTŪROS NENAUDOJIMĄ APSKAIČIAVIMAS IR TAIKYMAS" DocPartId="3ce10457571e442bad5b106e1ddcfa71" PartId="6682b7d06f244e209b51db92285517c9">
        <Part Type="punktas" Nr="14" Abbr="14 p." DocPartId="ba12d9053aee44668d7c99c90bfd115b" PartId="843a0ec336cf4cadb0fbcba15457ad3c"/>
        <Part Type="punktas" Nr="15" Abbr="15 p." DocPartId="5601745e1b9d4c30a7be40c7f3b50741" PartId="58bf6f9db8554302b1e0e9aad446a3e4">
          <Part Type="papunktis" Nr="15.1" Abbr="15.1 pp." DocPartId="38777709d90e4b4684fb46583b62b8b1" PartId="6c32cd791cb643ee8e0f9dc34670cca3"/>
          <Part Type="papunktis" Nr="15.2" Abbr="15.2 pp." DocPartId="048f4dfe6c244225bc3753a2ca0142cc" PartId="c7a7512c6a194f289b286a8ae782fbcb"/>
          <Part Type="papunktis" Nr="15.3" Abbr="15.3 pp." DocPartId="b24fbf781c184d83b464630389336ed6" PartId="ed52e6ad924a41f7a4b41f83d4b0dbd4"/>
        </Part>
        <Part Type="punktas" Nr="16" Abbr="16 p." DocPartId="f55debf5b10f4e7db03683472d43fafe" PartId="b940b9a8f6d14db5a7c9f91e50d2ddf3">
          <Part Type="papunktis" Nr="16.1" Abbr="16.1 pp." DocPartId="98b9a7e0c68f4708adf52f797713e0a7" PartId="6abefad8eb704c2c98c9315f53e3f575"/>
          <Part Type="papunktis" Nr="16.2" Abbr="16.2 pp." DocPartId="bf658b80db274e2f87ecdebcba962e1e" PartId="642c96321c9f4af4b05ec02e4acbc338"/>
          <Part Type="papunktis" Nr="16.3" Abbr="16.3 pp." DocPartId="c548b56dcb7d4dec942d9ee99fbfca3c" PartId="37dff964a18641968a188b9ad18c47c7"/>
        </Part>
        <Part Type="punktas" Nr="17" Abbr="17 p." DocPartId="109ebb8649b64ba98262778d62a04d4b" PartId="cb2581928915401793c517cb493d0205"/>
        <Part Type="punktas" Nr="18" Abbr="18 p." DocPartId="ca4a9b40b63b43a2a2a89a237cf5c17c" PartId="ec76278ee3b0487c85494c92949651e9"/>
        <Part Type="punktas" Nr="19" Abbr="19 p." DocPartId="8825e208c2c94da99aef499b43c7fd60" PartId="b26dbf26a73c49d2b39ef196be0ee7d3">
          <Part Type="papunktis" Nr="19.1" Abbr="19.1 pp." DocPartId="f6beeeb64b85497da04d86f318020450" PartId="6c4be3a9595a4d3db4696ce06e1b7a55"/>
          <Part Type="papunktis" Nr="19.2" Abbr="19.2 pp." DocPartId="bd31c4f267af4de09611ccfd2a447944" PartId="0c93a37b1b984153bf2087f6c9a7f1f9"/>
          <Part Type="papunktis" Nr="19.3" Abbr="19.3 pp." DocPartId="bc625bfebdde4d41aca84ceb02d3a79d" PartId="a0ad89fc352e4d4c8fd71361e75619e9"/>
          <Part Type="papunktis" Nr="19.4" Abbr="19.4 pp." DocPartId="e2cca1359e9d4bfb948c0a20da193e33" PartId="6cb2d184187b43869f00eb637afb568a"/>
        </Part>
      </Part>
    </Part>
    <Part Type="skyrius" Nr="3" Title="GAMINTOJŲ, GAMINANČIŲ VARTOTOJŲ ELEKTROS ĮRENGINIŲ IR ENERGIJOS KAUPIMO ĮRENGINIŲ PRIJUNGIMO PASLAUGŲ KAINODARA" DocPartId="cdecfad2c60542e09bd74a48879c073e" PartId="5e1484d848184e27b634c108c3905bc4">
      <Part Type="skirsnis" Nr="1" Title="GAMINTOJŲ, NAUDOJANČIŲ NEATSINAUJINANČIUS ENERGIJOS IŠTEKLIUS, ELEKTROS ENERGIJOS ĮRENGINIŲ PRIJUNGIMO ĮKAINIŲ NUSTATYMO TVARKA" DocPartId="22bf3bea5eb0486682c66f94abe132d7" PartId="c23e347ecec44e7ab527725b3e71064d">
        <Part Type="punktas" Nr="20" Abbr="20 p." DocPartId="a076ed11183b4af799e2eb361fbb8dfa" PartId="fe3259daede74786af9dbb4afa2b03ae"/>
        <Part Type="punktas" Nr="21" Abbr="21 p." DocPartId="e15dbdb932e144b397c01aa0849606d8" PartId="9897d0cfa6034f2ab17d361397f9a8b7"/>
        <Part Type="punktas" Nr="22" Abbr="22 p." DocPartId="d097c81cfe6541058527dc412fd5229d" PartId="16be307dfc3c48a6bcea58a810ef4688"/>
        <Part Type="punktas" Nr="23" Abbr="23 p." DocPartId="888207cb7bc644d8893211064a1f9a4a" PartId="e420cb791cbd482cae5254db462b6c2a"/>
        <Part Type="punktas" Nr="24" Abbr="24 p." DocPartId="7069204f138d41e9a708901ea61d561a" PartId="c6ff4b2f083d437f9f707ff8fd896abb"/>
        <Part Type="punktas" Nr="25" Abbr="25 p." DocPartId="d2136d505b7b4eb1b223afa4a616a7c2" PartId="dbfd6a9a867d45ccbce27e2c99f0affa"/>
        <Part Type="punktas" Nr="25-1" Abbr="25-1 p." DocPartId="c92eac67868747d9a6b8769c4f5d25f3" PartId="e47c9bea25174c54849add3e6ad217dc"/>
      </Part>
      <Part Type="skirsnis" Nr="2" Title="GAMINANČIŲ VARTOTOJŲ ELEKTROS ENERGIJOS ĮRENGINIŲ PRIJUNGIMO SĄNAUDŲ NUSTATYMO TVARKA" DocPartId="75546dc3fb504db790e05d4dc9462865" PartId="5102a71b4b3448c7bbf0152476bec00f">
        <Part Type="punktas" Nr="26" Abbr="26 p." DocPartId="361b2b4bcad1400abd163c351e59c5f9" PartId="02e8de9379ed4a3caa4719ba942e0232">
          <Part Type="papunktis" Nr="26.1" Abbr="26.1 pp." DocPartId="cf54c27eb7d14c29b8b56626b30c7997" PartId="1efef23395614f3889a391f2a1795c63"/>
          <Part Type="papunktis" Nr="26.2" Abbr="26.2 pp." DocPartId="9786abc435b4487db78c96ef6fd9df1a" PartId="43cd42a51b6645499c1ada73503d638c"/>
          <Part Type="papunktis" Nr="26.3" Abbr="26.3 pp." DocPartId="bc6866347be04a1daa825ac809812635" PartId="bd6d41616b1641e09ecd1050512219f1"/>
          <Part Type="papunktis" Nr="26.4" Abbr="26.4 pp." DocPartId="209d810f11eb44bba79f18f47b0d88dc" PartId="e26b915a79c3458d8c5dd5798d564ecc"/>
        </Part>
        <Part Type="punktas" Nr="27" Abbr="27 p." DocPartId="d2683f515956446a81c9d5b999ef6a2c" PartId="7e911be30ba94be2ac788ac85f49e0ee"/>
        <Part Type="punktas" Nr="28" Abbr="28 p." DocPartId="e39827e5eb8e47c4af7b0006537eff45" PartId="d7230537b19243c79e6f7e28ece7f7e4"/>
        <Part Type="punktas" Nr="29" Abbr="29 p." DocPartId="6bebed7f3e674d7696346357e959ea1c" PartId="c6ffc3fdbdcd4eb49c7cbe5536d210bb"/>
        <Part Type="punktas" Nr="30" Abbr="30 p." DocPartId="b4963446513b471c853d63a57503fc9d" PartId="b984b0c7b2f948239a44bac1a3005d89"/>
        <Part Type="punktas" Nr="31" Abbr="31 p." DocPartId="1b71dd2caab44aba860edff0cce9d36a" PartId="cfae574b9b4940d1a562fe4eaa90c7c9"/>
        <Part Type="punktas" Nr="31-1" Abbr="31-1 p." DocPartId="1391d37cdb8e449e86f40c86aed09901" PartId="905b0a30b31f4401b0a47e8880bef57c"/>
      </Part>
      <Part Type="skirsnis" Nr="3" Title="GAMINTOJŲ, NAUDOJANČIŲ ATSINAUJINANČIUS ENERGIJOS IŠTEKLIUS, ELEKTROS ENERGIJOS ĮRENGINIŲ PRIJUNGIMO ĮKAINIŲ NUSTATYMO TVARKA" DocPartId="43c87f8c61b94e01a6a68bfd050e91f7" PartId="c655b67e771f4cbb87c5a0c037ae8734">
        <Part Type="punktas" Nr="32" Abbr="32 p." DocPartId="89e58586322645b8a58a322ae35a2bd3" PartId="e9f6b2e9179e4e858aecd6821f6b5540"/>
        <Part Type="punktas" Nr="33" Abbr="33 p." DocPartId="b1aaeb2e3ceb4aa9a6850c9ce1acc1e5" PartId="abc93aee391f416993f1d8c77b5d8154"/>
        <Part Type="punktas" Nr="34" Abbr="34 p." DocPartId="21bdbd39115c4b79bde79abdad07a8d5" PartId="beb85bdb89964da88fc9f5a8a92663e7"/>
        <Part Type="punktas" Nr="35" Abbr="35 p." DocPartId="ff45abc907fc41d9aeabdebf3bcda0b6" PartId="4b5705125cc145439b14f4655e0807ef"/>
        <Part Type="punktas" Nr="36" Abbr="36 p." DocPartId="cf2b94dcd65246bdb442e0d9078d9711" PartId="6ce105ab7e734cbaa6672d18b5f79c53"/>
        <Part Type="punktas" Nr="37" Abbr="37 p." DocPartId="516cdb2f02a4473fab4d57afcf8293f7" PartId="533be8407638468ba9ca06ea2fd42fdc"/>
        <Part Type="punktas" Nr="38" Abbr="38 p." DocPartId="4f24df324dd84228973f54f6fb2587a9" PartId="6947272d1e454615910d04fdcfb4912f"/>
        <Part Type="punktas" Nr="38-1" Abbr="38-1 p." DocPartId="e2269891cf134288a382be30116b31a2" PartId="f3cd9b205ee844f880064bed9a5bed05"/>
      </Part>
      <Part Type="skirsnis" Nr="4" Title="ENERGIJOS KAUPIMO ĮRENGINIŲ PRIJUNGIMO PRIE OPERATORIŲ ELEKTROS TINKLŲ ĮKAINIŲ NUSTATYMO TVARKA" DocPartId="2985168e4dec44c6a7b189e4aea25c57" PartId="950c980121c44c76b6fd7ab7a620232a">
        <Part Type="punktas" Nr="39" Abbr="39 p." DocPartId="bf926ed470eb4761b904a11753a8bc71" PartId="28d57cdecd4b4ddd96aa85358fff2105"/>
        <Part Type="punktas" Nr="40" Abbr="40 p." DocPartId="793d8967d64e4749aefbcaa0231f00df" PartId="444caecccc374086bfc6ebde3293cce1"/>
        <Part Type="punktas" Nr="41" Abbr="41 p." DocPartId="ac86bcf0f5b34aa0a8fe2ca6d599f129" PartId="a92b5b9e292042d99f6ee256a5046e5f"/>
        <Part Type="punktas" Nr="42" Abbr="42 p." DocPartId="b2a818715ed24d6aa7ceced80415a86d" PartId="c63c616dd4b4440dbabe873b1f75f2c6">
          <Part Type="papunktis" Nr="42.1" Abbr="42.1 pp." DocPartId="cacc0ba0bf6e41c2be45d420592a50fe" PartId="bf639954c7db4e069a8077d0b07599e7"/>
          <Part Type="papunktis" Nr="42.2" Abbr="42.2 pp." DocPartId="b8f1ac8c2922483fb28f23faccca3aa1" PartId="e819293872924efb9bd2a2fdbd505547"/>
          <Part Type="papunktis" Nr="42.3" Abbr="42.3 pp." DocPartId="69ba53f699c14584a5ed97aa6e1b2cf1" PartId="7834de78e7dc4bd081b090e11a9f392e"/>
          <Part Type="papunktis" Nr="42.4" Abbr="42.4 pp." DocPartId="54fa9a5d1e4b4b21a6144ef041178762" PartId="36bee8d00cc3411fb3a27fa363406ad0"/>
          <Part Type="papunktis" Nr="42.5" Abbr="42.5 pp." DocPartId="7186178a86014db2be4d109ba0f01764" PartId="f94989f014214558ae105c8814d8cc97"/>
        </Part>
        <Part Type="punktas" Nr="43" Abbr="43 p." DocPartId="3b7aa7666a2c4df5befd64f1aabac446" PartId="bc6bc81aa018430db55cd20f0c9a87f7"/>
        <Part Type="punktas" Nr="44" Abbr="44 p." DocPartId="70aaf1b013304f74b8b2dfc09edbaa8a" PartId="9f4c5820f33940158ff02b898d9efa32"/>
        <Part Type="punktas" Nr="45" Abbr="45 p." DocPartId="bae310429c0546849fcf2185efab56c1" PartId="29c616b1e9e84b26ad43abc03515fc5c"/>
        <Part Type="punktas" Nr="46" Abbr="46 p." DocPartId="0e1360c8092b4c1d88b91054e795ad61" PartId="ee6d70fe56e740cca9b036430ea1a73f"/>
        <Part Type="punktas" Nr="47" Abbr="47 p." DocPartId="189ad8ff4c7848809fc819ec740aef02" PartId="bccdb68575ce4d1e8bc0cc85c64ce98e"/>
        <Part Type="punktas" Nr="47-1" Abbr="47-1 p." DocPartId="6a2d7343ba4f4a01a3342bc643850da3" PartId="ba9f51833afa45f4b213b184cda2f29f"/>
      </Part>
      <Part Type="skirsnis" Nr="5" Title="ELEKTROS TINKLŲ PLĖTROS KAINOS TAIKYMAS JUNGIANT GAMINTOJŲ, GAMINANČIŲ VARTOTOJŲ ĮRENGINIUS IR ENERGIJOS KAUPIMO ĮRENGINIUS" DocPartId="b03744424fe9415782ff5f3a7ff0c5e7" PartId="5f23502591eb4feabec605f5c989a00f">
        <Part Type="punktas" Nr="48" Abbr="48 p." DocPartId="a241770a5f534b559b632c9c8054216e" PartId="c63a19113b794561ab7af5db0bf7b107">
          <Part Type="papunktis" Nr="48.1" Abbr="48.1 pp." DocPartId="8c08605b44334bdeb45170c21598227d" PartId="17f5811ca2a349acb47c90a1a6972e01"/>
          <Part Type="papunktis" Nr="48.2" Abbr="48.2 pp." DocPartId="21d3866904994da3865285ebd8849174" PartId="44688fe3e4474352894b396a75cf51d6"/>
          <Part Type="papunktis" Nr="48.3" Abbr="48.3 pp." DocPartId="b1470b855d7244c89c00b71ac0fea48c" PartId="796979dc169b405d8c25038f74f67ae3"/>
          <Part Type="papunktis" Nr="48.4" Abbr="48.4 pp." DocPartId="534fde2ada4b408a9012dff14584b2be" PartId="7e8ca5bcba97456180ab9ca674f5717d"/>
        </Part>
      </Part>
    </Part>
    <Part Type="skyrius" Nr="4" Title="REIKALAVIMAI, SUSIJĘ SU VARTOTOJŲ ELEKTROS ENERGIJOS ĮRENGINIŲ PRIJUNGIMO ĮKAINIŲ NUSTATYMU" DocPartId="a58e745729294c9f8e5eac1a5f518f05" PartId="b9c01b09163a41ef89a2892eecce8158">
      <Part Type="punktas" Nr="49" Abbr="49 p." DocPartId="2c805406293940c6b6a2f0c2a68bfb93" PartId="473de46ba4ee4bd2995c8856580e07ee">
        <Part Type="papunktis" Nr="49.1" Abbr="49.1 pp." DocPartId="05590fcac1284df2aaa6d6378db47267" PartId="fd177f8cf6ec41efa79e21b9fe93792e"/>
        <Part Type="papunktis" Nr="49.2" Abbr="49.2 pp." DocPartId="5c6cff0eb5fb4ccd843571da6ca4fd95" PartId="817035c3b71c43ac93bd4545eb028ad9"/>
        <Part Type="papunktis" Nr="49.3" Abbr="49.3 pp." DocPartId="6c0320ceeffb4c04b4bf9eca86959d6a" PartId="4c0b6d8acb9746a7ace161abf7c37e7d"/>
      </Part>
      <Part Type="punktas" Nr="50" Abbr="50 p." DocPartId="d5ea3958bd1e4fb2a43c0a70339f4469" PartId="93e5373f3fd54edea200efbad6fca0f0"/>
      <Part Type="punktas" Nr="51" Abbr="51 p." DocPartId="de46fca60e5941f0bd759296e25e7fb3" PartId="b257ebc86fed4fd2b01d00ec322f6ec9"/>
      <Part Type="punktas" Nr="52" Abbr="52 p." DocPartId="014e45a39a2d4a4da5b3182c3bdc3f86" PartId="5b305db53d7c4537acf8860a03d8772a"/>
      <Part Type="punktas" Nr="53" Abbr="53 p." DocPartId="15c2d26d270347c5a031c0b15102bc51" PartId="44fb386d9825412f8f72193db2d115fe"/>
    </Part>
    <Part Type="skyrius" Nr="5" Title="BAIGIAMOSIOS NUOSTATOS" DocPartId="4680c8c331024269abab56be1c89908c" PartId="addd88516d644556a59307c3c18d0048">
      <Part Type="punktas" Nr="54" Abbr="54 p." DocPartId="bd0dd6bd23604d0aa19c866f636d94a4" PartId="97d8b39e8316494bb3d36fe76346fdd0"/>
      <Part Type="punktas" Nr="55" Abbr="55 p." DocPartId="5cee00c2dba14ae8a67879179b03c3dd" PartId="ee3a94318ecc462a89150273610de8eb"/>
      <Part Type="punktas" Nr="56" Abbr="56 p." DocPartId="73bb80fb6bec45b79269b73d20bb64ae" PartId="f2020e5af9704614b2f2d3a5a3a0abf7"/>
    </Part>
    <Part Type="pabaiga" DocPartId="9dfc74c596404cab929bf6f5d3737da4" PartId="d797a41b7c154ba4b9b6fd48ae334445"/>
  </Part>
  <Part Type="priedas" Abbr="pr." Title="NAUJŲ VARTOTOJŲ ELEKTROS ĮRENGINIŲ PRIJUNGIMO ATASKAITA" DocPartId="cdf7f6e75bc34fe89358e9a9f992dfec" PartId="215a929bee1d4314991585f685413bbf"/>
</Parts>
</file>

<file path=customXml/itemProps1.xml><?xml version="1.0" encoding="utf-8"?>
<ds:datastoreItem xmlns:ds="http://schemas.openxmlformats.org/officeDocument/2006/customXml" ds:itemID="{CE807DAB-9AB6-4896-9F2F-F38B04CB8F69}">
  <ds:schemaRefs>
    <ds:schemaRef ds:uri="http://lrs.lt/TAIS/DocParts"/>
  </ds:schemaRefs>
</ds:datastoreItem>
</file>

<file path=docProps/app.xml><?xml version="1.0" encoding="utf-8"?>
<Properties xmlns="http://schemas.openxmlformats.org/officeDocument/2006/extended-properties">
  <Template>Normal.dotm</Template>
  <TotalTime>159</TotalTime>
  <Pages>34</Pages>
  <Words>68245</Words>
  <Characters>38900</Characters>
  <Application>Microsoft Office Word</Application>
  <DocSecurity>0</DocSecurity>
  <Lines>324</Lines>
  <Paragraphs>213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VALSTYBINĖS KAINŲ IR ENERGETIKOS KONTROLĖS KOMISIJOS</vt:lpstr>
    </vt:vector>
  </TitlesOfParts>
  <Company/>
  <LinksUpToDate>false</LinksUpToDate>
  <CharactersWithSpaces>106932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2015-07-02T00:29:00Z</dcterms:created>
  <dc:creator>Rima</dc:creator>
  <lastModifiedBy>ŠAULYTĖ SKAIRIENĖ Dalia</lastModifiedBy>
  <dcterms:modified xsi:type="dcterms:W3CDTF">2026-04-17T07:29:00Z</dcterms:modified>
  <revision>44</revision>
  <dc:title>VALSTYBINĖS KAINŲ IR ENERGETIKOS KONTROLĖS KOMISIJOS</dc:title>
</coreProperties>
</file>