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0ce7b904d9484e96f37aa2695c2a4e"/>
        <w:lock w:val="sdtLocked"/>
        <w:richText/>
      </w:sdtPr>
      <w:sdtContent>
        <w:p>
          <w:pPr>
            <w:jc w:val="both"/>
            <w:rPr>
              <w:rFonts w:ascii="Times New Roman" w:hAnsi="Times New Roman"/>
            </w:rPr>
          </w:pPr>
          <w:r>
            <w:rPr>
              <w:rFonts w:ascii="Times New Roman" w:hAnsi="Times New Roman"/>
              <w:b/>
              <w:i/>
            </w:rPr>
            <w:t>Suvestinė redakcija nuo 2024-01-27 iki 2025-11-21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5FA4EFA9C386">
            <w:r w:rsidRPr="00532B9F">
              <w:rPr>
                <w:rFonts w:ascii="Times New Roman" w:eastAsia="MS Mincho" w:hAnsi="Times New Roman"/>
                <w:sz w:val="20"/>
                <w:i/>
                <w:iCs/>
                <w:color w:val="0000FF" w:themeColor="hyperlink"/>
                <w:u w:val="single"/>
              </w:rPr>
              <w:t>100-4737</w:t>
            </w:r>
          </w:fldSimple>
          <w:r>
            <w:rPr>
              <w:rFonts w:ascii="Times New Roman" w:eastAsia="MS Mincho" w:hAnsi="Times New Roman"/>
              <w:sz w:val="20"/>
              <w:i/>
              <w:iCs/>
            </w:rPr>
            <w:t>, i. k. 111106ANUTA00O3-193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2022-03-15:</w:t>
          </w:r>
        </w:p>
        <w:p>
          <w:pPr>
            <w:rPr>
              <w:rFonts w:ascii="Times New Roman" w:hAnsi="Times New Roman"/>
              <w:sz w:val="20"/>
              <w:i/>
            </w:rPr>
          </w:pPr>
          <w:r>
            <w:rPr>
              <w:rFonts w:ascii="Times New Roman" w:hAnsi="Times New Roman"/>
              <w:sz w:val="20"/>
              <w:i/>
            </w:rPr>
            <w:t xml:space="preserve">Nr. </w:t>
          </w:r>
          <w:fldSimple w:instr="HYPERLINK https://www.e-tar.lt/portal/legalAct.html?documentId=8d3f9e10a38411ec966fd5047f7e7091">
            <w:r w:rsidRPr="00532B9F">
              <w:rPr>
                <w:rFonts w:ascii="Times New Roman" w:eastAsia="MS Mincho" w:hAnsi="Times New Roman"/>
                <w:sz w:val="20"/>
                <w:i/>
                <w:iCs/>
                <w:color w:val="0000FF" w:themeColor="hyperlink"/>
                <w:u w:val="single"/>
              </w:rPr>
              <w:t>O3E-320</w:t>
            </w:r>
          </w:fldSimple>
          <w:r>
            <w:rPr>
              <w:rFonts w:ascii="Times New Roman" w:eastAsia="MS Mincho" w:hAnsi="Times New Roman"/>
              <w:sz w:val="20"/>
              <w:i/>
              <w:iCs/>
            </w:rPr>
            <w:t>,
2022-03-14,
paskelbta TAR 2022-03-14, i. k. 2022-04734                </w:t>
          </w:r>
        </w:p>
        <w:p>
          <w:pPr>
            <w:rPr>
              <w:rFonts w:ascii="Times New Roman" w:hAnsi="Times New Roman"/>
              <w:sz w:val="22"/>
            </w:rPr>
          </w:pPr>
        </w:p>
        <w:p>
          <w:pPr>
            <w:widowControl w:val="0"/>
            <w:jc w:val="center"/>
            <w:rPr>
              <w:b/>
              <w:bCs/>
              <w:szCs w:val="24"/>
            </w:rPr>
          </w:pPr>
          <w:r>
            <w:rPr>
              <w:szCs w:val="24"/>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alias w:val="Pavadinimas"/>
              <w:tag w:val="title_e40ce7b904d9484e96f37aa2695c2a4e"/>
              <w:lock w:val="sdtLocked"/>
              <w:richText/>
            </w:sdtPr>
            <w:sdtContent>
              <w:r>
                <w:rPr>
                  <w:b/>
                  <w:bCs/>
                  <w:szCs w:val="24"/>
                </w:rPr>
                <w:t>VALSTYBINĖS ENERGETIKOS REGULIAVIMO TARYBA</w:t>
              </w:r>
            </w:sdtContent>
          </w:sdt>
        </w:p>
        <w:p>
          <w:pPr>
            <w:widowControl w:val="0"/>
            <w:jc w:val="center"/>
            <w:rPr>
              <w:b/>
              <w:bCs/>
              <w:szCs w:val="24"/>
            </w:rPr>
          </w:pPr>
        </w:p>
        <w:p>
          <w:pPr>
            <w:widowControl w:val="0"/>
            <w:jc w:val="center"/>
            <w:rPr>
              <w:b/>
              <w:bCs/>
              <w:szCs w:val="24"/>
            </w:rPr>
          </w:pPr>
          <w:r>
            <w:rPr>
              <w:b/>
              <w:bCs/>
              <w:szCs w:val="24"/>
            </w:rPr>
            <w:t>NUTARIMAS</w:t>
          </w:r>
        </w:p>
        <w:p>
          <w:pPr>
            <w:widowControl w:val="0"/>
            <w:jc w:val="center"/>
            <w:rPr>
              <w:b/>
              <w:bCs/>
              <w:szCs w:val="24"/>
            </w:rPr>
          </w:pPr>
          <w:r>
            <w:rPr>
              <w:b/>
              <w:bCs/>
              <w:szCs w:val="24"/>
            </w:rPr>
            <w:t>DĖL PASINAUDOJIMO ELEKTROS TINKLAIS TVARKOS APRAŠO RENGIMO SĄLYGŲ APRAŠO PATVIRTINIMO</w:t>
          </w:r>
        </w:p>
        <w:p>
          <w:pPr>
            <w:widowControl w:val="0"/>
            <w:jc w:val="center"/>
            <w:rPr>
              <w:b/>
              <w:bCs/>
              <w:szCs w:val="24"/>
            </w:rPr>
          </w:pPr>
        </w:p>
        <w:p>
          <w:pPr>
            <w:widowControl w:val="0"/>
            <w:jc w:val="center"/>
            <w:rPr>
              <w:b/>
              <w:bCs/>
              <w:szCs w:val="24"/>
            </w:rPr>
          </w:pPr>
          <w:r>
            <w:t>2011 m. liepos 25 d. Nr. O3-193</w:t>
          </w:r>
        </w:p>
        <w:p>
          <w:pPr>
            <w:widowControl w:val="0"/>
            <w:jc w:val="center"/>
            <w:rPr>
              <w:b/>
              <w:bCs/>
              <w:caps/>
              <w:szCs w:val="24"/>
            </w:rPr>
          </w:pPr>
          <w:r>
            <w:t>Vilnius</w:t>
          </w:r>
        </w:p>
        <w:p>
          <w:pPr>
            <w:widowControl w:val="0"/>
            <w:rPr>
              <w:b/>
              <w:bCs/>
              <w:caps/>
              <w:szCs w:val="24"/>
            </w:rPr>
          </w:pPr>
        </w:p>
        <w:p>
          <w:pPr>
            <w:widowControl w:val="0"/>
            <w:rPr>
              <w:b/>
              <w:bCs/>
              <w:caps/>
              <w:szCs w:val="24"/>
            </w:rPr>
          </w:pPr>
        </w:p>
        <w:sdt>
          <w:sdtPr>
            <w:alias w:val="preambule"/>
            <w:tag w:val="part_0ba10883665649c69a4ba0eff06da7e0"/>
            <w:lock w:val="sdtLocked"/>
            <w:richText/>
          </w:sdtPr>
          <w:sdtContent>
            <w:p>
              <w:pPr>
                <w:spacing w:line="276" w:lineRule="auto"/>
                <w:ind w:firstLine="709"/>
                <w:jc w:val="both"/>
                <w:rPr>
                  <w:szCs w:val="24"/>
                  <w:lang w:eastAsia="lt-LT"/>
                </w:rPr>
              </w:pPr>
              <w:r>
                <w:rPr>
                  <w:szCs w:val="24"/>
                  <w:lang w:eastAsia="lt-LT"/>
                </w:rPr>
                <w:t>Vadovaudamasi Lietuvos Respublikos elektros energetikos įstatymo 9 straipsnio 3 dalies 36 punktu, 22 straipsnio 3</w:t>
              </w:r>
              <w:r>
                <w:rPr>
                  <w:szCs w:val="24"/>
                  <w:vertAlign w:val="superscript"/>
                  <w:lang w:eastAsia="lt-LT"/>
                </w:rPr>
                <w:t>1</w:t>
              </w:r>
              <w:r>
                <w:rPr>
                  <w:szCs w:val="24"/>
                  <w:lang w:eastAsia="lt-LT"/>
                </w:rPr>
                <w:t xml:space="preserve"> dalimi, 31 straipsnio 2 dalimi, 39 straipsnio 2 dalimi bei atsižvelgdama į 2019 m. birželio 5 d. Europos Parlamento ir Tarybos reglamento (ES) 2019/943 dėl elektros energijos vidaus rinkos 12 ir 13 straipsnius, Valstybinė energetikos reguliavimo taryba n u t a r i a:</w:t>
              </w:r>
            </w:p>
          </w:sdtContent>
        </w:sdt>
        <w:sdt>
          <w:sdtPr>
            <w:alias w:val="pastraipa"/>
            <w:tag w:val="part_bd4b0cd0aced4b43b5491a85e67680f7"/>
            <w:lock w:val="sdtLocked"/>
            <w:richText/>
          </w:sdtPr>
          <w:sdtContent>
            <w:p>
              <w:pPr>
                <w:spacing w:line="276" w:lineRule="auto"/>
                <w:ind w:firstLine="709"/>
                <w:jc w:val="both"/>
              </w:pPr>
              <w:r>
                <w:rPr>
                  <w:szCs w:val="24"/>
                  <w:lang w:eastAsia="lt-LT"/>
                </w:rPr>
                <w:t>Patvirtinti Pasinaudojimo elektros tinklais tvarkos aprašo rengimo sąlygų aprašą (pridedama).</w:t>
              </w:r>
            </w:p>
          </w:sdtContent>
        </w:sdt>
        <w:sdt>
          <w:sdtPr>
            <w:alias w:val="signatura"/>
            <w:tag w:val="part_dcfc419a93774125b97276d7ff896aa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rPr>
              </w:pPr>
              <w:r>
                <w:rPr>
                  <w:caps/>
                </w:rPr>
                <w:t>Komisijos pirmininkė</w:t>
                <w:tab/>
                <w:t>Diana Korsakaitė</w:t>
              </w:r>
            </w:p>
            <w:p>
              <w:pPr>
                <w:widowControl w:val="0"/>
              </w:pPr>
            </w:p>
          </w:sdtContent>
        </w:sdt>
        <w:p/>
      </w:sdtContent>
    </w:sdt>
    <w:sdt>
      <w:sdtPr>
        <w:alias w:val="patvirtinta"/>
        <w:tag w:val="part_b5b014412a80469ab164f85da2d0b9a2"/>
        <w:lock w:val="sdtLocked"/>
        <w:richText/>
      </w:sdtPr>
      <w:sdtContent>
        <w:p>
          <w:pPr>
            <w:widowControl w:val="0"/>
            <w:ind w:left="4535"/>
            <w:sectPr>
              <w:pgSz w:w="11907" w:h="16840" w:code="9"/>
              <w:pgMar w:top="1134" w:right="1134" w:bottom="1134" w:left="1701" w:header="709" w:footer="284" w:gutter="0"/>
              <w:pgNumType w:start="1"/>
              <w:cols w:space="1296"/>
              <w:titlePg/>
              <w:docGrid w:linePitch="360"/>
            </w:sectPr>
          </w:pPr>
        </w:p>
        <w:p>
          <w:pPr>
            <w:widowControl w:val="0"/>
            <w:ind w:left="4535"/>
            <w:rPr>
              <w:szCs w:val="24"/>
            </w:rPr>
          </w:pPr>
          <w:r>
            <w:rPr>
              <w:szCs w:val="24"/>
            </w:rPr>
            <w:t>PATVIRTINTA</w:t>
          </w:r>
        </w:p>
        <w:p>
          <w:pPr>
            <w:widowControl w:val="0"/>
            <w:ind w:left="4535"/>
            <w:rPr>
              <w:szCs w:val="24"/>
            </w:rPr>
          </w:pPr>
          <w:r>
            <w:rPr>
              <w:szCs w:val="24"/>
            </w:rPr>
            <w:t xml:space="preserve">Valstybinės kainų ir energetikos </w:t>
          </w:r>
        </w:p>
        <w:p>
          <w:pPr>
            <w:widowControl w:val="0"/>
            <w:ind w:left="4535"/>
            <w:rPr>
              <w:szCs w:val="24"/>
            </w:rPr>
          </w:pPr>
          <w:r>
            <w:rPr>
              <w:szCs w:val="24"/>
            </w:rPr>
            <w:t xml:space="preserve">kontrolės komisijos </w:t>
          </w:r>
        </w:p>
        <w:p>
          <w:pPr>
            <w:widowControl w:val="0"/>
            <w:ind w:left="4535"/>
            <w:rPr>
              <w:szCs w:val="24"/>
            </w:rPr>
          </w:pPr>
          <w:r>
            <w:rPr>
              <w:szCs w:val="24"/>
            </w:rPr>
            <w:t xml:space="preserve">2011 m. liepos 25 d. nutarimu Nr. O3-193 </w:t>
          </w:r>
        </w:p>
        <w:p>
          <w:pPr>
            <w:widowControl w:val="0"/>
            <w:ind w:left="4535"/>
            <w:rPr>
              <w:szCs w:val="24"/>
            </w:rPr>
          </w:pPr>
          <w:r>
            <w:rPr>
              <w:szCs w:val="24"/>
            </w:rPr>
            <w:t>(Valstybinės energetikos reguliavimo tarybos</w:t>
          </w:r>
        </w:p>
        <w:p>
          <w:pPr>
            <w:widowControl w:val="0"/>
            <w:ind w:left="4535"/>
            <w:rPr>
              <w:szCs w:val="24"/>
            </w:rPr>
          </w:pPr>
          <w:r>
            <w:rPr>
              <w:szCs w:val="24"/>
            </w:rPr>
            <w:t>2022 m. kovo 14 d. nutarimo Nr. O3E-320</w:t>
          </w:r>
        </w:p>
        <w:p>
          <w:pPr>
            <w:widowControl w:val="0"/>
            <w:ind w:left="4535"/>
            <w:rPr>
              <w:szCs w:val="24"/>
            </w:rPr>
          </w:pPr>
          <w:r>
            <w:rPr>
              <w:szCs w:val="24"/>
            </w:rPr>
            <w:t>redakcija)</w:t>
          </w:r>
        </w:p>
        <w:p>
          <w:pPr>
            <w:widowControl w:val="0"/>
            <w:ind w:firstLine="567"/>
            <w:jc w:val="both"/>
            <w:rPr>
              <w:szCs w:val="24"/>
            </w:rPr>
          </w:pPr>
        </w:p>
        <w:p>
          <w:pPr>
            <w:widowControl w:val="0"/>
            <w:jc w:val="center"/>
            <w:rPr>
              <w:b/>
              <w:bCs/>
              <w:caps/>
              <w:szCs w:val="24"/>
            </w:rPr>
          </w:pPr>
          <w:sdt>
            <w:sdtPr>
              <w:alias w:val="Pavadinimas"/>
              <w:tag w:val="title_b5b014412a80469ab164f85da2d0b9a2"/>
              <w:lock w:val="sdtLocked"/>
              <w:richText/>
            </w:sdtPr>
            <w:sdtContent>
              <w:r>
                <w:rPr>
                  <w:b/>
                  <w:bCs/>
                  <w:caps/>
                  <w:szCs w:val="24"/>
                </w:rPr>
                <w:t>PASINAUDOJIMO ELEKTROS TINKLAIS TVARKOS APRAŠO rengimo sąlygų APRAŠas</w:t>
              </w:r>
            </w:sdtContent>
          </w:sdt>
        </w:p>
        <w:p>
          <w:pPr>
            <w:widowControl w:val="0"/>
            <w:jc w:val="center"/>
            <w:rPr>
              <w:b/>
              <w:bCs/>
              <w:caps/>
              <w:szCs w:val="24"/>
            </w:rPr>
          </w:pPr>
        </w:p>
        <w:sdt>
          <w:sdtPr>
            <w:alias w:val="skyrius"/>
            <w:tag w:val="part_9c23efee90a04431b5af1aed81da8635"/>
            <w:lock w:val="sdtLocked"/>
            <w:richText/>
          </w:sdtPr>
          <w:sdtContent>
            <w:p>
              <w:pPr>
                <w:widowControl w:val="0"/>
                <w:jc w:val="center"/>
                <w:rPr>
                  <w:b/>
                  <w:bCs/>
                  <w:caps/>
                  <w:szCs w:val="24"/>
                </w:rPr>
              </w:pPr>
              <w:sdt>
                <w:sdtPr>
                  <w:alias w:val="Numeris"/>
                  <w:tag w:val="nr_9c23efee90a04431b5af1aed81da8635"/>
                  <w:lock w:val="sdtLocked"/>
                  <w:richText/>
                </w:sdtPr>
                <w:sdtContent>
                  <w:r>
                    <w:rPr>
                      <w:b/>
                      <w:bCs/>
                      <w:caps/>
                      <w:szCs w:val="24"/>
                    </w:rPr>
                    <w:t>I</w:t>
                  </w:r>
                </w:sdtContent>
              </w:sdt>
              <w:r>
                <w:rPr>
                  <w:b/>
                  <w:bCs/>
                  <w:caps/>
                  <w:szCs w:val="24"/>
                </w:rPr>
                <w:t xml:space="preserve"> SKYRIUS</w:t>
              </w:r>
            </w:p>
            <w:p>
              <w:pPr>
                <w:widowControl w:val="0"/>
                <w:jc w:val="center"/>
                <w:rPr>
                  <w:b/>
                  <w:bCs/>
                  <w:caps/>
                  <w:szCs w:val="24"/>
                </w:rPr>
              </w:pPr>
              <w:sdt>
                <w:sdtPr>
                  <w:alias w:val="Pavadinimas"/>
                  <w:tag w:val="title_9c23efee90a04431b5af1aed81da8635"/>
                  <w:lock w:val="sdtLocked"/>
                  <w:richText/>
                </w:sdtPr>
                <w:sdtContent>
                  <w:r>
                    <w:rPr>
                      <w:b/>
                      <w:bCs/>
                      <w:caps/>
                      <w:szCs w:val="24"/>
                    </w:rPr>
                    <w:t>BENDROSIOS NUOSTATOS</w:t>
                  </w:r>
                </w:sdtContent>
              </w:sdt>
            </w:p>
            <w:p>
              <w:pPr>
                <w:widowControl w:val="0"/>
                <w:ind w:firstLine="567"/>
                <w:jc w:val="both"/>
                <w:rPr>
                  <w:szCs w:val="24"/>
                </w:rPr>
              </w:pPr>
            </w:p>
            <w:sdt>
              <w:sdtPr>
                <w:alias w:val="1 p."/>
                <w:tag w:val="part_b2ae52b493db4ad1bdcfbc4413cd89bf"/>
                <w:lock w:val="sdtLocked"/>
                <w:richText/>
              </w:sdtPr>
              <w:sdtContent>
                <w:p>
                  <w:pPr>
                    <w:widowControl w:val="0"/>
                    <w:ind w:firstLine="709"/>
                    <w:jc w:val="both"/>
                    <w:rPr>
                      <w:szCs w:val="24"/>
                    </w:rPr>
                  </w:pPr>
                  <w:sdt>
                    <w:sdtPr>
                      <w:alias w:val="Numeris"/>
                      <w:tag w:val="nr_b2ae52b493db4ad1bdcfbc4413cd89bf"/>
                      <w:lock w:val="sdtLocked"/>
                      <w:richText/>
                    </w:sdtPr>
                    <w:sdtContent>
                      <w:r>
                        <w:rPr>
                          <w:szCs w:val="24"/>
                        </w:rPr>
                        <w:t>1</w:t>
                      </w:r>
                    </w:sdtContent>
                  </w:sdt>
                  <w:r>
                    <w:rPr>
                      <w:szCs w:val="24"/>
                    </w:rPr>
                    <w:t>. Pasinaudojimo elektros tinklais tvarkos aprašo rengimo sąlygų aprašas (toliau </w:t>
                  </w:r>
                  <w:r>
                    <w:rPr>
                      <w:spacing w:val="-3"/>
                      <w:szCs w:val="24"/>
                    </w:rPr>
                    <w:t>–</w:t>
                  </w:r>
                  <w:r>
                    <w:rPr>
                      <w:szCs w:val="24"/>
                    </w:rPr>
                    <w:t xml:space="preserve"> Sąlygų aprašas) </w:t>
                  </w:r>
                  <w:r>
                    <w:rPr>
                      <w:spacing w:val="-3"/>
                      <w:szCs w:val="24"/>
                    </w:rPr>
                    <w:t>reglamentuoja Pasinaudojimo elektros tinklais tvarkos aprašo (toliau – Pasinaudojimo tvarkos aprašas) rengimo bendruosius principus ir tvarką.</w:t>
                  </w:r>
                </w:p>
              </w:sdtContent>
            </w:sdt>
            <w:sdt>
              <w:sdtPr>
                <w:alias w:val="2 p."/>
                <w:tag w:val="part_380f86e03ebd442f98049d1e9a97e171"/>
                <w:lock w:val="sdtLocked"/>
                <w:richText/>
              </w:sdtPr>
              <w:sdtContent>
                <w:p>
                  <w:pPr>
                    <w:widowControl w:val="0"/>
                    <w:spacing w:line="257" w:lineRule="auto"/>
                    <w:ind w:firstLine="709"/>
                    <w:jc w:val="both"/>
                    <w:rPr>
                      <w:rFonts w:eastAsia="Calibri"/>
                      <w:szCs w:val="24"/>
                      <w:lang w:val="lt"/>
                    </w:rPr>
                  </w:pPr>
                  <w:sdt>
                    <w:sdtPr>
                      <w:alias w:val="Numeris"/>
                      <w:tag w:val="nr_380f86e03ebd442f98049d1e9a97e171"/>
                      <w:lock w:val="sdtLocked"/>
                      <w:richText/>
                    </w:sdtPr>
                    <w:sdtContent>
                      <w:r>
                        <w:rPr>
                          <w:rFonts w:eastAsia="Calibri"/>
                          <w:szCs w:val="24"/>
                          <w:lang w:val="lt"/>
                        </w:rPr>
                        <w:t>2</w:t>
                      </w:r>
                    </w:sdtContent>
                  </w:sdt>
                  <w:r>
                    <w:rPr>
                      <w:rFonts w:eastAsia="Calibri"/>
                      <w:szCs w:val="24"/>
                      <w:lang w:val="lt"/>
                    </w:rPr>
                    <w:t xml:space="preserve">. </w:t>
                  </w:r>
                  <w:r>
                    <w:rPr>
                      <w:szCs w:val="24"/>
                    </w:rPr>
                    <w:t xml:space="preserve">Sąlygų apraše vartojamos sąvokos suprantamos taip, kaip jas apibrėžia </w:t>
                  </w:r>
                  <w:r>
                    <w:rPr>
                      <w:rFonts w:eastAsia="Arial"/>
                      <w:szCs w:val="24"/>
                    </w:rPr>
                    <w:t>2016 m. balandžio 14 d. Europos Komisijos reglamentas (ES) 2016/631 dėl tinklo kodekso, kuriame nustatomi generatorių prijungimo prie elektros energijos tinklo reikalavimai,</w:t>
                  </w:r>
                  <w:r>
                    <w:rPr>
                      <w:rFonts w:eastAsia="Calibri"/>
                      <w:szCs w:val="24"/>
                      <w:lang w:val="lt"/>
                    </w:rPr>
                    <w:t xml:space="preserve"> 2016 m. rugpjūčio 26 d. Komisijos reglamentas (ES) 2016/1447 dėl tinklo kodekso, kuriame nustatomi aukštosios įtampos nuolatinės srovės sistemų ir nuolatinės srovės linija jungiamų elektros jėgainių parko modulių prijungimo prie tinklo reikalavimai,</w:t>
                  </w:r>
                  <w:r>
                    <w:rPr>
                      <w:szCs w:val="24"/>
                    </w:rPr>
                    <w:t xml:space="preserve"> 2019 m. birželio 5 d. Europos Parlamento ir Tarybos reglamentas (ES) 2019/943 dėl elektros energijos vidaus rinkos, Lietuvos Respublikos energetikos įstatymas, Lietuvos Respublikos elektros energetikos įstatymas, Lietuvos Respublikos atsinaujinančių išteklių energetikos įstatymas, Lietuvos Respublikos investicijų įstatymas ir kiti elektros energetikos rinką reglamentuojantys teisės aktai.</w:t>
                  </w:r>
                </w:p>
                <w:p>
                  <w:pPr>
                    <w:widowControl w:val="0"/>
                    <w:ind w:firstLine="567"/>
                    <w:jc w:val="both"/>
                    <w:rPr>
                      <w:szCs w:val="24"/>
                    </w:rPr>
                  </w:pPr>
                </w:p>
              </w:sdtContent>
            </w:sdt>
          </w:sdtContent>
        </w:sdt>
        <w:sdt>
          <w:sdtPr>
            <w:alias w:val="skyrius"/>
            <w:tag w:val="part_16c4a3929bd342078731704c0d637e90"/>
            <w:lock w:val="sdtLocked"/>
            <w:richText/>
          </w:sdtPr>
          <w:sdtContent>
            <w:p>
              <w:pPr>
                <w:widowControl w:val="0"/>
                <w:jc w:val="center"/>
                <w:rPr>
                  <w:b/>
                  <w:bCs/>
                  <w:caps/>
                  <w:szCs w:val="24"/>
                </w:rPr>
              </w:pPr>
              <w:sdt>
                <w:sdtPr>
                  <w:alias w:val="Numeris"/>
                  <w:tag w:val="nr_16c4a3929bd342078731704c0d637e90"/>
                  <w:lock w:val="sdtLocked"/>
                  <w:richText/>
                </w:sdtPr>
                <w:sdtContent>
                  <w:r>
                    <w:rPr>
                      <w:b/>
                      <w:bCs/>
                      <w:caps/>
                      <w:szCs w:val="24"/>
                    </w:rPr>
                    <w:t>II</w:t>
                  </w:r>
                </w:sdtContent>
              </w:sdt>
              <w:r>
                <w:rPr>
                  <w:b/>
                  <w:bCs/>
                  <w:caps/>
                  <w:szCs w:val="24"/>
                </w:rPr>
                <w:t xml:space="preserve"> SKYRIUS</w:t>
              </w:r>
            </w:p>
            <w:p>
              <w:pPr>
                <w:widowControl w:val="0"/>
                <w:jc w:val="center"/>
                <w:rPr>
                  <w:b/>
                  <w:bCs/>
                  <w:caps/>
                  <w:szCs w:val="24"/>
                </w:rPr>
              </w:pPr>
              <w:sdt>
                <w:sdtPr>
                  <w:alias w:val="Pavadinimas"/>
                  <w:tag w:val="title_16c4a3929bd342078731704c0d637e90"/>
                  <w:lock w:val="sdtLocked"/>
                  <w:richText/>
                </w:sdtPr>
                <w:sdtContent>
                  <w:r>
                    <w:rPr>
                      <w:b/>
                      <w:bCs/>
                    </w:rPr>
                    <w:t>SĄLYGOS PASINAUDOJIMO TVARKOS APRAŠUI PARENGTI</w:t>
                  </w:r>
                </w:sdtContent>
              </w:sdt>
            </w:p>
            <w:p>
              <w:pPr>
                <w:widowControl w:val="0"/>
                <w:ind w:firstLine="567"/>
                <w:jc w:val="both"/>
                <w:rPr>
                  <w:szCs w:val="24"/>
                </w:rPr>
              </w:pPr>
            </w:p>
            <w:sdt>
              <w:sdtPr>
                <w:alias w:val="3 p."/>
                <w:tag w:val="part_e6b02df993dd498b987b302a655136cc"/>
                <w:lock w:val="sdtLocked"/>
                <w:richText/>
              </w:sdtPr>
              <w:sdtContent>
                <w:p>
                  <w:pPr>
                    <w:widowControl w:val="0"/>
                    <w:ind w:firstLine="709"/>
                    <w:jc w:val="both"/>
                    <w:rPr>
                      <w:szCs w:val="24"/>
                    </w:rPr>
                  </w:pPr>
                  <w:sdt>
                    <w:sdtPr>
                      <w:alias w:val="Numeris"/>
                      <w:tag w:val="nr_e6b02df993dd498b987b302a655136cc"/>
                      <w:lock w:val="sdtLocked"/>
                      <w:richText/>
                    </w:sdtPr>
                    <w:sdtContent>
                      <w:r>
                        <w:rPr>
                          <w:szCs w:val="24"/>
                        </w:rPr>
                        <w:t>3</w:t>
                      </w:r>
                    </w:sdtContent>
                  </w:sdt>
                  <w:r>
                    <w:rPr>
                      <w:szCs w:val="24"/>
                    </w:rPr>
                    <w:t>. Pasinaudojimo tvarkos aprašą parengia kiekvienas skirstomųjų tinklų ir perdavimo sistemos operatorius (toliau kartu – operatorius), vadovaudamasis Sąlygų apraše nustatytais bendraisiais principais ir sąlygomis.</w:t>
                  </w:r>
                </w:p>
              </w:sdtContent>
            </w:sdt>
            <w:sdt>
              <w:sdtPr>
                <w:alias w:val="4 p."/>
                <w:tag w:val="part_08598ea025e94a96afb8c9f55a99f44d"/>
                <w:lock w:val="sdtLocked"/>
                <w:richText/>
              </w:sdtPr>
              <w:sdtContent>
                <w:p>
                  <w:pPr>
                    <w:ind w:firstLine="709"/>
                    <w:jc w:val="both"/>
                    <w:rPr>
                      <w:szCs w:val="24"/>
                      <w:lang w:eastAsia="lt-LT"/>
                    </w:rPr>
                  </w:pPr>
                  <w:sdt>
                    <w:sdtPr>
                      <w:alias w:val="Numeris"/>
                      <w:tag w:val="nr_08598ea025e94a96afb8c9f55a99f44d"/>
                      <w:lock w:val="sdtLocked"/>
                      <w:richText/>
                    </w:sdtPr>
                    <w:sdtContent>
                      <w:r>
                        <w:rPr>
                          <w:szCs w:val="24"/>
                          <w:lang w:eastAsia="lt-LT"/>
                        </w:rPr>
                        <w:t>4</w:t>
                      </w:r>
                    </w:sdtContent>
                  </w:sdt>
                  <w:r>
                    <w:rPr>
                      <w:szCs w:val="24"/>
                      <w:lang w:eastAsia="lt-LT"/>
                    </w:rPr>
                    <w:t xml:space="preserve">. </w:t>
                  </w:r>
                  <w:r>
                    <w:t xml:space="preserve">Pasinaudojimo tvarkos aprašas privalo būti parengtas vadovaujantis </w:t>
                  </w:r>
                  <w:r>
                    <w:rPr>
                      <w:szCs w:val="24"/>
                      <w:lang w:eastAsia="lt-LT"/>
                    </w:rPr>
                    <w:t>šiais principais:</w:t>
                  </w:r>
                </w:p>
                <w:sdt>
                  <w:sdtPr>
                    <w:alias w:val="4.1 pp."/>
                    <w:tag w:val="part_ad2d327a6e9f457f93c5f022f5907de8"/>
                    <w:lock w:val="sdtLocked"/>
                    <w:richText/>
                  </w:sdtPr>
                  <w:sdtContent>
                    <w:p>
                      <w:pPr>
                        <w:ind w:firstLine="709"/>
                        <w:jc w:val="both"/>
                        <w:rPr>
                          <w:lang w:eastAsia="lt-LT"/>
                        </w:rPr>
                      </w:pPr>
                      <w:sdt>
                        <w:sdtPr>
                          <w:alias w:val="Numeris"/>
                          <w:tag w:val="nr_ad2d327a6e9f457f93c5f022f5907de8"/>
                          <w:lock w:val="sdtLocked"/>
                          <w:richText/>
                        </w:sdtPr>
                        <w:sdtContent>
                          <w:r>
                            <w:rPr>
                              <w:lang w:eastAsia="lt-LT"/>
                            </w:rPr>
                            <w:t>4.1</w:t>
                          </w:r>
                        </w:sdtContent>
                      </w:sdt>
                      <w:r>
                        <w:rPr>
                          <w:lang w:eastAsia="lt-LT"/>
                        </w:rPr>
                        <w:t xml:space="preserve">. objektyvumo. Šis principas reiškia, kad operatoriaus sprendimo dėl tinklų naudotojo pasinaudojimo elektros tinklais priėmimas ir kiti operatoriaus veiksmai turi būti nešališki ir objektyvūs; </w:t>
                      </w:r>
                    </w:p>
                  </w:sdtContent>
                </w:sdt>
                <w:sdt>
                  <w:sdtPr>
                    <w:alias w:val="4.2 pp."/>
                    <w:tag w:val="part_b5a30882c81f49eab9c9c8daf8ebf275"/>
                    <w:lock w:val="sdtLocked"/>
                    <w:richText/>
                  </w:sdtPr>
                  <w:sdtContent>
                    <w:p>
                      <w:pPr>
                        <w:ind w:firstLine="709"/>
                        <w:jc w:val="both"/>
                        <w:rPr>
                          <w:lang w:eastAsia="lt-LT"/>
                        </w:rPr>
                      </w:pPr>
                      <w:sdt>
                        <w:sdtPr>
                          <w:alias w:val="Numeris"/>
                          <w:tag w:val="nr_b5a30882c81f49eab9c9c8daf8ebf275"/>
                          <w:lock w:val="sdtLocked"/>
                          <w:richText/>
                        </w:sdtPr>
                        <w:sdtContent>
                          <w:r>
                            <w:rPr>
                              <w:lang w:eastAsia="lt-LT"/>
                            </w:rPr>
                            <w:t>4.2</w:t>
                          </w:r>
                        </w:sdtContent>
                      </w:sdt>
                      <w:r>
                        <w:rPr>
                          <w:lang w:eastAsia="lt-LT"/>
                        </w:rPr>
                        <w:t xml:space="preserve">. skaidrumo ir viešumo. Šis principas reiškia, kad Pasinaudojimo tvarkos aprašas ir (ar) jo pakeitimai turi būti pateikti viešajai konsultacijai, kurios metu gautos pastabos ir pasiūlymai aptarti su suinteresuotais rinkos dalyviais, nurodant, kaip į pastabas ir pasiūlymus bus atsižvelgta, o jeigu neatsižvelgta – aiškiai išdėstant neatsižvelgimo motyvus; </w:t>
                      </w:r>
                    </w:p>
                  </w:sdtContent>
                </w:sdt>
                <w:sdt>
                  <w:sdtPr>
                    <w:alias w:val="4.3 pp."/>
                    <w:tag w:val="part_dfc12bfa8cc94bf08b99bfbbf4952b8b"/>
                    <w:lock w:val="sdtLocked"/>
                    <w:richText/>
                  </w:sdtPr>
                  <w:sdtContent>
                    <w:p>
                      <w:pPr>
                        <w:ind w:firstLine="709"/>
                        <w:jc w:val="both"/>
                        <w:rPr>
                          <w:lang w:eastAsia="lt-LT"/>
                        </w:rPr>
                      </w:pPr>
                      <w:sdt>
                        <w:sdtPr>
                          <w:alias w:val="Numeris"/>
                          <w:tag w:val="nr_dfc12bfa8cc94bf08b99bfbbf4952b8b"/>
                          <w:lock w:val="sdtLocked"/>
                          <w:richText/>
                        </w:sdtPr>
                        <w:sdtContent>
                          <w:r>
                            <w:rPr>
                              <w:lang w:eastAsia="lt-LT"/>
                            </w:rPr>
                            <w:t>4.3</w:t>
                          </w:r>
                        </w:sdtContent>
                      </w:sdt>
                      <w:r>
                        <w:rPr>
                          <w:lang w:eastAsia="lt-LT"/>
                        </w:rPr>
                        <w:t xml:space="preserve">. nediskriminavimo. Šis principas reiškia, kad tos pačios grupės tinklų naudotojams turi būti taikomos vienodos nuostatos, nebūtų suteikiamos privilegijos arba nustatomos diskriminacinės nuostatos išskirtinai vienai ar kelioms tinklų naudotojų grupėms, jeigu šių grupių tinklų naudojimo pobūdis iš esmės nesiskiria nuo kitų tinklų naudotojų grupių ir (ar) jei tai nenumatyta kituose aukštesnės teisinės galios teisės aktuose. </w:t>
                      </w:r>
                    </w:p>
                  </w:sdtContent>
                </w:sdt>
                <w:sdt>
                  <w:sdtPr>
                    <w:alias w:val="4.4 pp."/>
                    <w:tag w:val="part_319fcd5238c349f3a287839a7851893c"/>
                    <w:lock w:val="sdtLocked"/>
                    <w:richText/>
                  </w:sdtPr>
                  <w:sdtContent>
                    <w:p>
                      <w:pPr>
                        <w:ind w:firstLine="709"/>
                        <w:jc w:val="both"/>
                        <w:rPr>
                          <w:lang w:eastAsia="lt-LT"/>
                        </w:rPr>
                      </w:pPr>
                      <w:sdt>
                        <w:sdtPr>
                          <w:alias w:val="Numeris"/>
                          <w:tag w:val="nr_319fcd5238c349f3a287839a7851893c"/>
                          <w:lock w:val="sdtLocked"/>
                          <w:richText/>
                        </w:sdtPr>
                        <w:sdtContent>
                          <w:r>
                            <w:rPr>
                              <w:lang w:eastAsia="lt-LT"/>
                            </w:rPr>
                            <w:t>4.4</w:t>
                          </w:r>
                        </w:sdtContent>
                      </w:sdt>
                      <w:r>
                        <w:rPr>
                          <w:lang w:eastAsia="lt-LT"/>
                        </w:rPr>
                        <w:t xml:space="preserve">. proporcingumo. Šis principas reiškia, kad Pasinaudojimo tvarkos apraše nustatomas teisinis reguliavimas turi būti būtinas, pagrįstas ir sudaryti kuo mažesnę administracinę ir kitokią naštą tinklų naudotojams; </w:t>
                      </w:r>
                    </w:p>
                  </w:sdtContent>
                </w:sdt>
                <w:sdt>
                  <w:sdtPr>
                    <w:alias w:val="4.5 pp."/>
                    <w:tag w:val="part_81c5468883de4af8a3fd7b1f42021d2c"/>
                    <w:lock w:val="sdtLocked"/>
                    <w:richText/>
                  </w:sdtPr>
                  <w:sdtContent>
                    <w:p>
                      <w:pPr>
                        <w:ind w:firstLine="709"/>
                        <w:jc w:val="both"/>
                        <w:rPr>
                          <w:lang w:eastAsia="lt-LT"/>
                        </w:rPr>
                      </w:pPr>
                      <w:sdt>
                        <w:sdtPr>
                          <w:alias w:val="Numeris"/>
                          <w:tag w:val="nr_81c5468883de4af8a3fd7b1f42021d2c"/>
                          <w:lock w:val="sdtLocked"/>
                          <w:richText/>
                        </w:sdtPr>
                        <w:sdtContent>
                          <w:r>
                            <w:rPr>
                              <w:lang w:eastAsia="lt-LT"/>
                            </w:rPr>
                            <w:t>4.5</w:t>
                          </w:r>
                        </w:sdtContent>
                      </w:sdt>
                      <w:r>
                        <w:rPr>
                          <w:lang w:eastAsia="lt-LT"/>
                        </w:rPr>
                        <w:t xml:space="preserve">. aiškumo. Šis principas reiškia, kad Pasinaudojimo tvarkos aprašo nuostatos turi būti logiškos, nuoseklios, glaustos, suprantamos, tikslios, aiškios ir nedviprasmiškos; </w:t>
                      </w:r>
                    </w:p>
                  </w:sdtContent>
                </w:sdt>
                <w:sdt>
                  <w:sdtPr>
                    <w:alias w:val="4.6 pp."/>
                    <w:tag w:val="part_838d2809fb1247d8acc9c4c39f63f15b"/>
                    <w:lock w:val="sdtLocked"/>
                    <w:richText/>
                  </w:sdtPr>
                  <w:sdtContent>
                    <w:p>
                      <w:pPr>
                        <w:ind w:firstLine="709"/>
                        <w:jc w:val="both"/>
                        <w:rPr>
                          <w:szCs w:val="24"/>
                        </w:rPr>
                      </w:pPr>
                      <w:sdt>
                        <w:sdtPr>
                          <w:alias w:val="Numeris"/>
                          <w:tag w:val="nr_838d2809fb1247d8acc9c4c39f63f15b"/>
                          <w:lock w:val="sdtLocked"/>
                          <w:richText/>
                        </w:sdtPr>
                        <w:sdtContent>
                          <w:r>
                            <w:rPr>
                              <w:lang w:eastAsia="lt-LT"/>
                            </w:rPr>
                            <w:t>4.6</w:t>
                          </w:r>
                        </w:sdtContent>
                      </w:sdt>
                      <w:r>
                        <w:rPr>
                          <w:lang w:eastAsia="lt-LT"/>
                        </w:rPr>
                        <w:t>. sistemiškumo. Šis principas reiškia, kad Pasinaudojimo tvarkos aprašo nuostatos turi derėti tarpusavyje ir neprieštarauti aukštesnės teisinės galios teisės aktams.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5 p."/>
                <w:tag w:val="part_d4a385ab592f4097bcd027b8abc3047a"/>
                <w:lock w:val="sdtLocked"/>
                <w:richText/>
              </w:sdtPr>
              <w:sdtContent>
                <w:p>
                  <w:pPr>
                    <w:widowControl w:val="0"/>
                    <w:ind w:firstLine="709"/>
                    <w:jc w:val="both"/>
                    <w:rPr>
                      <w:szCs w:val="24"/>
                    </w:rPr>
                  </w:pPr>
                  <w:sdt>
                    <w:sdtPr>
                      <w:alias w:val="Numeris"/>
                      <w:tag w:val="nr_d4a385ab592f4097bcd027b8abc3047a"/>
                      <w:lock w:val="sdtLocked"/>
                      <w:richText/>
                    </w:sdtPr>
                    <w:sdtContent>
                      <w:r>
                        <w:rPr>
                          <w:szCs w:val="24"/>
                        </w:rPr>
                        <w:t>5</w:t>
                      </w:r>
                    </w:sdtContent>
                  </w:sdt>
                  <w:r>
                    <w:rPr>
                      <w:szCs w:val="24"/>
                    </w:rPr>
                    <w:t xml:space="preserve">. Operatorius užtikrina skaidrų elektros tinklų pajėgumų padalinimą sistemos naudotojams, trečiųjų asmenų </w:t>
                  </w:r>
                  <w:r>
                    <w:rPr>
                      <w:color w:val="000000"/>
                      <w:szCs w:val="24"/>
                    </w:rPr>
                    <w:t xml:space="preserve">prieigą prie skirstomųjų tinklų ir (ar) perdavimo tinklų, teikia informaciją, reikalingą efektyviai prieigai, valdo prieigą ir pateikia paaiškinimus, kai tokia prieiga nesuteikiama. Tais atvejais, kai nustatomi prijungimo pajėgumų arba eksploatavimo apribojimai, operatorius Sąlygų apraše nustatytais kriterijais užtikrina, kad </w:t>
                  </w:r>
                  <w:r>
                    <w:rPr>
                      <w:szCs w:val="24"/>
                    </w:rPr>
                    <w:t>jie būtų nustatomi remiantis skaidriomis ir nediskriminuojančiomis procedūromis, taip pat kad būtų užtikrintas elektros tinklų naudotojų naujai prijungiamų gamintojų įrenginių, gaminančių vartotojų įrenginių (toliau kartu – elektrinės) ir energijos kaupimo įrenginių, kai elektros energija ar jos dalis, persiunčiama energijos kaupimo įrenginiams įkrauti, vėliau yra grąžinama į operatorių elektros tinklus (toliau – energijos kaupimo įrenginys, visi kartu – įrenginiai), ekonominis efektyvumas ir kad nebūtų sukurta nepagrįstų kliūčių patekti į elektros energijos rinką. Jeigu įrenginio savininkas padengia išlaidas, susijusias su neriboto prijungimo užtikrinimu, prijungimo pajėgumų arba eksploatavimo apribojimai netaikomi.</w:t>
                  </w:r>
                </w:p>
              </w:sdtContent>
            </w:sdt>
            <w:sdt>
              <w:sdtPr>
                <w:alias w:val="6 p."/>
                <w:tag w:val="part_afda880be5ce4ec19c4c2b6a1e414ce2"/>
                <w:lock w:val="sdtLocked"/>
                <w:richText/>
              </w:sdtPr>
              <w:sdtContent>
                <w:p>
                  <w:pPr>
                    <w:widowControl w:val="0"/>
                    <w:ind w:firstLine="709"/>
                    <w:jc w:val="both"/>
                    <w:rPr>
                      <w:szCs w:val="24"/>
                    </w:rPr>
                  </w:pPr>
                  <w:sdt>
                    <w:sdtPr>
                      <w:alias w:val="Numeris"/>
                      <w:tag w:val="nr_afda880be5ce4ec19c4c2b6a1e414ce2"/>
                      <w:lock w:val="sdtLocked"/>
                      <w:richText/>
                    </w:sdtPr>
                    <w:sdtContent>
                      <w:r>
                        <w:rPr>
                          <w:szCs w:val="24"/>
                        </w:rPr>
                        <w:t>6</w:t>
                      </w:r>
                    </w:sdtContent>
                  </w:sdt>
                  <w:r>
                    <w:rPr>
                      <w:szCs w:val="24"/>
                    </w:rPr>
                    <w:t>. Pasinaudojimo tvarkos apraše, vadovaujantis Sąlygų aprašo 4 punkte išvardintais principais, privaloma atskleisti: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sdt>
                  <w:sdtPr>
                    <w:alias w:val="6.1 pp."/>
                    <w:tag w:val="part_8d4d87083b9c443c9a4883a8cad3d79a"/>
                    <w:lock w:val="sdtLocked"/>
                    <w:richText/>
                  </w:sdtPr>
                  <w:sdtContent>
                    <w:p>
                      <w:pPr>
                        <w:widowControl w:val="0"/>
                        <w:ind w:firstLine="709"/>
                        <w:jc w:val="both"/>
                        <w:rPr>
                          <w:szCs w:val="24"/>
                        </w:rPr>
                      </w:pPr>
                      <w:sdt>
                        <w:sdtPr>
                          <w:alias w:val="Numeris"/>
                          <w:tag w:val="nr_8d4d87083b9c443c9a4883a8cad3d79a"/>
                          <w:lock w:val="sdtLocked"/>
                          <w:richText/>
                        </w:sdtPr>
                        <w:sdtContent>
                          <w:r>
                            <w:rPr>
                              <w:szCs w:val="24"/>
                            </w:rPr>
                            <w:t>6.1</w:t>
                          </w:r>
                        </w:sdtContent>
                      </w:sdt>
                      <w:r>
                        <w:rPr>
                          <w:szCs w:val="24"/>
                        </w:rPr>
                        <w:t>. įrenginių prijungimo prie elektros tinklų etapus;</w:t>
                      </w:r>
                    </w:p>
                  </w:sdtContent>
                </w:sdt>
                <w:sdt>
                  <w:sdtPr>
                    <w:alias w:val="6.2 pp."/>
                    <w:tag w:val="part_d71737b71a1e41999aeb17e228480381"/>
                    <w:lock w:val="sdtLocked"/>
                    <w:richText/>
                  </w:sdtPr>
                  <w:sdtContent>
                    <w:p>
                      <w:pPr>
                        <w:widowControl w:val="0"/>
                        <w:ind w:firstLine="709"/>
                        <w:jc w:val="both"/>
                        <w:rPr>
                          <w:szCs w:val="24"/>
                        </w:rPr>
                      </w:pPr>
                      <w:sdt>
                        <w:sdtPr>
                          <w:alias w:val="Numeris"/>
                          <w:tag w:val="nr_d71737b71a1e41999aeb17e228480381"/>
                          <w:lock w:val="sdtLocked"/>
                          <w:richText/>
                        </w:sdtPr>
                        <w:sdtContent>
                          <w:r>
                            <w:rPr>
                              <w:szCs w:val="24"/>
                            </w:rPr>
                            <w:t>6.2</w:t>
                          </w:r>
                        </w:sdtContent>
                      </w:sdt>
                      <w:r>
                        <w:rPr>
                          <w:szCs w:val="24"/>
                        </w:rPr>
                        <w:t>. įrenginių savininkų galimybės padengti išlaidas, susijusias su neriboto prijungimo užtikrinimu, tvarką;</w:t>
                      </w:r>
                    </w:p>
                  </w:sdtContent>
                </w:sdt>
                <w:sdt>
                  <w:sdtPr>
                    <w:alias w:val="6.3 pp."/>
                    <w:tag w:val="part_55373484135d4fe58747f90fc63e049e"/>
                    <w:lock w:val="sdtLocked"/>
                    <w:richText/>
                  </w:sdtPr>
                  <w:sdtContent>
                    <w:p>
                      <w:pPr>
                        <w:widowControl w:val="0"/>
                        <w:spacing w:line="276" w:lineRule="auto"/>
                        <w:ind w:firstLine="709"/>
                        <w:jc w:val="both"/>
                        <w:rPr>
                          <w:szCs w:val="24"/>
                        </w:rPr>
                      </w:pPr>
                      <w:sdt>
                        <w:sdtPr>
                          <w:alias w:val="Numeris"/>
                          <w:tag w:val="nr_55373484135d4fe58747f90fc63e049e"/>
                          <w:lock w:val="sdtLocked"/>
                          <w:richText/>
                        </w:sdtPr>
                        <w:sdtContent>
                          <w:r>
                            <w:rPr>
                              <w:szCs w:val="24"/>
                            </w:rPr>
                            <w:t>6.3</w:t>
                          </w:r>
                        </w:sdtContent>
                      </w:sdt>
                      <w:r>
                        <w:rPr>
                          <w:szCs w:val="24"/>
                        </w:rPr>
                        <w:t>. išankstinių prijungimo sąlygų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4 pp."/>
                    <w:tag w:val="part_cf4ca2367374425a88d31c17f9265302"/>
                    <w:lock w:val="sdtLocked"/>
                    <w:richText/>
                  </w:sdtPr>
                  <w:sdtContent>
                    <w:p>
                      <w:pPr>
                        <w:widowControl w:val="0"/>
                        <w:ind w:firstLine="709"/>
                        <w:jc w:val="both"/>
                        <w:rPr>
                          <w:szCs w:val="24"/>
                        </w:rPr>
                      </w:pPr>
                      <w:sdt>
                        <w:sdtPr>
                          <w:alias w:val="Numeris"/>
                          <w:tag w:val="nr_cf4ca2367374425a88d31c17f9265302"/>
                          <w:lock w:val="sdtLocked"/>
                          <w:richText/>
                        </w:sdtPr>
                        <w:sdtContent>
                          <w:r>
                            <w:rPr>
                              <w:szCs w:val="24"/>
                            </w:rPr>
                            <w:t>6.4</w:t>
                          </w:r>
                        </w:sdtContent>
                      </w:sdt>
                      <w:r>
                        <w:rPr>
                          <w:szCs w:val="24"/>
                        </w:rPr>
                        <w:t>. transformatorių pastočių laisvos galios, skirtos įrenginiams prijungti, paskirstymo ir rezervavimo tvarką;</w:t>
                      </w:r>
                    </w:p>
                  </w:sdtContent>
                </w:sdt>
                <w:sdt>
                  <w:sdtPr>
                    <w:alias w:val="6.5 pp."/>
                    <w:tag w:val="part_e877db68da5e49279ed9bf72c212ee1f"/>
                    <w:lock w:val="sdtLocked"/>
                    <w:richText/>
                  </w:sdtPr>
                  <w:sdtContent>
                    <w:p>
                      <w:pPr>
                        <w:tabs>
                          <w:tab w:val="left" w:pos="725"/>
                        </w:tabs>
                        <w:spacing w:line="276" w:lineRule="auto"/>
                        <w:ind w:firstLine="709"/>
                        <w:jc w:val="both"/>
                        <w:rPr>
                          <w:szCs w:val="24"/>
                        </w:rPr>
                      </w:pPr>
                      <w:sdt>
                        <w:sdtPr>
                          <w:alias w:val="Numeris"/>
                          <w:tag w:val="nr_e877db68da5e49279ed9bf72c212ee1f"/>
                          <w:lock w:val="sdtLocked"/>
                          <w:richText/>
                        </w:sdtPr>
                        <w:sdtContent>
                          <w:r>
                            <w:rPr>
                              <w:szCs w:val="24"/>
                              <w:lang w:eastAsia="lt-LT"/>
                            </w:rPr>
                            <w:t>6.5</w:t>
                          </w:r>
                        </w:sdtContent>
                      </w:sdt>
                      <w:r>
                        <w:rPr>
                          <w:szCs w:val="24"/>
                          <w:lang w:eastAsia="lt-LT"/>
                        </w:rPr>
                        <w:t>. ketinimų protokolo sudarymo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6 pp."/>
                    <w:tag w:val="part_086a4539195a40bd91ed016244f2c938"/>
                    <w:lock w:val="sdtLocked"/>
                    <w:richText/>
                  </w:sdtPr>
                  <w:sdtContent>
                    <w:p>
                      <w:pPr>
                        <w:tabs>
                          <w:tab w:val="left" w:pos="709"/>
                        </w:tabs>
                        <w:spacing w:line="276" w:lineRule="auto"/>
                        <w:ind w:firstLine="709"/>
                        <w:jc w:val="both"/>
                        <w:rPr>
                          <w:szCs w:val="24"/>
                        </w:rPr>
                      </w:pPr>
                      <w:sdt>
                        <w:sdtPr>
                          <w:alias w:val="Numeris"/>
                          <w:tag w:val="nr_086a4539195a40bd91ed016244f2c938"/>
                          <w:lock w:val="sdtLocked"/>
                          <w:richText/>
                        </w:sdtPr>
                        <w:sdtContent>
                          <w:r>
                            <w:rPr>
                              <w:szCs w:val="24"/>
                              <w:lang w:eastAsia="lt-LT"/>
                            </w:rPr>
                            <w:t>6.6</w:t>
                          </w:r>
                        </w:sdtContent>
                      </w:sdt>
                      <w:r>
                        <w:rPr>
                          <w:szCs w:val="24"/>
                          <w:lang w:eastAsia="lt-LT"/>
                        </w:rPr>
                        <w:t>. prievolių įvykdymo užtikrinimo pateikimo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7 pp."/>
                    <w:tag w:val="part_52ae0f54eb614385b61dc3599ac16915"/>
                    <w:lock w:val="sdtLocked"/>
                    <w:richText/>
                  </w:sdtPr>
                  <w:sdtContent>
                    <w:p>
                      <w:pPr>
                        <w:tabs>
                          <w:tab w:val="left" w:pos="709"/>
                        </w:tabs>
                        <w:spacing w:line="276" w:lineRule="auto"/>
                        <w:ind w:firstLine="709"/>
                        <w:jc w:val="both"/>
                        <w:rPr>
                          <w:szCs w:val="24"/>
                        </w:rPr>
                      </w:pPr>
                      <w:sdt>
                        <w:sdtPr>
                          <w:alias w:val="Numeris"/>
                          <w:tag w:val="nr_52ae0f54eb614385b61dc3599ac16915"/>
                          <w:lock w:val="sdtLocked"/>
                          <w:richText/>
                        </w:sdtPr>
                        <w:sdtContent>
                          <w:r>
                            <w:rPr>
                              <w:szCs w:val="24"/>
                              <w:lang w:eastAsia="lt-LT"/>
                            </w:rPr>
                            <w:t>6.7</w:t>
                          </w:r>
                        </w:sdtContent>
                      </w:sdt>
                      <w:r>
                        <w:rPr>
                          <w:szCs w:val="24"/>
                          <w:lang w:eastAsia="lt-LT"/>
                        </w:rPr>
                        <w:t>. informaciją apie leidimo plėtoti gamybos pajėgumus gavimo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8 pp."/>
                    <w:tag w:val="part_363580f193a04c01b63115261123da63"/>
                    <w:lock w:val="sdtLocked"/>
                    <w:richText/>
                  </w:sdtPr>
                  <w:sdtContent>
                    <w:p>
                      <w:pPr>
                        <w:widowControl w:val="0"/>
                        <w:ind w:firstLine="709"/>
                        <w:jc w:val="both"/>
                        <w:rPr>
                          <w:szCs w:val="24"/>
                        </w:rPr>
                      </w:pPr>
                      <w:sdt>
                        <w:sdtPr>
                          <w:alias w:val="Numeris"/>
                          <w:tag w:val="nr_363580f193a04c01b63115261123da63"/>
                          <w:lock w:val="sdtLocked"/>
                          <w:richText/>
                        </w:sdtPr>
                        <w:sdtContent>
                          <w:r>
                            <w:rPr>
                              <w:szCs w:val="24"/>
                            </w:rPr>
                            <w:t>6.8</w:t>
                          </w:r>
                        </w:sdtContent>
                      </w:sdt>
                      <w:r>
                        <w:rPr>
                          <w:szCs w:val="24"/>
                        </w:rPr>
                        <w:t xml:space="preserve">. sąlygas ir reikalavimus, susijusius su įrenginių prijungimo taško parinkimu; </w:t>
                      </w:r>
                    </w:p>
                  </w:sdtContent>
                </w:sdt>
                <w:sdt>
                  <w:sdtPr>
                    <w:alias w:val="6.9 pp."/>
                    <w:tag w:val="part_016009ddea2b4b7486fea4c2eb0f8280"/>
                    <w:lock w:val="sdtLocked"/>
                    <w:richText/>
                  </w:sdtPr>
                  <w:sdtContent>
                    <w:p>
                      <w:pPr>
                        <w:widowControl w:val="0"/>
                        <w:ind w:firstLine="709"/>
                        <w:jc w:val="both"/>
                        <w:rPr>
                          <w:szCs w:val="24"/>
                        </w:rPr>
                      </w:pPr>
                      <w:sdt>
                        <w:sdtPr>
                          <w:alias w:val="Numeris"/>
                          <w:tag w:val="nr_016009ddea2b4b7486fea4c2eb0f8280"/>
                          <w:lock w:val="sdtLocked"/>
                          <w:richText/>
                        </w:sdtPr>
                        <w:sdtContent>
                          <w:r>
                            <w:rPr>
                              <w:szCs w:val="24"/>
                            </w:rPr>
                            <w:t>6.9</w:t>
                          </w:r>
                        </w:sdtContent>
                      </w:sdt>
                      <w:r>
                        <w:rPr>
                          <w:szCs w:val="24"/>
                        </w:rPr>
                        <w:t>. įrenginių prijungimo sąlygų išdavimo tvarką;</w:t>
                      </w:r>
                    </w:p>
                  </w:sdtContent>
                </w:sdt>
                <w:sdt>
                  <w:sdtPr>
                    <w:alias w:val="6.10 pp."/>
                    <w:tag w:val="part_df7f9bf65e0f4587975265fe43cb9401"/>
                    <w:lock w:val="sdtLocked"/>
                    <w:richText/>
                  </w:sdtPr>
                  <w:sdtContent>
                    <w:p>
                      <w:pPr>
                        <w:widowControl w:val="0"/>
                        <w:ind w:firstLine="709"/>
                        <w:jc w:val="both"/>
                        <w:rPr>
                          <w:szCs w:val="24"/>
                        </w:rPr>
                      </w:pPr>
                      <w:sdt>
                        <w:sdtPr>
                          <w:alias w:val="Numeris"/>
                          <w:tag w:val="nr_df7f9bf65e0f4587975265fe43cb9401"/>
                          <w:lock w:val="sdtLocked"/>
                          <w:richText/>
                        </w:sdtPr>
                        <w:sdtContent>
                          <w:r>
                            <w:rPr>
                              <w:szCs w:val="24"/>
                            </w:rPr>
                            <w:t>6.10</w:t>
                          </w:r>
                        </w:sdtContent>
                      </w:sdt>
                      <w:r>
                        <w:rPr>
                          <w:szCs w:val="24"/>
                        </w:rPr>
                        <w:t>. supaprastintų įrenginių prijungimo sąlygų išdavimo tvarką;</w:t>
                      </w:r>
                    </w:p>
                  </w:sdtContent>
                </w:sdt>
                <w:sdt>
                  <w:sdtPr>
                    <w:alias w:val="6.11 pp."/>
                    <w:tag w:val="part_c66825e282d149ad956134f70996be42"/>
                    <w:lock w:val="sdtLocked"/>
                    <w:richText/>
                  </w:sdtPr>
                  <w:sdtContent>
                    <w:p>
                      <w:pPr>
                        <w:widowControl w:val="0"/>
                        <w:ind w:firstLine="709"/>
                        <w:jc w:val="both"/>
                        <w:rPr>
                          <w:szCs w:val="24"/>
                        </w:rPr>
                      </w:pPr>
                      <w:sdt>
                        <w:sdtPr>
                          <w:alias w:val="Numeris"/>
                          <w:tag w:val="nr_c66825e282d149ad956134f70996be42"/>
                          <w:lock w:val="sdtLocked"/>
                          <w:richText/>
                        </w:sdtPr>
                        <w:sdtContent>
                          <w:r>
                            <w:rPr>
                              <w:szCs w:val="24"/>
                            </w:rPr>
                            <w:t>6.11</w:t>
                          </w:r>
                        </w:sdtContent>
                      </w:sdt>
                      <w:r>
                        <w:rPr>
                          <w:szCs w:val="24"/>
                        </w:rPr>
                        <w:t>. įrenginių prijungimo prie elektros tinklų paslaugos sutarties sudarymo tvarką;</w:t>
                      </w:r>
                    </w:p>
                  </w:sdtContent>
                </w:sdt>
                <w:sdt>
                  <w:sdtPr>
                    <w:alias w:val="6.12 pp."/>
                    <w:tag w:val="part_5ac9be9797a747d89ef5441670545464"/>
                    <w:lock w:val="sdtLocked"/>
                    <w:richText/>
                  </w:sdtPr>
                  <w:sdtContent>
                    <w:p>
                      <w:pPr>
                        <w:widowControl w:val="0"/>
                        <w:ind w:firstLine="709"/>
                        <w:jc w:val="both"/>
                        <w:rPr>
                          <w:szCs w:val="24"/>
                        </w:rPr>
                      </w:pPr>
                      <w:sdt>
                        <w:sdtPr>
                          <w:alias w:val="Numeris"/>
                          <w:tag w:val="nr_5ac9be9797a747d89ef5441670545464"/>
                          <w:lock w:val="sdtLocked"/>
                          <w:richText/>
                        </w:sdtPr>
                        <w:sdtContent>
                          <w:r>
                            <w:rPr>
                              <w:szCs w:val="24"/>
                            </w:rPr>
                            <w:t>6.12</w:t>
                          </w:r>
                        </w:sdtContent>
                      </w:sdt>
                      <w:r>
                        <w:rPr>
                          <w:szCs w:val="24"/>
                        </w:rPr>
                        <w:t>. įrenginių prijungimo paslaugos vykdymo tvarką;</w:t>
                      </w:r>
                    </w:p>
                  </w:sdtContent>
                </w:sdt>
                <w:sdt>
                  <w:sdtPr>
                    <w:alias w:val="6.12-1 pp."/>
                    <w:tag w:val="part_a4ec9d641b784fb7a3af9c08b944fd0d"/>
                    <w:lock w:val="sdtLocked"/>
                    <w:richText/>
                  </w:sdtPr>
                  <w:sdtContent>
                    <w:p>
                      <w:pPr>
                        <w:widowControl w:val="0"/>
                        <w:tabs>
                          <w:tab w:val="left" w:pos="709"/>
                        </w:tabs>
                        <w:ind w:firstLine="709"/>
                        <w:jc w:val="both"/>
                      </w:pPr>
                      <w:sdt>
                        <w:sdtPr>
                          <w:alias w:val="Numeris"/>
                          <w:tag w:val="nr_a4ec9d641b784fb7a3af9c08b944fd0d"/>
                          <w:lock w:val="sdtLocked"/>
                          <w:richText/>
                        </w:sdtPr>
                        <w:sdtContent>
                          <w:r>
                            <w:t>6.12</w:t>
                          </w:r>
                          <w:r>
                            <w:rPr>
                              <w:vertAlign w:val="superscript"/>
                            </w:rPr>
                            <w:t>1</w:t>
                          </w:r>
                        </w:sdtContent>
                      </w:sdt>
                      <w:r>
                        <w:t>. energijos kaupimo įrenginiams skirtus bendruosius techninius reikalavimus, jeigu jie nėra nustatyti kitais teisės aktais. Bendrieji techniniai reikalavimai energijos kaupimo įrenginiams suprantami kaip prijungimo prie elektros tinklų reikalavimai ir savo pobūdžiu yra analogiški reikalavimams, įtvirtintiems 2016 m. balandžio 14 d. Komisijos reglamente (ES) 2016/631 dėl tinklo kodekso, kuriame nustatomi generatorių prijungimo prie elektros energijos tinklo reikalavimai, ir 2016 m. rugpjūčio 17 d. Komisijos reglamente (ES) 2016/1388 dėl tinklo kodekso, kuriame nustatomi apkrovos prijungimo reikalavimai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2-2 pp."/>
                    <w:tag w:val="part_6c491cd137ec4c8f93410c404f57031e"/>
                    <w:lock w:val="sdtLocked"/>
                    <w:richText/>
                  </w:sdtPr>
                  <w:sdtContent>
                    <w:p>
                      <w:pPr>
                        <w:ind w:firstLine="709"/>
                        <w:jc w:val="both"/>
                        <w:rPr>
                          <w:szCs w:val="24"/>
                        </w:rPr>
                      </w:pPr>
                      <w:sdt>
                        <w:sdtPr>
                          <w:alias w:val="Numeris"/>
                          <w:tag w:val="nr_6c491cd137ec4c8f93410c404f57031e"/>
                          <w:lock w:val="sdtLocked"/>
                          <w:richText/>
                        </w:sdtPr>
                        <w:sdtContent>
                          <w:r>
                            <w:t>6.12</w:t>
                          </w:r>
                          <w:r>
                            <w:rPr>
                              <w:vertAlign w:val="superscript"/>
                            </w:rPr>
                            <w:t>2</w:t>
                          </w:r>
                        </w:sdtContent>
                      </w:sdt>
                      <w:r>
                        <w:t xml:space="preserve">. elektrinių bendruosius techninius reikalavimus, kiek jie nėra reglamentuoti aukštesnės galios teisės aktų;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3 pp."/>
                    <w:tag w:val="part_254777cc48ad4058906436cb77f3a175"/>
                    <w:lock w:val="sdtLocked"/>
                    <w:richText/>
                  </w:sdtPr>
                  <w:sdtContent>
                    <w:p>
                      <w:pPr>
                        <w:widowControl w:val="0"/>
                        <w:ind w:firstLine="709"/>
                        <w:jc w:val="both"/>
                        <w:rPr>
                          <w:szCs w:val="24"/>
                        </w:rPr>
                      </w:pPr>
                      <w:sdt>
                        <w:sdtPr>
                          <w:alias w:val="Numeris"/>
                          <w:tag w:val="nr_254777cc48ad4058906436cb77f3a175"/>
                          <w:lock w:val="sdtLocked"/>
                          <w:richText/>
                        </w:sdtPr>
                        <w:sdtContent>
                          <w:r>
                            <w:rPr>
                              <w:szCs w:val="24"/>
                            </w:rPr>
                            <w:t>6.13</w:t>
                          </w:r>
                        </w:sdtContent>
                      </w:sdt>
                      <w:r>
                        <w:rPr>
                          <w:szCs w:val="24"/>
                        </w:rPr>
                        <w:t>. įrenginių atitikimo nustatytiems techniniams reikalavimams patikrinimo procedūras;</w:t>
                      </w:r>
                    </w:p>
                  </w:sdtContent>
                </w:sdt>
                <w:sdt>
                  <w:sdtPr>
                    <w:alias w:val="6.14 pp."/>
                    <w:tag w:val="part_217375ecd0f1447d8bd2512f6142dd01"/>
                    <w:lock w:val="sdtLocked"/>
                    <w:richText/>
                  </w:sdtPr>
                  <w:sdtContent>
                    <w:p>
                      <w:pPr>
                        <w:widowControl w:val="0"/>
                        <w:spacing w:line="276" w:lineRule="auto"/>
                        <w:ind w:firstLine="709"/>
                        <w:jc w:val="both"/>
                        <w:rPr>
                          <w:szCs w:val="24"/>
                        </w:rPr>
                      </w:pPr>
                      <w:sdt>
                        <w:sdtPr>
                          <w:alias w:val="Numeris"/>
                          <w:tag w:val="nr_217375ecd0f1447d8bd2512f6142dd01"/>
                          <w:lock w:val="sdtLocked"/>
                          <w:richText/>
                        </w:sdtPr>
                        <w:sdtContent>
                          <w:r>
                            <w:t>6.14</w:t>
                          </w:r>
                        </w:sdtContent>
                      </w:sdt>
                      <w:r>
                        <w:t xml:space="preserve">. elektros tinklų pajėgumų padidinimo sąlygas (etapus) prijungiant įrenginius;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5 pp."/>
                    <w:tag w:val="part_303e964862c246d3b0c66c11b2b5b2a5"/>
                    <w:lock w:val="sdtLocked"/>
                    <w:richText/>
                  </w:sdtPr>
                  <w:sdtContent>
                    <w:p>
                      <w:pPr>
                        <w:tabs>
                          <w:tab w:val="left" w:pos="725"/>
                        </w:tabs>
                        <w:ind w:firstLine="709"/>
                        <w:jc w:val="both"/>
                        <w:rPr>
                          <w:szCs w:val="24"/>
                        </w:rPr>
                      </w:pPr>
                      <w:sdt>
                        <w:sdtPr>
                          <w:alias w:val="Numeris"/>
                          <w:tag w:val="nr_303e964862c246d3b0c66c11b2b5b2a5"/>
                          <w:lock w:val="sdtLocked"/>
                          <w:richText/>
                        </w:sdtPr>
                        <w:sdtContent>
                          <w:r>
                            <w:rPr>
                              <w:szCs w:val="24"/>
                              <w:lang w:eastAsia="lt-LT"/>
                            </w:rPr>
                            <w:t>6.15</w:t>
                          </w:r>
                        </w:sdtContent>
                      </w:sdt>
                      <w:r>
                        <w:rPr>
                          <w:szCs w:val="24"/>
                          <w:lang w:eastAsia="lt-LT"/>
                        </w:rPr>
                        <w:t>. informaciją apie įrenginių prijungimo prie elektros tinklų sąnaudų paskirstymo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6 pp."/>
                    <w:tag w:val="part_f131305b9716496ab42be1c60057407d"/>
                    <w:lock w:val="sdtLocked"/>
                    <w:richText/>
                  </w:sdtPr>
                  <w:sdtContent>
                    <w:p>
                      <w:pPr>
                        <w:tabs>
                          <w:tab w:val="left" w:pos="725"/>
                        </w:tabs>
                        <w:spacing w:line="276" w:lineRule="auto"/>
                        <w:ind w:firstLine="709"/>
                        <w:jc w:val="both"/>
                        <w:rPr>
                          <w:szCs w:val="24"/>
                        </w:rPr>
                      </w:pPr>
                      <w:sdt>
                        <w:sdtPr>
                          <w:alias w:val="Numeris"/>
                          <w:tag w:val="nr_f131305b9716496ab42be1c60057407d"/>
                          <w:lock w:val="sdtLocked"/>
                          <w:richText/>
                        </w:sdtPr>
                        <w:sdtContent>
                          <w:r>
                            <w:rPr>
                              <w:szCs w:val="24"/>
                              <w:lang w:eastAsia="lt-LT"/>
                            </w:rPr>
                            <w:t>6.16</w:t>
                          </w:r>
                        </w:sdtContent>
                      </w:sdt>
                      <w:r>
                        <w:rPr>
                          <w:szCs w:val="24"/>
                          <w:lang w:eastAsia="lt-LT"/>
                        </w:rPr>
                        <w:t xml:space="preserve"> reglamentuoti prie elektros tinklų prijungtų įrenginių reguliavimo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17 pp."/>
                    <w:tag w:val="part_45a766891f3d4d70978db2c7793f3f52"/>
                    <w:lock w:val="sdtLocked"/>
                    <w:richText/>
                  </w:sdtPr>
                  <w:sdtContent>
                    <w:p>
                      <w:pPr>
                        <w:widowControl w:val="0"/>
                        <w:ind w:firstLine="709"/>
                        <w:jc w:val="both"/>
                        <w:rPr>
                          <w:szCs w:val="24"/>
                        </w:rPr>
                      </w:pPr>
                      <w:sdt>
                        <w:sdtPr>
                          <w:alias w:val="Numeris"/>
                          <w:tag w:val="nr_45a766891f3d4d70978db2c7793f3f52"/>
                          <w:lock w:val="sdtLocked"/>
                          <w:richText/>
                        </w:sdtPr>
                        <w:sdtContent>
                          <w:r>
                            <w:rPr>
                              <w:szCs w:val="24"/>
                            </w:rPr>
                            <w:t>6.17</w:t>
                          </w:r>
                        </w:sdtContent>
                      </w:sdt>
                      <w:r>
                        <w:rPr>
                          <w:szCs w:val="24"/>
                        </w:rPr>
                        <w:t xml:space="preserve">. elektros energijos priėmimo ir persiuntimo elektros tinklais, įskaitant pirmumo teise priimamos ir persiunčiamos elektros energijos, bei perskirstymo tvarką; </w:t>
                      </w:r>
                    </w:p>
                  </w:sdtContent>
                </w:sdt>
                <w:sdt>
                  <w:sdtPr>
                    <w:alias w:val="6.18 pp."/>
                    <w:tag w:val="part_1909e6ad66da4f6db5da065bfe5351cb"/>
                    <w:lock w:val="sdtLocked"/>
                    <w:richText/>
                  </w:sdtPr>
                  <w:sdtContent>
                    <w:p>
                      <w:pPr>
                        <w:widowControl w:val="0"/>
                        <w:ind w:firstLine="709"/>
                        <w:jc w:val="both"/>
                        <w:rPr>
                          <w:szCs w:val="24"/>
                        </w:rPr>
                      </w:pPr>
                      <w:sdt>
                        <w:sdtPr>
                          <w:alias w:val="Numeris"/>
                          <w:tag w:val="nr_1909e6ad66da4f6db5da065bfe5351cb"/>
                          <w:lock w:val="sdtLocked"/>
                          <w:richText/>
                        </w:sdtPr>
                        <w:sdtContent>
                          <w:r>
                            <w:rPr>
                              <w:szCs w:val="24"/>
                            </w:rPr>
                            <w:t>6.18</w:t>
                          </w:r>
                        </w:sdtContent>
                      </w:sdt>
                      <w:r>
                        <w:rPr>
                          <w:szCs w:val="24"/>
                        </w:rPr>
                        <w:t>. informacijos, susijusios su įrenginių prijungimo paslaugos vykdymu, teikimo įrenginių savininkams tvarką;</w:t>
                      </w:r>
                    </w:p>
                  </w:sdtContent>
                </w:sdt>
                <w:sdt>
                  <w:sdtPr>
                    <w:alias w:val="6.19 pp."/>
                    <w:tag w:val="part_4c9760a1d2c3496185fc53eee19b8617"/>
                    <w:lock w:val="sdtLocked"/>
                    <w:richText/>
                  </w:sdtPr>
                  <w:sdtContent>
                    <w:p>
                      <w:pPr>
                        <w:widowControl w:val="0"/>
                        <w:ind w:firstLine="709"/>
                        <w:jc w:val="both"/>
                        <w:rPr>
                          <w:szCs w:val="24"/>
                        </w:rPr>
                      </w:pPr>
                      <w:sdt>
                        <w:sdtPr>
                          <w:alias w:val="Numeris"/>
                          <w:tag w:val="nr_4c9760a1d2c3496185fc53eee19b8617"/>
                          <w:lock w:val="sdtLocked"/>
                          <w:richText/>
                        </w:sdtPr>
                        <w:sdtContent>
                          <w:r>
                            <w:rPr>
                              <w:szCs w:val="24"/>
                            </w:rPr>
                            <w:t>6.19</w:t>
                          </w:r>
                        </w:sdtContent>
                      </w:sdt>
                      <w:r>
                        <w:rPr>
                          <w:szCs w:val="24"/>
                        </w:rPr>
                        <w:t>. informacijos, susijusios su įrenginių statybos projektų eiga ir ketinimų protokolų sąlygų vykdymu, teikimo operatoriui tvarką;</w:t>
                      </w:r>
                    </w:p>
                  </w:sdtContent>
                </w:sdt>
                <w:sdt>
                  <w:sdtPr>
                    <w:alias w:val="6.20 pp."/>
                    <w:tag w:val="part_5d5afc2e9c734227b3cbeb864101617b"/>
                    <w:lock w:val="sdtLocked"/>
                    <w:richText/>
                  </w:sdtPr>
                  <w:sdtContent>
                    <w:p>
                      <w:pPr>
                        <w:widowControl w:val="0"/>
                        <w:ind w:firstLine="709"/>
                        <w:jc w:val="both"/>
                        <w:rPr>
                          <w:szCs w:val="24"/>
                        </w:rPr>
                      </w:pPr>
                      <w:sdt>
                        <w:sdtPr>
                          <w:alias w:val="Numeris"/>
                          <w:tag w:val="nr_5d5afc2e9c734227b3cbeb864101617b"/>
                          <w:lock w:val="sdtLocked"/>
                          <w:richText/>
                        </w:sdtPr>
                        <w:sdtContent>
                          <w:r>
                            <w:rPr>
                              <w:szCs w:val="24"/>
                            </w:rPr>
                            <w:t>6.20</w:t>
                          </w:r>
                        </w:sdtContent>
                      </w:sdt>
                      <w:r>
                        <w:rPr>
                          <w:szCs w:val="24"/>
                        </w:rPr>
                        <w:t>. techninius motyvus, kuriais atsisakoma prijungti įrenginius prie operatoriaus tinklų;</w:t>
                      </w:r>
                    </w:p>
                  </w:sdtContent>
                </w:sdt>
                <w:sdt>
                  <w:sdtPr>
                    <w:alias w:val="6.21 pp."/>
                    <w:tag w:val="part_b59dacc0a4fc4d07a69d6384b4e54587"/>
                    <w:lock w:val="sdtLocked"/>
                    <w:richText/>
                  </w:sdtPr>
                  <w:sdtContent>
                    <w:p>
                      <w:pPr>
                        <w:widowControl w:val="0"/>
                        <w:ind w:firstLine="709"/>
                        <w:jc w:val="both"/>
                        <w:rPr>
                          <w:szCs w:val="24"/>
                        </w:rPr>
                      </w:pPr>
                      <w:sdt>
                        <w:sdtPr>
                          <w:alias w:val="Numeris"/>
                          <w:tag w:val="nr_b59dacc0a4fc4d07a69d6384b4e54587"/>
                          <w:lock w:val="sdtLocked"/>
                          <w:richText/>
                        </w:sdtPr>
                        <w:sdtContent>
                          <w:r>
                            <w:rPr>
                              <w:szCs w:val="24"/>
                            </w:rPr>
                            <w:t>6.21</w:t>
                          </w:r>
                        </w:sdtContent>
                      </w:sdt>
                      <w:r>
                        <w:rPr>
                          <w:szCs w:val="24"/>
                        </w:rPr>
                        <w:t>. informaciją apie skundų nagrinėjimo tvarką dėl operatoriaus veiksmų ar neveikimo, kreipiantis dėl įrenginių prijungimo prie atitinkamų elektros tinklų ar sistemų, prijungiant įrenginius, priimant pagamintą, sukauptą elektros energiją į elektros tinklus ar sistemas ir (ar) vykdant kitas pareigas, susijusias su elektros energijos gamyba ir (ar) kaupimu;</w:t>
                      </w:r>
                    </w:p>
                  </w:sdtContent>
                </w:sdt>
                <w:sdt>
                  <w:sdtPr>
                    <w:alias w:val="6.21-1 pp."/>
                    <w:tag w:val="part_73d7251d68714bada1fbafe4460f6657"/>
                    <w:lock w:val="sdtLocked"/>
                    <w:richText/>
                  </w:sdtPr>
                  <w:sdtContent>
                    <w:p>
                      <w:pPr>
                        <w:tabs>
                          <w:tab w:val="left" w:pos="725"/>
                        </w:tabs>
                        <w:ind w:firstLine="709"/>
                        <w:jc w:val="both"/>
                        <w:rPr>
                          <w:szCs w:val="24"/>
                        </w:rPr>
                      </w:pPr>
                      <w:sdt>
                        <w:sdtPr>
                          <w:alias w:val="Numeris"/>
                          <w:tag w:val="nr_73d7251d68714bada1fbafe4460f6657"/>
                          <w:lock w:val="sdtLocked"/>
                          <w:richText/>
                        </w:sdtPr>
                        <w:sdtContent>
                          <w:r>
                            <w:rPr>
                              <w:szCs w:val="24"/>
                              <w:lang w:eastAsia="lt-LT"/>
                            </w:rPr>
                            <w:t>6.21</w:t>
                          </w:r>
                          <w:r>
                            <w:rPr>
                              <w:szCs w:val="24"/>
                              <w:vertAlign w:val="superscript"/>
                              <w:lang w:eastAsia="lt-LT"/>
                            </w:rPr>
                            <w:t>1</w:t>
                          </w:r>
                        </w:sdtContent>
                      </w:sdt>
                      <w:r>
                        <w:rPr>
                          <w:szCs w:val="24"/>
                          <w:lang w:eastAsia="lt-LT"/>
                        </w:rPr>
                        <w:t>. operatorių tarpusavio bendradarbiavimo tvarką, siekiant laiku informuoti operatorius apie elektros tinklų pralaidumų rezervaciją, darančią įtaką kito operatoriaus tinklų pralaidumų vertinimui.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6.22 pp."/>
                    <w:tag w:val="part_3a803f6c41154bb087e31eee48b35909"/>
                    <w:lock w:val="sdtLocked"/>
                    <w:richText/>
                  </w:sdtPr>
                  <w:sdtContent>
                    <w:p>
                      <w:pPr>
                        <w:widowControl w:val="0"/>
                        <w:ind w:firstLine="709"/>
                        <w:jc w:val="both"/>
                        <w:rPr>
                          <w:szCs w:val="24"/>
                        </w:rPr>
                      </w:pPr>
                      <w:sdt>
                        <w:sdtPr>
                          <w:alias w:val="Numeris"/>
                          <w:tag w:val="nr_3a803f6c41154bb087e31eee48b35909"/>
                          <w:lock w:val="sdtLocked"/>
                          <w:richText/>
                        </w:sdtPr>
                        <w:sdtContent>
                          <w:r>
                            <w:rPr>
                              <w:szCs w:val="24"/>
                            </w:rPr>
                            <w:t>6.22</w:t>
                          </w:r>
                        </w:sdtContent>
                      </w:sdt>
                      <w:r>
                        <w:rPr>
                          <w:szCs w:val="24"/>
                        </w:rPr>
                        <w:t xml:space="preserve">. kitas, operatoriaus nuožiūra, tinkamam pasinaudojimui elektros tinklais užtikrinti reikalingas sąlygas. </w:t>
                      </w:r>
                    </w:p>
                    <w:p>
                      <w:pPr>
                        <w:widowControl w:val="0"/>
                        <w:jc w:val="center"/>
                        <w:rPr>
                          <w:szCs w:val="24"/>
                        </w:rPr>
                      </w:pPr>
                    </w:p>
                  </w:sdtContent>
                </w:sdt>
              </w:sdtContent>
            </w:sdt>
          </w:sdtContent>
        </w:sdt>
        <w:sdt>
          <w:sdtPr>
            <w:alias w:val="skyrius"/>
            <w:tag w:val="part_b1c89132fa7b49fe83bfeafe603bfe13"/>
            <w:lock w:val="sdtLocked"/>
            <w:richText/>
          </w:sdtPr>
          <w:sdtContent>
            <w:p>
              <w:pPr>
                <w:widowControl w:val="0"/>
                <w:jc w:val="center"/>
                <w:rPr>
                  <w:b/>
                  <w:bCs/>
                  <w:caps/>
                  <w:szCs w:val="24"/>
                </w:rPr>
              </w:pPr>
              <w:sdt>
                <w:sdtPr>
                  <w:alias w:val="Numeris"/>
                  <w:tag w:val="nr_b1c89132fa7b49fe83bfeafe603bfe13"/>
                  <w:lock w:val="sdtLocked"/>
                  <w:richText/>
                </w:sdtPr>
                <w:sdtContent>
                  <w:r>
                    <w:rPr>
                      <w:b/>
                      <w:bCs/>
                      <w:caps/>
                      <w:szCs w:val="24"/>
                    </w:rPr>
                    <w:t>III</w:t>
                  </w:r>
                </w:sdtContent>
              </w:sdt>
              <w:r>
                <w:rPr>
                  <w:b/>
                  <w:bCs/>
                  <w:caps/>
                  <w:szCs w:val="24"/>
                </w:rPr>
                <w:t xml:space="preserve"> SKYRIUS</w:t>
              </w:r>
            </w:p>
            <w:p>
              <w:pPr>
                <w:widowControl w:val="0"/>
                <w:jc w:val="center"/>
                <w:rPr>
                  <w:b/>
                  <w:bCs/>
                  <w:caps/>
                  <w:szCs w:val="24"/>
                </w:rPr>
              </w:pPr>
              <w:sdt>
                <w:sdtPr>
                  <w:alias w:val="Pavadinimas"/>
                  <w:tag w:val="title_b1c89132fa7b49fe83bfeafe603bfe13"/>
                  <w:lock w:val="sdtLocked"/>
                  <w:richText/>
                </w:sdtPr>
                <w:sdtContent>
                  <w:r>
                    <w:rPr>
                      <w:b/>
                      <w:bCs/>
                      <w:caps/>
                      <w:szCs w:val="24"/>
                    </w:rPr>
                    <w:t>BAIGIAMOSIOS NUOSTATOS</w:t>
                  </w:r>
                </w:sdtContent>
              </w:sdt>
            </w:p>
            <w:p>
              <w:pPr>
                <w:widowControl w:val="0"/>
                <w:ind w:firstLine="567"/>
                <w:jc w:val="both"/>
                <w:rPr>
                  <w:szCs w:val="24"/>
                </w:rPr>
              </w:pPr>
            </w:p>
            <w:sdt>
              <w:sdtPr>
                <w:alias w:val="7 p."/>
                <w:tag w:val="part_55a2c31f3ccd4762a785a8e1b52ea47b"/>
                <w:lock w:val="sdtLocked"/>
                <w:richText/>
              </w:sdtPr>
              <w:sdtContent>
                <w:p>
                  <w:pPr>
                    <w:widowControl w:val="0"/>
                    <w:ind w:firstLine="709"/>
                    <w:jc w:val="both"/>
                    <w:rPr>
                      <w:szCs w:val="24"/>
                    </w:rPr>
                  </w:pPr>
                  <w:sdt>
                    <w:sdtPr>
                      <w:alias w:val="Numeris"/>
                      <w:tag w:val="nr_55a2c31f3ccd4762a785a8e1b52ea47b"/>
                      <w:lock w:val="sdtLocked"/>
                      <w:richText/>
                    </w:sdtPr>
                    <w:sdtContent>
                      <w:r>
                        <w:rPr>
                          <w:szCs w:val="24"/>
                        </w:rPr>
                        <w:t>7</w:t>
                      </w:r>
                    </w:sdtContent>
                  </w:sdt>
                  <w:r>
                    <w:rPr>
                      <w:szCs w:val="24"/>
                    </w:rPr>
                    <w:t>. Operatorius privalo Pasinaudojimo tvarkos aprašą suderinti su Taryba.</w:t>
                  </w:r>
                </w:p>
              </w:sdtContent>
            </w:sdt>
            <w:sdt>
              <w:sdtPr>
                <w:alias w:val="7-1 p."/>
                <w:tag w:val="part_a3f592ec83d54784ac4a76a902da09e8"/>
                <w:lock w:val="sdtLocked"/>
                <w:richText/>
              </w:sdtPr>
              <w:sdtContent>
                <w:p>
                  <w:pPr>
                    <w:widowControl w:val="0"/>
                    <w:ind w:firstLine="709"/>
                    <w:jc w:val="both"/>
                    <w:rPr>
                      <w:szCs w:val="24"/>
                    </w:rPr>
                  </w:pPr>
                  <w:sdt>
                    <w:sdtPr>
                      <w:alias w:val="Numeris"/>
                      <w:tag w:val="nr_a3f592ec83d54784ac4a76a902da09e8"/>
                      <w:lock w:val="sdtLocked"/>
                      <w:richText/>
                    </w:sdtPr>
                    <w:sdtContent>
                      <w:r>
                        <w:t>7</w:t>
                      </w:r>
                      <w:r>
                        <w:rPr>
                          <w:vertAlign w:val="superscript"/>
                        </w:rPr>
                        <w:t>1</w:t>
                      </w:r>
                    </w:sdtContent>
                  </w:sdt>
                  <w:r>
                    <w:t xml:space="preserve">. Operatorius, teikdamas derinti Pasinaudojimo tvarkos aprašą Tarybai, kartu privalo pateikti laisvos formos atitikties Sąlygų aprašui lentelę, kai Pasinaudojimo tvarkos aprašas teikiamas nauja redakcija.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fa7f80bc2311eea5a28c81c82193a8">
                    <w:r w:rsidRPr="00532B9F">
                      <w:rPr>
                        <w:rFonts w:ascii="Times New Roman" w:eastAsia="MS Mincho" w:hAnsi="Times New Roman"/>
                        <w:sz w:val="20"/>
                        <w:i/>
                        <w:iCs/>
                        <w:color w:val="0000FF" w:themeColor="hyperlink"/>
                        <w:u w:val="single"/>
                      </w:rPr>
                      <w:t>O3E-81</w:t>
                    </w:r>
                  </w:fldSimple>
                  <w:r>
                    <w:rPr>
                      <w:rFonts w:ascii="Times New Roman" w:eastAsia="MS Mincho" w:hAnsi="Times New Roman"/>
                      <w:sz w:val="20"/>
                      <w:i/>
                      <w:iCs/>
                    </w:rPr>
                    <w:t>,
2024-01-26,
paskelbta TAR 2024-01-26, i. k. 2024-01384        </w:t>
                  </w:r>
                </w:p>
                <w:p/>
              </w:sdtContent>
            </w:sdt>
            <w:sdt>
              <w:sdtPr>
                <w:alias w:val="8 p."/>
                <w:tag w:val="part_ddd08c33bf034d6293051849917a12e3"/>
                <w:lock w:val="sdtLocked"/>
                <w:richText/>
              </w:sdtPr>
              <w:sdtContent>
                <w:p>
                  <w:pPr>
                    <w:widowControl w:val="0"/>
                    <w:ind w:firstLine="709"/>
                    <w:jc w:val="both"/>
                    <w:rPr>
                      <w:szCs w:val="24"/>
                    </w:rPr>
                  </w:pPr>
                  <w:sdt>
                    <w:sdtPr>
                      <w:alias w:val="Numeris"/>
                      <w:tag w:val="nr_ddd08c33bf034d6293051849917a12e3"/>
                      <w:lock w:val="sdtLocked"/>
                      <w:richText/>
                    </w:sdtPr>
                    <w:sdtContent>
                      <w:r>
                        <w:rPr>
                          <w:szCs w:val="24"/>
                        </w:rPr>
                        <w:t>8</w:t>
                      </w:r>
                    </w:sdtContent>
                  </w:sdt>
                  <w:r>
                    <w:rPr>
                      <w:szCs w:val="24"/>
                    </w:rPr>
                    <w:t>. Operatorius privalo Tarybos patvirtintą Pasinaudojimo tvarkos aprašą paskelbti viešai savo interneto puslapyje.</w:t>
                  </w:r>
                </w:p>
              </w:sdtContent>
            </w:sdt>
            <w:sdt>
              <w:sdtPr>
                <w:alias w:val="9 p."/>
                <w:tag w:val="part_b08eeccd662344a58bd49a2e389bae2b"/>
                <w:lock w:val="sdtLocked"/>
                <w:richText/>
              </w:sdtPr>
              <w:sdtContent>
                <w:p>
                  <w:pPr>
                    <w:widowControl w:val="0"/>
                    <w:ind w:firstLine="709"/>
                    <w:jc w:val="both"/>
                    <w:rPr>
                      <w:szCs w:val="24"/>
                    </w:rPr>
                  </w:pPr>
                  <w:sdt>
                    <w:sdtPr>
                      <w:alias w:val="Numeris"/>
                      <w:tag w:val="nr_b08eeccd662344a58bd49a2e389bae2b"/>
                      <w:lock w:val="sdtLocked"/>
                      <w:richText/>
                    </w:sdtPr>
                    <w:sdtContent>
                      <w:r>
                        <w:rPr>
                          <w:szCs w:val="24"/>
                        </w:rPr>
                        <w:t>9</w:t>
                      </w:r>
                    </w:sdtContent>
                  </w:sdt>
                  <w:r>
                    <w:rPr>
                      <w:szCs w:val="24"/>
                    </w:rPr>
                    <w:t>. Operatorius, raštu gavęs paklausimą iš ūkio subjektų, kurie naudojasi ar ketina naudotis Pasinaudojimo tvarkos aprašu, privalo per protingą terminą, tačiau ne ilgesnį nei 30 kalendorinių dienų, atsakyti raštu paklausėjui ir nuasmenintą paklausimą bei išaiškinimą privalo paskelbti viešai, greta viešai skelbiamo Pasinaudojimo tvarkos aprašo.</w:t>
                  </w:r>
                </w:p>
              </w:sdtContent>
            </w:sdt>
            <w:sdt>
              <w:sdtPr>
                <w:alias w:val="10 p."/>
                <w:tag w:val="part_e42a3175f565414babda0a1d6c0eec12"/>
                <w:lock w:val="sdtLocked"/>
                <w:richText/>
              </w:sdtPr>
              <w:sdtContent>
                <w:p>
                  <w:pPr>
                    <w:widowControl w:val="0"/>
                    <w:ind w:firstLine="709"/>
                    <w:jc w:val="both"/>
                  </w:pPr>
                  <w:sdt>
                    <w:sdtPr>
                      <w:alias w:val="Numeris"/>
                      <w:tag w:val="nr_e42a3175f565414babda0a1d6c0eec12"/>
                      <w:lock w:val="sdtLocked"/>
                      <w:richText/>
                    </w:sdtPr>
                    <w:sdtContent>
                      <w:r>
                        <w:t>10</w:t>
                      </w:r>
                    </w:sdtContent>
                  </w:sdt>
                  <w:r>
                    <w:t>. Už šių Sąlygų aprašo nesilaikymą operatorius atsako Lietuvos Respublikos energetikos įstatymo nustatyta tvarka.</w:t>
                  </w:r>
                </w:p>
                <w:p>
                  <w:pPr>
                    <w:rPr>
                      <w:szCs w:val="24"/>
                    </w:rPr>
                  </w:pPr>
                </w:p>
              </w:sdtContent>
            </w:sdt>
          </w:sdtContent>
        </w:sdt>
        <w:sdt>
          <w:sdtPr>
            <w:alias w:val="pabaiga"/>
            <w:tag w:val="part_c3bd888926734b4796e135b7eaeb56bf"/>
            <w:lock w:val="sdtLocked"/>
            <w:richText/>
          </w:sdtPr>
          <w:sdtContent>
            <w:p>
              <w:pPr>
                <w:jc w:val="center"/>
              </w:pPr>
              <w:r>
                <w:rPr>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10e4800bd5611e688d0ed775a2e782a">
            <w:r w:rsidRPr="00532B9F">
              <w:rPr>
                <w:rFonts w:ascii="Times New Roman" w:eastAsia="MS Mincho" w:hAnsi="Times New Roman"/>
                <w:sz w:val="20"/>
                <w:iCs/>
                <w:color w:val="0000FF" w:themeColor="hyperlink"/>
                <w:u w:val="single"/>
              </w:rPr>
              <w:t>O3-421</w:t>
            </w:r>
          </w:fldSimple>
          <w:r>
            <w:rPr>
              <w:rFonts w:ascii="Times New Roman" w:eastAsia="MS Mincho" w:hAnsi="Times New Roman"/>
              <w:sz w:val="20"/>
              <w:iCs/>
            </w:rPr>
            <w:t>,
2016-12-08,
paskelbta TAR 2016-12-09, i. k. 2016-28528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3f9e10a38411ec966fd5047f7e7091">
            <w:r w:rsidRPr="00532B9F">
              <w:rPr>
                <w:rFonts w:ascii="Times New Roman" w:eastAsia="MS Mincho" w:hAnsi="Times New Roman"/>
                <w:sz w:val="20"/>
                <w:iCs/>
                <w:color w:val="0000FF" w:themeColor="hyperlink"/>
                <w:u w:val="single"/>
              </w:rPr>
              <w:t>O3E-320</w:t>
            </w:r>
          </w:fldSimple>
          <w:r>
            <w:rPr>
              <w:rFonts w:ascii="Times New Roman" w:eastAsia="MS Mincho" w:hAnsi="Times New Roman"/>
              <w:sz w:val="20"/>
              <w:iCs/>
            </w:rPr>
            <w:t>,
2022-03-14,
paskelbta TAR 2022-03-14, i. k. 2022-04734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fa7f80bc2311eea5a28c81c82193a8">
            <w:r w:rsidRPr="00532B9F">
              <w:rPr>
                <w:rFonts w:ascii="Times New Roman" w:eastAsia="MS Mincho" w:hAnsi="Times New Roman"/>
                <w:sz w:val="20"/>
                <w:iCs/>
                <w:color w:val="0000FF" w:themeColor="hyperlink"/>
                <w:u w:val="single"/>
              </w:rPr>
              <w:t>O3E-81</w:t>
            </w:r>
          </w:fldSimple>
          <w:r>
            <w:rPr>
              <w:rFonts w:ascii="Times New Roman" w:eastAsia="MS Mincho" w:hAnsi="Times New Roman"/>
              <w:sz w:val="20"/>
              <w:iCs/>
            </w:rPr>
            <w:t>,
2024-01-26,
paskelbta TAR 2024-01-26, i. k. 2024-01384                </w:t>
          </w:r>
        </w:p>
        <w:p>
          <w:pPr>
            <w:jc w:val="both"/>
            <w:rPr>
              <w:rFonts w:ascii="Times New Roman" w:hAnsi="Times New Roman"/>
            </w:rPr>
          </w:pPr>
          <w:r>
            <w:rPr>
              <w:rFonts w:ascii="Times New Roman" w:hAnsi="Times New Roman"/>
              <w:sz w:val="20"/>
            </w:rPr>
            <w:t>Dėl Valstybinės energetikos reguliavimo tarybos 2011 m. liepos 25 d. nutarimo Nr. O3-193 „Dėl Pasinaudojimo elektros tinklais tvarkos aprašo rengimo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3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B3F55"/>
  <w15:docId w15:val="{ACECF172-769F-497E-B689-107F7426A19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VALSTYBINĖS ENERGETIKOS REGULIAVIMO TARYBA" DocPartId="95a1fa8076114034aa423fa2ad6a3ef6" PartId="e40ce7b904d9484e96f37aa2695c2a4e">
    <Part Type="preambule" DocPartId="7b846f199cdb43edb677e3f58f0c2b19" PartId="0ba10883665649c69a4ba0eff06da7e0"/>
    <Part Type="pastraipa" DocPartId="359f6dc511a84d44a243b26968796fce" PartId="bd4b0cd0aced4b43b5491a85e67680f7"/>
    <Part Type="signatura" DocPartId="937da3fc69114b23af447d9f2ec0e9d1" PartId="dcfc419a93774125b97276d7ff896aa1"/>
  </Part>
  <Part Type="patvirtinta" Title="PASINAUDOJIMO ELEKTROS TINKLAIS TVARKOS APRAŠO RENGIMO SĄLYGŲ APRAŠAS" DocPartId="bc2c38e7eb1d45d289d97543630a6ba1" PartId="b5b014412a80469ab164f85da2d0b9a2">
    <Part Type="skyrius" Nr="1" Title="BENDROSIOS NUOSTATOS" DocPartId="2cee4e6785ad44f59d6b8e05176fdd44" PartId="9c23efee90a04431b5af1aed81da8635">
      <Part Type="punktas" Nr="1" Abbr="1 p." DocPartId="22e402730ea148309f98d6b18c36150e" PartId="b2ae52b493db4ad1bdcfbc4413cd89bf"/>
      <Part Type="punktas" Nr="2" Abbr="2 p." DocPartId="a28838ed45e449c6a0d83e25d7bc2528" PartId="380f86e03ebd442f98049d1e9a97e171"/>
    </Part>
    <Part Type="skyrius" Nr="2" Title="SĄLYGOS PASINAUDOJIMO TVARKOS APRAŠUI PARENGTI" DocPartId="15de41ead5444cfbbbbd3d68780bafef" PartId="16c4a3929bd342078731704c0d637e90">
      <Part Type="punktas" Nr="3" Abbr="3 p." DocPartId="2f52fe6177e842ba9c947583e432e9ee" PartId="e6b02df993dd498b987b302a655136cc"/>
      <Part Type="punktas" Nr="4" Abbr="4 p." DocPartId="36083b4928964b1d8232ea5b643e44c1" PartId="08598ea025e94a96afb8c9f55a99f44d">
        <Part Type="papunktis" Nr="4.1" Abbr="4.1 pp." DocPartId="fd6cce97ffdc46368aadafbe76fc6475" PartId="ad2d327a6e9f457f93c5f022f5907de8"/>
        <Part Type="papunktis" Nr="4.2" Abbr="4.2 pp." DocPartId="58257e7aac394770925ec665ea2e855d" PartId="b5a30882c81f49eab9c9c8daf8ebf275"/>
        <Part Type="papunktis" Nr="4.3" Abbr="4.3 pp." DocPartId="12c4257e6245456ebfc61d0d6615cf78" PartId="dfc12bfa8cc94bf08b99bfbbf4952b8b"/>
        <Part Type="papunktis" Nr="4.4" Abbr="4.4 pp." DocPartId="455b2876186444bcbe8032a77e4bcdd2" PartId="319fcd5238c349f3a287839a7851893c"/>
        <Part Type="papunktis" Nr="4.5" Abbr="4.5 pp." DocPartId="e40602c33284448d99a110e4f414fb94" PartId="81c5468883de4af8a3fd7b1f42021d2c"/>
        <Part Type="papunktis" Nr="4.6" Abbr="4.6 pp." DocPartId="3be6452cd7514fb2b272ca20817b513c" PartId="838d2809fb1247d8acc9c4c39f63f15b"/>
      </Part>
      <Part Type="punktas" Nr="5" Abbr="5 p." DocPartId="98391a6fc8e149e3930da7e805571e93" PartId="d4a385ab592f4097bcd027b8abc3047a"/>
      <Part Type="punktas" Nr="6" Abbr="6 p." DocPartId="e6da882435d240e2aaf1f1582fb638bf" PartId="afda880be5ce4ec19c4c2b6a1e414ce2">
        <Part Type="papunktis" Nr="6.1" Abbr="6.1 pp." DocPartId="8f897aa85d7c4f3c95e6f436e1885eac" PartId="8d4d87083b9c443c9a4883a8cad3d79a"/>
        <Part Type="papunktis" Nr="6.2" Abbr="6.2 pp." DocPartId="3606c4d8cc64400580f4ed41720a71b7" PartId="d71737b71a1e41999aeb17e228480381"/>
        <Part Type="papunktis" Nr="6.3" Abbr="6.3 pp." DocPartId="a4a92991231845f1ae849528e8e5dc1c" PartId="55373484135d4fe58747f90fc63e049e"/>
        <Part Type="papunktis" Nr="6.4" Abbr="6.4 pp." DocPartId="46aa0b5c2d0f4d57b561ff1bf42b32bc" PartId="cf4ca2367374425a88d31c17f9265302"/>
        <Part Type="papunktis" Nr="6.5" Abbr="6.5 pp." DocPartId="eaae704c09284acd8c6a017129ad326d" PartId="e877db68da5e49279ed9bf72c212ee1f"/>
        <Part Type="papunktis" Nr="6.6" Abbr="6.6 pp." DocPartId="9c3de4561d9f48fba2d419521369499a" PartId="086a4539195a40bd91ed016244f2c938"/>
        <Part Type="papunktis" Nr="6.7" Abbr="6.7 pp." DocPartId="42ee7afaba8b4778888fd3375de0a732" PartId="52ae0f54eb614385b61dc3599ac16915"/>
        <Part Type="papunktis" Nr="6.8" Abbr="6.8 pp." DocPartId="3d49ffbc66f34ad499a030eb6e075e44" PartId="363580f193a04c01b63115261123da63"/>
        <Part Type="papunktis" Nr="6.9" Abbr="6.9 pp." DocPartId="942d7a97024c4a88833884663b130c39" PartId="016009ddea2b4b7486fea4c2eb0f8280"/>
        <Part Type="papunktis" Nr="6.10" Abbr="6.10 pp." DocPartId="907abc2111184946b0fa87ec5d1219a1" PartId="df7f9bf65e0f4587975265fe43cb9401"/>
        <Part Type="papunktis" Nr="6.11" Abbr="6.11 pp." DocPartId="a0feedf89d454ed6a5e780807a8690e1" PartId="c66825e282d149ad956134f70996be42"/>
        <Part Type="papunktis" Nr="6.12" Abbr="6.12 pp." DocPartId="e31d181adc7b4283b0d902e2430666e4" PartId="5ac9be9797a747d89ef5441670545464"/>
        <Part Type="papunktis" Nr="6.12-1" Abbr="6.12-1 pp." DocPartId="9bfaad0fe8644fe295654717a7dfb756" PartId="a4ec9d641b784fb7a3af9c08b944fd0d"/>
        <Part Type="papunktis" Nr="6.12-2" Abbr="6.12-2 pp." DocPartId="3d84258d81124cd5a9d321bd6d301aac" PartId="6c491cd137ec4c8f93410c404f57031e"/>
        <Part Type="papunktis" Nr="6.13" Abbr="6.13 pp." DocPartId="0774e799fc474411b9838ea5e1f8d23a" PartId="254777cc48ad4058906436cb77f3a175"/>
        <Part Type="papunktis" Nr="6.14" Abbr="6.14 pp." DocPartId="377dc59b8ddf42bf8838708a81589c26" PartId="217375ecd0f1447d8bd2512f6142dd01"/>
        <Part Type="papunktis" Nr="6.15" Abbr="6.15 pp." DocPartId="f48fdc45b1c348d79a8192c78756c692" PartId="303e964862c246d3b0c66c11b2b5b2a5"/>
        <Part Type="papunktis" Nr="6.16" Abbr="6.16 pp." DocPartId="1c098e36e5dc49948c3d66e84ac79b53" PartId="f131305b9716496ab42be1c60057407d"/>
        <Part Type="papunktis" Nr="6.17" Abbr="6.17 pp." DocPartId="b0ebeea8af7a4c449e6db0a045b5412f" PartId="45a766891f3d4d70978db2c7793f3f52"/>
        <Part Type="papunktis" Nr="6.18" Abbr="6.18 pp." DocPartId="1bc13b328a0b446b905754501569af6a" PartId="1909e6ad66da4f6db5da065bfe5351cb"/>
        <Part Type="papunktis" Nr="6.19" Abbr="6.19 pp." DocPartId="c7d37b07bb52441687f340a735add8f0" PartId="4c9760a1d2c3496185fc53eee19b8617"/>
        <Part Type="papunktis" Nr="6.20" Abbr="6.20 pp." DocPartId="1b9120911e7647999a03626b984a7cf6" PartId="5d5afc2e9c734227b3cbeb864101617b"/>
        <Part Type="papunktis" Nr="6.21" Abbr="6.21 pp." DocPartId="3c59d2faa3cd4498ae2efdf82a122bad" PartId="b59dacc0a4fc4d07a69d6384b4e54587"/>
        <Part Type="papunktis" Nr="6.21-1" Abbr="6.21-1 pp." DocPartId="606948fe384c4c3ab7d8104871fcf744" PartId="73d7251d68714bada1fbafe4460f6657"/>
        <Part Type="papunktis" Nr="6.22" Abbr="6.22 pp." DocPartId="95ab76dd13944461bc62f9bd2613cdfc" PartId="3a803f6c41154bb087e31eee48b35909"/>
      </Part>
    </Part>
    <Part Type="skyrius" Nr="3" Title="BAIGIAMOSIOS NUOSTATOS" DocPartId="693dc4ad85234e88b10066ce8f233ee7" PartId="b1c89132fa7b49fe83bfeafe603bfe13">
      <Part Type="punktas" Nr="7" Abbr="7 p." DocPartId="fab9c8a44c734236af8599a3b368347d" PartId="55a2c31f3ccd4762a785a8e1b52ea47b"/>
      <Part Type="punktas" Nr="7-1" Abbr="7-1 p." DocPartId="1b9fbaa3cb104f23bae660d9c0a6166a" PartId="a3f592ec83d54784ac4a76a902da09e8"/>
      <Part Type="punktas" Nr="8" Abbr="8 p." DocPartId="029f166b648140cf88e07c635fae7855" PartId="ddd08c33bf034d6293051849917a12e3"/>
      <Part Type="punktas" Nr="9" Abbr="9 p." DocPartId="41b642715b85495b89a42518dd20a11d" PartId="b08eeccd662344a58bd49a2e389bae2b"/>
      <Part Type="punktas" Nr="10" Abbr="10 p." DocPartId="942d1ac0c37c42fd9a129ec6ca002a49" PartId="e42a3175f565414babda0a1d6c0eec12"/>
    </Part>
    <Part Type="pabaiga" DocPartId="2c18815d4f5a465b89fc10411fa5c1b4" PartId="c3bd888926734b4796e135b7eaeb56bf"/>
  </Part>
</Parts>
</file>

<file path=customXml/itemProps1.xml><?xml version="1.0" encoding="utf-8"?>
<ds:datastoreItem xmlns:ds="http://schemas.openxmlformats.org/officeDocument/2006/customXml" ds:itemID="{C1A0840F-2167-40A3-8C47-4938083671AF}">
  <ds:schemaRefs>
    <ds:schemaRef ds:uri="http://lrs.lt/TAIS/DocParts"/>
  </ds:schemaRefs>
</ds:datastoreItem>
</file>

<file path=docProps/app.xml><?xml version="1.0" encoding="utf-8"?>
<Properties xmlns="http://schemas.openxmlformats.org/officeDocument/2006/extended-properties">
  <Template>Normal.dotm</Template>
  <TotalTime>11</TotalTime>
  <Pages>4</Pages>
  <Words>6571</Words>
  <Characters>3746</Characters>
  <Application>Microsoft Office Word</Application>
  <DocSecurity>0</DocSecurity>
  <Lines>31</Lines>
  <Paragraphs>20</Paragraphs>
  <ScaleCrop>false</ScaleCrop>
  <Company/>
  <LinksUpToDate>false</LinksUpToDate>
  <CharactersWithSpaces>10297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2015-09-02T01:51:00Z</dcterms:created>
  <dc:creator>Rima</dc:creator>
  <lastModifiedBy>ŠAULYTĖ SKAIRIENĖ Dalia</lastModifiedBy>
  <dcterms:modified xsi:type="dcterms:W3CDTF">2024-01-30T04:55:00Z</dcterms:modified>
  <revision>11</revision>
  <dc:title>VALSTYBINĖS KAINŲ IR ENERGETIKOS KONTROLĖS KOMISIJOS</dc:title>
</coreProperties>
</file>