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2012-01-27 iki 2014-02-07</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9F3DF69747C7">
        <w:r w:rsidRPr="00532B9F">
          <w:rPr>
            <w:rFonts w:ascii="Times New Roman" w:eastAsia="MS Mincho" w:hAnsi="Times New Roman"/>
            <w:sz w:val="20"/>
            <w:i/>
            <w:iCs/>
            <w:color w:val="0000FF" w:themeColor="hyperlink"/>
            <w:u w:val="single"/>
          </w:rPr>
          <w:t>42-2015</w:t>
        </w:r>
      </w:fldSimple>
      <w:r>
        <w:rPr>
          <w:rFonts w:ascii="Times New Roman" w:eastAsia="MS Mincho" w:hAnsi="Times New Roman"/>
          <w:sz w:val="20"/>
          <w:i/>
          <w:iCs/>
        </w:rPr>
        <w:t>, i. k. 1112070ISAK000V-435</w:t>
      </w:r>
    </w:p>
    <w:p>
      <w:pPr>
        <w:jc w:val="both"/>
        <w:rPr>
          <w:rFonts w:ascii="Times New Roman" w:hAnsi="Times New Roman"/>
          <w:sz w:val="20"/>
        </w:rPr>
      </w:pPr>
    </w:p>
    <w:p>
      <w:pPr>
        <w:widowControl w:val="0"/>
        <w:suppressAutoHyphens/>
        <w:jc w:val="center"/>
        <w:rPr>
          <w:color w:val="000000"/>
        </w:rPr>
      </w:pPr>
      <w:r>
        <w:rPr>
          <w:color w:val="000000"/>
          <w:lang w:val="en-US"/>
        </w:rPr>
        <w:pict w14:anchorId="76222C2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7" o:title=""/>
          </v:shape>
          <w:control r:id="rId18" w:name="Control 2" w:shapeid="_x0000_s1026"/>
        </w:pict>
      </w:r>
      <w:r>
        <w:rPr>
          <w:color w:val="000000"/>
        </w:rPr>
        <w:t>LIETUVOS RESPUBLIKOS ŠVIETIMO IR MOKSLO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TARPTAUTINIŲ UŽSIENIO KALBŲ EGZAMINŲ ĮVERTINIMŲ ĮSKAITYMO IR ATITIKMENŲ VALSTYBINIŲ UŽSIENIO KALBŲ BRANDOS EGZAMINŲ ĮVERTINIMAMS NUSTATYMO TVARKOS APRAŠO PATVIRTINIMO</w:t>
      </w:r>
    </w:p>
    <w:p>
      <w:pPr>
        <w:widowControl w:val="0"/>
        <w:suppressAutoHyphens/>
        <w:jc w:val="center"/>
        <w:rPr>
          <w:color w:val="000000"/>
        </w:rPr>
      </w:pPr>
    </w:p>
    <w:p>
      <w:pPr>
        <w:widowControl w:val="0"/>
        <w:suppressAutoHyphens/>
        <w:jc w:val="center"/>
        <w:rPr>
          <w:color w:val="000000"/>
        </w:rPr>
      </w:pPr>
      <w:r>
        <w:rPr>
          <w:color w:val="000000"/>
        </w:rPr>
        <w:t>2011 m. kovo 16 d. Nr. V-435</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Geriausiai vidurinio ugdymo programą baigusiųjų eilės sudarymo 2011 metais tvarkos aprašo, patvirtinto Lietuvos Respublikos švietimo ir mokslo ministro 2011 m. sausio 7 d. įsakymu Nr. V-13 (Žin., 2011, Nr. </w:t>
      </w:r>
      <w:hyperlink r:id="rId19" w:tgtFrame="_blank" w:history="1">
        <w:r>
          <w:rPr>
            <w:color w:val="0000FF" w:themeColor="hyperlink"/>
            <w:u w:val="single"/>
          </w:rPr>
          <w:t>9-394</w:t>
        </w:r>
      </w:hyperlink>
      <w:r>
        <w:rPr>
          <w:color w:val="000000"/>
        </w:rPr>
        <w:t>), 30 punktu ir Lietuvos Respublikos švietimo ir mokslo ministro 2011 m. sausio 26 d. įgaliojimu Nr. G-8 „Dėl bendro stojančiųjų priėmimo į Lietuvos aukštąsias mokyklas 2011 metais vykdymo“:</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Tarptautinių užsienio kalbų egzaminų įvertinimų įskaitymo ir atitikmenų valstybinių užsienio kalbų brandos egzaminų įvertinimams nustatymo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 Lietuvos aukštųjų mokyklų asociacija bendrajam priėmimui organizuoti vadovaujasi šiuo įsakymu vykdydama bendrą stojančiųjų į aukštąsias mokyklas priėmimą.</w:t>
      </w:r>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Švietimo ir mokslo ministras </w:t>
        <w:tab/>
        <w:t>Gintaras Steponavičius</w:t>
      </w:r>
    </w:p>
    <w:p>
      <w:pPr>
        <w:widowControl w:val="0"/>
        <w:suppressAutoHyphens/>
        <w:ind w:left="5040" w:firstLine="62"/>
      </w:pPr>
    </w:p>
    <w:p>
      <w:r>
        <w:br w:type="page"/>
      </w:r>
    </w:p>
    <w:p>
      <w:pPr>
        <w:widowControl w:val="0"/>
        <w:suppressAutoHyphens/>
        <w:ind w:left="5040" w:firstLine="62"/>
        <w:rPr>
          <w:color w:val="000000"/>
        </w:rPr>
      </w:pPr>
      <w:r>
        <w:rPr>
          <w:color w:val="000000"/>
        </w:rPr>
        <w:t>PATVIRTINTA</w:t>
      </w:r>
    </w:p>
    <w:p>
      <w:pPr>
        <w:widowControl w:val="0"/>
        <w:suppressAutoHyphens/>
        <w:ind w:firstLine="5102"/>
        <w:rPr>
          <w:color w:val="000000"/>
        </w:rPr>
      </w:pPr>
      <w:r>
        <w:rPr>
          <w:color w:val="000000"/>
        </w:rPr>
        <w:t xml:space="preserve">Lietuvos Respublikos švietimo ir mokslo </w:t>
      </w:r>
    </w:p>
    <w:p>
      <w:pPr>
        <w:widowControl w:val="0"/>
        <w:suppressAutoHyphens/>
        <w:ind w:firstLine="5102"/>
        <w:rPr>
          <w:color w:val="000000"/>
        </w:rPr>
      </w:pPr>
      <w:r>
        <w:rPr>
          <w:color w:val="000000"/>
        </w:rPr>
        <w:t xml:space="preserve">ministro 2011 m. kovo 16 d. </w:t>
      </w:r>
    </w:p>
    <w:p>
      <w:pPr>
        <w:widowControl w:val="0"/>
        <w:suppressAutoHyphens/>
        <w:ind w:firstLine="5102"/>
        <w:rPr>
          <w:color w:val="000000"/>
        </w:rPr>
      </w:pPr>
      <w:r>
        <w:rPr>
          <w:color w:val="000000"/>
        </w:rPr>
        <w:t>įsakymu Nr. V-435</w:t>
      </w:r>
    </w:p>
    <w:p>
      <w:pPr>
        <w:widowControl w:val="0"/>
        <w:suppressAutoHyphens/>
        <w:jc w:val="both"/>
        <w:rPr>
          <w:color w:val="000000"/>
        </w:rPr>
      </w:pPr>
    </w:p>
    <w:p>
      <w:pPr>
        <w:widowControl w:val="0"/>
        <w:suppressAutoHyphens/>
        <w:jc w:val="center"/>
        <w:rPr>
          <w:b/>
          <w:bCs/>
          <w:caps/>
          <w:color w:val="000000"/>
        </w:rPr>
      </w:pPr>
      <w:r>
        <w:rPr>
          <w:b/>
          <w:bCs/>
          <w:caps/>
          <w:color w:val="000000"/>
        </w:rPr>
        <w:t>TARPTAUTINIŲ UŽSIENIO KALBŲ EGZAMINŲ ĮVERTINIMŲ ĮSKAITYMO IR ATITIKMENŲ VALSTYBINIŲ UŽSIENIO KALBŲ BRANDOS EGZAMINŲ ĮVERTINIMAMS NUSTATYMO TVARKOS APRAŠAS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Tarptautinių užsienio kalbų egzaminų įvertinimų įskaitymo ir atitikmenų valstybiniams užsienio kalbos brandos egzaminams nustatymo tvarkos aprašas (toliau – aprašas) reglamentuoja tarptautinių užsienio kalbų (anglų, prancūzų, vokiečių) egzaminų įvertinimų įskaitymo ir šių egzaminų atitikmenų valstybiniams užsienio kalbų (anglų, prancūzų, vokiečių) brandos egzaminams nustatymą asmenims, įgijusiems vidurinį išsilavinimą Lietuvoje ir stojantiems į Lietuvos aukštųjų mokyklų pirmosios pakopos ir vientisųjų studijų programas (toliau – stojantieji).</w:t>
      </w:r>
    </w:p>
    <w:p>
      <w:pPr>
        <w:widowControl w:val="0"/>
        <w:ind w:firstLine="567"/>
        <w:jc w:val="both"/>
      </w:pPr>
      <w:r>
        <w:rPr>
          <w:color w:val="000000"/>
        </w:rPr>
        <w:t>2</w:t>
      </w:r>
      <w:r>
        <w:rPr>
          <w:color w:val="000000"/>
        </w:rPr>
        <w:t xml:space="preserve">. Apraše vartojamos sąvokos atitinka Lietuvos Respublikos švietimo įstatyme (Žin., 1991, Nr. </w:t>
      </w:r>
      <w:hyperlink r:id="rId20" w:tgtFrame="_blank" w:history="1">
        <w:r>
          <w:rPr>
            <w:color w:val="0000FF" w:themeColor="hyperlink"/>
            <w:u w:val="single"/>
          </w:rPr>
          <w:t>23-593</w:t>
        </w:r>
      </w:hyperlink>
      <w:r>
        <w:rPr>
          <w:color w:val="000000"/>
        </w:rPr>
        <w:t xml:space="preserve">; 2011, Nr. </w:t>
      </w:r>
      <w:hyperlink r:id="rId21" w:tgtFrame="_blank" w:history="1">
        <w:r>
          <w:rPr>
            <w:color w:val="0000FF" w:themeColor="hyperlink"/>
            <w:u w:val="single"/>
          </w:rPr>
          <w:t>38-1804</w:t>
        </w:r>
      </w:hyperlink>
      <w:r>
        <w:rPr>
          <w:color w:val="000000"/>
        </w:rPr>
        <w:t xml:space="preserve">), Lietuvos Respublikos mokslo ir studijų įstatyme (Žin., 2009, Nr. </w:t>
      </w:r>
      <w:hyperlink r:id="rId22" w:tgtFrame="_blank" w:history="1">
        <w:r>
          <w:rPr>
            <w:color w:val="0000FF" w:themeColor="hyperlink"/>
            <w:u w:val="single"/>
          </w:rPr>
          <w:t>54-2140</w:t>
        </w:r>
      </w:hyperlink>
      <w:r>
        <w:rPr>
          <w:color w:val="000000"/>
        </w:rPr>
        <w:t>) ir kituose teisės aktuose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TARPTAUTINIAI UŽSIENIO KALBŲ EGZAMINAI IR JŲ ĮVERTINIMŲ ĮSKAITYMO PRINCIPAI</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Bendrajame priėmime į aukštąsias mokyklas dalyvaujantiems stojantiesiems tarptautinių užsienio kalbų egzaminų, kurių įvertinimai įskaitomi vietoj valstybinių užsienio kalbų brandos egzaminų, sąrašas pateikiamas aprašo 1 priede. Įvertinimai įskaitomi tų egzaminų, kurie išlaikyti ne žemesniu kaip B2 lygiu pagal Bendruosius Europos kalbų metmenis.</w:t>
      </w:r>
    </w:p>
    <w:p>
      <w:pPr>
        <w:widowControl w:val="0"/>
        <w:suppressAutoHyphens/>
        <w:ind w:firstLine="567"/>
        <w:jc w:val="both"/>
        <w:rPr>
          <w:color w:val="000000"/>
        </w:rPr>
      </w:pPr>
      <w:r>
        <w:rPr>
          <w:color w:val="000000"/>
        </w:rPr>
        <w:t>4</w:t>
      </w:r>
      <w:r>
        <w:rPr>
          <w:color w:val="000000"/>
        </w:rPr>
        <w:t>. Asmuo prašymo dalyvauti bendrajame priėmime formoje, tam skirtoje vietoje, nurodo išlaikyto tarptautinio užsienio kalbos egzamino pavadinimą, kuris nurodytas tarptautinio užsienio kalbos egzamino sertifikate. Sertifikato originalą (ir jo priedą FCE, CAE ir CPE egzamino atveju) stojantysis turi pateikti į bet kurį iš bendrojo priėmimo punktų Lietuvos aukštųjų mokyklų asociacijos bendram priėmimui organizuoti (toliau – LAMA BPO) nustatytais terminais.</w:t>
      </w:r>
    </w:p>
    <w:p>
      <w:pPr>
        <w:widowControl w:val="0"/>
        <w:suppressAutoHyphens/>
        <w:ind w:firstLine="567"/>
        <w:jc w:val="both"/>
        <w:rPr>
          <w:color w:val="000000"/>
        </w:rPr>
      </w:pPr>
      <w:r>
        <w:rPr>
          <w:color w:val="000000"/>
        </w:rPr>
        <w:t>5</w:t>
      </w:r>
      <w:r>
        <w:rPr>
          <w:color w:val="000000"/>
        </w:rPr>
        <w:t>. Jei asmens vidurinį išsilavinimą liudijančiame dokumente yra išlaikyto užsienio kalbos brandos egzamino įvertinimas, tačiau prašyme dalyvauti bendrajame priėmime jis taip pat nurodo išlaikyto atitinkamo tarptautinio užsienio kalbos egzamino pavadinimą, imamas tas egzamino įvertinimas, kuris yra palankesnis stojančiajam.</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TARPTAUTINIŲ UŽSIENIO KALBŲ EGZAMINŲ ĮVERTINIMŲ ATITIKMENŲ NUSTATYMAS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Tarptautinių užsienio kalbų egzaminų įvertinimų atitikmenų nustatymas atitinkamiems valstybinių užsienio kalbų brandos egzaminų įvertinimams vykdomas vadovaujantis Tarptautinių užsienio kalbų egzaminų įvertinimų atitikmenų atitinkamų valstybinių užsienio kalbų brandos egzaminų įvertinimams lentelėmis, pateikiamomis aprašo 2 priede.</w:t>
      </w:r>
    </w:p>
    <w:p>
      <w:pPr>
        <w:widowControl w:val="0"/>
        <w:suppressAutoHyphens/>
        <w:ind w:firstLine="567"/>
        <w:jc w:val="both"/>
        <w:rPr>
          <w:color w:val="000000"/>
        </w:rPr>
      </w:pPr>
      <w:r>
        <w:rPr>
          <w:color w:val="000000"/>
        </w:rPr>
        <w:t>7</w:t>
      </w:r>
      <w:r>
        <w:rPr>
          <w:color w:val="000000"/>
        </w:rPr>
        <w:t>. Bendrajame priėmime į aukštąsias mokyklas dalyvaujantiems stojantiesiems tarptautinio užsienio kalbos egzamino įvertinimą pagal pateiktus aprašo 2 priede lentelės duomenis įskaito LAMA BPO.</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ind w:firstLine="567"/>
        <w:jc w:val="both"/>
        <w:rPr>
          <w:color w:val="000000"/>
        </w:rPr>
      </w:pPr>
      <w:r>
        <w:rPr>
          <w:color w:val="000000"/>
        </w:rPr>
        <w:t>8</w:t>
      </w:r>
      <w:r>
        <w:rPr>
          <w:color w:val="000000"/>
        </w:rPr>
        <w:t>. Tarptautinio užsienio kalbos egzamino įvertinimo įskaitymas galioja iki šio egzamino išlaikymą liudijančiame dokumente nurodytos datos/nustatyto laikotarpio. Jei tarptautinio užsienio kalbos egzamino išlaikymą liudijančiame dokumente galiojimo data nenurodyta – laikoma, kad tarptautinio užsienio kalbos egzamino įvertinimo įskaitymas galioja neterminuotai, jei kiti teisės aktai nenustato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
      <w:pPr>
        <w:widowControl w:val="0"/>
        <w:suppressAutoHyphens/>
        <w:jc w:val="center"/>
        <w:rPr>
          <w:color w:val="000000"/>
        </w:rPr>
      </w:pPr>
      <w:r>
        <w:rPr>
          <w:color w:val="000000"/>
        </w:rPr>
        <w:t>_________________</w:t>
      </w:r>
    </w:p>
    <w:p>
      <w:pPr>
        <w:widowControl w:val="0"/>
        <w:suppressAutoHyphens/>
        <w:jc w:val="center"/>
        <w:rPr>
          <w:color w:val="000000"/>
        </w:rPr>
        <w:sectPr>
          <w:pgSz w:w="11907" w:h="16840" w:code="9"/>
          <w:pgMar w:top="1134" w:right="1134" w:bottom="1134" w:left="1701" w:header="567" w:footer="284" w:gutter="0"/>
          <w:cols w:space="1296"/>
          <w:docGrid w:linePitch="360"/>
        </w:sectPr>
      </w:pPr>
    </w:p>
    <w:p>
      <w:pPr>
        <w:widowControl w:val="0"/>
        <w:suppressAutoHyphens/>
        <w:jc w:val="center"/>
        <w:rPr>
          <w:color w:val="000000"/>
        </w:rPr>
      </w:pPr>
    </w:p>
    <w:p>
      <w:pPr>
        <w:widowControl w:val="0"/>
        <w:ind w:left="4535"/>
        <w:sectPr>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567" w:footer="284" w:gutter="0"/>
          <w:cols w:space="1296"/>
          <w:docGrid w:linePitch="360"/>
        </w:sectPr>
      </w:pPr>
    </w:p>
    <w:p>
      <w:pPr>
        <w:widowControl w:val="0"/>
        <w:ind w:left="4535"/>
        <w:rPr>
          <w:color w:val="000000"/>
        </w:rPr>
      </w:pPr>
      <w:r>
        <w:rPr>
          <w:color w:val="000000"/>
        </w:rPr>
        <w:t xml:space="preserve">Tarptautinių užsienio kalbų egzaminų </w:t>
      </w:r>
    </w:p>
    <w:p>
      <w:pPr>
        <w:widowControl w:val="0"/>
        <w:ind w:left="4535"/>
        <w:rPr>
          <w:color w:val="000000"/>
        </w:rPr>
      </w:pPr>
      <w:r>
        <w:rPr>
          <w:color w:val="000000"/>
        </w:rPr>
        <w:t xml:space="preserve">įvertinimų įskaitymo ir atitikmenų valstybinių </w:t>
      </w:r>
    </w:p>
    <w:p>
      <w:pPr>
        <w:widowControl w:val="0"/>
        <w:ind w:left="4535"/>
        <w:rPr>
          <w:color w:val="000000"/>
        </w:rPr>
      </w:pPr>
      <w:r>
        <w:rPr>
          <w:color w:val="000000"/>
        </w:rPr>
        <w:t xml:space="preserve">užsienio kalbų brandos egzaminų įskaitymams </w:t>
      </w:r>
    </w:p>
    <w:p>
      <w:pPr>
        <w:widowControl w:val="0"/>
        <w:ind w:left="4535"/>
        <w:rPr>
          <w:color w:val="000000"/>
        </w:rPr>
      </w:pPr>
      <w:r>
        <w:rPr>
          <w:color w:val="000000"/>
        </w:rPr>
        <w:t>nustatymo tvarkos aprašo</w:t>
      </w:r>
    </w:p>
    <w:p>
      <w:pPr>
        <w:widowControl w:val="0"/>
        <w:ind w:left="4535"/>
        <w:rPr>
          <w:color w:val="000000"/>
        </w:rPr>
      </w:pPr>
      <w:r>
        <w:rPr>
          <w:color w:val="000000"/>
        </w:rPr>
        <w:t>1</w:t>
      </w:r>
      <w:r>
        <w:rPr>
          <w:color w:val="000000"/>
        </w:rPr>
        <w:t xml:space="preserve"> priedas</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švietimo ir mokslo ministro </w:t>
      </w:r>
    </w:p>
    <w:p>
      <w:pPr>
        <w:widowControl w:val="0"/>
        <w:ind w:left="4535"/>
        <w:rPr>
          <w:color w:val="000000"/>
        </w:rPr>
      </w:pPr>
      <w:r>
        <w:rPr>
          <w:color w:val="000000"/>
        </w:rPr>
        <w:t xml:space="preserve">2012 m. sausio 20 d. įsakymo Nr. V-153 </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TARPTAUTINIŲ UŽSIENIO KALBŲ EGZAMINŲ, KURIŲ ĮVERTINIMAI ĮSKAITOMI VIETOJ VALSTYBINIŲ UŽSIENIO KALBŲ BRANDOS EGZAMINŲ, SĄRAŠAS</w:t>
      </w:r>
    </w:p>
    <w:p>
      <w:pPr>
        <w:widowControl w:val="0"/>
        <w:jc w:val="center"/>
        <w:rPr>
          <w:b/>
          <w:bCs/>
          <w:caps/>
          <w:color w:val="000000"/>
        </w:rPr>
      </w:pPr>
    </w:p>
    <w:tbl>
      <w:tblPr>
        <w:tblW w:w="9070" w:type="dxa"/>
        <w:tblLayout w:type="fixed"/>
        <w:tblCellMar>
          <w:left w:w="0" w:type="dxa"/>
          <w:right w:w="0" w:type="dxa"/>
        </w:tblCellMar>
        <w:tblLook w:val="0000" w:firstRow="0" w:lastRow="0" w:firstColumn="0" w:lastColumn="0" w:noHBand="0" w:noVBand="0"/>
      </w:tblPr>
      <w:tblGrid>
        <w:gridCol w:w="606"/>
        <w:gridCol w:w="2983"/>
        <w:gridCol w:w="1988"/>
        <w:gridCol w:w="1800"/>
        <w:gridCol w:w="1693"/>
      </w:tblGrid>
      <w:tr>
        <w:trPr>
          <w:trHeight w:val="60"/>
          <w:tblHeader/>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Eil. Nr.</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 xml:space="preserve">Tarptautinio užsienio kalbos egzamino pavadinimas </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 xml:space="preserve">Tarptautinių užsienio kalbų egzaminų atitikmuo kalbinės kompetencijos lygiui pagal Bendrųjų Europos kalbų metmenis </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Tarptautinio užsienio kalbos egzamino pavadinimo sutrumpinimas</w:t>
            </w:r>
          </w:p>
        </w:tc>
        <w:tc>
          <w:tcPr>
            <w:tcW w:w="169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Atitinkamo užsienio kalbos valstybinio brandos egzamino pavadinimas</w:t>
            </w: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Certificate in Advanced English (naujas pavadinimas Cambridge Advanced)</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CAE</w:t>
            </w:r>
          </w:p>
        </w:tc>
        <w:tc>
          <w:tcPr>
            <w:tcW w:w="16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pPr>
              <w:widowControl w:val="0"/>
              <w:rPr>
                <w:color w:val="000000"/>
              </w:rPr>
            </w:pPr>
            <w:r>
              <w:rPr>
                <w:color w:val="000000"/>
              </w:rPr>
              <w:t>Užsienio kalbos (anglų)</w:t>
            </w: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2</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Certificate of Proficiency in English (naujas pavadinimas Cambridge Proficiency)</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CPE</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3</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International English Language Testing System</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A2–C2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IELTS</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4</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First Certificate in English (naujas pavadinimas Cambridge First)</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B2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FCE</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5</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Pearson test of English, level 3</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B2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PTE, level 3</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6</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Pearson test of English, level 4</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PTE, level 4</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7</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Pearson test of English, level 5</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PTE, level 5</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8</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Test Of English as a Foreign Language Paper-based Test</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A2–C1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TOEFL PBT</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9</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Test Of English as a Foreign Language Internet-based Test</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A2–C1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TOEFL iBT</w:t>
            </w:r>
          </w:p>
        </w:tc>
        <w:tc>
          <w:tcPr>
            <w:tcW w:w="1693"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10</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 xml:space="preserve">Dipl?me d'études en langue fran?aise </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B2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 xml:space="preserve">DELF B2 </w:t>
            </w:r>
          </w:p>
        </w:tc>
        <w:tc>
          <w:tcPr>
            <w:tcW w:w="16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pPr>
              <w:widowControl w:val="0"/>
              <w:rPr>
                <w:color w:val="000000"/>
              </w:rPr>
            </w:pPr>
            <w:r>
              <w:rPr>
                <w:color w:val="000000"/>
              </w:rPr>
              <w:t>Užsienio kalbos (prancūzų)</w:t>
            </w: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11</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Dipl?me approfondi de langue fran?aise</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DALF C1</w:t>
            </w: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12</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Dipl?me approfondi de langue fran?aise</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DALF C2</w:t>
            </w:r>
          </w:p>
        </w:tc>
        <w:tc>
          <w:tcPr>
            <w:tcW w:w="1693"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13</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Das Deutsche Sprachdiplom II der Kulturministerkonferenz</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B2–C1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pPr>
          </w:p>
        </w:tc>
        <w:tc>
          <w:tcPr>
            <w:tcW w:w="1693"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pPr>
              <w:widowControl w:val="0"/>
              <w:rPr>
                <w:color w:val="000000"/>
              </w:rPr>
            </w:pPr>
            <w:r>
              <w:rPr>
                <w:color w:val="000000"/>
              </w:rPr>
              <w:t>Užsienio kalbos (vokiečių)</w:t>
            </w: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14</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Goethe-Zertifikat B2</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B2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pP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15</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Goethe-Zertifikat C1</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pP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16</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Goethe-Zertifikat C2</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C2</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pPr>
          </w:p>
        </w:tc>
        <w:tc>
          <w:tcPr>
            <w:tcW w:w="1693" w:type="dxa"/>
            <w:vMerge/>
            <w:tcBorders>
              <w:top w:val="nil"/>
              <w:left w:val="single" w:sz="4" w:space="0" w:color="000000"/>
              <w:bottom w:val="nil"/>
              <w:right w:val="single" w:sz="4" w:space="0" w:color="000000"/>
            </w:tcBorders>
          </w:tcPr>
          <w:p>
            <w:pPr>
              <w:widowControl w:val="0"/>
            </w:pPr>
          </w:p>
        </w:tc>
      </w:tr>
      <w:tr>
        <w:trPr>
          <w:trHeight w:val="60"/>
        </w:trPr>
        <w:tc>
          <w:tcPr>
            <w:tcW w:w="60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17</w:t>
            </w:r>
          </w:p>
        </w:tc>
        <w:tc>
          <w:tcPr>
            <w:tcW w:w="298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rPr>
                <w:color w:val="000000"/>
              </w:rPr>
            </w:pPr>
            <w:r>
              <w:rPr>
                <w:color w:val="000000"/>
              </w:rPr>
              <w:t xml:space="preserve">TestDaf </w:t>
            </w:r>
          </w:p>
        </w:tc>
        <w:tc>
          <w:tcPr>
            <w:tcW w:w="198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B2–C1</w:t>
            </w:r>
          </w:p>
        </w:tc>
        <w:tc>
          <w:tcPr>
            <w:tcW w:w="18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pPr>
          </w:p>
        </w:tc>
        <w:tc>
          <w:tcPr>
            <w:tcW w:w="1693" w:type="dxa"/>
            <w:vMerge/>
            <w:tcBorders>
              <w:top w:val="nil"/>
              <w:left w:val="single" w:sz="4" w:space="0" w:color="000000"/>
              <w:bottom w:val="single" w:sz="4" w:space="0" w:color="000000"/>
              <w:right w:val="single" w:sz="4" w:space="0" w:color="000000"/>
            </w:tcBorders>
          </w:tcPr>
          <w:p>
            <w:pPr>
              <w:widowControl w:val="0"/>
            </w:pPr>
          </w:p>
        </w:tc>
      </w:tr>
    </w:tbl>
    <w:p>
      <w:pPr>
        <w:widowControl w:val="0"/>
        <w:ind w:firstLine="567"/>
        <w:jc w:val="both"/>
        <w:rPr>
          <w:color w:val="000000"/>
        </w:rPr>
      </w:pPr>
    </w:p>
    <w:p>
      <w:pPr>
        <w:widowControl w:val="0"/>
        <w:jc w:val="center"/>
        <w:rPr>
          <w:color w:val="000000"/>
        </w:rPr>
      </w:pPr>
      <w:r>
        <w:rPr>
          <w:color w:val="000000"/>
        </w:rPr>
        <w:t>_________________</w:t>
      </w:r>
    </w:p>
    <w:p>
      <w:pPr>
        <w:widowControl w:val="0"/>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
      <w:pPr>
        <w:widowControl w:val="0"/>
        <w:ind w:left="4535"/>
        <w:sectPr>
          <w:pgSz w:w="11907" w:h="16840" w:code="9"/>
          <w:pgMar w:top="1134" w:right="1134" w:bottom="1134" w:left="1701" w:header="567" w:footer="284" w:gutter="0"/>
          <w:cols w:space="1296"/>
          <w:docGrid w:linePitch="360"/>
        </w:sectPr>
      </w:pPr>
    </w:p>
    <w:p>
      <w:pPr>
        <w:widowControl w:val="0"/>
        <w:ind w:left="4535"/>
        <w:rPr>
          <w:color w:val="000000"/>
        </w:rPr>
      </w:pPr>
      <w:r>
        <w:rPr>
          <w:color w:val="000000"/>
        </w:rPr>
        <w:t xml:space="preserve">Tarptautinių užsienio kalbų egzaminų </w:t>
      </w:r>
    </w:p>
    <w:p>
      <w:pPr>
        <w:widowControl w:val="0"/>
        <w:ind w:left="4535"/>
        <w:rPr>
          <w:color w:val="000000"/>
        </w:rPr>
      </w:pPr>
      <w:r>
        <w:rPr>
          <w:color w:val="000000"/>
        </w:rPr>
        <w:t xml:space="preserve">įvertinimų įskaitymo ir atitikmenų valstybinių </w:t>
      </w:r>
    </w:p>
    <w:p>
      <w:pPr>
        <w:widowControl w:val="0"/>
        <w:ind w:left="4535"/>
        <w:rPr>
          <w:color w:val="000000"/>
        </w:rPr>
      </w:pPr>
      <w:r>
        <w:rPr>
          <w:color w:val="000000"/>
        </w:rPr>
        <w:t xml:space="preserve">užsienio kalbų brandos egzaminų įskaitymams </w:t>
      </w:r>
    </w:p>
    <w:p>
      <w:pPr>
        <w:widowControl w:val="0"/>
        <w:ind w:left="4535"/>
        <w:rPr>
          <w:color w:val="000000"/>
        </w:rPr>
      </w:pPr>
      <w:r>
        <w:rPr>
          <w:color w:val="000000"/>
        </w:rPr>
        <w:t>nustatymo tvarkos aprašo</w:t>
      </w:r>
    </w:p>
    <w:p>
      <w:pPr>
        <w:widowControl w:val="0"/>
        <w:ind w:left="4535"/>
        <w:rPr>
          <w:color w:val="000000"/>
        </w:rPr>
      </w:pPr>
      <w:r>
        <w:rPr>
          <w:color w:val="000000"/>
        </w:rPr>
        <w:t>2</w:t>
      </w:r>
      <w:r>
        <w:rPr>
          <w:color w:val="000000"/>
        </w:rPr>
        <w:t xml:space="preserve"> priedas</w:t>
      </w:r>
    </w:p>
    <w:p>
      <w:pPr>
        <w:widowControl w:val="0"/>
        <w:ind w:left="4535"/>
        <w:rPr>
          <w:color w:val="000000"/>
        </w:rPr>
      </w:pPr>
      <w:r>
        <w:rPr>
          <w:color w:val="000000"/>
        </w:rPr>
        <w:t xml:space="preserve">(Lietuvos Respublikos </w:t>
      </w:r>
    </w:p>
    <w:p>
      <w:pPr>
        <w:widowControl w:val="0"/>
        <w:ind w:left="4535"/>
        <w:rPr>
          <w:color w:val="000000"/>
        </w:rPr>
      </w:pPr>
      <w:r>
        <w:rPr>
          <w:color w:val="000000"/>
        </w:rPr>
        <w:t xml:space="preserve">švietimo ir mokslo ministro </w:t>
      </w:r>
    </w:p>
    <w:p>
      <w:pPr>
        <w:widowControl w:val="0"/>
        <w:ind w:left="4535"/>
        <w:rPr>
          <w:color w:val="000000"/>
        </w:rPr>
      </w:pPr>
      <w:r>
        <w:rPr>
          <w:color w:val="000000"/>
        </w:rPr>
        <w:t xml:space="preserve">2012 m. sausio 20 d. įsakymo Nr. V-153 </w:t>
      </w:r>
    </w:p>
    <w:p>
      <w:pPr>
        <w:widowControl w:val="0"/>
        <w:ind w:left="4535"/>
        <w:rPr>
          <w:color w:val="000000"/>
        </w:rPr>
      </w:pPr>
      <w:r>
        <w:rPr>
          <w:color w:val="000000"/>
        </w:rPr>
        <w:t>redakcija)</w:t>
      </w:r>
    </w:p>
    <w:p>
      <w:pPr>
        <w:widowControl w:val="0"/>
        <w:ind w:firstLine="567"/>
        <w:jc w:val="both"/>
        <w:rPr>
          <w:color w:val="000000"/>
        </w:rPr>
      </w:pPr>
    </w:p>
    <w:p>
      <w:pPr>
        <w:widowControl w:val="0"/>
        <w:jc w:val="center"/>
        <w:rPr>
          <w:b/>
          <w:bCs/>
          <w:caps/>
          <w:color w:val="000000"/>
        </w:rPr>
      </w:pPr>
      <w:r>
        <w:rPr>
          <w:b/>
          <w:bCs/>
          <w:caps/>
          <w:color w:val="000000"/>
        </w:rPr>
        <w:t>TARPTAUTINIŲ UŽSIENIO KALBŲ EGZAMINŲ ĮVERTINIMŲ ATITIKMENYS ATITINKAMŲ VALSTYBINIŲ UŽSIENIO KALBŲ BRANDOS EGZAMINŲ ĮVERTINIMAMS</w:t>
      </w:r>
    </w:p>
    <w:p>
      <w:pPr>
        <w:widowControl w:val="0"/>
        <w:ind w:firstLine="567"/>
        <w:jc w:val="both"/>
        <w:rPr>
          <w:color w:val="000000"/>
        </w:rPr>
      </w:pPr>
    </w:p>
    <w:p>
      <w:pPr>
        <w:widowControl w:val="0"/>
        <w:ind w:firstLine="567"/>
        <w:jc w:val="both"/>
        <w:rPr>
          <w:b/>
          <w:bCs/>
          <w:color w:val="000000"/>
        </w:rPr>
      </w:pPr>
      <w:r>
        <w:rPr>
          <w:b/>
          <w:bCs/>
          <w:color w:val="000000"/>
        </w:rPr>
        <w:t>1</w:t>
      </w:r>
      <w:r>
        <w:rPr>
          <w:b/>
          <w:bCs/>
          <w:color w:val="000000"/>
        </w:rPr>
        <w:t>. Certificate in Advanced English (Cambridge Advanced)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2633"/>
        <w:gridCol w:w="3804"/>
        <w:gridCol w:w="2633"/>
      </w:tblGrid>
      <w:tr>
        <w:trPr>
          <w:trHeight w:val="62"/>
        </w:trPr>
        <w:tc>
          <w:tcPr>
            <w:tcW w:w="694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pPr>
              <w:widowControl w:val="0"/>
              <w:jc w:val="center"/>
              <w:rPr>
                <w:color w:val="000000"/>
              </w:rPr>
            </w:pPr>
            <w:r>
              <w:rPr>
                <w:b/>
                <w:bCs/>
                <w:color w:val="000000"/>
              </w:rPr>
              <w:t>CAE</w:t>
            </w:r>
          </w:p>
        </w:tc>
        <w:tc>
          <w:tcPr>
            <w:tcW w:w="284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Įvertinimas</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Taškai (sertifikato priede Statement of Results)</w:t>
            </w:r>
          </w:p>
        </w:tc>
        <w:tc>
          <w:tcPr>
            <w:tcW w:w="2841" w:type="dxa"/>
            <w:vMerge/>
            <w:tcBorders>
              <w:top w:val="nil"/>
              <w:left w:val="single" w:sz="4" w:space="0" w:color="000000"/>
              <w:bottom w:val="single" w:sz="4" w:space="0" w:color="000000"/>
              <w:right w:val="single" w:sz="4" w:space="0" w:color="000000"/>
            </w:tcBorders>
          </w:tcPr>
          <w:p>
            <w:pPr>
              <w:widowControl w:val="0"/>
            </w:pP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D, E</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0–60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2"/>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 B, C</w:t>
            </w:r>
          </w:p>
        </w:tc>
        <w:tc>
          <w:tcPr>
            <w:tcW w:w="41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60–100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2</w:t>
      </w:r>
      <w:r>
        <w:rPr>
          <w:b/>
          <w:bCs/>
          <w:color w:val="000000"/>
        </w:rPr>
        <w:t>. Certificate of Proficiency in English (Cambridge Proficiency)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2635"/>
        <w:gridCol w:w="3799"/>
        <w:gridCol w:w="2636"/>
      </w:tblGrid>
      <w:tr>
        <w:trPr>
          <w:trHeight w:val="60"/>
        </w:trPr>
        <w:tc>
          <w:tcPr>
            <w:tcW w:w="6939"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pPr>
              <w:widowControl w:val="0"/>
              <w:jc w:val="center"/>
              <w:rPr>
                <w:color w:val="000000"/>
              </w:rPr>
            </w:pPr>
            <w:r>
              <w:rPr>
                <w:b/>
                <w:bCs/>
                <w:color w:val="000000"/>
              </w:rPr>
              <w:t>CPE</w:t>
            </w:r>
          </w:p>
        </w:tc>
        <w:tc>
          <w:tcPr>
            <w:tcW w:w="2841"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Įvertinimas</w:t>
            </w:r>
          </w:p>
        </w:tc>
        <w:tc>
          <w:tcPr>
            <w:tcW w:w="40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Taškai (sertifikato priede Statement of Results)</w:t>
            </w:r>
          </w:p>
        </w:tc>
        <w:tc>
          <w:tcPr>
            <w:tcW w:w="2841" w:type="dxa"/>
            <w:vMerge/>
            <w:tcBorders>
              <w:top w:val="nil"/>
              <w:left w:val="single" w:sz="4" w:space="0" w:color="000000"/>
              <w:bottom w:val="single" w:sz="4" w:space="0" w:color="000000"/>
              <w:right w:val="single" w:sz="4" w:space="0" w:color="000000"/>
            </w:tcBorders>
          </w:tcPr>
          <w:p>
            <w:pPr>
              <w:widowControl w:val="0"/>
            </w:pP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D, E</w:t>
            </w:r>
          </w:p>
        </w:tc>
        <w:tc>
          <w:tcPr>
            <w:tcW w:w="40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0–60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 B, C</w:t>
            </w:r>
          </w:p>
        </w:tc>
        <w:tc>
          <w:tcPr>
            <w:tcW w:w="40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60–100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3</w:t>
      </w:r>
      <w:r>
        <w:rPr>
          <w:b/>
          <w:bCs/>
          <w:color w:val="000000"/>
        </w:rPr>
        <w:t>. International English Language Testing System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5734"/>
        <w:gridCol w:w="3336"/>
      </w:tblGrid>
      <w:tr>
        <w:trPr>
          <w:trHeight w:val="60"/>
          <w:tblHeader/>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b/>
                <w:bCs/>
                <w:color w:val="000000"/>
              </w:rPr>
            </w:pPr>
            <w:r>
              <w:rPr>
                <w:b/>
                <w:bCs/>
                <w:color w:val="000000"/>
              </w:rPr>
              <w:t>IELTS įvertinimas</w:t>
            </w:r>
          </w:p>
          <w:p>
            <w:pPr>
              <w:widowControl w:val="0"/>
              <w:jc w:val="center"/>
              <w:rPr>
                <w:color w:val="000000"/>
              </w:rPr>
            </w:pPr>
            <w:r>
              <w:rPr>
                <w:b/>
                <w:bCs/>
                <w:color w:val="000000"/>
              </w:rPr>
              <w:t>(bendras balas ,Overall result‘)</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1,0–5</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Atitikmuo nenustatomas</w:t>
            </w:r>
          </w:p>
        </w:tc>
      </w:tr>
      <w:tr>
        <w:trPr>
          <w:trHeight w:val="60"/>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 xml:space="preserve">5,5 </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w:t>
            </w:r>
          </w:p>
        </w:tc>
      </w:tr>
      <w:tr>
        <w:trPr>
          <w:trHeight w:val="60"/>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68</w:t>
            </w:r>
          </w:p>
        </w:tc>
      </w:tr>
      <w:tr>
        <w:trPr>
          <w:trHeight w:val="60"/>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6,5</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88</w:t>
            </w:r>
          </w:p>
        </w:tc>
      </w:tr>
      <w:tr>
        <w:trPr>
          <w:trHeight w:val="60"/>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98</w:t>
            </w:r>
          </w:p>
        </w:tc>
      </w:tr>
      <w:tr>
        <w:trPr>
          <w:trHeight w:val="60"/>
        </w:trPr>
        <w:tc>
          <w:tcPr>
            <w:tcW w:w="619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7,5–9</w:t>
            </w:r>
          </w:p>
        </w:tc>
        <w:tc>
          <w:tcPr>
            <w:tcW w:w="360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4</w:t>
      </w:r>
      <w:r>
        <w:rPr>
          <w:b/>
          <w:bCs/>
          <w:color w:val="000000"/>
        </w:rPr>
        <w:t>. First Certificate in English (Cambridge First)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627"/>
        <w:gridCol w:w="3815"/>
        <w:gridCol w:w="2628"/>
      </w:tblGrid>
      <w:tr>
        <w:trPr>
          <w:trHeight w:val="60"/>
          <w:tblHeader/>
        </w:trPr>
        <w:tc>
          <w:tcPr>
            <w:tcW w:w="6968" w:type="dxa"/>
            <w:gridSpan w:val="2"/>
            <w:tcBorders>
              <w:top w:val="single" w:sz="4" w:space="0" w:color="000000"/>
              <w:left w:val="single" w:sz="4" w:space="0" w:color="000000"/>
              <w:bottom w:val="single" w:sz="4" w:space="0" w:color="000000"/>
              <w:right w:val="nil"/>
            </w:tcBorders>
            <w:tcMar>
              <w:top w:w="28" w:type="dxa"/>
              <w:left w:w="28" w:type="dxa"/>
              <w:bottom w:w="28" w:type="dxa"/>
              <w:right w:w="28" w:type="dxa"/>
            </w:tcMar>
          </w:tcPr>
          <w:p>
            <w:pPr>
              <w:widowControl w:val="0"/>
              <w:jc w:val="center"/>
              <w:rPr>
                <w:color w:val="000000"/>
              </w:rPr>
            </w:pPr>
            <w:r>
              <w:rPr>
                <w:b/>
                <w:bCs/>
                <w:color w:val="000000"/>
              </w:rPr>
              <w:t>FCE</w:t>
            </w:r>
          </w:p>
        </w:tc>
        <w:tc>
          <w:tcPr>
            <w:tcW w:w="2841" w:type="dxa"/>
            <w:vMerge w:val="restart"/>
            <w:tcBorders>
              <w:top w:val="single" w:sz="4" w:space="0" w:color="000000"/>
              <w:left w:val="single" w:sz="4" w:space="0" w:color="000000"/>
              <w:bottom w:val="single" w:sz="8" w:space="0" w:color="000000"/>
              <w:right w:val="single" w:sz="4" w:space="0" w:color="000000"/>
            </w:tcBorders>
            <w:tcMar>
              <w:top w:w="28" w:type="dxa"/>
              <w:left w:w="28" w:type="dxa"/>
              <w:bottom w:w="28" w:type="dxa"/>
              <w:right w:w="28" w:type="dxa"/>
            </w:tcMar>
          </w:tcPr>
          <w:p>
            <w:pPr>
              <w:widowControl w:val="0"/>
              <w:jc w:val="center"/>
              <w:rPr>
                <w:color w:val="000000"/>
              </w:rPr>
            </w:pPr>
            <w:r>
              <w:rPr>
                <w:b/>
                <w:bCs/>
                <w:color w:val="000000"/>
              </w:rPr>
              <w:t>VBE balai</w:t>
            </w:r>
          </w:p>
        </w:tc>
      </w:tr>
      <w:tr>
        <w:trPr>
          <w:trHeight w:val="60"/>
          <w:tblHeader/>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jc w:val="center"/>
              <w:rPr>
                <w:color w:val="000000"/>
              </w:rPr>
            </w:pPr>
            <w:r>
              <w:rPr>
                <w:b/>
                <w:bCs/>
                <w:color w:val="000000"/>
              </w:rPr>
              <w:t>Įvertinimas</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pPr>
              <w:widowControl w:val="0"/>
              <w:jc w:val="center"/>
              <w:rPr>
                <w:color w:val="000000"/>
              </w:rPr>
            </w:pPr>
            <w:r>
              <w:rPr>
                <w:b/>
                <w:bCs/>
                <w:color w:val="000000"/>
              </w:rPr>
              <w:t>Taškai (sertifikato priede Statement of Results)</w:t>
            </w:r>
          </w:p>
        </w:tc>
        <w:tc>
          <w:tcPr>
            <w:tcW w:w="2841" w:type="dxa"/>
            <w:vMerge/>
            <w:tcBorders>
              <w:top w:val="single" w:sz="8" w:space="0" w:color="000000"/>
              <w:left w:val="single" w:sz="4" w:space="0" w:color="000000"/>
              <w:bottom w:val="single" w:sz="4" w:space="0" w:color="000000"/>
              <w:right w:val="single" w:sz="4" w:space="0" w:color="000000"/>
            </w:tcBorders>
          </w:tcPr>
          <w:p>
            <w:pPr>
              <w:widowControl w:val="0"/>
            </w:pP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D, E</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0–60</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Atitikmuo nenustatomas</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60</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23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61</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25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62</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27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63</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28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64</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32</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65</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34</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66</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35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67</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37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68</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39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69</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41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70</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43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71</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47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72</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49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73</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50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C</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74</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52</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B</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75</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54</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B</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76</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62</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B</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77</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B</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78</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B</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79</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80</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81</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86</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82</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83</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84</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85</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86</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92</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87</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88</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94</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89</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90</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91</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92</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93</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94</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95</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96</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97</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98</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99</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A</w:t>
            </w:r>
          </w:p>
        </w:tc>
        <w:tc>
          <w:tcPr>
            <w:tcW w:w="41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c>
          <w:tcPr>
            <w:tcW w:w="284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5</w:t>
      </w:r>
      <w:r>
        <w:rPr>
          <w:b/>
          <w:bCs/>
          <w:color w:val="000000"/>
        </w:rPr>
        <w:t>. Pearson test of English, level 3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632"/>
        <w:gridCol w:w="3806"/>
        <w:gridCol w:w="2632"/>
      </w:tblGrid>
      <w:tr>
        <w:trPr>
          <w:trHeight w:val="60"/>
          <w:tblHeader/>
        </w:trPr>
        <w:tc>
          <w:tcPr>
            <w:tcW w:w="6953"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pPr>
              <w:widowControl w:val="0"/>
              <w:jc w:val="center"/>
              <w:rPr>
                <w:color w:val="000000"/>
              </w:rPr>
            </w:pPr>
            <w:r>
              <w:rPr>
                <w:b/>
                <w:bCs/>
                <w:color w:val="000000"/>
              </w:rPr>
              <w:t>PTE, level 3</w:t>
            </w:r>
          </w:p>
        </w:tc>
        <w:tc>
          <w:tcPr>
            <w:tcW w:w="2841" w:type="dxa"/>
            <w:vMerge w:val="restart"/>
            <w:tcBorders>
              <w:top w:val="single" w:sz="4" w:space="0" w:color="000000"/>
              <w:left w:val="single" w:sz="4" w:space="0" w:color="000000"/>
              <w:bottom w:val="single" w:sz="8"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blHeader/>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Įvertinimas</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Taškai (candidate performance report)</w:t>
            </w:r>
          </w:p>
        </w:tc>
        <w:tc>
          <w:tcPr>
            <w:tcW w:w="2841" w:type="dxa"/>
            <w:vMerge/>
            <w:tcBorders>
              <w:top w:val="single" w:sz="8" w:space="0" w:color="000000"/>
              <w:left w:val="single" w:sz="4" w:space="0" w:color="000000"/>
              <w:bottom w:val="single" w:sz="4" w:space="0" w:color="000000"/>
              <w:right w:val="single" w:sz="4" w:space="0" w:color="000000"/>
            </w:tcBorders>
          </w:tcPr>
          <w:p>
            <w:pPr>
              <w:widowControl w:val="0"/>
            </w:pP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Fail</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0–49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0"/>
        </w:trPr>
        <w:tc>
          <w:tcPr>
            <w:tcW w:w="2840"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11</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13</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15</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53</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17</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54</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18</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20</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56</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22</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57</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24</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58</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25</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27</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29</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30</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32</w:t>
            </w:r>
          </w:p>
        </w:tc>
      </w:tr>
      <w:tr>
        <w:trPr>
          <w:trHeight w:val="60"/>
        </w:trPr>
        <w:tc>
          <w:tcPr>
            <w:tcW w:w="2840" w:type="dxa"/>
            <w:vMerge/>
            <w:tcBorders>
              <w:top w:val="nil"/>
              <w:left w:val="single" w:sz="4" w:space="0" w:color="000000"/>
              <w:bottom w:val="single" w:sz="4" w:space="0" w:color="000000"/>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63</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34</w:t>
            </w:r>
          </w:p>
        </w:tc>
      </w:tr>
      <w:tr>
        <w:trPr>
          <w:trHeight w:val="60"/>
        </w:trPr>
        <w:tc>
          <w:tcPr>
            <w:tcW w:w="2840"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 (with Merit)</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37</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39</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67</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41</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68</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43</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44</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46</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48</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49</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73</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51</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74</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53</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55</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76</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56</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77</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58</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78</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62</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63</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65</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67</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83</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68</w:t>
            </w:r>
          </w:p>
        </w:tc>
      </w:tr>
      <w:tr>
        <w:trPr>
          <w:trHeight w:val="60"/>
        </w:trPr>
        <w:tc>
          <w:tcPr>
            <w:tcW w:w="2840" w:type="dxa"/>
            <w:vMerge/>
            <w:tcBorders>
              <w:top w:val="nil"/>
              <w:left w:val="single" w:sz="4" w:space="0" w:color="000000"/>
              <w:bottom w:val="single" w:sz="4" w:space="0" w:color="000000"/>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84</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70</w:t>
            </w:r>
          </w:p>
        </w:tc>
      </w:tr>
      <w:tr>
        <w:trPr>
          <w:trHeight w:val="60"/>
        </w:trPr>
        <w:tc>
          <w:tcPr>
            <w:tcW w:w="2840" w:type="dxa"/>
            <w:vMerge w:val="restart"/>
            <w:tcBorders>
              <w:top w:val="single" w:sz="4" w:space="0" w:color="000000"/>
              <w:left w:val="single" w:sz="4" w:space="0" w:color="000000"/>
              <w:bottom w:val="nil"/>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 (with Distinction)</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72</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74</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87</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75</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88</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77</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79</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80</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91</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82</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92</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84</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93</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94</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87</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89</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96</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91</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97</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93</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94</w:t>
            </w:r>
          </w:p>
        </w:tc>
      </w:tr>
      <w:tr>
        <w:trPr>
          <w:trHeight w:val="60"/>
        </w:trPr>
        <w:tc>
          <w:tcPr>
            <w:tcW w:w="2840" w:type="dxa"/>
            <w:vMerge/>
            <w:tcBorders>
              <w:top w:val="nil"/>
              <w:left w:val="single" w:sz="4" w:space="0" w:color="000000"/>
              <w:bottom w:val="nil"/>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96</w:t>
            </w:r>
          </w:p>
        </w:tc>
      </w:tr>
      <w:tr>
        <w:trPr>
          <w:trHeight w:val="60"/>
        </w:trPr>
        <w:tc>
          <w:tcPr>
            <w:tcW w:w="2840" w:type="dxa"/>
            <w:vMerge/>
            <w:tcBorders>
              <w:top w:val="nil"/>
              <w:left w:val="single" w:sz="4" w:space="0" w:color="000000"/>
              <w:bottom w:val="single" w:sz="4" w:space="0" w:color="000000"/>
              <w:right w:val="single" w:sz="4" w:space="0" w:color="000000"/>
            </w:tcBorders>
          </w:tcPr>
          <w:p>
            <w:pPr>
              <w:widowControl w:val="0"/>
            </w:pP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r>
    </w:tbl>
    <w:p>
      <w:pPr>
        <w:widowControl w:val="0"/>
        <w:ind w:firstLine="567"/>
        <w:jc w:val="both"/>
        <w:rPr>
          <w:b/>
          <w:bCs/>
          <w:color w:val="000000"/>
        </w:rPr>
      </w:pPr>
    </w:p>
    <w:p>
      <w:pPr>
        <w:widowControl w:val="0"/>
        <w:ind w:firstLine="567"/>
        <w:jc w:val="both"/>
        <w:rPr>
          <w:b/>
          <w:bCs/>
          <w:color w:val="000000"/>
        </w:rPr>
      </w:pPr>
      <w:r>
        <w:rPr>
          <w:b/>
          <w:bCs/>
          <w:color w:val="000000"/>
        </w:rPr>
        <w:t>6</w:t>
      </w:r>
      <w:r>
        <w:rPr>
          <w:b/>
          <w:bCs/>
          <w:color w:val="000000"/>
        </w:rPr>
        <w:t>. Pearson test of English, level 4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630"/>
        <w:gridCol w:w="3839"/>
        <w:gridCol w:w="2601"/>
      </w:tblGrid>
      <w:tr>
        <w:trPr>
          <w:trHeight w:val="60"/>
          <w:tblHeader/>
        </w:trPr>
        <w:tc>
          <w:tcPr>
            <w:tcW w:w="6990"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pPr>
              <w:widowControl w:val="0"/>
              <w:jc w:val="center"/>
              <w:rPr>
                <w:color w:val="000000"/>
              </w:rPr>
            </w:pPr>
            <w:r>
              <w:rPr>
                <w:b/>
                <w:bCs/>
                <w:color w:val="000000"/>
              </w:rPr>
              <w:t>PTE , level 4</w:t>
            </w:r>
          </w:p>
        </w:tc>
        <w:tc>
          <w:tcPr>
            <w:tcW w:w="2808" w:type="dxa"/>
            <w:vMerge w:val="restart"/>
            <w:tcBorders>
              <w:top w:val="single" w:sz="4" w:space="0" w:color="000000"/>
              <w:left w:val="single" w:sz="4" w:space="0" w:color="000000"/>
              <w:bottom w:val="single" w:sz="8"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blHeader/>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Įvertinimas</w:t>
            </w:r>
          </w:p>
        </w:tc>
        <w:tc>
          <w:tcPr>
            <w:tcW w:w="41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Taškai (candidate performance report)</w:t>
            </w:r>
          </w:p>
        </w:tc>
        <w:tc>
          <w:tcPr>
            <w:tcW w:w="2808" w:type="dxa"/>
            <w:vMerge/>
            <w:tcBorders>
              <w:top w:val="single" w:sz="8" w:space="0" w:color="000000"/>
              <w:left w:val="single" w:sz="4" w:space="0" w:color="000000"/>
              <w:bottom w:val="single" w:sz="4" w:space="0" w:color="000000"/>
              <w:right w:val="single" w:sz="4" w:space="0" w:color="000000"/>
            </w:tcBorders>
          </w:tcPr>
          <w:p>
            <w:pPr>
              <w:widowControl w:val="0"/>
            </w:pP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Fail</w:t>
            </w:r>
          </w:p>
        </w:tc>
        <w:tc>
          <w:tcPr>
            <w:tcW w:w="41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0–49</w:t>
            </w:r>
          </w:p>
        </w:tc>
        <w:tc>
          <w:tcPr>
            <w:tcW w:w="28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w:t>
            </w:r>
          </w:p>
        </w:tc>
        <w:tc>
          <w:tcPr>
            <w:tcW w:w="41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50–65</w:t>
            </w:r>
          </w:p>
        </w:tc>
        <w:tc>
          <w:tcPr>
            <w:tcW w:w="28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 (with Merit)</w:t>
            </w:r>
          </w:p>
        </w:tc>
        <w:tc>
          <w:tcPr>
            <w:tcW w:w="41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66–85</w:t>
            </w:r>
          </w:p>
        </w:tc>
        <w:tc>
          <w:tcPr>
            <w:tcW w:w="28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 (with Distinction)</w:t>
            </w:r>
          </w:p>
        </w:tc>
        <w:tc>
          <w:tcPr>
            <w:tcW w:w="415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86–100</w:t>
            </w:r>
          </w:p>
        </w:tc>
        <w:tc>
          <w:tcPr>
            <w:tcW w:w="28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7</w:t>
      </w:r>
      <w:r>
        <w:rPr>
          <w:b/>
          <w:bCs/>
          <w:color w:val="000000"/>
        </w:rPr>
        <w:t>. Pearson test of English, level 5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2632"/>
        <w:gridCol w:w="3806"/>
        <w:gridCol w:w="2632"/>
      </w:tblGrid>
      <w:tr>
        <w:trPr>
          <w:trHeight w:val="60"/>
          <w:tblHeader/>
        </w:trPr>
        <w:tc>
          <w:tcPr>
            <w:tcW w:w="6953"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tcPr>
          <w:p>
            <w:pPr>
              <w:widowControl w:val="0"/>
              <w:jc w:val="center"/>
              <w:rPr>
                <w:color w:val="000000"/>
              </w:rPr>
            </w:pPr>
            <w:r>
              <w:rPr>
                <w:b/>
                <w:bCs/>
                <w:color w:val="000000"/>
              </w:rPr>
              <w:t>PTE , level 5</w:t>
            </w:r>
          </w:p>
        </w:tc>
        <w:tc>
          <w:tcPr>
            <w:tcW w:w="2841" w:type="dxa"/>
            <w:vMerge w:val="restart"/>
            <w:tcBorders>
              <w:top w:val="single" w:sz="4" w:space="0" w:color="000000"/>
              <w:left w:val="single" w:sz="4" w:space="0" w:color="000000"/>
              <w:bottom w:val="single" w:sz="8"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blHeader/>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Įvertinimas</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Taškai (candidate performance report)</w:t>
            </w:r>
          </w:p>
        </w:tc>
        <w:tc>
          <w:tcPr>
            <w:tcW w:w="2841" w:type="dxa"/>
            <w:vMerge/>
            <w:tcBorders>
              <w:top w:val="single" w:sz="8" w:space="0" w:color="000000"/>
              <w:left w:val="single" w:sz="4" w:space="0" w:color="000000"/>
              <w:bottom w:val="single" w:sz="4" w:space="0" w:color="000000"/>
              <w:right w:val="single" w:sz="4" w:space="0" w:color="000000"/>
            </w:tcBorders>
          </w:tcPr>
          <w:p>
            <w:pPr>
              <w:widowControl w:val="0"/>
            </w:pP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Fail</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0–49</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50–65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 (with Merit)</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66–85</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Pass (with Distinction)</w:t>
            </w:r>
          </w:p>
        </w:tc>
        <w:tc>
          <w:tcPr>
            <w:tcW w:w="411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86–100</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8</w:t>
      </w:r>
      <w:r>
        <w:rPr>
          <w:b/>
          <w:bCs/>
          <w:color w:val="000000"/>
        </w:rPr>
        <w:t>. Test Of English as a Foreign Language Paper-based Test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821"/>
        <w:gridCol w:w="4249"/>
      </w:tblGrid>
      <w:tr>
        <w:trPr>
          <w:trHeight w:val="60"/>
          <w:tblHeader/>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TOEFL PBT įvertinimas</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0–416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Atitikmuo nenustatomas</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417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37</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418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419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423–427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54</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55</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55</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57</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57</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65</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67</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74</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77</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470–473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84</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90</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91</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487–490</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92</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491</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492</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93</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493</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94</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494</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95</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495</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496</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96</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97</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498</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98</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499</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99</w:t>
            </w:r>
          </w:p>
        </w:tc>
      </w:tr>
      <w:tr>
        <w:trPr>
          <w:trHeight w:val="60"/>
        </w:trPr>
        <w:tc>
          <w:tcPr>
            <w:tcW w:w="520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500–677</w:t>
            </w:r>
          </w:p>
        </w:tc>
        <w:tc>
          <w:tcPr>
            <w:tcW w:w="458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9</w:t>
      </w:r>
      <w:r>
        <w:rPr>
          <w:b/>
          <w:bCs/>
          <w:color w:val="000000"/>
        </w:rPr>
        <w:t>. Test Of English as a Foreign Language Internet-based Test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790"/>
        <w:gridCol w:w="4280"/>
      </w:tblGrid>
      <w:tr>
        <w:trPr>
          <w:trHeight w:val="60"/>
          <w:tblHeader/>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TOEFL iBT įvertinimas</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0–34</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Atitikmuo nenustatomas</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35</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37</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36</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39</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37</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38</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39</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54</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42</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58</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43</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62</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44</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67</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45</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69</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46</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70</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47</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72</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48</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74</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49</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76</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50</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78</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51</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80</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52</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82</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53</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84</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54</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86</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55</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88</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56</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90</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57</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92</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58</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94</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59</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96</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60</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97</w:t>
            </w:r>
          </w:p>
        </w:tc>
      </w:tr>
      <w:tr>
        <w:trPr>
          <w:trHeight w:val="60"/>
        </w:trPr>
        <w:tc>
          <w:tcPr>
            <w:tcW w:w="517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61–120</w:t>
            </w:r>
          </w:p>
        </w:tc>
        <w:tc>
          <w:tcPr>
            <w:tcW w:w="462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p>
    <w:p>
      <w:pPr>
        <w:widowControl w:val="0"/>
        <w:ind w:firstLine="567"/>
        <w:jc w:val="both"/>
        <w:rPr>
          <w:b/>
          <w:bCs/>
          <w:color w:val="000000"/>
        </w:rPr>
      </w:pPr>
      <w:r>
        <w:rPr>
          <w:b/>
          <w:bCs/>
          <w:color w:val="000000"/>
        </w:rPr>
        <w:t>10</w:t>
      </w:r>
      <w:r>
        <w:rPr>
          <w:b/>
          <w:bCs/>
          <w:color w:val="000000"/>
        </w:rPr>
        <w:t>. Dipl?me d’études en langue fran?aise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779"/>
        <w:gridCol w:w="4291"/>
      </w:tblGrid>
      <w:tr>
        <w:trPr>
          <w:trHeight w:val="60"/>
          <w:tblHeader/>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b/>
                <w:bCs/>
                <w:color w:val="000000"/>
              </w:rPr>
              <w:t>DELF B2 įvertinimas</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b/>
                <w:bCs/>
                <w:color w:val="000000"/>
              </w:rPr>
              <w:t>VBE 2010 balai</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0–49,5</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50</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14</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51</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52</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17</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53</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21</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54</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22</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55</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25</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56</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25</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57</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27</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58</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59</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34</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35</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61</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62</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63</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43</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64</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44</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65</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67</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51</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68</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53</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69</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70</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71</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72</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62</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73</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74</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67</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75</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69</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76</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71</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77</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72</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78</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77</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79</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79</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80</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82</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81</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83</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82</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84</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83</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84</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85</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87</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92</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88</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95</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89</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96</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90</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97</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91</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92</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93</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94</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95</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96</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97</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516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c>
          <w:tcPr>
            <w:tcW w:w="463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11</w:t>
      </w:r>
      <w:r>
        <w:rPr>
          <w:b/>
          <w:bCs/>
          <w:color w:val="000000"/>
        </w:rPr>
        <w:t>. Dipl?me approfondi de langue fran?aise egzaminas</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740"/>
        <w:gridCol w:w="4330"/>
      </w:tblGrid>
      <w:tr>
        <w:trPr>
          <w:trHeight w:val="60"/>
        </w:trPr>
        <w:tc>
          <w:tcPr>
            <w:tcW w:w="51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DALF C1 įvertinimas</w:t>
            </w:r>
          </w:p>
        </w:tc>
        <w:tc>
          <w:tcPr>
            <w:tcW w:w="46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b/>
                <w:bCs/>
                <w:color w:val="000000"/>
              </w:rPr>
              <w:t>VBE balai</w:t>
            </w:r>
          </w:p>
        </w:tc>
      </w:tr>
      <w:tr>
        <w:trPr>
          <w:trHeight w:val="60"/>
        </w:trPr>
        <w:tc>
          <w:tcPr>
            <w:tcW w:w="51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50–100</w:t>
            </w:r>
          </w:p>
        </w:tc>
        <w:tc>
          <w:tcPr>
            <w:tcW w:w="46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100</w:t>
            </w:r>
          </w:p>
        </w:tc>
      </w:tr>
    </w:tbl>
    <w:p>
      <w:pPr>
        <w:widowControl w:val="0"/>
        <w:ind w:firstLine="567"/>
        <w:jc w:val="both"/>
        <w:rPr>
          <w:bCs/>
          <w:color w:val="000000"/>
        </w:rPr>
      </w:pPr>
    </w:p>
    <w:p>
      <w:pPr>
        <w:widowControl w:val="0"/>
        <w:ind w:firstLine="567"/>
        <w:jc w:val="both"/>
        <w:rPr>
          <w:b/>
          <w:bCs/>
          <w:color w:val="000000"/>
        </w:rPr>
      </w:pPr>
      <w:r>
        <w:rPr>
          <w:b/>
          <w:bCs/>
          <w:color w:val="000000"/>
        </w:rPr>
        <w:t>12</w:t>
      </w:r>
      <w:r>
        <w:rPr>
          <w:b/>
          <w:bCs/>
          <w:color w:val="000000"/>
        </w:rPr>
        <w:t>. Dipl?me approfondi de langue fran?aise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4727"/>
        <w:gridCol w:w="4343"/>
      </w:tblGrid>
      <w:tr>
        <w:trPr>
          <w:trHeight w:val="60"/>
        </w:trPr>
        <w:tc>
          <w:tcPr>
            <w:tcW w:w="5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DALF C2 įvertinimas</w:t>
            </w:r>
          </w:p>
        </w:tc>
        <w:tc>
          <w:tcPr>
            <w:tcW w:w="46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VBE balai</w:t>
            </w:r>
          </w:p>
        </w:tc>
      </w:tr>
      <w:tr>
        <w:trPr>
          <w:trHeight w:val="60"/>
        </w:trPr>
        <w:tc>
          <w:tcPr>
            <w:tcW w:w="5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50–100</w:t>
            </w:r>
          </w:p>
        </w:tc>
        <w:tc>
          <w:tcPr>
            <w:tcW w:w="46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13</w:t>
      </w:r>
      <w:r>
        <w:rPr>
          <w:b/>
          <w:bCs/>
          <w:color w:val="000000"/>
        </w:rPr>
        <w:t>. Das Deutsche Sprachdiplom II der Kulturministerkonferenz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4688"/>
        <w:gridCol w:w="4382"/>
      </w:tblGrid>
      <w:tr>
        <w:trPr>
          <w:trHeight w:val="62"/>
          <w:tblHeader/>
        </w:trPr>
        <w:tc>
          <w:tcPr>
            <w:tcW w:w="50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b/>
                <w:bCs/>
                <w:color w:val="000000"/>
              </w:rPr>
              <w:t>Deutsche Sprachdiplom II įvertinimas</w:t>
            </w:r>
          </w:p>
        </w:tc>
        <w:tc>
          <w:tcPr>
            <w:tcW w:w="47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b/>
                <w:bCs/>
                <w:color w:val="000000"/>
              </w:rPr>
              <w:t>Vokiečių kalbos VBE (balai)</w:t>
            </w:r>
          </w:p>
        </w:tc>
      </w:tr>
      <w:tr>
        <w:trPr>
          <w:trHeight w:val="62"/>
        </w:trPr>
        <w:tc>
          <w:tcPr>
            <w:tcW w:w="50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rPr>
                <w:color w:val="000000"/>
              </w:rPr>
            </w:pPr>
            <w:r>
              <w:rPr>
                <w:color w:val="000000"/>
              </w:rPr>
              <w:t>Visos keturios kalbinės veiklos sritys įvertintos B2 lygiu</w:t>
            </w:r>
          </w:p>
        </w:tc>
        <w:tc>
          <w:tcPr>
            <w:tcW w:w="47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color w:val="000000"/>
              </w:rPr>
              <w:t>50</w:t>
            </w:r>
          </w:p>
        </w:tc>
      </w:tr>
      <w:tr>
        <w:trPr>
          <w:trHeight w:val="62"/>
        </w:trPr>
        <w:tc>
          <w:tcPr>
            <w:tcW w:w="50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rPr>
                <w:color w:val="000000"/>
              </w:rPr>
            </w:pPr>
            <w:r>
              <w:rPr>
                <w:color w:val="000000"/>
              </w:rPr>
              <w:t>Trys kalbinės veiklos rūšys įvertintos B2 lygiu ir viena kalbinės veiklos sritis įvertinta C1 lygiu</w:t>
            </w:r>
          </w:p>
        </w:tc>
        <w:tc>
          <w:tcPr>
            <w:tcW w:w="47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color w:val="000000"/>
              </w:rPr>
              <w:t>64</w:t>
            </w:r>
          </w:p>
        </w:tc>
      </w:tr>
      <w:tr>
        <w:trPr>
          <w:trHeight w:val="62"/>
        </w:trPr>
        <w:tc>
          <w:tcPr>
            <w:tcW w:w="50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rPr>
                <w:color w:val="000000"/>
              </w:rPr>
            </w:pPr>
            <w:r>
              <w:rPr>
                <w:color w:val="000000"/>
              </w:rPr>
              <w:t>Dvi kalbinės veiklos sritys įvertintos B2 lygiu ir dvi kalbinės veiklos sritys įvertintos C1 lygiu</w:t>
            </w:r>
          </w:p>
        </w:tc>
        <w:tc>
          <w:tcPr>
            <w:tcW w:w="47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color w:val="000000"/>
              </w:rPr>
              <w:t>79</w:t>
            </w:r>
          </w:p>
        </w:tc>
      </w:tr>
      <w:tr>
        <w:trPr>
          <w:trHeight w:val="62"/>
        </w:trPr>
        <w:tc>
          <w:tcPr>
            <w:tcW w:w="50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rPr>
                <w:color w:val="000000"/>
              </w:rPr>
            </w:pPr>
            <w:r>
              <w:rPr>
                <w:color w:val="000000"/>
              </w:rPr>
              <w:t>Viena kalbinės veiklos sritis įvertinta B2 lygiu ir trys kalbinės veiklos sritys įvertintosC1 lygiu</w:t>
            </w:r>
          </w:p>
        </w:tc>
        <w:tc>
          <w:tcPr>
            <w:tcW w:w="47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color w:val="000000"/>
              </w:rPr>
              <w:t>100</w:t>
            </w:r>
          </w:p>
        </w:tc>
      </w:tr>
      <w:tr>
        <w:trPr>
          <w:trHeight w:val="62"/>
        </w:trPr>
        <w:tc>
          <w:tcPr>
            <w:tcW w:w="50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rPr>
                <w:color w:val="000000"/>
              </w:rPr>
            </w:pPr>
            <w:r>
              <w:rPr>
                <w:color w:val="000000"/>
              </w:rPr>
              <w:t>Visos keturios kalbinės veiklos sritys įvertintos C1 lygiu</w:t>
            </w:r>
          </w:p>
        </w:tc>
        <w:tc>
          <w:tcPr>
            <w:tcW w:w="4733"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14</w:t>
      </w:r>
      <w:r>
        <w:rPr>
          <w:b/>
          <w:bCs/>
          <w:color w:val="000000"/>
        </w:rPr>
        <w:t>. Goethe-Zertifikat B2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2631"/>
        <w:gridCol w:w="2631"/>
        <w:gridCol w:w="3808"/>
      </w:tblGrid>
      <w:tr>
        <w:trPr>
          <w:trHeight w:val="20"/>
          <w:tblHeader/>
        </w:trPr>
        <w:tc>
          <w:tcPr>
            <w:tcW w:w="5681" w:type="dxa"/>
            <w:gridSpan w:val="2"/>
            <w:tcBorders>
              <w:top w:val="single" w:sz="4" w:space="0" w:color="000000"/>
              <w:left w:val="single" w:sz="4" w:space="0" w:color="000000"/>
              <w:bottom w:val="single" w:sz="4" w:space="0" w:color="000000"/>
              <w:right w:val="nil"/>
            </w:tcBorders>
            <w:tcMar>
              <w:top w:w="28" w:type="dxa"/>
              <w:left w:w="57" w:type="dxa"/>
              <w:bottom w:w="28" w:type="dxa"/>
              <w:right w:w="57" w:type="dxa"/>
            </w:tcMar>
            <w:vAlign w:val="bottom"/>
          </w:tcPr>
          <w:p>
            <w:pPr>
              <w:widowControl w:val="0"/>
              <w:jc w:val="center"/>
              <w:rPr>
                <w:color w:val="000000"/>
              </w:rPr>
            </w:pPr>
            <w:r>
              <w:rPr>
                <w:b/>
                <w:bCs/>
                <w:color w:val="000000"/>
              </w:rPr>
              <w:t>Goethe-Zertifikat B2</w:t>
            </w:r>
          </w:p>
        </w:tc>
        <w:tc>
          <w:tcPr>
            <w:tcW w:w="4117" w:type="dxa"/>
            <w:vMerge w:val="restart"/>
            <w:tcBorders>
              <w:top w:val="single" w:sz="4" w:space="0" w:color="000000"/>
              <w:left w:val="single" w:sz="4" w:space="0" w:color="000000"/>
              <w:bottom w:val="single" w:sz="8"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b/>
                <w:bCs/>
                <w:color w:val="000000"/>
              </w:rPr>
              <w:t>VBE balai</w:t>
            </w:r>
          </w:p>
        </w:tc>
      </w:tr>
      <w:tr>
        <w:trPr>
          <w:trHeight w:val="60"/>
          <w:tblHeader/>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b/>
                <w:bCs/>
                <w:color w:val="000000"/>
              </w:rPr>
              <w:t>Įvertinimas</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b/>
                <w:bCs/>
                <w:color w:val="000000"/>
              </w:rPr>
              <w:t>Taškai</w:t>
            </w:r>
          </w:p>
        </w:tc>
        <w:tc>
          <w:tcPr>
            <w:tcW w:w="4117" w:type="dxa"/>
            <w:vMerge/>
            <w:tcBorders>
              <w:top w:val="single" w:sz="8" w:space="0" w:color="000000"/>
              <w:left w:val="single" w:sz="4" w:space="0" w:color="000000"/>
              <w:bottom w:val="single" w:sz="4" w:space="0" w:color="000000"/>
              <w:right w:val="single" w:sz="4" w:space="0" w:color="000000"/>
            </w:tcBorders>
          </w:tcPr>
          <w:p>
            <w:pPr>
              <w:widowControl w:val="0"/>
            </w:pP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Neišlaikęs</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0–60</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Atitikmuo nenustatomas</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Pakankamai</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60</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14</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61</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62</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63</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28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64</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65</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39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67</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68</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48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69</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Patenkinamai</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70</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55</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71</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72</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73</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66</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74</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68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75</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76</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77</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78</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79</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Gerai</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80</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82</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81</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82</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83</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84</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91</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85</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93</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86</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94</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87</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96</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88</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97</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89</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Labai gerai</w:t>
            </w: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90</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91</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92</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93</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94</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95</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96</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97</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98</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99</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r>
        <w:trPr>
          <w:trHeight w:val="60"/>
        </w:trPr>
        <w:tc>
          <w:tcPr>
            <w:tcW w:w="284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pPr>
          </w:p>
        </w:tc>
        <w:tc>
          <w:tcPr>
            <w:tcW w:w="284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c>
          <w:tcPr>
            <w:tcW w:w="411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bottom"/>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15</w:t>
      </w:r>
      <w:r>
        <w:rPr>
          <w:b/>
          <w:bCs/>
          <w:color w:val="000000"/>
        </w:rPr>
        <w:t>. Goethe-Zertifikat C1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5184"/>
        <w:gridCol w:w="3886"/>
      </w:tblGrid>
      <w:tr>
        <w:trPr>
          <w:trHeight w:val="60"/>
        </w:trPr>
        <w:tc>
          <w:tcPr>
            <w:tcW w:w="56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Goethe-Zertifikat C1 įvertinimas</w:t>
            </w:r>
          </w:p>
        </w:tc>
        <w:tc>
          <w:tcPr>
            <w:tcW w:w="41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VBE balai</w:t>
            </w:r>
          </w:p>
        </w:tc>
      </w:tr>
      <w:tr>
        <w:trPr>
          <w:trHeight w:val="60"/>
        </w:trPr>
        <w:tc>
          <w:tcPr>
            <w:tcW w:w="56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60–100</w:t>
            </w:r>
          </w:p>
        </w:tc>
        <w:tc>
          <w:tcPr>
            <w:tcW w:w="41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16</w:t>
      </w:r>
      <w:r>
        <w:rPr>
          <w:b/>
          <w:bCs/>
          <w:color w:val="000000"/>
        </w:rPr>
        <w:t>. Goethe-Zertifikat C2 egzaminas</w:t>
      </w:r>
    </w:p>
    <w:p>
      <w:pPr>
        <w:widowControl w:val="0"/>
        <w:ind w:firstLine="567"/>
        <w:jc w:val="both"/>
        <w:rPr>
          <w:b/>
          <w:bCs/>
          <w:color w:val="000000"/>
        </w:rPr>
      </w:pPr>
    </w:p>
    <w:tbl>
      <w:tblPr>
        <w:tblW w:w="9070" w:type="dxa"/>
        <w:tblLayout w:type="fixed"/>
        <w:tblCellMar>
          <w:left w:w="0" w:type="dxa"/>
          <w:right w:w="0" w:type="dxa"/>
        </w:tblCellMar>
        <w:tblLook w:val="0000" w:firstRow="0" w:lastRow="0" w:firstColumn="0" w:lastColumn="0" w:noHBand="0" w:noVBand="0"/>
      </w:tblPr>
      <w:tblGrid>
        <w:gridCol w:w="5137"/>
        <w:gridCol w:w="3933"/>
      </w:tblGrid>
      <w:tr>
        <w:trPr>
          <w:trHeight w:val="60"/>
        </w:trPr>
        <w:tc>
          <w:tcPr>
            <w:tcW w:w="5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b/>
                <w:bCs/>
                <w:color w:val="000000"/>
              </w:rPr>
              <w:t>Goethe-Zertifikat C2 įvertinimas</w:t>
            </w:r>
          </w:p>
        </w:tc>
        <w:tc>
          <w:tcPr>
            <w:tcW w:w="4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VBE balai</w:t>
            </w:r>
          </w:p>
        </w:tc>
      </w:tr>
      <w:tr>
        <w:trPr>
          <w:trHeight w:val="60"/>
        </w:trPr>
        <w:tc>
          <w:tcPr>
            <w:tcW w:w="5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186–310</w:t>
            </w:r>
          </w:p>
        </w:tc>
        <w:tc>
          <w:tcPr>
            <w:tcW w:w="4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ind w:firstLine="567"/>
        <w:jc w:val="both"/>
        <w:rPr>
          <w:b/>
          <w:bCs/>
          <w:color w:val="000000"/>
        </w:rPr>
      </w:pPr>
      <w:r>
        <w:rPr>
          <w:b/>
          <w:bCs/>
          <w:color w:val="000000"/>
        </w:rPr>
        <w:t>17</w:t>
      </w:r>
      <w:r>
        <w:rPr>
          <w:b/>
          <w:bCs/>
          <w:color w:val="000000"/>
        </w:rPr>
        <w:t>. TestDaf egzaminas</w:t>
      </w:r>
    </w:p>
    <w:p>
      <w:pPr>
        <w:widowControl w:val="0"/>
        <w:ind w:firstLine="567"/>
        <w:jc w:val="both"/>
        <w:rPr>
          <w:color w:val="000000"/>
        </w:rPr>
      </w:pPr>
      <w:r>
        <w:rPr>
          <w:color w:val="000000"/>
        </w:rPr>
        <w:t>TestDaf sertifikate pateikiami įvertinimai nurodomi atskirai prie kiekvienos iš keturių kalbinės veiklos sričių (kalbėjimo, skaitymo, klausimo ir rašymo). Įvertinimų skalę sudaro trijų lygių vertinimai, žymimi TDN 3, TDN 4, ir TDN5. Kandidato pateiktame sertifikate įmanomos įvairios šių trijų įvertinimų kombinacijos. TestDaf atitikmenų nustatymui VBE naudojama bendra keturių įvertinimų suma:</w:t>
      </w:r>
    </w:p>
    <w:p>
      <w:pPr>
        <w:widowControl w:val="0"/>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4746"/>
        <w:gridCol w:w="4324"/>
      </w:tblGrid>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TestDaf įvertinimas</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VBE balai</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13</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40</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14</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50</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15</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60</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16</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70</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17</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80</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18</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100</w:t>
            </w:r>
          </w:p>
        </w:tc>
      </w:tr>
      <w:tr>
        <w:trPr>
          <w:trHeight w:val="60"/>
        </w:trPr>
        <w:tc>
          <w:tcPr>
            <w:tcW w:w="512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19, 20</w:t>
            </w:r>
          </w:p>
        </w:tc>
        <w:tc>
          <w:tcPr>
            <w:tcW w:w="467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pPr>
              <w:widowControl w:val="0"/>
              <w:jc w:val="center"/>
              <w:rPr>
                <w:color w:val="000000"/>
              </w:rPr>
            </w:pPr>
            <w:r>
              <w:rPr>
                <w:color w:val="000000"/>
              </w:rPr>
              <w:t>100</w:t>
            </w:r>
          </w:p>
        </w:tc>
      </w:tr>
    </w:tbl>
    <w:p>
      <w:pPr>
        <w:widowControl w:val="0"/>
        <w:ind w:firstLine="567"/>
        <w:jc w:val="both"/>
        <w:rPr>
          <w:color w:val="000000"/>
        </w:rPr>
      </w:pPr>
    </w:p>
    <w:p>
      <w:pPr>
        <w:widowControl w:val="0"/>
        <w:jc w:val="center"/>
        <w:rPr>
          <w:color w:val="000000"/>
        </w:rPr>
      </w:pPr>
      <w:r>
        <w:rPr>
          <w:color w:val="000000"/>
        </w:rPr>
        <w:t>_________________</w:t>
      </w:r>
    </w:p>
    <w:p>
      <w:pPr>
        <w:widowControl w:val="0"/>
        <w:ind w:firstLine="567"/>
        <w:jc w:val="both"/>
        <w:rPr>
          <w:color w:val="000000"/>
        </w:rPr>
      </w:pP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32FC343A22">
        <w:r w:rsidRPr="00532B9F">
          <w:rPr>
            <w:rFonts w:ascii="Times New Roman" w:eastAsia="MS Mincho" w:hAnsi="Times New Roman"/>
            <w:sz w:val="20"/>
            <w:i/>
            <w:iCs/>
            <w:color w:val="0000FF" w:themeColor="hyperlink"/>
            <w:u w:val="single"/>
          </w:rPr>
          <w:t>V-153</w:t>
        </w:r>
      </w:fldSimple>
      <w:r>
        <w:rPr>
          <w:rFonts w:ascii="Times New Roman" w:eastAsia="MS Mincho" w:hAnsi="Times New Roman"/>
          <w:sz w:val="20"/>
          <w:i/>
          <w:iCs/>
        </w:rPr>
        <w:t>,
2012-01-20,
Žin., 2012, Nr.
12-542 (2012-01-26), i. k. 1122070ISAK000V-153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32FC343A22">
        <w:r w:rsidRPr="00532B9F">
          <w:rPr>
            <w:rFonts w:ascii="Times New Roman" w:eastAsia="MS Mincho" w:hAnsi="Times New Roman"/>
            <w:sz w:val="20"/>
            <w:iCs/>
            <w:color w:val="0000FF" w:themeColor="hyperlink"/>
            <w:u w:val="single"/>
          </w:rPr>
          <w:t>V-153</w:t>
        </w:r>
      </w:fldSimple>
      <w:r>
        <w:rPr>
          <w:rFonts w:ascii="Times New Roman" w:eastAsia="MS Mincho" w:hAnsi="Times New Roman"/>
          <w:sz w:val="20"/>
          <w:iCs/>
        </w:rPr>
        <w:t>,
2012-01-20,
Žin., 2012, Nr.
12-542 (2012-01-26), i. k. 1122070ISAK000V-153                </w:t>
      </w:r>
    </w:p>
    <w:p>
      <w:pPr>
        <w:jc w:val="both"/>
        <w:rPr>
          <w:rFonts w:ascii="Times New Roman" w:hAnsi="Times New Roman"/>
        </w:rPr>
      </w:pPr>
      <w:r>
        <w:rPr>
          <w:rFonts w:ascii="Times New Roman" w:hAnsi="Times New Roman"/>
          <w:sz w:val="20"/>
        </w:rPr>
        <w:t>Dėl švietimo ir mokslo ministro 2011 m. kovo 16 d. įsakymo Nr. V-435 "Dėl Tarptautinių užsienio kalbų egzaminų įvertinimų įskaitymo ir atitikmenų valstybinių užsienio kalbų brandos egzaminų įvertinimams nustatymo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F72C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yperlink" TargetMode="External" Target="https://www.e-tar.lt/portal/lt/legalAct/TAR.9A3AD08EA5D0"/>
  <Relationship Id="rId11" Type="http://schemas.openxmlformats.org/officeDocument/2006/relationships/hyperlink" TargetMode="External" Target="https://www.e-tar.lt/portal/lt/legalAct/TAR.C595FF45F869"/>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57C59F1EA042"/>
  <Relationship Id="rId2" Type="http://schemas.openxmlformats.org/officeDocument/2006/relationships/fontTable" Target="fontTable.xml"/>
  <Relationship Id="rId20" Type="http://schemas.openxmlformats.org/officeDocument/2006/relationships/hyperlink" TargetMode="External" Target="https://www.e-tar.lt/portal/lt/legalAct/TAR.9A3AD08EA5D0"/>
  <Relationship Id="rId21" Type="http://schemas.openxmlformats.org/officeDocument/2006/relationships/hyperlink" TargetMode="External" Target="https://www.e-tar.lt/portal/lt/legalAct/TAR.E2EBE95E7723"/>
  <Relationship Id="rId22" Type="http://schemas.openxmlformats.org/officeDocument/2006/relationships/hyperlink" TargetMode="External" Target="https://www.e-tar.lt/portal/lt/legalAct/TAR.C595FF45F869"/>
  <Relationship Id="rId23" Type="http://schemas.openxmlformats.org/officeDocument/2006/relationships/header" Target="header4.xml"/>
  <Relationship Id="rId24" Type="http://schemas.openxmlformats.org/officeDocument/2006/relationships/header" Target="header5.xml"/>
  <Relationship Id="rId25" Type="http://schemas.openxmlformats.org/officeDocument/2006/relationships/footer" Target="footer4.xml"/>
  <Relationship Id="rId26" Type="http://schemas.openxmlformats.org/officeDocument/2006/relationships/footer" Target="footer5.xml"/>
  <Relationship Id="rId27" Type="http://schemas.openxmlformats.org/officeDocument/2006/relationships/header" Target="header6.xml"/>
  <Relationship Id="rId28" Type="http://schemas.openxmlformats.org/officeDocument/2006/relationships/footer" Target="footer6.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footer" Target="footer3.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25</Pages>
  <Words>13294</Words>
  <Characters>7579</Characters>
  <Application>Microsoft Office Word</Application>
  <DocSecurity>0</DocSecurity>
  <Lines>63</Lines>
  <Paragraphs>41</Paragraphs>
  <ScaleCrop>false</ScaleCrop>
  <Company>Teisines informacijos centras</Company>
  <LinksUpToDate>false</LinksUpToDate>
  <CharactersWithSpaces>20832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2015-04-13T07:05:00Z</dcterms:created>
  <dc:creator>Sandra</dc:creator>
  <lastModifiedBy>RAKAUSKIENĖ Loreta</lastModifiedBy>
  <dcterms:modified xsi:type="dcterms:W3CDTF">2015-04-13T10:59:00Z</dcterms:modified>
  <revision>5</revision>
  <dc:title>LIETUVOS RESPUBLIKOS ŠVIETIMO IR MOKSLO MINISTRO</dc:title>
</coreProperties>
</file>