
<file path=[Content_Types].xml><?xml version="1.0" encoding="utf-8"?>
<Types xmlns="http://schemas.openxmlformats.org/package/2006/content-types">
  <Default Extension="bin" ContentType="application/vnd.ms-office.activeX"/>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071705a445f54cea9bd0877bba3a2d90"/>
        <w:lock w:val="sdtLocked"/>
        <w:richText/>
      </w:sdtPr>
      <w:sdtContent>
        <w:p>
          <w:pPr>
            <w:jc w:val="both"/>
            <w:rPr>
              <w:rFonts w:ascii="Times New Roman" w:hAnsi="Times New Roman"/>
            </w:rPr>
          </w:pPr>
          <w:r>
            <w:rPr>
              <w:rFonts w:ascii="Times New Roman" w:hAnsi="Times New Roman"/>
              <w:b/>
              <w:i/>
            </w:rPr>
            <w:t>Suvestinė redakcija nuo 2022-12-05 iki 2026-08-28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2011, Nr. </w:t>
          </w:r>
          <w:fldSimple w:instr="HYPERLINK https://www.e-tar.lt/portal/legalAct.html?documentId=TAR.F93C79BD0F37">
            <w:r w:rsidRPr="00532B9F">
              <w:rPr>
                <w:rFonts w:ascii="Times New Roman" w:eastAsia="MS Mincho" w:hAnsi="Times New Roman"/>
                <w:sz w:val="20"/>
                <w:i/>
                <w:iCs/>
                <w:color w:val="0000FF" w:themeColor="hyperlink"/>
                <w:u w:val="single"/>
              </w:rPr>
              <w:t>40-1928</w:t>
            </w:r>
          </w:fldSimple>
          <w:r>
            <w:rPr>
              <w:rFonts w:ascii="Times New Roman" w:eastAsia="MS Mincho" w:hAnsi="Times New Roman"/>
              <w:sz w:val="20"/>
              <w:i/>
              <w:iCs/>
            </w:rPr>
            <w:t>, i. k. 1112020ISAK0004-174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2019-11-18:</w:t>
          </w:r>
        </w:p>
        <w:p>
          <w:pPr>
            <w:rPr>
              <w:rFonts w:ascii="Times New Roman" w:hAnsi="Times New Roman"/>
              <w:sz w:val="20"/>
              <w:i/>
            </w:rPr>
          </w:pPr>
          <w:r>
            <w:rPr>
              <w:rFonts w:ascii="Times New Roman" w:hAnsi="Times New Roman"/>
              <w:sz w:val="20"/>
              <w:i/>
            </w:rPr>
            <w:t xml:space="preserve">Nr. </w:t>
          </w:r>
          <w:fldSimple w:instr="HYPERLINK https://www.e-tar.lt/portal/legalAct.html?documentId=17ed6410e9ca11e99681cd81dcdca52c">
            <w:r w:rsidRPr="00532B9F">
              <w:rPr>
                <w:rFonts w:ascii="Times New Roman" w:eastAsia="MS Mincho" w:hAnsi="Times New Roman"/>
                <w:sz w:val="20"/>
                <w:i/>
                <w:iCs/>
                <w:color w:val="0000FF" w:themeColor="hyperlink"/>
                <w:u w:val="single"/>
              </w:rPr>
              <w:t>4-566</w:t>
            </w:r>
          </w:fldSimple>
          <w:r>
            <w:rPr>
              <w:rFonts w:ascii="Times New Roman" w:eastAsia="MS Mincho" w:hAnsi="Times New Roman"/>
              <w:sz w:val="20"/>
              <w:i/>
              <w:iCs/>
            </w:rPr>
            <w:t>,
2019-10-08,
paskelbta TAR 2019-10-08, i. k. 2019-15996                </w:t>
          </w:r>
        </w:p>
        <w:p>
          <w:pPr>
            <w:rPr>
              <w:rFonts w:ascii="Times New Roman" w:hAnsi="Times New Roman"/>
              <w:sz w:val="22"/>
            </w:rPr>
          </w:pPr>
        </w:p>
        <w:p>
          <w:pPr>
            <w:jc w:val="center"/>
            <w:rPr>
              <w:b/>
              <w:color w:val="000000"/>
              <w:szCs w:val="24"/>
              <w:lang w:eastAsia="lt-LT"/>
            </w:rPr>
          </w:pPr>
          <w:r>
            <w:rPr>
              <w:b/>
              <w:color w:val="000000"/>
              <w:szCs w:val="24"/>
              <w:lang w:eastAsia="lt-LT"/>
            </w:rPr>
            <w:t>LIETUVOS RESPUBLIKOS EKONOMIKOS IR INOVACIJŲ MINISTRAS</w:t>
          </w:r>
        </w:p>
        <w:p>
          <w:pPr>
            <w:rPr>
              <w:b/>
              <w:color w:val="000000"/>
              <w:szCs w:val="24"/>
              <w:lang w:eastAsia="lt-LT"/>
            </w:rPr>
          </w:pPr>
        </w:p>
        <w:p>
          <w:pPr>
            <w:jc w:val="center"/>
            <w:rPr>
              <w:b/>
              <w:color w:val="000000"/>
              <w:szCs w:val="24"/>
              <w:lang w:eastAsia="lt-LT"/>
            </w:rPr>
          </w:pPr>
          <w:r>
            <w:rPr>
              <w:b/>
              <w:color w:val="000000"/>
              <w:szCs w:val="24"/>
              <w:lang w:eastAsia="lt-LT"/>
            </w:rPr>
            <w:t>ĮSAKYMAS</w:t>
          </w:r>
        </w:p>
        <w:p>
          <w:pPr>
            <w:ind w:firstLine="720"/>
            <w:jc w:val="center"/>
            <w:rPr>
              <w:b/>
              <w:sz w:val="23"/>
              <w:szCs w:val="23"/>
            </w:rPr>
          </w:pPr>
          <w:r>
            <w:rPr>
              <w:b/>
              <w:sz w:val="23"/>
              <w:szCs w:val="23"/>
            </w:rPr>
            <w:t>DĖL ŽAISLŲ SAUGOS TECHNINIO REGLAMENTO PATVIRTINIMO</w:t>
          </w:r>
        </w:p>
        <w:p>
          <w:pPr>
            <w:ind w:firstLine="720"/>
            <w:jc w:val="both"/>
            <w:rPr>
              <w:color w:val="000000"/>
              <w:szCs w:val="24"/>
            </w:rPr>
          </w:pPr>
        </w:p>
        <w:p>
          <w:pPr>
            <w:jc w:val="center"/>
            <w:rPr>
              <w:color w:val="000000"/>
              <w:szCs w:val="24"/>
            </w:rPr>
          </w:pPr>
          <w:r>
            <w:rPr>
              <w:color w:val="000000"/>
              <w:szCs w:val="24"/>
            </w:rPr>
            <w:t>2011 m. balandžio 1 d. Nr. 4-174</w:t>
          </w:r>
        </w:p>
        <w:p>
          <w:pPr>
            <w:jc w:val="center"/>
            <w:rPr>
              <w:color w:val="000000"/>
              <w:szCs w:val="24"/>
            </w:rPr>
          </w:pPr>
          <w:r>
            <w:rPr>
              <w:color w:val="000000"/>
              <w:szCs w:val="24"/>
            </w:rPr>
            <w:t>Vilnius</w:t>
          </w:r>
        </w:p>
        <w:p>
          <w:pPr>
            <w:ind w:firstLine="720"/>
            <w:jc w:val="both"/>
            <w:rPr>
              <w:color w:val="000000"/>
              <w:szCs w:val="24"/>
            </w:rPr>
          </w:pPr>
        </w:p>
        <w:p>
          <w:pPr>
            <w:ind w:firstLine="720"/>
            <w:jc w:val="both"/>
            <w:rPr>
              <w:color w:val="000000"/>
              <w:szCs w:val="24"/>
            </w:rPr>
          </w:pPr>
        </w:p>
        <w:sdt>
          <w:sdtPr>
            <w:alias w:val="preambule"/>
            <w:tag w:val="part_41a7c52a67fd468fadaf9e163795d7b3"/>
            <w:lock w:val="sdtLocked"/>
            <w:richText/>
          </w:sdtPr>
          <w:sdtContent>
            <w:p>
              <w:pPr>
                <w:ind w:firstLine="851"/>
                <w:jc w:val="both"/>
                <w:rPr>
                  <w:szCs w:val="24"/>
                </w:rPr>
              </w:pPr>
              <w:r>
                <w:rPr>
                  <w:szCs w:val="24"/>
                </w:rPr>
                <w:t>Vadovaudamasis Lietuvos Respublikos Vyriausybės 1999 m. gruodžio 27 d. nutarimo Nr. 1482 „Dėl institucijų, įgaliotų tvirtinti privalomuosius produktų saugos reikalavimus ir nustatyti atitikties įvertinimo reikalavimus, paskyrimo“ 1.5 papunkčiu ir perkeldamas bei įgyvendindamas 2009 m. birželio 18 d. Europos Parlamento ir Tarybos direktyvą 2009/48/EB dėl žaislų saugos su paskutiniais pakeitimais, padarytais 2021 m. birželio 3 d. Komisijos direktyva (ES) 2021/903:</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0534e0f10b11eaa12ad7c04a383ca0">
                <w:r w:rsidRPr="00532B9F">
                  <w:rPr>
                    <w:rFonts w:ascii="Times New Roman" w:eastAsia="MS Mincho" w:hAnsi="Times New Roman"/>
                    <w:sz w:val="20"/>
                    <w:i/>
                    <w:iCs/>
                    <w:color w:val="0000FF" w:themeColor="hyperlink"/>
                    <w:u w:val="single"/>
                  </w:rPr>
                  <w:t>4-756</w:t>
                </w:r>
              </w:fldSimple>
              <w:r>
                <w:rPr>
                  <w:rFonts w:ascii="Times New Roman" w:eastAsia="MS Mincho" w:hAnsi="Times New Roman"/>
                  <w:sz w:val="20"/>
                  <w:i/>
                  <w:iCs/>
                </w:rPr>
                <w:t>,
2020-09-07,
paskelbta TAR 2020-09-07, i. k. 2020-18852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2e26a01ac611ec93af8a5fb475d9bd">
                <w:r w:rsidRPr="00532B9F">
                  <w:rPr>
                    <w:rFonts w:ascii="Times New Roman" w:eastAsia="MS Mincho" w:hAnsi="Times New Roman"/>
                    <w:sz w:val="20"/>
                    <w:i/>
                    <w:iCs/>
                    <w:color w:val="0000FF" w:themeColor="hyperlink"/>
                    <w:u w:val="single"/>
                  </w:rPr>
                  <w:t>4-994</w:t>
                </w:r>
              </w:fldSimple>
              <w:r>
                <w:rPr>
                  <w:rFonts w:ascii="Times New Roman" w:eastAsia="MS Mincho" w:hAnsi="Times New Roman"/>
                  <w:sz w:val="20"/>
                  <w:i/>
                  <w:iCs/>
                </w:rPr>
                <w:t>,
2021-09-21,
paskelbta TAR 2021-09-21, i. k. 2021-19774            </w:t>
              </w:r>
            </w:p>
            <w:p/>
          </w:sdtContent>
        </w:sdt>
        <w:sdt>
          <w:sdtPr>
            <w:alias w:val="1 p."/>
            <w:tag w:val="part_7895e23a889147b4b38bb0014644440a"/>
            <w:lock w:val="sdtLocked"/>
            <w:richText/>
          </w:sdtPr>
          <w:sdtContent>
            <w:p>
              <w:pPr>
                <w:widowControl w:val="0"/>
                <w:suppressAutoHyphens/>
                <w:ind w:firstLine="851"/>
                <w:jc w:val="both"/>
                <w:rPr>
                  <w:color w:val="000000"/>
                  <w:szCs w:val="24"/>
                </w:rPr>
              </w:pPr>
              <w:sdt>
                <w:sdtPr>
                  <w:alias w:val="Numeris"/>
                  <w:tag w:val="nr_7895e23a889147b4b38bb0014644440a"/>
                  <w:lock w:val="sdtLocked"/>
                  <w:richText/>
                </w:sdtPr>
                <w:sdtContent>
                  <w:r>
                    <w:rPr>
                      <w:color w:val="000000"/>
                      <w:szCs w:val="24"/>
                    </w:rPr>
                    <w:t>1</w:t>
                  </w:r>
                </w:sdtContent>
              </w:sdt>
              <w:r>
                <w:rPr>
                  <w:color w:val="000000"/>
                  <w:szCs w:val="24"/>
                </w:rPr>
                <w:t xml:space="preserve">. </w:t>
              </w:r>
              <w:r>
                <w:rPr>
                  <w:color w:val="000000"/>
                  <w:spacing w:val="60"/>
                  <w:szCs w:val="24"/>
                </w:rPr>
                <w:t>Tvirtinu</w:t>
              </w:r>
              <w:r>
                <w:rPr>
                  <w:color w:val="000000"/>
                  <w:szCs w:val="24"/>
                </w:rPr>
                <w:t xml:space="preserve"> Žaislų saugos techninį reglamentą (pridedama).</w:t>
              </w:r>
            </w:p>
          </w:sdtContent>
        </w:sdt>
        <w:sdt>
          <w:sdtPr>
            <w:alias w:val="2 p."/>
            <w:tag w:val="part_008ccb0e42c94167909b983e9bb1a446"/>
            <w:lock w:val="sdtLocked"/>
            <w:richText/>
          </w:sdtPr>
          <w:sdtContent>
            <w:p>
              <w:pPr>
                <w:widowControl w:val="0"/>
                <w:suppressAutoHyphens/>
                <w:ind w:firstLine="851"/>
                <w:jc w:val="both"/>
              </w:pPr>
              <w:sdt>
                <w:sdtPr>
                  <w:alias w:val="Numeris"/>
                  <w:tag w:val="nr_008ccb0e42c94167909b983e9bb1a446"/>
                  <w:lock w:val="sdtLocked"/>
                  <w:richText/>
                </w:sdtPr>
                <w:sdtContent>
                  <w:r>
                    <w:rPr>
                      <w:color w:val="000000"/>
                      <w:szCs w:val="24"/>
                    </w:rPr>
                    <w:t>2</w:t>
                  </w:r>
                </w:sdtContent>
              </w:sdt>
              <w:r>
                <w:rPr>
                  <w:color w:val="000000"/>
                  <w:szCs w:val="24"/>
                </w:rPr>
                <w:t xml:space="preserve">. </w:t>
              </w:r>
              <w:r>
                <w:rPr>
                  <w:color w:val="000000"/>
                  <w:spacing w:val="60"/>
                  <w:szCs w:val="24"/>
                </w:rPr>
                <w:t>Nustata</w:t>
              </w:r>
              <w:r>
                <w:rPr>
                  <w:color w:val="000000"/>
                  <w:szCs w:val="24"/>
                </w:rPr>
                <w:t>u, kad žaislų, kurie buvo pateikti rinkai iki šio įsakymo įsigaliojimo ir kurie atitiko jų pateikimo rinkai metu galiojusius teisės aktų reikalavimus, civilinė apyvarta leidžiama.</w:t>
              </w:r>
            </w:p>
          </w:sdtContent>
        </w:sdt>
        <w:sdt>
          <w:sdtPr>
            <w:alias w:val="signatura"/>
            <w:tag w:val="part_4783226bad8b43c28c54bd7bc9935ba9"/>
            <w:lock w:val="sdtLocked"/>
            <w:richText/>
          </w:sdtPr>
          <w:sdtContent>
            <w:p>
              <w:pPr>
                <w:widowControl w:val="0"/>
                <w:tabs>
                  <w:tab w:val="right" w:pos="9071"/>
                </w:tabs>
                <w:suppressAutoHyphens/>
              </w:pPr>
            </w:p>
            <w:p>
              <w:pPr>
                <w:widowControl w:val="0"/>
                <w:tabs>
                  <w:tab w:val="right" w:pos="9071"/>
                </w:tabs>
                <w:suppressAutoHyphens/>
              </w:pPr>
            </w:p>
            <w:p>
              <w:pPr>
                <w:widowControl w:val="0"/>
                <w:tabs>
                  <w:tab w:val="right" w:pos="9071"/>
                </w:tabs>
                <w:suppressAutoHyphens/>
              </w:pPr>
            </w:p>
            <w:p>
              <w:pPr>
                <w:widowControl w:val="0"/>
                <w:tabs>
                  <w:tab w:val="right" w:pos="9071"/>
                </w:tabs>
                <w:suppressAutoHyphens/>
                <w:rPr>
                  <w:caps/>
                  <w:color w:val="000000"/>
                </w:rPr>
              </w:pPr>
              <w:r>
                <w:rPr>
                  <w:caps/>
                  <w:color w:val="000000"/>
                </w:rPr>
                <w:t>Ūkio ministras</w:t>
                <w:tab/>
                <w:t>Rimantas Žylius</w:t>
              </w:r>
            </w:p>
          </w:sdtContent>
        </w:sdt>
        <w:p/>
      </w:sdtContent>
    </w:sdt>
    <w:sdt>
      <w:sdtPr>
        <w:alias w:val="patvirtinta"/>
        <w:tag w:val="part_80bf26fab7034f59a270f5b8a1202c4c"/>
        <w:lock w:val="sdtLocked"/>
        <w:richText/>
      </w:sdtPr>
      <w:sdtContent>
        <w:p>
          <w:pPr>
            <w:widowControl w:val="0"/>
            <w:suppressAutoHyphens/>
            <w:ind w:left="5102"/>
            <w:sectPr>
              <w:headerReference w:type="even" r:id="rId9"/>
              <w:headerReference w:type="default" r:id="rId10"/>
              <w:footerReference w:type="even" r:id="rId11"/>
              <w:footerReference w:type="default" r:id="rId12"/>
              <w:headerReference w:type="first" r:id="rId13"/>
              <w:footerReference w:type="first" r:id="rId14"/>
              <w:pgSz w:w="11907" w:h="16840" w:code="9"/>
              <w:pgMar w:top="1134" w:right="425" w:bottom="1134" w:left="1701" w:header="567" w:footer="284" w:gutter="0"/>
              <w:cols w:space="1296"/>
              <w:titlePg/>
              <w:docGrid w:linePitch="360"/>
            </w:sectPr>
          </w:pPr>
        </w:p>
        <w:p>
          <w:pPr>
            <w:widowControl w:val="0"/>
            <w:suppressAutoHyphens/>
            <w:ind w:left="4536"/>
            <w:rPr>
              <w:color w:val="000000"/>
            </w:rPr>
          </w:pPr>
          <w:r>
            <w:rPr>
              <w:color w:val="000000"/>
            </w:rPr>
            <w:t>PATVIRTINTA</w:t>
          </w:r>
        </w:p>
        <w:p>
          <w:pPr>
            <w:widowControl w:val="0"/>
            <w:suppressAutoHyphens/>
            <w:ind w:left="4536"/>
            <w:rPr>
              <w:color w:val="000000"/>
            </w:rPr>
          </w:pPr>
          <w:r>
            <w:rPr>
              <w:color w:val="000000"/>
            </w:rPr>
            <w:t>Lietuvos Respublikos ekonomikos ir inovacijų</w:t>
          </w:r>
        </w:p>
        <w:p>
          <w:pPr>
            <w:widowControl w:val="0"/>
            <w:suppressAutoHyphens/>
            <w:ind w:left="4536"/>
            <w:rPr>
              <w:color w:val="000000"/>
            </w:rPr>
          </w:pPr>
          <w:r>
            <w:rPr>
              <w:color w:val="000000"/>
            </w:rPr>
            <w:t>ministro 2011 m. balandžio 1 d. įsakymu Nr. 4-174</w:t>
          </w:r>
        </w:p>
        <w:p>
          <w:pPr>
            <w:widowControl w:val="0"/>
            <w:suppressAutoHyphens/>
            <w:jc w:val="both"/>
            <w:rPr>
              <w:color w:val="000000"/>
            </w:rPr>
          </w:pPr>
        </w:p>
        <w:p>
          <w:pPr>
            <w:widowControl w:val="0"/>
            <w:suppressAutoHyphens/>
            <w:jc w:val="center"/>
            <w:rPr>
              <w:b/>
              <w:bCs/>
              <w:caps/>
              <w:color w:val="000000"/>
            </w:rPr>
          </w:pPr>
          <w:sdt>
            <w:sdtPr>
              <w:alias w:val="Pavadinimas"/>
              <w:tag w:val="title_80bf26fab7034f59a270f5b8a1202c4c"/>
              <w:lock w:val="sdtLocked"/>
              <w:richText/>
            </w:sdtPr>
            <w:sdtContent>
              <w:r>
                <w:rPr>
                  <w:b/>
                  <w:bCs/>
                  <w:caps/>
                  <w:color w:val="000000"/>
                </w:rPr>
                <w:t>ŽAISLŲ SAUGOS TECHNINIS REGLAMENTAS</w:t>
              </w:r>
            </w:sdtContent>
          </w:sdt>
        </w:p>
        <w:p>
          <w:pPr>
            <w:widowControl w:val="0"/>
            <w:suppressAutoHyphens/>
            <w:jc w:val="center"/>
            <w:rPr>
              <w:b/>
              <w:bCs/>
              <w:caps/>
              <w:color w:val="000000"/>
            </w:rPr>
          </w:pPr>
        </w:p>
        <w:sdt>
          <w:sdtPr>
            <w:alias w:val="skyrius"/>
            <w:tag w:val="part_8950faf8972a4fbbbc3956861c737b7c"/>
            <w:lock w:val="sdtLocked"/>
            <w:richText/>
          </w:sdtPr>
          <w:sdtContent>
            <w:p>
              <w:pPr>
                <w:widowControl w:val="0"/>
                <w:suppressAutoHyphens/>
                <w:jc w:val="center"/>
                <w:rPr>
                  <w:b/>
                  <w:bCs/>
                  <w:caps/>
                  <w:color w:val="000000"/>
                </w:rPr>
              </w:pPr>
              <w:sdt>
                <w:sdtPr>
                  <w:alias w:val="Numeris"/>
                  <w:tag w:val="nr_8950faf8972a4fbbbc3956861c737b7c"/>
                  <w:lock w:val="sdtLocked"/>
                  <w:richText/>
                </w:sdtPr>
                <w:sdtContent>
                  <w:r>
                    <w:rPr>
                      <w:b/>
                      <w:bCs/>
                      <w:caps/>
                      <w:color w:val="000000"/>
                    </w:rPr>
                    <w:t>I</w:t>
                  </w:r>
                </w:sdtContent>
              </w:sdt>
              <w:r>
                <w:t xml:space="preserve"> </w:t>
              </w:r>
              <w:r>
                <w:rPr>
                  <w:b/>
                  <w:bCs/>
                  <w:caps/>
                  <w:color w:val="000000"/>
                </w:rPr>
                <w:t>SKYRIUS</w:t>
              </w:r>
            </w:p>
            <w:p>
              <w:pPr>
                <w:widowControl w:val="0"/>
                <w:suppressAutoHyphens/>
                <w:jc w:val="center"/>
                <w:rPr>
                  <w:b/>
                  <w:bCs/>
                  <w:caps/>
                  <w:color w:val="000000"/>
                </w:rPr>
              </w:pPr>
              <w:r>
                <w:rPr>
                  <w:b/>
                  <w:bCs/>
                  <w:caps/>
                  <w:color w:val="000000"/>
                </w:rPr>
                <w:t xml:space="preserve"> </w:t>
              </w:r>
              <w:sdt>
                <w:sdtPr>
                  <w:alias w:val="Pavadinimas"/>
                  <w:tag w:val="title_8950faf8972a4fbbbc3956861c737b7c"/>
                  <w:lock w:val="sdtLocked"/>
                  <w:richText/>
                </w:sdtPr>
                <w:sdtContent>
                  <w:r>
                    <w:rPr>
                      <w:b/>
                      <w:bCs/>
                      <w:caps/>
                      <w:color w:val="000000"/>
                    </w:rPr>
                    <w:t xml:space="preserve">BENDROSIOS NUOSTATOS </w:t>
                  </w:r>
                </w:sdtContent>
              </w:sdt>
            </w:p>
            <w:sdt>
              <w:sdtPr>
                <w:alias w:val="1 p."/>
                <w:tag w:val="part_968d4ff1f459449c8a95b4dbca29196a"/>
                <w:lock w:val="sdtLocked"/>
                <w:richText/>
              </w:sdtPr>
              <w:sdtContent>
                <w:p>
                  <w:pPr>
                    <w:widowControl w:val="0"/>
                    <w:suppressAutoHyphens/>
                    <w:ind w:firstLine="567"/>
                    <w:jc w:val="both"/>
                    <w:rPr>
                      <w:color w:val="000000"/>
                    </w:rPr>
                  </w:pPr>
                  <w:sdt>
                    <w:sdtPr>
                      <w:alias w:val="Numeris"/>
                      <w:tag w:val="nr_968d4ff1f459449c8a95b4dbca29196a"/>
                      <w:lock w:val="sdtLocked"/>
                      <w:richText/>
                    </w:sdtPr>
                    <w:sdtContent>
                      <w:r>
                        <w:rPr>
                          <w:color w:val="000000"/>
                        </w:rPr>
                        <w:t>1</w:t>
                      </w:r>
                    </w:sdtContent>
                  </w:sdt>
                  <w:r>
                    <w:rPr>
                      <w:color w:val="000000"/>
                    </w:rPr>
                    <w:t>. Žaislų saugos techninis reglamentas (toliau – Reglamentas) nustato žaislų saugos reikalavimus į Lietuvos rinką tiekiamiems žaislams.</w:t>
                  </w:r>
                </w:p>
              </w:sdtContent>
            </w:sdt>
            <w:sdt>
              <w:sdtPr>
                <w:alias w:val="2 p."/>
                <w:tag w:val="part_17c2fc9f915b450fa26ebb9cc0a22048"/>
                <w:lock w:val="sdtLocked"/>
                <w:richText/>
              </w:sdtPr>
              <w:sdtContent>
                <w:p>
                  <w:pPr>
                    <w:widowControl w:val="0"/>
                    <w:ind w:firstLine="567"/>
                    <w:jc w:val="both"/>
                    <w:rPr>
                      <w:color w:val="000000"/>
                    </w:rPr>
                  </w:pPr>
                  <w:sdt>
                    <w:sdtPr>
                      <w:alias w:val="Numeris"/>
                      <w:tag w:val="nr_17c2fc9f915b450fa26ebb9cc0a22048"/>
                      <w:lock w:val="sdtLocked"/>
                      <w:richText/>
                    </w:sdtPr>
                    <w:sdtContent>
                      <w:r>
                        <w:rPr>
                          <w:color w:val="000000"/>
                          <w:szCs w:val="24"/>
                          <w:lang w:eastAsia="lt-LT"/>
                        </w:rPr>
                        <w:t>2</w:t>
                      </w:r>
                    </w:sdtContent>
                  </w:sdt>
                  <w:r>
                    <w:rPr>
                      <w:color w:val="000000"/>
                      <w:szCs w:val="24"/>
                      <w:lang w:eastAsia="lt-LT"/>
                    </w:rPr>
                    <w:t>. Reglamentas taikomas gaminiams, suprojektuotiems ir skirtiems vien tik arba ne vien tik žaisti vaikams iki 14 metų (toliau – žaislai). Reglamento 1 priede išvardyti gaminiai šiame Reglamente nėra laikomi žaislais.</w:t>
                  </w:r>
                  <w:r>
                    <w:t xml:space="preserve"> </w:t>
                  </w:r>
                </w:p>
              </w:sdtContent>
            </w:sdt>
            <w:sdt>
              <w:sdtPr>
                <w:alias w:val="3 p."/>
                <w:tag w:val="part_93af888e67164fcb8196b627a3fa7024"/>
                <w:lock w:val="sdtLocked"/>
                <w:richText/>
              </w:sdtPr>
              <w:sdtContent>
                <w:p>
                  <w:pPr>
                    <w:widowControl w:val="0"/>
                    <w:suppressAutoHyphens/>
                    <w:ind w:firstLine="567"/>
                    <w:jc w:val="both"/>
                    <w:rPr>
                      <w:color w:val="000000"/>
                    </w:rPr>
                  </w:pPr>
                  <w:sdt>
                    <w:sdtPr>
                      <w:alias w:val="Numeris"/>
                      <w:tag w:val="nr_93af888e67164fcb8196b627a3fa7024"/>
                      <w:lock w:val="sdtLocked"/>
                      <w:richText/>
                    </w:sdtPr>
                    <w:sdtContent>
                      <w:r>
                        <w:rPr>
                          <w:color w:val="000000"/>
                        </w:rPr>
                        <w:t>3</w:t>
                      </w:r>
                    </w:sdtContent>
                  </w:sdt>
                  <w:r>
                    <w:rPr>
                      <w:color w:val="000000"/>
                    </w:rPr>
                    <w:t>. Šis Reglamentas netaikomas šiems žaislams:</w:t>
                  </w:r>
                </w:p>
                <w:sdt>
                  <w:sdtPr>
                    <w:alias w:val="3.1 p."/>
                    <w:tag w:val="part_5353da7c8da84264909a66f64127ec2b"/>
                    <w:lock w:val="sdtLocked"/>
                    <w:richText/>
                  </w:sdtPr>
                  <w:sdtContent>
                    <w:p>
                      <w:pPr>
                        <w:widowControl w:val="0"/>
                        <w:suppressAutoHyphens/>
                        <w:ind w:firstLine="567"/>
                        <w:jc w:val="both"/>
                        <w:rPr>
                          <w:color w:val="000000"/>
                        </w:rPr>
                      </w:pPr>
                      <w:sdt>
                        <w:sdtPr>
                          <w:alias w:val="Numeris"/>
                          <w:tag w:val="nr_5353da7c8da84264909a66f64127ec2b"/>
                          <w:lock w:val="sdtLocked"/>
                          <w:richText/>
                        </w:sdtPr>
                        <w:sdtContent>
                          <w:r>
                            <w:rPr>
                              <w:color w:val="000000"/>
                            </w:rPr>
                            <w:t>3.1</w:t>
                          </w:r>
                        </w:sdtContent>
                      </w:sdt>
                      <w:r>
                        <w:rPr>
                          <w:color w:val="000000"/>
                        </w:rPr>
                        <w:t>. viešojo naudojimo aikštelių įrangai;</w:t>
                      </w:r>
                    </w:p>
                  </w:sdtContent>
                </w:sdt>
                <w:sdt>
                  <w:sdtPr>
                    <w:alias w:val="3.2 p."/>
                    <w:tag w:val="part_5a4ab13f13f74a0c8363b60c4fcd972c"/>
                    <w:lock w:val="sdtLocked"/>
                    <w:richText/>
                  </w:sdtPr>
                  <w:sdtContent>
                    <w:p>
                      <w:pPr>
                        <w:widowControl w:val="0"/>
                        <w:suppressAutoHyphens/>
                        <w:ind w:firstLine="567"/>
                        <w:jc w:val="both"/>
                        <w:rPr>
                          <w:color w:val="000000"/>
                        </w:rPr>
                      </w:pPr>
                      <w:sdt>
                        <w:sdtPr>
                          <w:alias w:val="Numeris"/>
                          <w:tag w:val="nr_5a4ab13f13f74a0c8363b60c4fcd972c"/>
                          <w:lock w:val="sdtLocked"/>
                          <w:richText/>
                        </w:sdtPr>
                        <w:sdtContent>
                          <w:r>
                            <w:rPr>
                              <w:color w:val="000000"/>
                            </w:rPr>
                            <w:t>3.2</w:t>
                          </w:r>
                        </w:sdtContent>
                      </w:sdt>
                      <w:r>
                        <w:rPr>
                          <w:color w:val="000000"/>
                        </w:rPr>
                        <w:t>. viešojo naudojimo automatiniams žaidimų aparatams, įskaitant įjungiamus moneta;</w:t>
                      </w:r>
                    </w:p>
                  </w:sdtContent>
                </w:sdt>
                <w:sdt>
                  <w:sdtPr>
                    <w:alias w:val="3.3 p."/>
                    <w:tag w:val="part_2c464477b5b84f7db0457f275a4eac3c"/>
                    <w:lock w:val="sdtLocked"/>
                    <w:richText/>
                  </w:sdtPr>
                  <w:sdtContent>
                    <w:p>
                      <w:pPr>
                        <w:widowControl w:val="0"/>
                        <w:suppressAutoHyphens/>
                        <w:ind w:firstLine="567"/>
                        <w:jc w:val="both"/>
                        <w:rPr>
                          <w:color w:val="000000"/>
                        </w:rPr>
                      </w:pPr>
                      <w:sdt>
                        <w:sdtPr>
                          <w:alias w:val="Numeris"/>
                          <w:tag w:val="nr_2c464477b5b84f7db0457f275a4eac3c"/>
                          <w:lock w:val="sdtLocked"/>
                          <w:richText/>
                        </w:sdtPr>
                        <w:sdtContent>
                          <w:r>
                            <w:rPr>
                              <w:color w:val="000000"/>
                            </w:rPr>
                            <w:t>3.3</w:t>
                          </w:r>
                        </w:sdtContent>
                      </w:sdt>
                      <w:r>
                        <w:rPr>
                          <w:color w:val="000000"/>
                        </w:rPr>
                        <w:t>. žaislinėms transporto priemonėms su vidaus degimo varikliais;</w:t>
                      </w:r>
                    </w:p>
                  </w:sdtContent>
                </w:sdt>
                <w:sdt>
                  <w:sdtPr>
                    <w:alias w:val="3.4 p."/>
                    <w:tag w:val="part_2b889eb24ef1423cb229f73a696499bd"/>
                    <w:lock w:val="sdtLocked"/>
                    <w:richText/>
                  </w:sdtPr>
                  <w:sdtContent>
                    <w:p>
                      <w:pPr>
                        <w:widowControl w:val="0"/>
                        <w:suppressAutoHyphens/>
                        <w:ind w:firstLine="567"/>
                        <w:jc w:val="both"/>
                        <w:rPr>
                          <w:color w:val="000000"/>
                        </w:rPr>
                      </w:pPr>
                      <w:sdt>
                        <w:sdtPr>
                          <w:alias w:val="Numeris"/>
                          <w:tag w:val="nr_2b889eb24ef1423cb229f73a696499bd"/>
                          <w:lock w:val="sdtLocked"/>
                          <w:richText/>
                        </w:sdtPr>
                        <w:sdtContent>
                          <w:r>
                            <w:rPr>
                              <w:color w:val="000000"/>
                            </w:rPr>
                            <w:t>3.4</w:t>
                          </w:r>
                        </w:sdtContent>
                      </w:sdt>
                      <w:r>
                        <w:rPr>
                          <w:color w:val="000000"/>
                        </w:rPr>
                        <w:t>. žaisliniams garo varikliams;</w:t>
                      </w:r>
                    </w:p>
                  </w:sdtContent>
                </w:sdt>
                <w:sdt>
                  <w:sdtPr>
                    <w:alias w:val="3.5 p."/>
                    <w:tag w:val="part_869bc64f044a4a708bc79fbc8b6d9ecb"/>
                    <w:lock w:val="sdtLocked"/>
                    <w:richText/>
                  </w:sdtPr>
                  <w:sdtContent>
                    <w:p>
                      <w:pPr>
                        <w:widowControl w:val="0"/>
                        <w:suppressAutoHyphens/>
                        <w:ind w:firstLine="567"/>
                        <w:jc w:val="both"/>
                        <w:rPr>
                          <w:color w:val="000000"/>
                        </w:rPr>
                      </w:pPr>
                      <w:sdt>
                        <w:sdtPr>
                          <w:alias w:val="Numeris"/>
                          <w:tag w:val="nr_869bc64f044a4a708bc79fbc8b6d9ecb"/>
                          <w:lock w:val="sdtLocked"/>
                          <w:richText/>
                        </w:sdtPr>
                        <w:sdtContent>
                          <w:r>
                            <w:rPr>
                              <w:color w:val="000000"/>
                            </w:rPr>
                            <w:t>3.5</w:t>
                          </w:r>
                        </w:sdtContent>
                      </w:sdt>
                      <w:r>
                        <w:rPr>
                          <w:color w:val="000000"/>
                        </w:rPr>
                        <w:t>. laidyklėms ir timpoms.</w:t>
                      </w:r>
                    </w:p>
                  </w:sdtContent>
                </w:sdt>
              </w:sdtContent>
            </w:sdt>
            <w:sdt>
              <w:sdtPr>
                <w:alias w:val="4 p."/>
                <w:tag w:val="part_86b410af3eea4fc89fda3bde728b2896"/>
                <w:lock w:val="sdtLocked"/>
                <w:richText/>
              </w:sdtPr>
              <w:sdtContent>
                <w:p>
                  <w:pPr>
                    <w:ind w:firstLine="567"/>
                    <w:jc w:val="both"/>
                  </w:pPr>
                  <w:sdt>
                    <w:sdtPr>
                      <w:alias w:val="Numeris"/>
                      <w:tag w:val="nr_86b410af3eea4fc89fda3bde728b2896"/>
                      <w:lock w:val="sdtLocked"/>
                      <w:richText/>
                    </w:sdtPr>
                    <w:sdtContent>
                      <w:r>
                        <w:t>4</w:t>
                      </w:r>
                    </w:sdtContent>
                  </w:sdt>
                  <w:r>
                    <w:t>. Reglamente vartojamos sąvokos:</w:t>
                  </w:r>
                </w:p>
                <w:sdt>
                  <w:sdtPr>
                    <w:alias w:val="4.1 pp."/>
                    <w:tag w:val="part_b1acbf47dbf74f0ea4dc229215589e07"/>
                    <w:lock w:val="sdtLocked"/>
                    <w:richText/>
                  </w:sdtPr>
                  <w:sdtContent>
                    <w:p>
                      <w:pPr>
                        <w:ind w:firstLine="567"/>
                        <w:jc w:val="both"/>
                      </w:pPr>
                      <w:sdt>
                        <w:sdtPr>
                          <w:alias w:val="Numeris"/>
                          <w:tag w:val="nr_b1acbf47dbf74f0ea4dc229215589e07"/>
                          <w:lock w:val="sdtLocked"/>
                          <w:richText/>
                        </w:sdtPr>
                        <w:sdtContent>
                          <w:r>
                            <w:rPr>
                              <w:szCs w:val="24"/>
                            </w:rPr>
                            <w:t>4.1</w:t>
                          </w:r>
                        </w:sdtContent>
                      </w:sdt>
                      <w:r>
                        <w:rPr>
                          <w:szCs w:val="24"/>
                        </w:rPr>
                        <w:t xml:space="preserve">. </w:t>
                      </w:r>
                      <w:r>
                        <w:rPr>
                          <w:b/>
                          <w:bCs/>
                          <w:color w:val="000000"/>
                          <w:szCs w:val="24"/>
                        </w:rPr>
                        <w:t>Akreditavimas</w:t>
                      </w:r>
                      <w:r>
                        <w:rPr>
                          <w:color w:val="000000"/>
                          <w:szCs w:val="24"/>
                        </w:rPr>
                        <w:t> – ši sąvoka suprantama taip, kaip apibrėžta 2008 m. liepos 9 d. Europos Parlamento ir Tarybos reglamente (EB) Nr. 765/2008, nustatančiame su gaminių prekyba susijusius akreditavimo ir rinkos priežiūros reikalavimus ir panaikinančiame Reglamentą (EEB) Nr. 339/93.</w:t>
                      </w:r>
                    </w:p>
                  </w:sdtContent>
                </w:sdt>
                <w:sdt>
                  <w:sdtPr>
                    <w:alias w:val="4.2 pp."/>
                    <w:tag w:val="part_d7d685bd82ad4a83af9203536ba8668b"/>
                    <w:lock w:val="sdtLocked"/>
                    <w:richText/>
                  </w:sdtPr>
                  <w:sdtContent>
                    <w:p>
                      <w:pPr>
                        <w:ind w:firstLine="567"/>
                        <w:jc w:val="both"/>
                      </w:pPr>
                      <w:sdt>
                        <w:sdtPr>
                          <w:alias w:val="Numeris"/>
                          <w:tag w:val="nr_d7d685bd82ad4a83af9203536ba8668b"/>
                          <w:lock w:val="sdtLocked"/>
                          <w:richText/>
                        </w:sdtPr>
                        <w:sdtContent>
                          <w:r>
                            <w:t>4.2</w:t>
                          </w:r>
                        </w:sdtContent>
                      </w:sdt>
                      <w:r>
                        <w:t xml:space="preserve">. </w:t>
                      </w:r>
                      <w:r>
                        <w:rPr>
                          <w:b/>
                        </w:rPr>
                        <w:t>Atitikties vertinimas</w:t>
                      </w:r>
                      <w:r>
                        <w:t xml:space="preserve"> – vertinimo, ar įrodyta, kad įvykdyti nurodyti reikalavimai dėl žaislo, procesas.</w:t>
                      </w:r>
                    </w:p>
                  </w:sdtContent>
                </w:sdt>
                <w:sdt>
                  <w:sdtPr>
                    <w:alias w:val="4.3 pp."/>
                    <w:tag w:val="part_b34390d802fc4b058d4788dc1092a38f"/>
                    <w:lock w:val="sdtLocked"/>
                    <w:richText/>
                  </w:sdtPr>
                  <w:sdtContent>
                    <w:p>
                      <w:pPr>
                        <w:ind w:firstLine="567"/>
                        <w:jc w:val="both"/>
                      </w:pPr>
                      <w:sdt>
                        <w:sdtPr>
                          <w:alias w:val="Numeris"/>
                          <w:tag w:val="nr_b34390d802fc4b058d4788dc1092a38f"/>
                          <w:lock w:val="sdtLocked"/>
                          <w:richText/>
                        </w:sdtPr>
                        <w:sdtContent>
                          <w:r>
                            <w:t>4.3</w:t>
                          </w:r>
                        </w:sdtContent>
                      </w:sdt>
                      <w:r>
                        <w:t xml:space="preserve">. </w:t>
                      </w:r>
                      <w:r>
                        <w:rPr>
                          <w:b/>
                        </w:rPr>
                        <w:t>Atitikties vertinimo įstaiga</w:t>
                      </w:r>
                      <w:r>
                        <w:t xml:space="preserve"> – įstaiga, vykdanti atitikties vertinimo veiklą, įskaitant kalibravimą, bandymus, sertifikavimą ir patikrinimus.</w:t>
                      </w:r>
                    </w:p>
                  </w:sdtContent>
                </w:sdt>
                <w:sdt>
                  <w:sdtPr>
                    <w:alias w:val="4.4 pp."/>
                    <w:tag w:val="part_00077cd3fc0645109f77a5633a1bb99e"/>
                    <w:lock w:val="sdtLocked"/>
                    <w:richText/>
                  </w:sdtPr>
                  <w:sdtContent>
                    <w:p>
                      <w:pPr>
                        <w:ind w:firstLine="567"/>
                        <w:jc w:val="both"/>
                      </w:pPr>
                      <w:sdt>
                        <w:sdtPr>
                          <w:alias w:val="Numeris"/>
                          <w:tag w:val="nr_00077cd3fc0645109f77a5633a1bb99e"/>
                          <w:lock w:val="sdtLocked"/>
                          <w:richText/>
                        </w:sdtPr>
                        <w:sdtContent>
                          <w:r>
                            <w:rPr>
                              <w:szCs w:val="24"/>
                            </w:rPr>
                            <w:t>4.4</w:t>
                          </w:r>
                        </w:sdtContent>
                      </w:sdt>
                      <w:r>
                        <w:rPr>
                          <w:szCs w:val="24"/>
                        </w:rPr>
                        <w:t xml:space="preserve">. </w:t>
                      </w:r>
                      <w:r>
                        <w:rPr>
                          <w:b/>
                          <w:bCs/>
                          <w:color w:val="000000"/>
                          <w:szCs w:val="24"/>
                        </w:rPr>
                        <w:t xml:space="preserve">Darnusis standartas </w:t>
                      </w:r>
                      <w:r>
                        <w:rPr>
                          <w:color w:val="000000"/>
                          <w:szCs w:val="24"/>
                        </w:rPr>
                        <w:t> – ši sąvoka suprantama taip, kaip apibrėžta 2012 m. spalio 25 d. Europos Parlamento ir Tarybos reglamento (ES) Nr. 1025/2012 dėl Europos standartizacijos, kuriuo iš dalies keičiamos Tarybos direktyvos 89/686/EEB ir 93/15/EEB ir Europos Parlamento ir Tarybos direktyvos 94/9/EB, 94/25/EB, 95/16/EB, 97/23/EB, 98/34/EB, 2004/22/EB, 2007/23/EB, 2009/23/EB ir 2009/105/EB ir panaikinamas Tarybos sprendimas 87/95/EEB ir Europos Parlamento ir Tarybos sprendimas Nr. 1673/2006/EB, su paskutiniais pakeitimais, padarytais 2013 m. lapkričio 20 d. Europos Parlamento ir Tarybos direktyva 2013/53/ES, 2 straipsnio 1 dalies c punkte.</w:t>
                      </w:r>
                    </w:p>
                  </w:sdtContent>
                </w:sdt>
                <w:sdt>
                  <w:sdtPr>
                    <w:alias w:val="4.5 pp."/>
                    <w:tag w:val="part_dca7ad46923d4cb8a74497c052271857"/>
                    <w:lock w:val="sdtLocked"/>
                    <w:richText/>
                  </w:sdtPr>
                  <w:sdtContent>
                    <w:p>
                      <w:pPr>
                        <w:ind w:firstLine="567"/>
                        <w:jc w:val="both"/>
                      </w:pPr>
                      <w:sdt>
                        <w:sdtPr>
                          <w:alias w:val="Numeris"/>
                          <w:tag w:val="nr_dca7ad46923d4cb8a74497c052271857"/>
                          <w:lock w:val="sdtLocked"/>
                          <w:richText/>
                        </w:sdtPr>
                        <w:sdtContent>
                          <w:r>
                            <w:t>4.5</w:t>
                          </w:r>
                        </w:sdtContent>
                      </w:sdt>
                      <w:r>
                        <w:t xml:space="preserve">. </w:t>
                      </w:r>
                      <w:r>
                        <w:rPr>
                          <w:b/>
                        </w:rPr>
                        <w:t>Derinamieji Europos Sąjungos teisės aktai</w:t>
                      </w:r>
                      <w:r>
                        <w:t xml:space="preserve"> (toliau – derinamieji Sąjungos teisės aktai) – Europos Sąjungos teisės aktai, kuriais suderinamos gaminių pardavimo sąlygos.</w:t>
                      </w:r>
                    </w:p>
                  </w:sdtContent>
                </w:sdt>
                <w:sdt>
                  <w:sdtPr>
                    <w:alias w:val="4.6 pp."/>
                    <w:tag w:val="part_beef4a111a4242c58c7c03d68d3917d2"/>
                    <w:lock w:val="sdtLocked"/>
                    <w:richText/>
                  </w:sdtPr>
                  <w:sdtContent>
                    <w:p>
                      <w:pPr>
                        <w:ind w:firstLine="567"/>
                        <w:jc w:val="both"/>
                      </w:pPr>
                      <w:sdt>
                        <w:sdtPr>
                          <w:alias w:val="Numeris"/>
                          <w:tag w:val="nr_beef4a111a4242c58c7c03d68d3917d2"/>
                          <w:lock w:val="sdtLocked"/>
                          <w:richText/>
                        </w:sdtPr>
                        <w:sdtContent>
                          <w:r>
                            <w:t>4.6</w:t>
                          </w:r>
                        </w:sdtContent>
                      </w:sdt>
                      <w:r>
                        <w:t xml:space="preserve">. </w:t>
                      </w:r>
                      <w:r>
                        <w:rPr>
                          <w:b/>
                        </w:rPr>
                        <w:t>Ekonominės veiklos vykdytojai</w:t>
                      </w:r>
                      <w:r>
                        <w:t xml:space="preserve"> – gamintojas, įgaliotasis atstovas, importuotojas ir platintojas.</w:t>
                      </w:r>
                    </w:p>
                  </w:sdtContent>
                </w:sdt>
                <w:sdt>
                  <w:sdtPr>
                    <w:alias w:val="4.7 pp."/>
                    <w:tag w:val="part_ea76574d8787439986bf5f8c21745f3e"/>
                    <w:lock w:val="sdtLocked"/>
                    <w:richText/>
                  </w:sdtPr>
                  <w:sdtContent>
                    <w:p>
                      <w:pPr>
                        <w:ind w:firstLine="567"/>
                        <w:jc w:val="both"/>
                      </w:pPr>
                      <w:sdt>
                        <w:sdtPr>
                          <w:alias w:val="Numeris"/>
                          <w:tag w:val="nr_ea76574d8787439986bf5f8c21745f3e"/>
                          <w:lock w:val="sdtLocked"/>
                          <w:richText/>
                        </w:sdtPr>
                        <w:sdtContent>
                          <w:r>
                            <w:t>4.7</w:t>
                          </w:r>
                        </w:sdtContent>
                      </w:sdt>
                      <w:r>
                        <w:t xml:space="preserve">. </w:t>
                      </w:r>
                      <w:r>
                        <w:rPr>
                          <w:b/>
                        </w:rPr>
                        <w:t>Funkcinis gaminys</w:t>
                      </w:r>
                      <w:r>
                        <w:t xml:space="preserve"> – gaminys, kuris veikia ir yra naudojamas taip pat kaip ir suaugusiesiems skirtas gaminys, prietaisas arba įrenginys, arba sumažintas jo modelis.</w:t>
                      </w:r>
                    </w:p>
                  </w:sdtContent>
                </w:sdt>
                <w:sdt>
                  <w:sdtPr>
                    <w:alias w:val="4.8 pp."/>
                    <w:tag w:val="part_21b56b6253da469e9239a2a190703854"/>
                    <w:lock w:val="sdtLocked"/>
                    <w:richText/>
                  </w:sdtPr>
                  <w:sdtContent>
                    <w:p>
                      <w:pPr>
                        <w:ind w:firstLine="567"/>
                        <w:jc w:val="both"/>
                      </w:pPr>
                      <w:sdt>
                        <w:sdtPr>
                          <w:alias w:val="Numeris"/>
                          <w:tag w:val="nr_21b56b6253da469e9239a2a190703854"/>
                          <w:lock w:val="sdtLocked"/>
                          <w:richText/>
                        </w:sdtPr>
                        <w:sdtContent>
                          <w:r>
                            <w:t>4.8</w:t>
                          </w:r>
                        </w:sdtContent>
                      </w:sdt>
                      <w:r>
                        <w:t xml:space="preserve">. </w:t>
                      </w:r>
                      <w:r>
                        <w:rPr>
                          <w:b/>
                        </w:rPr>
                        <w:t>Funkcinis žaislas</w:t>
                      </w:r>
                      <w:r>
                        <w:t xml:space="preserve"> – žaislas, kuris veikia ir yra naudojamas taip pat kaip ir suaugusiesiems skirtas gaminys, prietaisas ir įrenginys, arba sumažintas jo modelis.</w:t>
                      </w:r>
                    </w:p>
                  </w:sdtContent>
                </w:sdt>
                <w:sdt>
                  <w:sdtPr>
                    <w:alias w:val="4.9 pp."/>
                    <w:tag w:val="part_3407ce3c43f34292977fe726010547c5"/>
                    <w:lock w:val="sdtLocked"/>
                    <w:richText/>
                  </w:sdtPr>
                  <w:sdtContent>
                    <w:p>
                      <w:pPr>
                        <w:ind w:firstLine="567"/>
                        <w:jc w:val="both"/>
                      </w:pPr>
                      <w:sdt>
                        <w:sdtPr>
                          <w:alias w:val="Numeris"/>
                          <w:tag w:val="nr_3407ce3c43f34292977fe726010547c5"/>
                          <w:lock w:val="sdtLocked"/>
                          <w:richText/>
                        </w:sdtPr>
                        <w:sdtContent>
                          <w:r>
                            <w:t>4.9</w:t>
                          </w:r>
                        </w:sdtContent>
                      </w:sdt>
                      <w:r>
                        <w:t xml:space="preserve">. </w:t>
                      </w:r>
                      <w:r>
                        <w:rPr>
                          <w:b/>
                        </w:rPr>
                        <w:t>Gamintojas</w:t>
                      </w:r>
                      <w:r>
                        <w:t xml:space="preserve"> – fizinis arba juridinis asmuo, Europos Sąjungos ir kitoje Europos ekonominės erdvės valstybėje narėje įsteigta kita organizacija, šių valstybių juridinio asmens ar kitos organizacijos padalinys, pagaminęs žaislą arba užsakęs suprojektuoti arba pagaminti žaislą ir parduodantis tą žaislą savo vardu arba naudodamas savo prekės ženklą.</w:t>
                      </w:r>
                    </w:p>
                  </w:sdtContent>
                </w:sdt>
                <w:sdt>
                  <w:sdtPr>
                    <w:alias w:val="4.10 pp."/>
                    <w:tag w:val="part_a368da1d027d4828b765b5075dda8fa0"/>
                    <w:lock w:val="sdtLocked"/>
                    <w:richText/>
                  </w:sdtPr>
                  <w:sdtContent>
                    <w:p>
                      <w:pPr>
                        <w:ind w:firstLine="567"/>
                        <w:jc w:val="both"/>
                      </w:pPr>
                      <w:sdt>
                        <w:sdtPr>
                          <w:alias w:val="Numeris"/>
                          <w:tag w:val="nr_a368da1d027d4828b765b5075dda8fa0"/>
                          <w:lock w:val="sdtLocked"/>
                          <w:richText/>
                        </w:sdtPr>
                        <w:sdtContent>
                          <w:r>
                            <w:t>4.10</w:t>
                          </w:r>
                        </w:sdtContent>
                      </w:sdt>
                      <w:r>
                        <w:t xml:space="preserve">. </w:t>
                      </w:r>
                      <w:r>
                        <w:rPr>
                          <w:b/>
                        </w:rPr>
                        <w:t>Cheminis žaislas</w:t>
                      </w:r>
                      <w:r>
                        <w:t xml:space="preserve"> – žaislas, kurio sudedamosios dalys – cheminės medžiagos ir mišiniai – skirtos liesti ir naudoti vaiko amžių atitinkančiu būdu prižiūrint suaugusiajam.</w:t>
                      </w:r>
                    </w:p>
                  </w:sdtContent>
                </w:sdt>
                <w:sdt>
                  <w:sdtPr>
                    <w:alias w:val="4.11 pp."/>
                    <w:tag w:val="part_4089eee332134b289691c6e0c461f929"/>
                    <w:lock w:val="sdtLocked"/>
                    <w:richText/>
                  </w:sdtPr>
                  <w:sdtContent>
                    <w:p>
                      <w:pPr>
                        <w:ind w:firstLine="567"/>
                        <w:jc w:val="both"/>
                      </w:pPr>
                      <w:sdt>
                        <w:sdtPr>
                          <w:alias w:val="Numeris"/>
                          <w:tag w:val="nr_4089eee332134b289691c6e0c461f929"/>
                          <w:lock w:val="sdtLocked"/>
                          <w:richText/>
                        </w:sdtPr>
                        <w:sdtContent>
                          <w:r>
                            <w:t>4.11</w:t>
                          </w:r>
                        </w:sdtContent>
                      </w:sdt>
                      <w:r>
                        <w:t xml:space="preserve">. </w:t>
                      </w:r>
                      <w:r>
                        <w:rPr>
                          <w:b/>
                        </w:rPr>
                        <w:t>Importuotojas</w:t>
                      </w:r>
                      <w:r>
                        <w:t xml:space="preserve"> – Europos Sąjungoje įsisteigęs fizinis arba juridinis asmuo, Europos Sąjungos ir kitoje Europos ekonominės erdvės valstybėje narėje įsteigta kita organizacija, šių valstybių juridinio asmens ar kitos organizacijos padalinys, tiekiantis gaminį iš valstybės, kuri nėra Sąjungos narė, Sąjungos rinkai.</w:t>
                      </w:r>
                    </w:p>
                  </w:sdtContent>
                </w:sdt>
                <w:sdt>
                  <w:sdtPr>
                    <w:alias w:val="4.12 pp."/>
                    <w:tag w:val="part_219a135f94764aca99538986a878676d"/>
                    <w:lock w:val="sdtLocked"/>
                    <w:richText/>
                  </w:sdtPr>
                  <w:sdtContent>
                    <w:p>
                      <w:pPr>
                        <w:ind w:firstLine="567"/>
                        <w:jc w:val="both"/>
                      </w:pPr>
                      <w:sdt>
                        <w:sdtPr>
                          <w:alias w:val="Numeris"/>
                          <w:tag w:val="nr_219a135f94764aca99538986a878676d"/>
                          <w:lock w:val="sdtLocked"/>
                          <w:richText/>
                        </w:sdtPr>
                        <w:sdtContent>
                          <w:r>
                            <w:t>4.12</w:t>
                          </w:r>
                        </w:sdtContent>
                      </w:sdt>
                      <w:r>
                        <w:t xml:space="preserve">. </w:t>
                      </w:r>
                      <w:r>
                        <w:rPr>
                          <w:b/>
                        </w:rPr>
                        <w:t>Įgaliotasis atstovas</w:t>
                      </w:r>
                      <w:r>
                        <w:t xml:space="preserve"> – Europos Sąjungoje įsisteigęs fizinis arba juridinis asmuo, Europos Sąjungos ir kitoje Europos ekonominės erdvės valstybėje narėje įsteigta kita organizacija, šių valstybių juridinio asmens ar kitos organizacijos padalinys, turintis raštišką gamintojo įgaliojimą veikti jo vardu vykdant nustatytus įsipareigojimus.</w:t>
                      </w:r>
                    </w:p>
                  </w:sdtContent>
                </w:sdt>
                <w:sdt>
                  <w:sdtPr>
                    <w:alias w:val="4.13 pp."/>
                    <w:tag w:val="part_6fbbb44bd0da48eb85b008f17d7ddfb7"/>
                    <w:lock w:val="sdtLocked"/>
                    <w:richText/>
                  </w:sdtPr>
                  <w:sdtContent>
                    <w:p>
                      <w:pPr>
                        <w:ind w:firstLine="567"/>
                        <w:jc w:val="both"/>
                      </w:pPr>
                      <w:sdt>
                        <w:sdtPr>
                          <w:alias w:val="Numeris"/>
                          <w:tag w:val="nr_6fbbb44bd0da48eb85b008f17d7ddfb7"/>
                          <w:lock w:val="sdtLocked"/>
                          <w:richText/>
                        </w:sdtPr>
                        <w:sdtContent>
                          <w:r>
                            <w:t>4.13</w:t>
                          </w:r>
                        </w:sdtContent>
                      </w:sdt>
                      <w:r>
                        <w:t xml:space="preserve">. </w:t>
                      </w:r>
                      <w:r>
                        <w:rPr>
                          <w:b/>
                        </w:rPr>
                        <w:t>Judrumo žaislas</w:t>
                      </w:r>
                      <w:r>
                        <w:t xml:space="preserve"> – žaislas, skirtas naudoti buityje, kurio atraminė struktūra judant lieka stacionari ir kuris yra skirtas vaikui kuriam nors iš šių veiksmų atlikti: kopti, šokinėti, sūpuotis, čiuožti, svyruoti, suktis, ropoti, šliaužti ar atlikti bet kokią nurodytų veiksmų kombinaciją.</w:t>
                      </w:r>
                    </w:p>
                  </w:sdtContent>
                </w:sdt>
                <w:sdt>
                  <w:sdtPr>
                    <w:alias w:val="4.14 pp."/>
                    <w:tag w:val="part_750afe08994c4cc0bf76ebdb4f125d8c"/>
                    <w:lock w:val="sdtLocked"/>
                    <w:richText/>
                  </w:sdtPr>
                  <w:sdtContent>
                    <w:p>
                      <w:pPr>
                        <w:ind w:firstLine="567"/>
                        <w:jc w:val="both"/>
                      </w:pPr>
                      <w:sdt>
                        <w:sdtPr>
                          <w:alias w:val="Numeris"/>
                          <w:tag w:val="nr_750afe08994c4cc0bf76ebdb4f125d8c"/>
                          <w:lock w:val="sdtLocked"/>
                          <w:richText/>
                        </w:sdtPr>
                        <w:sdtContent>
                          <w:r>
                            <w:t>4.14</w:t>
                          </w:r>
                        </w:sdtContent>
                      </w:sdt>
                      <w:r>
                        <w:t xml:space="preserve">. </w:t>
                      </w:r>
                      <w:r>
                        <w:rPr>
                          <w:b/>
                        </w:rPr>
                        <w:t>Konstrukcinis greitis</w:t>
                      </w:r>
                      <w:r>
                        <w:t xml:space="preserve"> – tipiškas potencialus veikimo greitis, kurį lemia žaislo konstrukcija.</w:t>
                      </w:r>
                    </w:p>
                  </w:sdtContent>
                </w:sdt>
                <w:sdt>
                  <w:sdtPr>
                    <w:alias w:val="4.15 pp."/>
                    <w:tag w:val="part_f4bdddadd6e44164a13dadbe697b095c"/>
                    <w:lock w:val="sdtLocked"/>
                    <w:richText/>
                  </w:sdtPr>
                  <w:sdtContent>
                    <w:p>
                      <w:pPr>
                        <w:ind w:firstLine="567"/>
                        <w:jc w:val="both"/>
                      </w:pPr>
                      <w:sdt>
                        <w:sdtPr>
                          <w:alias w:val="Numeris"/>
                          <w:tag w:val="nr_f4bdddadd6e44164a13dadbe697b095c"/>
                          <w:lock w:val="sdtLocked"/>
                          <w:richText/>
                        </w:sdtPr>
                        <w:sdtContent>
                          <w:r>
                            <w:t>4.15</w:t>
                          </w:r>
                        </w:sdtContent>
                      </w:sdt>
                      <w:r>
                        <w:t xml:space="preserve">. </w:t>
                      </w:r>
                      <w:r>
                        <w:rPr>
                          <w:b/>
                        </w:rPr>
                        <w:t>Kosmetikos rinkinys</w:t>
                      </w:r>
                      <w:r>
                        <w:t xml:space="preserve"> – žaislas, kuriuo žaidžiant siekiama padėti vaikui išmokti gaminti tokius produktus: kvepalus, muilą, kremą, šampūną, vonios putas, blizgį, lūpų dažus, veido kosmetiką, dantų pastą ir plaukų minkštiklį.</w:t>
                      </w:r>
                    </w:p>
                  </w:sdtContent>
                </w:sdt>
                <w:sdt>
                  <w:sdtPr>
                    <w:alias w:val="4.16 pp."/>
                    <w:tag w:val="part_43decb5be96843a0b16e4d9e3ad74ed2"/>
                    <w:lock w:val="sdtLocked"/>
                    <w:richText/>
                  </w:sdtPr>
                  <w:sdtContent>
                    <w:p>
                      <w:pPr>
                        <w:ind w:firstLine="567"/>
                        <w:jc w:val="both"/>
                      </w:pPr>
                      <w:sdt>
                        <w:sdtPr>
                          <w:alias w:val="Numeris"/>
                          <w:tag w:val="nr_43decb5be96843a0b16e4d9e3ad74ed2"/>
                          <w:lock w:val="sdtLocked"/>
                          <w:richText/>
                        </w:sdtPr>
                        <w:sdtContent>
                          <w:r>
                            <w:t>4.16</w:t>
                          </w:r>
                        </w:sdtContent>
                      </w:sdt>
                      <w:r>
                        <w:t xml:space="preserve">. </w:t>
                      </w:r>
                      <w:r>
                        <w:rPr>
                          <w:b/>
                        </w:rPr>
                        <w:t>Pašalinimas</w:t>
                      </w:r>
                      <w:r>
                        <w:t xml:space="preserve"> – bet kokia priemonė, kuria siekiama bet kuriame tiekimo etape užkirsti kelią žaislo tiekimui rinkai.</w:t>
                      </w:r>
                    </w:p>
                  </w:sdtContent>
                </w:sdt>
                <w:sdt>
                  <w:sdtPr>
                    <w:alias w:val="4.17 pp."/>
                    <w:tag w:val="part_16d4c3713bc84d33899ba3846e04d661"/>
                    <w:lock w:val="sdtLocked"/>
                    <w:richText/>
                  </w:sdtPr>
                  <w:sdtContent>
                    <w:p>
                      <w:pPr>
                        <w:ind w:firstLine="567"/>
                        <w:jc w:val="both"/>
                      </w:pPr>
                      <w:sdt>
                        <w:sdtPr>
                          <w:alias w:val="Numeris"/>
                          <w:tag w:val="nr_16d4c3713bc84d33899ba3846e04d661"/>
                          <w:lock w:val="sdtLocked"/>
                          <w:richText/>
                        </w:sdtPr>
                        <w:sdtContent>
                          <w:r>
                            <w:t>4.17</w:t>
                          </w:r>
                        </w:sdtContent>
                      </w:sdt>
                      <w:r>
                        <w:t xml:space="preserve">. </w:t>
                      </w:r>
                      <w:r>
                        <w:rPr>
                          <w:b/>
                        </w:rPr>
                        <w:t>Pateikimas rinkai</w:t>
                      </w:r>
                      <w:r>
                        <w:t xml:space="preserve"> – žaislo tiekimas Lietuvos rinkai pirmą kartą.</w:t>
                      </w:r>
                    </w:p>
                  </w:sdtContent>
                </w:sdt>
                <w:sdt>
                  <w:sdtPr>
                    <w:alias w:val="4.18 pp."/>
                    <w:tag w:val="part_4e98110f1a424aea8eeaa1616107253e"/>
                    <w:lock w:val="sdtLocked"/>
                    <w:richText/>
                  </w:sdtPr>
                  <w:sdtContent>
                    <w:p>
                      <w:pPr>
                        <w:ind w:firstLine="567"/>
                        <w:jc w:val="both"/>
                      </w:pPr>
                      <w:sdt>
                        <w:sdtPr>
                          <w:alias w:val="Numeris"/>
                          <w:tag w:val="nr_4e98110f1a424aea8eeaa1616107253e"/>
                          <w:lock w:val="sdtLocked"/>
                          <w:richText/>
                        </w:sdtPr>
                        <w:sdtContent>
                          <w:r>
                            <w:t>4.18</w:t>
                          </w:r>
                        </w:sdtContent>
                      </w:sdt>
                      <w:r>
                        <w:t xml:space="preserve">. </w:t>
                      </w:r>
                      <w:r>
                        <w:rPr>
                          <w:b/>
                        </w:rPr>
                        <w:t>Pavojus</w:t>
                      </w:r>
                      <w:r>
                        <w:t xml:space="preserve"> – galimas žalos šaltinis.</w:t>
                      </w:r>
                    </w:p>
                  </w:sdtContent>
                </w:sdt>
                <w:sdt>
                  <w:sdtPr>
                    <w:alias w:val="4.19 pp."/>
                    <w:tag w:val="part_a88ec0c45a1447da8ad5e78d29c52746"/>
                    <w:lock w:val="sdtLocked"/>
                    <w:richText/>
                  </w:sdtPr>
                  <w:sdtContent>
                    <w:p>
                      <w:pPr>
                        <w:ind w:firstLine="567"/>
                        <w:jc w:val="both"/>
                      </w:pPr>
                      <w:sdt>
                        <w:sdtPr>
                          <w:alias w:val="Numeris"/>
                          <w:tag w:val="nr_a88ec0c45a1447da8ad5e78d29c52746"/>
                          <w:lock w:val="sdtLocked"/>
                          <w:richText/>
                        </w:sdtPr>
                        <w:sdtContent>
                          <w:r>
                            <w:t>4.19</w:t>
                          </w:r>
                        </w:sdtContent>
                      </w:sdt>
                      <w:r>
                        <w:t xml:space="preserve">. </w:t>
                      </w:r>
                      <w:r>
                        <w:rPr>
                          <w:b/>
                        </w:rPr>
                        <w:t>Platintojas</w:t>
                      </w:r>
                      <w:r>
                        <w:t xml:space="preserve"> – tiekimo grandinėje veikiantis fizinis arba juridinis asmuo, Europos Sąjungos ir kitoje Europos ekonominės erdvės valstybėje narėje įsteigta kita organizacija, šių valstybių juridinio asmens ar kitos organizacijos padalinys, išskyrus gamintoją arba importuotoją, tiekiantį žaislą rinkai.</w:t>
                      </w:r>
                    </w:p>
                  </w:sdtContent>
                </w:sdt>
                <w:sdt>
                  <w:sdtPr>
                    <w:alias w:val="4.20 pp."/>
                    <w:tag w:val="part_8987cfaff8d944918efd8b406f635082"/>
                    <w:lock w:val="sdtLocked"/>
                    <w:richText/>
                  </w:sdtPr>
                  <w:sdtContent>
                    <w:p>
                      <w:pPr>
                        <w:ind w:firstLine="567"/>
                        <w:jc w:val="both"/>
                      </w:pPr>
                      <w:sdt>
                        <w:sdtPr>
                          <w:alias w:val="Numeris"/>
                          <w:tag w:val="nr_8987cfaff8d944918efd8b406f635082"/>
                          <w:lock w:val="sdtLocked"/>
                          <w:richText/>
                        </w:sdtPr>
                        <w:sdtContent>
                          <w:r>
                            <w:t>4.20</w:t>
                          </w:r>
                        </w:sdtContent>
                      </w:sdt>
                      <w:r>
                        <w:t xml:space="preserve">. </w:t>
                      </w:r>
                      <w:r>
                        <w:rPr>
                          <w:b/>
                        </w:rPr>
                        <w:t>Ragavimo žaidimas</w:t>
                      </w:r>
                      <w:r>
                        <w:t xml:space="preserve"> – žaidimas, kurio tikslas – suteikti vaikams galimybę gaminti saldumynus ar patiekalus ir į kurį įeina sudedamosios maisto dalys, pvz., saldumynai, skysčiai, milteliai ir kvapiosios medžiagos.</w:t>
                      </w:r>
                    </w:p>
                  </w:sdtContent>
                </w:sdt>
                <w:sdt>
                  <w:sdtPr>
                    <w:alias w:val="4.21 pp."/>
                    <w:tag w:val="part_ab90e2e357984f6da3f9a8be99a6de74"/>
                    <w:lock w:val="sdtLocked"/>
                    <w:richText/>
                  </w:sdtPr>
                  <w:sdtContent>
                    <w:p>
                      <w:pPr>
                        <w:ind w:firstLine="567"/>
                        <w:jc w:val="both"/>
                      </w:pPr>
                      <w:sdt>
                        <w:sdtPr>
                          <w:alias w:val="Numeris"/>
                          <w:tag w:val="nr_ab90e2e357984f6da3f9a8be99a6de74"/>
                          <w:lock w:val="sdtLocked"/>
                          <w:richText/>
                        </w:sdtPr>
                        <w:sdtContent>
                          <w:r>
                            <w:t>4.21</w:t>
                          </w:r>
                        </w:sdtContent>
                      </w:sdt>
                      <w:r>
                        <w:t xml:space="preserve">. </w:t>
                      </w:r>
                      <w:r>
                        <w:rPr>
                          <w:b/>
                        </w:rPr>
                        <w:t>Rinkos priežiūra</w:t>
                      </w:r>
                      <w:r>
                        <w:t xml:space="preserve"> – valstybės institucijų vykdoma veikla ir taikomos priemonės, kurių jos ėmėsi, siekdamos užtikrinti, kad žaislai atitiktų tiesiogiai taikomuose derinamuosiuose Sąjungos teisės aktuose ir juos įgyvendinančiuose Lietuvos Respublikos teisės aktuose nustatytus reikalavimus ir nekeltų pavojaus sveikatai, saugai ar kitiems visuomenės interesams.</w:t>
                      </w:r>
                    </w:p>
                  </w:sdtContent>
                </w:sdt>
                <w:sdt>
                  <w:sdtPr>
                    <w:alias w:val="4.22 pp."/>
                    <w:tag w:val="part_ff5f4e592a954907b0d4e8b6a1eadc67"/>
                    <w:lock w:val="sdtLocked"/>
                    <w:richText/>
                  </w:sdtPr>
                  <w:sdtContent>
                    <w:p>
                      <w:pPr>
                        <w:ind w:firstLine="567"/>
                        <w:jc w:val="both"/>
                      </w:pPr>
                      <w:sdt>
                        <w:sdtPr>
                          <w:alias w:val="Numeris"/>
                          <w:tag w:val="nr_ff5f4e592a954907b0d4e8b6a1eadc67"/>
                          <w:lock w:val="sdtLocked"/>
                          <w:richText/>
                        </w:sdtPr>
                        <w:sdtContent>
                          <w:r>
                            <w:t>4.22</w:t>
                          </w:r>
                        </w:sdtContent>
                      </w:sdt>
                      <w:r>
                        <w:t xml:space="preserve">. </w:t>
                      </w:r>
                      <w:r>
                        <w:rPr>
                          <w:b/>
                        </w:rPr>
                        <w:t>Rizika</w:t>
                      </w:r>
                      <w:r>
                        <w:t xml:space="preserve"> – tikėtinas pavojaus, kad gali būti patiriama žala, dažnumas ir galimas žalos laipsnis.</w:t>
                      </w:r>
                    </w:p>
                  </w:sdtContent>
                </w:sdt>
                <w:sdt>
                  <w:sdtPr>
                    <w:alias w:val="4.23 pp."/>
                    <w:tag w:val="part_a5475cd2ea7d4384a244ba80f8a9d91e"/>
                    <w:lock w:val="sdtLocked"/>
                    <w:richText/>
                  </w:sdtPr>
                  <w:sdtContent>
                    <w:p>
                      <w:pPr>
                        <w:ind w:firstLine="567"/>
                        <w:jc w:val="both"/>
                      </w:pPr>
                      <w:sdt>
                        <w:sdtPr>
                          <w:alias w:val="Numeris"/>
                          <w:tag w:val="nr_a5475cd2ea7d4384a244ba80f8a9d91e"/>
                          <w:lock w:val="sdtLocked"/>
                          <w:richText/>
                        </w:sdtPr>
                        <w:sdtContent>
                          <w:r>
                            <w:t>4.23</w:t>
                          </w:r>
                        </w:sdtContent>
                      </w:sdt>
                      <w:r>
                        <w:t xml:space="preserve">. </w:t>
                      </w:r>
                      <w:r>
                        <w:rPr>
                          <w:b/>
                        </w:rPr>
                        <w:t>Serijinė gamyba</w:t>
                      </w:r>
                      <w:r>
                        <w:t xml:space="preserve"> – periodiškai serijomis gaminami gaminiai, kurių rinkai reikia nuolat ir didelių kiekių.</w:t>
                      </w:r>
                    </w:p>
                  </w:sdtContent>
                </w:sdt>
                <w:sdt>
                  <w:sdtPr>
                    <w:alias w:val="4.24 pp."/>
                    <w:tag w:val="part_99b3c0199d4f464fbc5b6e1a23d2c256"/>
                    <w:lock w:val="sdtLocked"/>
                    <w:richText/>
                  </w:sdtPr>
                  <w:sdtContent>
                    <w:p>
                      <w:pPr>
                        <w:ind w:firstLine="567"/>
                        <w:jc w:val="both"/>
                      </w:pPr>
                      <w:sdt>
                        <w:sdtPr>
                          <w:alias w:val="Numeris"/>
                          <w:tag w:val="nr_99b3c0199d4f464fbc5b6e1a23d2c256"/>
                          <w:lock w:val="sdtLocked"/>
                          <w:richText/>
                        </w:sdtPr>
                        <w:sdtContent>
                          <w:r>
                            <w:t>4.24</w:t>
                          </w:r>
                        </w:sdtContent>
                      </w:sdt>
                      <w:r>
                        <w:t xml:space="preserve">. </w:t>
                      </w:r>
                      <w:r>
                        <w:rPr>
                          <w:b/>
                        </w:rPr>
                        <w:t>Susigrąžinimas</w:t>
                      </w:r>
                      <w:r>
                        <w:t xml:space="preserve"> – bet kokia priemonė, kuria siekiama sugrąžinti žaislą ekonominės veiklos vykdytojui, kuris jį yra pateikęs galutiniam naudotojui.</w:t>
                      </w:r>
                    </w:p>
                  </w:sdtContent>
                </w:sdt>
                <w:sdt>
                  <w:sdtPr>
                    <w:alias w:val="4.25 pp."/>
                    <w:tag w:val="part_0bc31720564641acaf32f632f11397dd"/>
                    <w:lock w:val="sdtLocked"/>
                    <w:richText/>
                  </w:sdtPr>
                  <w:sdtContent>
                    <w:p>
                      <w:pPr>
                        <w:ind w:firstLine="567"/>
                        <w:jc w:val="both"/>
                      </w:pPr>
                      <w:sdt>
                        <w:sdtPr>
                          <w:alias w:val="Numeris"/>
                          <w:tag w:val="nr_0bc31720564641acaf32f632f11397dd"/>
                          <w:lock w:val="sdtLocked"/>
                          <w:richText/>
                        </w:sdtPr>
                        <w:sdtContent>
                          <w:r>
                            <w:t>4.25</w:t>
                          </w:r>
                        </w:sdtContent>
                      </w:sdt>
                      <w:r>
                        <w:t xml:space="preserve">. </w:t>
                      </w:r>
                      <w:r>
                        <w:rPr>
                          <w:b/>
                        </w:rPr>
                        <w:t>Tiekimas rinkai</w:t>
                      </w:r>
                      <w:r>
                        <w:t xml:space="preserve"> – platinti, vartoti ar naudoti Lietuvos rinkoje skirto žaislo pateikimas vykdant komercinę veiklą už atlygį arba be jo.</w:t>
                      </w:r>
                    </w:p>
                  </w:sdtContent>
                </w:sdt>
                <w:sdt>
                  <w:sdtPr>
                    <w:alias w:val="4.26 pp."/>
                    <w:tag w:val="part_e27d1e8d6447453aa531f9f603409a23"/>
                    <w:lock w:val="sdtLocked"/>
                    <w:richText/>
                  </w:sdtPr>
                  <w:sdtContent>
                    <w:p>
                      <w:pPr>
                        <w:ind w:firstLine="567"/>
                        <w:jc w:val="both"/>
                      </w:pPr>
                      <w:sdt>
                        <w:sdtPr>
                          <w:alias w:val="Numeris"/>
                          <w:tag w:val="nr_e27d1e8d6447453aa531f9f603409a23"/>
                          <w:lock w:val="sdtLocked"/>
                          <w:richText/>
                        </w:sdtPr>
                        <w:sdtContent>
                          <w:r>
                            <w:t>4.26</w:t>
                          </w:r>
                        </w:sdtContent>
                      </w:sdt>
                      <w:r>
                        <w:t xml:space="preserve">. </w:t>
                      </w:r>
                      <w:r>
                        <w:rPr>
                          <w:b/>
                        </w:rPr>
                        <w:t>Uoslės lavinimo žaislas</w:t>
                      </w:r>
                      <w:r>
                        <w:t xml:space="preserve"> – žaislas, kuriuo siekiama padėti vaikui išmokti atpažinti įvairius kvapus.</w:t>
                      </w:r>
                    </w:p>
                  </w:sdtContent>
                </w:sdt>
                <w:sdt>
                  <w:sdtPr>
                    <w:alias w:val="4.27 pp."/>
                    <w:tag w:val="part_a33dda602a444456ac75cc271e9b04cf"/>
                    <w:lock w:val="sdtLocked"/>
                    <w:richText/>
                  </w:sdtPr>
                  <w:sdtContent>
                    <w:p>
                      <w:pPr>
                        <w:ind w:firstLine="567"/>
                        <w:jc w:val="both"/>
                      </w:pPr>
                      <w:sdt>
                        <w:sdtPr>
                          <w:alias w:val="Numeris"/>
                          <w:tag w:val="nr_a33dda602a444456ac75cc271e9b04cf"/>
                          <w:lock w:val="sdtLocked"/>
                          <w:richText/>
                        </w:sdtPr>
                        <w:sdtContent>
                          <w:r>
                            <w:t>4.27</w:t>
                          </w:r>
                        </w:sdtContent>
                      </w:sdt>
                      <w:r>
                        <w:t xml:space="preserve">. </w:t>
                      </w:r>
                      <w:r>
                        <w:rPr>
                          <w:b/>
                        </w:rPr>
                        <w:t>Vandens žaislas</w:t>
                      </w:r>
                      <w:r>
                        <w:t xml:space="preserve"> – naudoti negiliame vandens telkinyje skirtas žaislas, kuris gali išlaikyti ar palaikyti vaiką ant vandens.</w:t>
                      </w:r>
                    </w:p>
                  </w:sdtContent>
                </w:sdt>
                <w:sdt>
                  <w:sdtPr>
                    <w:alias w:val="4.28 pp."/>
                    <w:tag w:val="part_2287aeef72c2499a888f3d8bbeeeb4d9"/>
                    <w:lock w:val="sdtLocked"/>
                    <w:richText/>
                  </w:sdtPr>
                  <w:sdtContent>
                    <w:p>
                      <w:pPr>
                        <w:ind w:firstLine="567"/>
                        <w:jc w:val="both"/>
                      </w:pPr>
                      <w:sdt>
                        <w:sdtPr>
                          <w:alias w:val="Numeris"/>
                          <w:tag w:val="nr_2287aeef72c2499a888f3d8bbeeeb4d9"/>
                          <w:lock w:val="sdtLocked"/>
                          <w:richText/>
                        </w:sdtPr>
                        <w:sdtContent>
                          <w:r>
                            <w:t>4.28</w:t>
                          </w:r>
                        </w:sdtContent>
                      </w:sdt>
                      <w:r>
                        <w:t xml:space="preserve">. </w:t>
                      </w:r>
                      <w:r>
                        <w:rPr>
                          <w:b/>
                        </w:rPr>
                        <w:t>Žala</w:t>
                      </w:r>
                      <w:r>
                        <w:t xml:space="preserve"> – fizinis sužeidimas arba kita žala sveikatai, įskaitant ilgalaikę žalą.</w:t>
                      </w:r>
                    </w:p>
                  </w:sdtContent>
                </w:sdt>
                <w:sdt>
                  <w:sdtPr>
                    <w:alias w:val="4.29 pp."/>
                    <w:tag w:val="part_543554647f6d4c9fa6b1bd72a00298c8"/>
                    <w:lock w:val="sdtLocked"/>
                    <w:richText/>
                  </w:sdtPr>
                  <w:sdtContent>
                    <w:p>
                      <w:pPr>
                        <w:ind w:firstLine="567"/>
                        <w:jc w:val="both"/>
                      </w:pPr>
                      <w:sdt>
                        <w:sdtPr>
                          <w:alias w:val="Numeris"/>
                          <w:tag w:val="nr_543554647f6d4c9fa6b1bd72a00298c8"/>
                          <w:lock w:val="sdtLocked"/>
                          <w:richText/>
                        </w:sdtPr>
                        <w:sdtContent>
                          <w:r>
                            <w:t>4.29</w:t>
                          </w:r>
                        </w:sdtContent>
                      </w:sdt>
                      <w:r>
                        <w:t>.</w:t>
                      </w:r>
                      <w:r>
                        <w:rPr>
                          <w:b/>
                        </w:rPr>
                        <w:t xml:space="preserve"> Ženklas CE</w:t>
                      </w:r>
                      <w:r>
                        <w:t xml:space="preserve"> – ženklas, kuriuo gamintojas nurodo, kad žaislas atitinka taikytinus reikalavimus, nurodytus tiesiogiai taikomuose derinamuosiuose Sąjungos teisės aktuose ir juos įgyvendinančiuose Lietuvos Respublikos teisės aktuose, nustatančiuose ženklinimą šiuo ženklu.</w:t>
                      </w:r>
                    </w:p>
                  </w:sdtContent>
                </w:sdt>
              </w:sdtContent>
            </w:sdt>
            <w:sdt>
              <w:sdtPr>
                <w:alias w:val="4-1 p."/>
                <w:tag w:val="part_f3f588fe051f4261906de496f913cdcc"/>
                <w:lock w:val="sdtLocked"/>
                <w:richText/>
              </w:sdtPr>
              <w:sdtContent>
                <w:p>
                  <w:pPr>
                    <w:ind w:firstLine="567"/>
                    <w:jc w:val="both"/>
                    <w:rPr>
                      <w:color w:val="000000"/>
                    </w:rPr>
                  </w:pPr>
                  <w:sdt>
                    <w:sdtPr>
                      <w:alias w:val="Numeris"/>
                      <w:tag w:val="nr_f3f588fe051f4261906de496f913cdcc"/>
                      <w:lock w:val="sdtLocked"/>
                      <w:richText/>
                    </w:sdtPr>
                    <w:sdtContent>
                      <w:r>
                        <w:t>4</w:t>
                      </w:r>
                      <w:r>
                        <w:rPr>
                          <w:vertAlign w:val="superscript"/>
                        </w:rPr>
                        <w:t>1</w:t>
                      </w:r>
                    </w:sdtContent>
                  </w:sdt>
                  <w:r>
                    <w:t xml:space="preserve">. Apibūdinimas „skirtas“ reiškia, kad vienas iš tėvų ar prižiūrėtojas, remdamasis žaislo funkcijomis, matmenimis, savybėmis, gali pagrįstai manyti, kad jis skirtas naudoti nurodytos amžiaus grupės vaikui. </w:t>
                  </w:r>
                </w:p>
              </w:sdtContent>
            </w:sdt>
            <w:sdt>
              <w:sdtPr>
                <w:alias w:val="5 p."/>
                <w:tag w:val="part_07b15bdb17ec4894a173db4bad8f5cb0"/>
                <w:lock w:val="sdtLocked"/>
                <w:richText/>
              </w:sdtPr>
              <w:sdtContent>
                <w:p>
                  <w:pPr>
                    <w:widowControl w:val="0"/>
                    <w:suppressAutoHyphens/>
                    <w:ind w:firstLine="567"/>
                    <w:jc w:val="both"/>
                    <w:rPr>
                      <w:color w:val="000000"/>
                    </w:rPr>
                  </w:pPr>
                  <w:sdt>
                    <w:sdtPr>
                      <w:alias w:val="Numeris"/>
                      <w:tag w:val="nr_07b15bdb17ec4894a173db4bad8f5cb0"/>
                      <w:lock w:val="sdtLocked"/>
                      <w:richText/>
                    </w:sdtPr>
                    <w:sdtContent>
                      <w:r>
                        <w:rPr>
                          <w:color w:val="000000"/>
                        </w:rPr>
                        <w:t>5</w:t>
                      </w:r>
                    </w:sdtContent>
                  </w:sdt>
                  <w:r>
                    <w:rPr>
                      <w:color w:val="000000"/>
                    </w:rPr>
                    <w:t xml:space="preserve">. Rinkos priežiūros institucija yra </w:t>
                  </w:r>
                  <w:r>
                    <w:rPr>
                      <w:szCs w:val="24"/>
                    </w:rPr>
                    <w:t>Valstybinė vartotojų teisių apsaugos tarnyba</w:t>
                  </w:r>
                  <w:r>
                    <w:rPr>
                      <w:b/>
                      <w:szCs w:val="24"/>
                    </w:rPr>
                    <w:t xml:space="preserve"> </w:t>
                  </w:r>
                  <w:r>
                    <w:rPr>
                      <w:color w:val="000000"/>
                    </w:rPr>
                    <w:t>(toliau –Tarnyba), kuri prižiūri, ar tiekiami rinkai ir rinkoje esantys žaislai atitinka Reglamento reikalavimus.</w:t>
                  </w:r>
                </w:p>
              </w:sdtContent>
            </w:sdt>
            <w:sdt>
              <w:sdtPr>
                <w:alias w:val="6 p."/>
                <w:tag w:val="part_7c5cba991c0c446db752a10b521fa598"/>
                <w:lock w:val="sdtLocked"/>
                <w:richText/>
              </w:sdtPr>
              <w:sdtContent>
                <w:p>
                  <w:pPr>
                    <w:widowControl w:val="0"/>
                    <w:suppressAutoHyphens/>
                    <w:ind w:firstLine="567"/>
                    <w:jc w:val="both"/>
                    <w:rPr>
                      <w:color w:val="000000"/>
                    </w:rPr>
                  </w:pPr>
                  <w:sdt>
                    <w:sdtPr>
                      <w:alias w:val="Numeris"/>
                      <w:tag w:val="nr_7c5cba991c0c446db752a10b521fa598"/>
                      <w:lock w:val="sdtLocked"/>
                      <w:richText/>
                    </w:sdtPr>
                    <w:sdtContent>
                      <w:r>
                        <w:rPr>
                          <w:color w:val="000000"/>
                        </w:rPr>
                        <w:t>6</w:t>
                      </w:r>
                    </w:sdtContent>
                  </w:sdt>
                  <w:r>
                    <w:rPr>
                      <w:color w:val="000000"/>
                    </w:rPr>
                    <w:t>. Žaislai gali būti pateikti į rinką, jeigu jie, naudojami pagal paskirtį arba kitu vaikų elgsenai įprastu būdu, nekelia pavojaus vartotojų ar trečiųjų asmenų saugai ir (arba) sveikatai.</w:t>
                  </w:r>
                </w:p>
                <w:p>
                  <w:pPr>
                    <w:widowControl w:val="0"/>
                    <w:suppressAutoHyphens/>
                    <w:ind w:firstLine="567"/>
                    <w:jc w:val="both"/>
                    <w:rPr>
                      <w:color w:val="000000"/>
                    </w:rPr>
                  </w:pPr>
                </w:p>
              </w:sdtContent>
            </w:sdt>
          </w:sdtContent>
        </w:sdt>
        <w:sdt>
          <w:sdtPr>
            <w:alias w:val="skyrius"/>
            <w:tag w:val="part_767bc8d48faa435bbcebb8d204ab7a6b"/>
            <w:lock w:val="sdtLocked"/>
            <w:richText/>
          </w:sdtPr>
          <w:sdtContent>
            <w:p>
              <w:pPr>
                <w:keepLines/>
                <w:widowControl w:val="0"/>
                <w:suppressAutoHyphens/>
                <w:jc w:val="center"/>
                <w:rPr>
                  <w:b/>
                  <w:bCs/>
                  <w:caps/>
                  <w:color w:val="000000"/>
                </w:rPr>
              </w:pPr>
              <w:sdt>
                <w:sdtPr>
                  <w:alias w:val="Numeris"/>
                  <w:tag w:val="nr_767bc8d48faa435bbcebb8d204ab7a6b"/>
                  <w:lock w:val="sdtLocked"/>
                  <w:richText/>
                </w:sdtPr>
                <w:sdtContent>
                  <w:r>
                    <w:rPr>
                      <w:b/>
                      <w:bCs/>
                      <w:caps/>
                      <w:color w:val="000000"/>
                    </w:rPr>
                    <w:t>II</w:t>
                  </w:r>
                </w:sdtContent>
              </w:sdt>
              <w:r>
                <w:rPr>
                  <w:b/>
                  <w:bCs/>
                  <w:caps/>
                  <w:color w:val="000000"/>
                </w:rPr>
                <w:t xml:space="preserve"> SKYRIUS</w:t>
              </w:r>
            </w:p>
            <w:p>
              <w:pPr>
                <w:keepLines/>
                <w:widowControl w:val="0"/>
                <w:suppressAutoHyphens/>
                <w:jc w:val="center"/>
                <w:rPr>
                  <w:b/>
                  <w:bCs/>
                  <w:caps/>
                  <w:color w:val="000000"/>
                </w:rPr>
              </w:pPr>
              <w:r>
                <w:rPr>
                  <w:b/>
                  <w:bCs/>
                  <w:caps/>
                  <w:color w:val="000000"/>
                </w:rPr>
                <w:t xml:space="preserve"> </w:t>
              </w:r>
              <w:sdt>
                <w:sdtPr>
                  <w:alias w:val="Pavadinimas"/>
                  <w:tag w:val="title_767bc8d48faa435bbcebb8d204ab7a6b"/>
                  <w:lock w:val="sdtLocked"/>
                  <w:richText/>
                </w:sdtPr>
                <w:sdtContent>
                  <w:r>
                    <w:rPr>
                      <w:b/>
                      <w:bCs/>
                      <w:caps/>
                      <w:color w:val="000000"/>
                    </w:rPr>
                    <w:t xml:space="preserve">EKONOMINĖS VEIKLOS VYKDYTOJŲ PAREIGOS </w:t>
                  </w:r>
                </w:sdtContent>
              </w:sdt>
            </w:p>
            <w:sdt>
              <w:sdtPr>
                <w:alias w:val="7 p."/>
                <w:tag w:val="part_c0a0b84705b84654be9184e0cfa3d4b7"/>
                <w:lock w:val="sdtLocked"/>
                <w:richText/>
              </w:sdtPr>
              <w:sdtContent>
                <w:p>
                  <w:pPr>
                    <w:widowControl w:val="0"/>
                    <w:suppressAutoHyphens/>
                    <w:ind w:firstLine="567"/>
                    <w:jc w:val="both"/>
                    <w:rPr>
                      <w:color w:val="000000"/>
                    </w:rPr>
                  </w:pPr>
                  <w:sdt>
                    <w:sdtPr>
                      <w:alias w:val="Numeris"/>
                      <w:tag w:val="nr_c0a0b84705b84654be9184e0cfa3d4b7"/>
                      <w:lock w:val="sdtLocked"/>
                      <w:richText/>
                    </w:sdtPr>
                    <w:sdtContent>
                      <w:r>
                        <w:rPr>
                          <w:color w:val="000000"/>
                        </w:rPr>
                        <w:t>7</w:t>
                      </w:r>
                    </w:sdtContent>
                  </w:sdt>
                  <w:r>
                    <w:rPr>
                      <w:color w:val="000000"/>
                    </w:rPr>
                    <w:t>. Gamintojų pareigos:</w:t>
                  </w:r>
                </w:p>
                <w:sdt>
                  <w:sdtPr>
                    <w:alias w:val="7.1 p."/>
                    <w:tag w:val="part_c0ca583fcc2c4f0bbae0e1d5b015b057"/>
                    <w:lock w:val="sdtLocked"/>
                    <w:richText/>
                  </w:sdtPr>
                  <w:sdtContent>
                    <w:p>
                      <w:pPr>
                        <w:widowControl w:val="0"/>
                        <w:suppressAutoHyphens/>
                        <w:ind w:firstLine="567"/>
                        <w:jc w:val="both"/>
                        <w:rPr>
                          <w:color w:val="000000"/>
                        </w:rPr>
                      </w:pPr>
                      <w:sdt>
                        <w:sdtPr>
                          <w:alias w:val="Numeris"/>
                          <w:tag w:val="nr_c0ca583fcc2c4f0bbae0e1d5b015b057"/>
                          <w:lock w:val="sdtLocked"/>
                          <w:richText/>
                        </w:sdtPr>
                        <w:sdtContent>
                          <w:r>
                            <w:rPr>
                              <w:color w:val="000000"/>
                            </w:rPr>
                            <w:t>7.1</w:t>
                          </w:r>
                        </w:sdtContent>
                      </w:sdt>
                      <w:r>
                        <w:rPr>
                          <w:color w:val="000000"/>
                        </w:rPr>
                        <w:t>. Pateikdami žaislus į rinką, gamintojai turi užtikrinti, kad žaislai būtų suprojektuoti ir pagaminti laikantis Reglamento 13 punkte ir Reglamento 2 priede nustatytų reikalavimų.</w:t>
                      </w:r>
                    </w:p>
                  </w:sdtContent>
                </w:sdt>
                <w:sdt>
                  <w:sdtPr>
                    <w:alias w:val="7.2 p."/>
                    <w:tag w:val="part_7ce92236dfa14061859bec3b1069b4c6"/>
                    <w:lock w:val="sdtLocked"/>
                    <w:richText/>
                  </w:sdtPr>
                  <w:sdtContent>
                    <w:p>
                      <w:pPr>
                        <w:widowControl w:val="0"/>
                        <w:suppressAutoHyphens/>
                        <w:ind w:firstLine="567"/>
                        <w:jc w:val="both"/>
                        <w:rPr>
                          <w:color w:val="000000"/>
                        </w:rPr>
                      </w:pPr>
                      <w:sdt>
                        <w:sdtPr>
                          <w:alias w:val="Numeris"/>
                          <w:tag w:val="nr_7ce92236dfa14061859bec3b1069b4c6"/>
                          <w:lock w:val="sdtLocked"/>
                          <w:richText/>
                        </w:sdtPr>
                        <w:sdtContent>
                          <w:r>
                            <w:rPr>
                              <w:color w:val="000000"/>
                            </w:rPr>
                            <w:t>7.2</w:t>
                          </w:r>
                        </w:sdtContent>
                      </w:sdt>
                      <w:r>
                        <w:rPr>
                          <w:color w:val="000000"/>
                        </w:rPr>
                        <w:t xml:space="preserve">. Gamintojai parengia privalomus techninius dokumentus laikydamiesi Reglamento VIII skyriaus reikalavimų ir atlieka arba turi būti atlikę atitikties vertinimo procedūrą, kaip nustatyta Reglamento VI skyriuje. Jeigu taikant tą procedūrą įrodoma žaislo atitiktis taikomiems reikalavimams, tai gamintojai parengia EB atitikties deklaraciją, kaip nurodyta Reglamento IV skyriuje, ir paženklina CE ženklu, kaip nustatyta Reglamento 25 ir 26 punktuose. </w:t>
                      </w:r>
                    </w:p>
                  </w:sdtContent>
                </w:sdt>
                <w:sdt>
                  <w:sdtPr>
                    <w:alias w:val="7.3 p."/>
                    <w:tag w:val="part_37be501bed1048c39620ba92f27bb38a"/>
                    <w:lock w:val="sdtLocked"/>
                    <w:richText/>
                  </w:sdtPr>
                  <w:sdtContent>
                    <w:p>
                      <w:pPr>
                        <w:widowControl w:val="0"/>
                        <w:suppressAutoHyphens/>
                        <w:ind w:firstLine="567"/>
                        <w:jc w:val="both"/>
                        <w:rPr>
                          <w:color w:val="000000"/>
                        </w:rPr>
                      </w:pPr>
                      <w:sdt>
                        <w:sdtPr>
                          <w:alias w:val="Numeris"/>
                          <w:tag w:val="nr_37be501bed1048c39620ba92f27bb38a"/>
                          <w:lock w:val="sdtLocked"/>
                          <w:richText/>
                        </w:sdtPr>
                        <w:sdtContent>
                          <w:r>
                            <w:rPr>
                              <w:color w:val="000000"/>
                            </w:rPr>
                            <w:t>7.3</w:t>
                          </w:r>
                        </w:sdtContent>
                      </w:sdt>
                      <w:r>
                        <w:rPr>
                          <w:color w:val="000000"/>
                        </w:rPr>
                        <w:t>. Gamintojai saugo techninius dokumentus ir EB atitikties deklaraciją 10 metų nuo žaislo pateikimo į rinką.</w:t>
                      </w:r>
                    </w:p>
                  </w:sdtContent>
                </w:sdt>
                <w:sdt>
                  <w:sdtPr>
                    <w:alias w:val="7.4 p."/>
                    <w:tag w:val="part_2c1b1ef41c9e4baea614d0820b6d3190"/>
                    <w:lock w:val="sdtLocked"/>
                    <w:richText/>
                  </w:sdtPr>
                  <w:sdtContent>
                    <w:p>
                      <w:pPr>
                        <w:widowControl w:val="0"/>
                        <w:suppressAutoHyphens/>
                        <w:ind w:firstLine="567"/>
                        <w:jc w:val="both"/>
                        <w:rPr>
                          <w:color w:val="000000"/>
                        </w:rPr>
                      </w:pPr>
                      <w:sdt>
                        <w:sdtPr>
                          <w:alias w:val="Numeris"/>
                          <w:tag w:val="nr_2c1b1ef41c9e4baea614d0820b6d3190"/>
                          <w:lock w:val="sdtLocked"/>
                          <w:richText/>
                        </w:sdtPr>
                        <w:sdtContent>
                          <w:r>
                            <w:rPr>
                              <w:color w:val="000000"/>
                            </w:rPr>
                            <w:t>7.4</w:t>
                          </w:r>
                        </w:sdtContent>
                      </w:sdt>
                      <w:r>
                        <w:rPr>
                          <w:color w:val="000000"/>
                        </w:rPr>
                        <w:t>. Gamintojai užtikrina, kad būtų taikomos reikiamos procedūros siekiant, kad būtų toliau laikomasi serijinės gamybos atitikties. Tinkamai atsižvelgiama į žaislo projektavimo ar charakteristikų pakeitimus ir darniųjų standartų, kuriais remiantis deklaruojama gaminio atitiktis, pakeitimus. Kai to reikia, atsižvelgdami į žaislo keliamą riziką, gamintojai, siekdami apsaugoti sveikatą ir užtikrinti vartotojų saugą, tiria parduodamų žaislų bandinius, nagrinėja ir, jeigu būtina, registruoja skundus, reikalavimų neatitinkančius žaislus ir susigrąžintus žaislus bei informuoja platintojus apie bet kokią stebėseną.</w:t>
                      </w:r>
                    </w:p>
                  </w:sdtContent>
                </w:sdt>
                <w:sdt>
                  <w:sdtPr>
                    <w:alias w:val="7.5 p."/>
                    <w:tag w:val="part_222265258650487f845c89b84b3fb916"/>
                    <w:lock w:val="sdtLocked"/>
                    <w:richText/>
                  </w:sdtPr>
                  <w:sdtContent>
                    <w:p>
                      <w:pPr>
                        <w:widowControl w:val="0"/>
                        <w:suppressAutoHyphens/>
                        <w:ind w:firstLine="567"/>
                        <w:jc w:val="both"/>
                        <w:rPr>
                          <w:color w:val="000000"/>
                        </w:rPr>
                      </w:pPr>
                      <w:sdt>
                        <w:sdtPr>
                          <w:alias w:val="Numeris"/>
                          <w:tag w:val="nr_222265258650487f845c89b84b3fb916"/>
                          <w:lock w:val="sdtLocked"/>
                          <w:richText/>
                        </w:sdtPr>
                        <w:sdtContent>
                          <w:r>
                            <w:rPr>
                              <w:color w:val="000000"/>
                            </w:rPr>
                            <w:t>7.5</w:t>
                          </w:r>
                        </w:sdtContent>
                      </w:sdt>
                      <w:r>
                        <w:rPr>
                          <w:color w:val="000000"/>
                        </w:rPr>
                        <w:t>. Gamintojai užtikrina, kad ant jų žaislų būtų nurodytas tipo, partijos ar serijos, ar modelio numeris ar kitas elementas, leidžiantis nustatyti jų tapatumą, arba, jeigu dėl žaislo dydžio ar pobūdžio to neįmanoma padaryti, užtikrina, kad informacija būtų nurodyta ant pakuotės ar žaislo lydimajame dokumente.</w:t>
                      </w:r>
                    </w:p>
                  </w:sdtContent>
                </w:sdt>
                <w:sdt>
                  <w:sdtPr>
                    <w:alias w:val="7.6 p."/>
                    <w:tag w:val="part_dfe8822ba0c84f1f91b6b5c4d710bacb"/>
                    <w:lock w:val="sdtLocked"/>
                    <w:richText/>
                  </w:sdtPr>
                  <w:sdtContent>
                    <w:p>
                      <w:pPr>
                        <w:widowControl w:val="0"/>
                        <w:suppressAutoHyphens/>
                        <w:ind w:firstLine="567"/>
                        <w:jc w:val="both"/>
                        <w:rPr>
                          <w:color w:val="000000"/>
                        </w:rPr>
                      </w:pPr>
                      <w:sdt>
                        <w:sdtPr>
                          <w:alias w:val="Numeris"/>
                          <w:tag w:val="nr_dfe8822ba0c84f1f91b6b5c4d710bacb"/>
                          <w:lock w:val="sdtLocked"/>
                          <w:richText/>
                        </w:sdtPr>
                        <w:sdtContent>
                          <w:r>
                            <w:rPr>
                              <w:color w:val="000000"/>
                            </w:rPr>
                            <w:t>7.6</w:t>
                          </w:r>
                        </w:sdtContent>
                      </w:sdt>
                      <w:r>
                        <w:rPr>
                          <w:color w:val="000000"/>
                        </w:rPr>
                        <w:t>. Gamintojai nurodo savo pavadinimą, registruotą prekės pavadinimą arba registruotą prekės ženklą, adresą, kuriuo su jais galima susisiekti, ant žaislo arba, jeigu to neįmanoma padaryti, ant pakuotės arba žaislo lydimajame dokumente. Turi būti nurodytas vienas adresas, kuriuo galima susisiekti su gamintoju.</w:t>
                      </w:r>
                    </w:p>
                  </w:sdtContent>
                </w:sdt>
                <w:sdt>
                  <w:sdtPr>
                    <w:alias w:val="7.7 p."/>
                    <w:tag w:val="part_c4a510f3f63943d48e20ebdd30ee7b71"/>
                    <w:lock w:val="sdtLocked"/>
                    <w:richText/>
                  </w:sdtPr>
                  <w:sdtContent>
                    <w:p>
                      <w:pPr>
                        <w:widowControl w:val="0"/>
                        <w:suppressAutoHyphens/>
                        <w:ind w:firstLine="567"/>
                        <w:jc w:val="both"/>
                        <w:rPr>
                          <w:color w:val="000000"/>
                        </w:rPr>
                      </w:pPr>
                      <w:sdt>
                        <w:sdtPr>
                          <w:alias w:val="Numeris"/>
                          <w:tag w:val="nr_c4a510f3f63943d48e20ebdd30ee7b71"/>
                          <w:lock w:val="sdtLocked"/>
                          <w:richText/>
                        </w:sdtPr>
                        <w:sdtContent>
                          <w:r>
                            <w:rPr>
                              <w:color w:val="000000"/>
                            </w:rPr>
                            <w:t>7.7</w:t>
                          </w:r>
                        </w:sdtContent>
                      </w:sdt>
                      <w:r>
                        <w:rPr>
                          <w:color w:val="000000"/>
                        </w:rPr>
                        <w:t>. Gamintojai užtikrina, kad prie žaislo būtų pridėtos naudojimo instrukcijos ir saugos informacija lietuvių kalba.</w:t>
                      </w:r>
                    </w:p>
                  </w:sdtContent>
                </w:sdt>
                <w:sdt>
                  <w:sdtPr>
                    <w:alias w:val="7.8 p."/>
                    <w:tag w:val="part_5d03c9e88fa24ca3a9365b687abb5ea6"/>
                    <w:lock w:val="sdtLocked"/>
                    <w:richText/>
                  </w:sdtPr>
                  <w:sdtContent>
                    <w:p>
                      <w:pPr>
                        <w:widowControl w:val="0"/>
                        <w:suppressAutoHyphens/>
                        <w:ind w:firstLine="567"/>
                        <w:jc w:val="both"/>
                        <w:rPr>
                          <w:color w:val="000000"/>
                        </w:rPr>
                      </w:pPr>
                      <w:sdt>
                        <w:sdtPr>
                          <w:alias w:val="Numeris"/>
                          <w:tag w:val="nr_5d03c9e88fa24ca3a9365b687abb5ea6"/>
                          <w:lock w:val="sdtLocked"/>
                          <w:richText/>
                        </w:sdtPr>
                        <w:sdtContent>
                          <w:r>
                            <w:rPr>
                              <w:color w:val="000000"/>
                            </w:rPr>
                            <w:t>7.8</w:t>
                          </w:r>
                        </w:sdtContent>
                      </w:sdt>
                      <w:r>
                        <w:rPr>
                          <w:color w:val="000000"/>
                        </w:rPr>
                        <w:t>. Gamintojai, manantys arba turintys pagrindo manyti, kad rinkai jų pateiktas žaislas neatitinka tiesiogiai taikomų derinamųjų Europos Sąjungos teisės aktų ir juos įgyvendinančių Lietuvos Respublikos teisės aktų, nedelsdami imasi reikalingų priemonių siekdami užtikrinti žaislo atitiktį, jį pašalinti iš rinkos arba susigrąžinti, jeigu būtina. Be to, jei žaislas kelia riziką, gamintojai nedelsdami praneša Tarnybai ir tos valstybės narės, kurios rinkai buvo pateiktas žaislas, nustatytai kompetentingai institucijai ir nurodo išsamią informaciją, visų pirma apie neatitiktį ir apie bet kokias taikyti reikalingas priemones.</w:t>
                      </w:r>
                    </w:p>
                  </w:sdtContent>
                </w:sdt>
                <w:sdt>
                  <w:sdtPr>
                    <w:alias w:val="7.9 p."/>
                    <w:tag w:val="part_47ca3bef6cd84d848ff6208f6baa8d47"/>
                    <w:lock w:val="sdtLocked"/>
                    <w:richText/>
                  </w:sdtPr>
                  <w:sdtContent>
                    <w:p>
                      <w:pPr>
                        <w:ind w:firstLine="567"/>
                        <w:jc w:val="both"/>
                        <w:rPr>
                          <w:color w:val="000000"/>
                        </w:rPr>
                      </w:pPr>
                      <w:sdt>
                        <w:sdtPr>
                          <w:alias w:val="Numeris"/>
                          <w:tag w:val="nr_47ca3bef6cd84d848ff6208f6baa8d47"/>
                          <w:lock w:val="sdtLocked"/>
                          <w:richText/>
                        </w:sdtPr>
                        <w:sdtContent>
                          <w:r>
                            <w:rPr>
                              <w:color w:val="000000"/>
                            </w:rPr>
                            <w:t>7.9</w:t>
                          </w:r>
                        </w:sdtContent>
                      </w:sdt>
                      <w:r>
                        <w:rPr>
                          <w:color w:val="000000"/>
                        </w:rPr>
                        <w:t>. Pagrįstu Tarnybos ar kitos valstybės narės, kurios rinkai buvo pateiktas žaislas, nustatytos kompetentingos institucijos reikalavimu gamintojai suteikia visą informaciją ir dokumentus lietuvių kalba arba kita Tarnybai ar kitos valstybės narės, kurios rinkai buvo pateiktas žaislas, nustatytos kompetentingos institucijos priimtina kalba, būtinus žaislo atitikčiai įrodyti. Tarnybos ar kitos valstybės narės, kurios rinkai buvo pateiktas žaislas, nustatytos kompetentingos institucijos reikalavimu gamintojai bendradarbiauja su ja dėl visų veiksmų, kurių imamasi siekiant pašalinti rinkai pateiktų žaislų keliamą riziką.</w:t>
                      </w:r>
                    </w:p>
                  </w:sdtContent>
                </w:sdt>
              </w:sdtContent>
            </w:sdt>
            <w:sdt>
              <w:sdtPr>
                <w:alias w:val="8 p."/>
                <w:tag w:val="part_3c4e0df1aa0f4f609b504a600769ecce"/>
                <w:lock w:val="sdtLocked"/>
                <w:richText/>
              </w:sdtPr>
              <w:sdtContent>
                <w:p>
                  <w:pPr>
                    <w:widowControl w:val="0"/>
                    <w:suppressAutoHyphens/>
                    <w:ind w:firstLine="567"/>
                    <w:jc w:val="both"/>
                    <w:rPr>
                      <w:color w:val="000000"/>
                    </w:rPr>
                  </w:pPr>
                  <w:sdt>
                    <w:sdtPr>
                      <w:alias w:val="Numeris"/>
                      <w:tag w:val="nr_3c4e0df1aa0f4f609b504a600769ecce"/>
                      <w:lock w:val="sdtLocked"/>
                      <w:richText/>
                    </w:sdtPr>
                    <w:sdtContent>
                      <w:r>
                        <w:rPr>
                          <w:color w:val="000000"/>
                        </w:rPr>
                        <w:t>8</w:t>
                      </w:r>
                    </w:sdtContent>
                  </w:sdt>
                  <w:r>
                    <w:rPr>
                      <w:color w:val="000000"/>
                    </w:rPr>
                    <w:t>. Reikalavimai įgaliotiesiems atstovams:</w:t>
                  </w:r>
                </w:p>
                <w:sdt>
                  <w:sdtPr>
                    <w:alias w:val="8.1 p."/>
                    <w:tag w:val="part_cbf6d40ec47d420a80068b4f4eab672c"/>
                    <w:lock w:val="sdtLocked"/>
                    <w:richText/>
                  </w:sdtPr>
                  <w:sdtContent>
                    <w:p>
                      <w:pPr>
                        <w:widowControl w:val="0"/>
                        <w:suppressAutoHyphens/>
                        <w:ind w:firstLine="567"/>
                        <w:jc w:val="both"/>
                        <w:rPr>
                          <w:color w:val="000000"/>
                        </w:rPr>
                      </w:pPr>
                      <w:sdt>
                        <w:sdtPr>
                          <w:alias w:val="Numeris"/>
                          <w:tag w:val="nr_cbf6d40ec47d420a80068b4f4eab672c"/>
                          <w:lock w:val="sdtLocked"/>
                          <w:richText/>
                        </w:sdtPr>
                        <w:sdtContent>
                          <w:r>
                            <w:rPr>
                              <w:color w:val="000000"/>
                            </w:rPr>
                            <w:t>8.1</w:t>
                          </w:r>
                        </w:sdtContent>
                      </w:sdt>
                      <w:r>
                        <w:rPr>
                          <w:color w:val="000000"/>
                        </w:rPr>
                        <w:t>. Gamintojas rašytiniu įgaliojimu gali paskirti įgaliotąjį atstovą.</w:t>
                      </w:r>
                    </w:p>
                  </w:sdtContent>
                </w:sdt>
                <w:sdt>
                  <w:sdtPr>
                    <w:alias w:val="8.2 p."/>
                    <w:tag w:val="part_eea52bde0e184520b9d2ebf91a03916b"/>
                    <w:lock w:val="sdtLocked"/>
                    <w:richText/>
                  </w:sdtPr>
                  <w:sdtContent>
                    <w:p>
                      <w:pPr>
                        <w:ind w:firstLine="567"/>
                        <w:jc w:val="both"/>
                        <w:rPr>
                          <w:color w:val="000000"/>
                        </w:rPr>
                      </w:pPr>
                      <w:sdt>
                        <w:sdtPr>
                          <w:alias w:val="Numeris"/>
                          <w:tag w:val="nr_eea52bde0e184520b9d2ebf91a03916b"/>
                          <w:lock w:val="sdtLocked"/>
                          <w:richText/>
                        </w:sdtPr>
                        <w:sdtContent>
                          <w:r>
                            <w:t>8.2</w:t>
                          </w:r>
                        </w:sdtContent>
                      </w:sdt>
                      <w:r>
                        <w:t>. Įgaliotojo atstovo įgaliojimai neapima veiksmų, susijusių su Reglamento 7.1 papunktyje</w:t>
                      </w:r>
                      <w:r>
                        <w:rPr>
                          <w:b/>
                        </w:rPr>
                        <w:t xml:space="preserve"> </w:t>
                      </w:r>
                      <w:r>
                        <w:t>nustatytomis prievolėmis ir techninių dokumentų parengimu.</w:t>
                      </w:r>
                    </w:p>
                  </w:sdtContent>
                </w:sdt>
                <w:sdt>
                  <w:sdtPr>
                    <w:alias w:val="8.3 p."/>
                    <w:tag w:val="part_668b0f43118e48ccb400bda28beb1db4"/>
                    <w:lock w:val="sdtLocked"/>
                    <w:richText/>
                  </w:sdtPr>
                  <w:sdtContent>
                    <w:p>
                      <w:pPr>
                        <w:ind w:firstLine="567"/>
                        <w:jc w:val="both"/>
                      </w:pPr>
                      <w:sdt>
                        <w:sdtPr>
                          <w:alias w:val="Numeris"/>
                          <w:tag w:val="nr_668b0f43118e48ccb400bda28beb1db4"/>
                          <w:lock w:val="sdtLocked"/>
                          <w:richText/>
                        </w:sdtPr>
                        <w:sdtContent>
                          <w:r>
                            <w:t>8.3</w:t>
                          </w:r>
                        </w:sdtContent>
                      </w:sdt>
                      <w:r>
                        <w:t>. Įgaliotasis atstovas atlieka gamintojo pateiktame įgaliojime nurodytus uždavinius. Įgaliojime nustatoma, kad įgaliotajam atstovui leidžiama atlikti bent jau šiuos veiksmus:</w:t>
                      </w:r>
                    </w:p>
                    <w:sdt>
                      <w:sdtPr>
                        <w:alias w:val="8.3.1 pp."/>
                        <w:tag w:val="part_5d9f8d9003cc41aab74b24035d74e372"/>
                        <w:lock w:val="sdtLocked"/>
                        <w:richText/>
                      </w:sdtPr>
                      <w:sdtContent>
                        <w:p>
                          <w:pPr>
                            <w:widowControl w:val="0"/>
                            <w:suppressAutoHyphens/>
                            <w:ind w:firstLine="567"/>
                            <w:jc w:val="both"/>
                          </w:pPr>
                          <w:sdt>
                            <w:sdtPr>
                              <w:alias w:val="Numeris"/>
                              <w:tag w:val="nr_5d9f8d9003cc41aab74b24035d74e372"/>
                              <w:lock w:val="sdtLocked"/>
                              <w:richText/>
                            </w:sdtPr>
                            <w:sdtContent>
                              <w:r>
                                <w:rPr>
                                  <w:color w:val="000000"/>
                                </w:rPr>
                                <w:t>8.3.1</w:t>
                              </w:r>
                            </w:sdtContent>
                          </w:sdt>
                          <w:r>
                            <w:rPr>
                              <w:color w:val="000000"/>
                            </w:rPr>
                            <w:t>. saugoti EB atitikties deklaraciją ir techninius dokumentus 10 metų po žaislo pateikimo rinkai ir prireikus pateikti juos Tarnybai;</w:t>
                          </w:r>
                        </w:p>
                      </w:sdtContent>
                    </w:sdt>
                    <w:sdt>
                      <w:sdtPr>
                        <w:alias w:val="8.3.2 pp."/>
                        <w:tag w:val="part_665bfb32139d42ff86085a150c153d66"/>
                        <w:lock w:val="sdtLocked"/>
                        <w:richText/>
                      </w:sdtPr>
                      <w:sdtContent>
                        <w:p>
                          <w:pPr>
                            <w:widowControl w:val="0"/>
                            <w:suppressAutoHyphens/>
                            <w:ind w:firstLine="567"/>
                            <w:jc w:val="both"/>
                          </w:pPr>
                          <w:sdt>
                            <w:sdtPr>
                              <w:alias w:val="Numeris"/>
                              <w:tag w:val="nr_665bfb32139d42ff86085a150c153d66"/>
                              <w:lock w:val="sdtLocked"/>
                              <w:richText/>
                            </w:sdtPr>
                            <w:sdtContent>
                              <w:r>
                                <w:rPr>
                                  <w:color w:val="000000"/>
                                </w:rPr>
                                <w:t>8.3.2</w:t>
                              </w:r>
                            </w:sdtContent>
                          </w:sdt>
                          <w:r>
                            <w:rPr>
                              <w:color w:val="000000"/>
                            </w:rPr>
                            <w:t>. pagrįstu Tarnybos reikalavimu suteikti visą informaciją ir dokumentus, būtinus žaislo atitikčiai įrodyti;</w:t>
                          </w:r>
                        </w:p>
                      </w:sdtContent>
                    </w:sdt>
                    <w:sdt>
                      <w:sdtPr>
                        <w:alias w:val="8.3.3 pp."/>
                        <w:tag w:val="part_2b781bb6ea3e468bbea49a5e30cc9bb0"/>
                        <w:lock w:val="sdtLocked"/>
                        <w:richText/>
                      </w:sdtPr>
                      <w:sdtContent>
                        <w:p>
                          <w:pPr>
                            <w:ind w:firstLine="567"/>
                            <w:jc w:val="both"/>
                            <w:rPr>
                              <w:color w:val="000000"/>
                            </w:rPr>
                          </w:pPr>
                          <w:sdt>
                            <w:sdtPr>
                              <w:alias w:val="Numeris"/>
                              <w:tag w:val="nr_2b781bb6ea3e468bbea49a5e30cc9bb0"/>
                              <w:lock w:val="sdtLocked"/>
                              <w:richText/>
                            </w:sdtPr>
                            <w:sdtContent>
                              <w:r>
                                <w:rPr>
                                  <w:color w:val="000000"/>
                                </w:rPr>
                                <w:t>8.3.3</w:t>
                              </w:r>
                            </w:sdtContent>
                          </w:sdt>
                          <w:r>
                            <w:rPr>
                              <w:color w:val="000000"/>
                            </w:rPr>
                            <w:t>. Tarnybos ar kitos valstybės narės, kurios rinkai buvo pateiktas žaislas, nustatytos kompetentingos institucijos prašymu bendradarbiauti su ja ir pranešti apie veiksmus, kurių imamasi siekiant pašalinti su įgaliotojo atstovo įgaliojimu susijusių žaislų keliamą riziką.</w:t>
                          </w:r>
                        </w:p>
                      </w:sdtContent>
                    </w:sdt>
                  </w:sdtContent>
                </w:sdt>
              </w:sdtContent>
            </w:sdt>
            <w:sdt>
              <w:sdtPr>
                <w:alias w:val="9 p."/>
                <w:tag w:val="part_9716bfb0eff24229bdb0d261cf542b35"/>
                <w:lock w:val="sdtLocked"/>
                <w:richText/>
              </w:sdtPr>
              <w:sdtContent>
                <w:p>
                  <w:pPr>
                    <w:widowControl w:val="0"/>
                    <w:suppressAutoHyphens/>
                    <w:ind w:firstLine="567"/>
                    <w:jc w:val="both"/>
                    <w:rPr>
                      <w:color w:val="000000"/>
                    </w:rPr>
                  </w:pPr>
                  <w:sdt>
                    <w:sdtPr>
                      <w:alias w:val="Numeris"/>
                      <w:tag w:val="nr_9716bfb0eff24229bdb0d261cf542b35"/>
                      <w:lock w:val="sdtLocked"/>
                      <w:richText/>
                    </w:sdtPr>
                    <w:sdtContent>
                      <w:r>
                        <w:rPr>
                          <w:color w:val="000000"/>
                        </w:rPr>
                        <w:t>9</w:t>
                      </w:r>
                    </w:sdtContent>
                  </w:sdt>
                  <w:r>
                    <w:rPr>
                      <w:color w:val="000000"/>
                    </w:rPr>
                    <w:t>. Importuotojų prievolės:</w:t>
                  </w:r>
                </w:p>
                <w:sdt>
                  <w:sdtPr>
                    <w:alias w:val="9.1 p."/>
                    <w:tag w:val="part_0fd1184d6f6144ac9a0c298f1bba8ead"/>
                    <w:lock w:val="sdtLocked"/>
                    <w:richText/>
                  </w:sdtPr>
                  <w:sdtContent>
                    <w:p>
                      <w:pPr>
                        <w:widowControl w:val="0"/>
                        <w:suppressAutoHyphens/>
                        <w:ind w:firstLine="567"/>
                        <w:jc w:val="both"/>
                        <w:rPr>
                          <w:color w:val="000000"/>
                        </w:rPr>
                      </w:pPr>
                      <w:sdt>
                        <w:sdtPr>
                          <w:alias w:val="Numeris"/>
                          <w:tag w:val="nr_0fd1184d6f6144ac9a0c298f1bba8ead"/>
                          <w:lock w:val="sdtLocked"/>
                          <w:richText/>
                        </w:sdtPr>
                        <w:sdtContent>
                          <w:r>
                            <w:rPr>
                              <w:color w:val="000000"/>
                            </w:rPr>
                            <w:t>9.1</w:t>
                          </w:r>
                        </w:sdtContent>
                      </w:sdt>
                      <w:r>
                        <w:rPr>
                          <w:color w:val="000000"/>
                        </w:rPr>
                        <w:t>. Importuotojai į Lietuvos rinką pateikia tik šiame Reglamente ir kituose teisės aktuose nustatytus reikalavimus atitinkančius žaislus.</w:t>
                      </w:r>
                    </w:p>
                  </w:sdtContent>
                </w:sdt>
                <w:sdt>
                  <w:sdtPr>
                    <w:alias w:val="9.2 p."/>
                    <w:tag w:val="part_f1fc21ac32024c44ba603507443bd616"/>
                    <w:lock w:val="sdtLocked"/>
                    <w:richText/>
                  </w:sdtPr>
                  <w:sdtContent>
                    <w:p>
                      <w:pPr>
                        <w:ind w:firstLine="567"/>
                        <w:jc w:val="both"/>
                        <w:rPr>
                          <w:color w:val="000000"/>
                        </w:rPr>
                      </w:pPr>
                      <w:sdt>
                        <w:sdtPr>
                          <w:alias w:val="Numeris"/>
                          <w:tag w:val="nr_f1fc21ac32024c44ba603507443bd616"/>
                          <w:lock w:val="sdtLocked"/>
                          <w:richText/>
                        </w:sdtPr>
                        <w:sdtContent>
                          <w:r>
                            <w:t>9.2</w:t>
                          </w:r>
                        </w:sdtContent>
                      </w:sdt>
                      <w:r>
                        <w:t>. Prieš pateikdami žaislą rinkai, importuotojai patikrina ir prireikus pateikia dokumentus, įrodančius, kad gamintojas atliko atitinkamą atitikties vertinimo procedūrą, parengė techninius dokumentus, kad žaislas paženklintas reikiamu atitikties ženklu, kad prie žaislo pridėti reikiami dokumentai ir kad gamintojas įvykdė Reglamento 7.5 ir 7.6 papunkčiuose</w:t>
                      </w:r>
                      <w:r>
                        <w:rPr>
                          <w:b/>
                        </w:rPr>
                        <w:t xml:space="preserve"> </w:t>
                      </w:r>
                      <w:r>
                        <w:t>nustatytus reikalavimus.</w:t>
                      </w:r>
                    </w:p>
                  </w:sdtContent>
                </w:sdt>
                <w:sdt>
                  <w:sdtPr>
                    <w:alias w:val="9.3 p."/>
                    <w:tag w:val="part_fef3b8ed580c4b0bbb705952a707a4f8"/>
                    <w:lock w:val="sdtLocked"/>
                    <w:richText/>
                  </w:sdtPr>
                  <w:sdtContent>
                    <w:p>
                      <w:pPr>
                        <w:widowControl w:val="0"/>
                        <w:suppressAutoHyphens/>
                        <w:ind w:firstLine="567"/>
                        <w:jc w:val="both"/>
                        <w:rPr>
                          <w:color w:val="000000"/>
                        </w:rPr>
                      </w:pPr>
                      <w:sdt>
                        <w:sdtPr>
                          <w:alias w:val="Numeris"/>
                          <w:tag w:val="nr_fef3b8ed580c4b0bbb705952a707a4f8"/>
                          <w:lock w:val="sdtLocked"/>
                          <w:richText/>
                        </w:sdtPr>
                        <w:sdtContent>
                          <w:r>
                            <w:rPr>
                              <w:color w:val="000000"/>
                            </w:rPr>
                            <w:t>9.3</w:t>
                          </w:r>
                        </w:sdtContent>
                      </w:sdt>
                      <w:r>
                        <w:rPr>
                          <w:color w:val="000000"/>
                        </w:rPr>
                        <w:t>. Jeigu importuotojas mano arba turi pagrindo manyti, kad žaislas neatitinka Reglamento 13 punkte ir 2 priede nustatytų reikalavimų, jis neteikia žaislo rinkai, kol nėra užtikrinama žaislo atitiktis. Be to, jei žaislas kelia riziką, importuotojas praneša apie tai gamintojui ir Tarnybai.</w:t>
                      </w:r>
                    </w:p>
                  </w:sdtContent>
                </w:sdt>
                <w:sdt>
                  <w:sdtPr>
                    <w:alias w:val="9.4 p."/>
                    <w:tag w:val="part_a9c9fd9fdd884d60ae44a37ca833bc2c"/>
                    <w:lock w:val="sdtLocked"/>
                    <w:richText/>
                  </w:sdtPr>
                  <w:sdtContent>
                    <w:p>
                      <w:pPr>
                        <w:widowControl w:val="0"/>
                        <w:suppressAutoHyphens/>
                        <w:ind w:firstLine="567"/>
                        <w:jc w:val="both"/>
                        <w:rPr>
                          <w:color w:val="000000"/>
                        </w:rPr>
                      </w:pPr>
                      <w:sdt>
                        <w:sdtPr>
                          <w:alias w:val="Numeris"/>
                          <w:tag w:val="nr_a9c9fd9fdd884d60ae44a37ca833bc2c"/>
                          <w:lock w:val="sdtLocked"/>
                          <w:richText/>
                        </w:sdtPr>
                        <w:sdtContent>
                          <w:r>
                            <w:rPr>
                              <w:color w:val="000000"/>
                            </w:rPr>
                            <w:t>9.4</w:t>
                          </w:r>
                        </w:sdtContent>
                      </w:sdt>
                      <w:r>
                        <w:rPr>
                          <w:color w:val="000000"/>
                        </w:rPr>
                        <w:t>. Importuotojai nurodo savo pavadinimą, registruotą prekės pavadinimą arba registruotą prekės ženklą ir adresą, kuriuo su jais galima susisiekti, ant žaislo arba, jeigu to neįmanoma padaryti, ant pakuotės arba žaislo lydimajame dokumente.</w:t>
                      </w:r>
                    </w:p>
                  </w:sdtContent>
                </w:sdt>
                <w:sdt>
                  <w:sdtPr>
                    <w:alias w:val="9.5 p."/>
                    <w:tag w:val="part_026280430f194ea594252d985ee0828a"/>
                    <w:lock w:val="sdtLocked"/>
                    <w:richText/>
                  </w:sdtPr>
                  <w:sdtContent>
                    <w:p>
                      <w:pPr>
                        <w:widowControl w:val="0"/>
                        <w:suppressAutoHyphens/>
                        <w:ind w:firstLine="567"/>
                        <w:jc w:val="both"/>
                        <w:rPr>
                          <w:color w:val="000000"/>
                        </w:rPr>
                      </w:pPr>
                      <w:sdt>
                        <w:sdtPr>
                          <w:alias w:val="Numeris"/>
                          <w:tag w:val="nr_026280430f194ea594252d985ee0828a"/>
                          <w:lock w:val="sdtLocked"/>
                          <w:richText/>
                        </w:sdtPr>
                        <w:sdtContent>
                          <w:r>
                            <w:rPr>
                              <w:color w:val="000000"/>
                            </w:rPr>
                            <w:t>9.5</w:t>
                          </w:r>
                        </w:sdtContent>
                      </w:sdt>
                      <w:r>
                        <w:rPr>
                          <w:color w:val="000000"/>
                        </w:rPr>
                        <w:t>. Importuotojai užtikrina, kad prie žaislo būtų pridėti nurodymai ir saugumo informacija, pateikiama lietuvių kalba.</w:t>
                      </w:r>
                    </w:p>
                  </w:sdtContent>
                </w:sdt>
                <w:sdt>
                  <w:sdtPr>
                    <w:alias w:val="9.6 p."/>
                    <w:tag w:val="part_f307fd0fb8044d8d8906a7fcaa685876"/>
                    <w:lock w:val="sdtLocked"/>
                    <w:richText/>
                  </w:sdtPr>
                  <w:sdtContent>
                    <w:p>
                      <w:pPr>
                        <w:widowControl w:val="0"/>
                        <w:suppressAutoHyphens/>
                        <w:ind w:firstLine="567"/>
                        <w:jc w:val="both"/>
                        <w:rPr>
                          <w:color w:val="000000"/>
                        </w:rPr>
                      </w:pPr>
                      <w:sdt>
                        <w:sdtPr>
                          <w:alias w:val="Numeris"/>
                          <w:tag w:val="nr_f307fd0fb8044d8d8906a7fcaa685876"/>
                          <w:lock w:val="sdtLocked"/>
                          <w:richText/>
                        </w:sdtPr>
                        <w:sdtContent>
                          <w:r>
                            <w:rPr>
                              <w:color w:val="000000"/>
                            </w:rPr>
                            <w:t>9.6</w:t>
                          </w:r>
                        </w:sdtContent>
                      </w:sdt>
                      <w:r>
                        <w:rPr>
                          <w:color w:val="000000"/>
                        </w:rPr>
                        <w:t xml:space="preserve">. Kai importuotojai yra atsakingi už transportavimą ir (ar) sandėliavimą, jie užtikrina, kad sandėliavimo ir transportavimo sąlygos nepakenktų jo atitikčiai reikalavimams, nustatytiems Reglamento 13 punkte ir 2 priede. </w:t>
                      </w:r>
                    </w:p>
                  </w:sdtContent>
                </w:sdt>
                <w:sdt>
                  <w:sdtPr>
                    <w:alias w:val="9.7 p."/>
                    <w:tag w:val="part_4e2b01497273431e999b6b0a7d575ec3"/>
                    <w:lock w:val="sdtLocked"/>
                    <w:richText/>
                  </w:sdtPr>
                  <w:sdtContent>
                    <w:p>
                      <w:pPr>
                        <w:widowControl w:val="0"/>
                        <w:suppressAutoHyphens/>
                        <w:ind w:firstLine="567"/>
                        <w:jc w:val="both"/>
                        <w:rPr>
                          <w:color w:val="000000"/>
                        </w:rPr>
                      </w:pPr>
                      <w:sdt>
                        <w:sdtPr>
                          <w:alias w:val="Numeris"/>
                          <w:tag w:val="nr_4e2b01497273431e999b6b0a7d575ec3"/>
                          <w:lock w:val="sdtLocked"/>
                          <w:richText/>
                        </w:sdtPr>
                        <w:sdtContent>
                          <w:r>
                            <w:rPr>
                              <w:color w:val="000000"/>
                            </w:rPr>
                            <w:t>9.7</w:t>
                          </w:r>
                        </w:sdtContent>
                      </w:sdt>
                      <w:r>
                        <w:rPr>
                          <w:color w:val="000000"/>
                        </w:rPr>
                        <w:t>. Atsižvelgdami į žaislo keliamą pavojų, siekdami apsaugoti vartotojų sveikatą ir užtikrinti saugą, importuotojai tiria parduodamų žaislų bandinius, nagrinėja ir, jeigu būtina, registruoja skundus, reikalavimų neatitinkančius ir susigrąžintus žaislus bei informuoja platintojus apie tokią stebėseną.</w:t>
                      </w:r>
                    </w:p>
                  </w:sdtContent>
                </w:sdt>
                <w:sdt>
                  <w:sdtPr>
                    <w:alias w:val="9.8 p."/>
                    <w:tag w:val="part_2e77f49466494e30801a6e831baf4726"/>
                    <w:lock w:val="sdtLocked"/>
                    <w:richText/>
                  </w:sdtPr>
                  <w:sdtContent>
                    <w:p>
                      <w:pPr>
                        <w:widowControl w:val="0"/>
                        <w:suppressAutoHyphens/>
                        <w:ind w:firstLine="567"/>
                        <w:jc w:val="both"/>
                        <w:rPr>
                          <w:color w:val="000000"/>
                        </w:rPr>
                      </w:pPr>
                      <w:sdt>
                        <w:sdtPr>
                          <w:alias w:val="Numeris"/>
                          <w:tag w:val="nr_2e77f49466494e30801a6e831baf4726"/>
                          <w:lock w:val="sdtLocked"/>
                          <w:richText/>
                        </w:sdtPr>
                        <w:sdtContent>
                          <w:r>
                            <w:rPr>
                              <w:color w:val="000000"/>
                            </w:rPr>
                            <w:t>9.8</w:t>
                          </w:r>
                        </w:sdtContent>
                      </w:sdt>
                      <w:r>
                        <w:rPr>
                          <w:color w:val="000000"/>
                        </w:rPr>
                        <w:t>. Importuotojai, manantys arba turintys pagrindo manyti, kad rinkai jų pateiktas žaislas neatitinka tiesiogiai taikomų derinamųjų Europos Sąjungos teisės aktų ir juos įgyvendinančių Lietuvos Respublikos teisės aktų, nedelsdami taiko atitinkamas priemones, reikalingas siekiant užtikrinti žaislo atitiktį, jį pašalinti iš rinkos arba susigrąžinti, jeigu būtina. Be to, jei žaislas kelia riziką, importuotojai nedelsdami praneša Tarnybai ar kitos valstybės narės, kurios rinkai buvo pateiktas žaislas, nustatytai kompetentingai institucijai ir nurodo išsamią informaciją, visų pirma apie neatitiktį ir bet kokias taikyti reikalingas priemones.</w:t>
                      </w:r>
                    </w:p>
                  </w:sdtContent>
                </w:sdt>
                <w:sdt>
                  <w:sdtPr>
                    <w:alias w:val="9.9 p."/>
                    <w:tag w:val="part_48c2ce6003534a76845caaa777ceb8ac"/>
                    <w:lock w:val="sdtLocked"/>
                    <w:richText/>
                  </w:sdtPr>
                  <w:sdtContent>
                    <w:p>
                      <w:pPr>
                        <w:widowControl w:val="0"/>
                        <w:suppressAutoHyphens/>
                        <w:ind w:firstLine="567"/>
                        <w:jc w:val="both"/>
                        <w:rPr>
                          <w:color w:val="000000"/>
                        </w:rPr>
                      </w:pPr>
                      <w:sdt>
                        <w:sdtPr>
                          <w:alias w:val="Numeris"/>
                          <w:tag w:val="nr_48c2ce6003534a76845caaa777ceb8ac"/>
                          <w:lock w:val="sdtLocked"/>
                          <w:richText/>
                        </w:sdtPr>
                        <w:sdtContent>
                          <w:r>
                            <w:rPr>
                              <w:color w:val="000000"/>
                            </w:rPr>
                            <w:t>9.9</w:t>
                          </w:r>
                        </w:sdtContent>
                      </w:sdt>
                      <w:r>
                        <w:rPr>
                          <w:color w:val="000000"/>
                        </w:rPr>
                        <w:t>. Importuotojai 10 metų po žaislo pateikimo rinkai saugo EB atitikties deklaracijos kopiją ir prireikus pateikia ją Tarnybai, taip pat užtikrina, kad jos reikalavimu būtų pateikti techniniai dokumentai.</w:t>
                      </w:r>
                    </w:p>
                  </w:sdtContent>
                </w:sdt>
                <w:sdt>
                  <w:sdtPr>
                    <w:alias w:val="9.10 p."/>
                    <w:tag w:val="part_9f4eac4ed3e649a3a9aa4ffad06b2e74"/>
                    <w:lock w:val="sdtLocked"/>
                    <w:richText/>
                  </w:sdtPr>
                  <w:sdtContent>
                    <w:p>
                      <w:pPr>
                        <w:ind w:firstLine="567"/>
                        <w:jc w:val="both"/>
                        <w:rPr>
                          <w:color w:val="000000"/>
                        </w:rPr>
                      </w:pPr>
                      <w:sdt>
                        <w:sdtPr>
                          <w:alias w:val="Numeris"/>
                          <w:tag w:val="nr_9f4eac4ed3e649a3a9aa4ffad06b2e74"/>
                          <w:lock w:val="sdtLocked"/>
                          <w:richText/>
                        </w:sdtPr>
                        <w:sdtContent>
                          <w:r>
                            <w:rPr>
                              <w:color w:val="000000"/>
                            </w:rPr>
                            <w:t>9.10</w:t>
                          </w:r>
                        </w:sdtContent>
                      </w:sdt>
                      <w:r>
                        <w:rPr>
                          <w:color w:val="000000"/>
                        </w:rPr>
                        <w:t>. Pagrįstu Tarnybos reikalavimu importuotojai lietuvių kalba ar kita Tarnybai priimtina kalba suteikia visą informaciją ir dokumentus, būtinus to žaislo atitikčiai įrodyti. Tarnybos reikalavimu importuotojai bendradarbiauja su ja dėl visų veiksmų, kurių imamasi siekiant pašalinti rinkai importuotojų pateiktų žaislų keliamą riziką.</w:t>
                      </w:r>
                    </w:p>
                  </w:sdtContent>
                </w:sdt>
              </w:sdtContent>
            </w:sdt>
            <w:sdt>
              <w:sdtPr>
                <w:alias w:val="10 p."/>
                <w:tag w:val="part_18fef478bcb84f8c9ba00d97cbb0e156"/>
                <w:lock w:val="sdtLocked"/>
                <w:richText/>
              </w:sdtPr>
              <w:sdtContent>
                <w:p>
                  <w:pPr>
                    <w:widowControl w:val="0"/>
                    <w:suppressAutoHyphens/>
                    <w:ind w:firstLine="567"/>
                    <w:jc w:val="both"/>
                    <w:rPr>
                      <w:color w:val="000000"/>
                    </w:rPr>
                  </w:pPr>
                  <w:sdt>
                    <w:sdtPr>
                      <w:alias w:val="Numeris"/>
                      <w:tag w:val="nr_18fef478bcb84f8c9ba00d97cbb0e156"/>
                      <w:lock w:val="sdtLocked"/>
                      <w:richText/>
                    </w:sdtPr>
                    <w:sdtContent>
                      <w:r>
                        <w:rPr>
                          <w:color w:val="000000"/>
                        </w:rPr>
                        <w:t>10</w:t>
                      </w:r>
                    </w:sdtContent>
                  </w:sdt>
                  <w:r>
                    <w:rPr>
                      <w:color w:val="000000"/>
                    </w:rPr>
                    <w:t>. Platintojų prievolės:</w:t>
                  </w:r>
                </w:p>
                <w:sdt>
                  <w:sdtPr>
                    <w:alias w:val="10.1 p."/>
                    <w:tag w:val="part_3e461791370c4574ae8dcd23f1657f24"/>
                    <w:lock w:val="sdtLocked"/>
                    <w:richText/>
                  </w:sdtPr>
                  <w:sdtContent>
                    <w:p>
                      <w:pPr>
                        <w:widowControl w:val="0"/>
                        <w:suppressAutoHyphens/>
                        <w:ind w:firstLine="567"/>
                        <w:jc w:val="both"/>
                        <w:rPr>
                          <w:color w:val="000000"/>
                        </w:rPr>
                      </w:pPr>
                      <w:sdt>
                        <w:sdtPr>
                          <w:alias w:val="Numeris"/>
                          <w:tag w:val="nr_3e461791370c4574ae8dcd23f1657f24"/>
                          <w:lock w:val="sdtLocked"/>
                          <w:richText/>
                        </w:sdtPr>
                        <w:sdtContent>
                          <w:r>
                            <w:rPr>
                              <w:color w:val="000000"/>
                            </w:rPr>
                            <w:t>10.1</w:t>
                          </w:r>
                        </w:sdtContent>
                      </w:sdt>
                      <w:r>
                        <w:rPr>
                          <w:color w:val="000000"/>
                        </w:rPr>
                        <w:t>. Tiekdami rinkai žaislą, platintojai laikosi šiame Reglamente ir kituose teisės aktuose nustatytų reikalavimų.</w:t>
                      </w:r>
                    </w:p>
                  </w:sdtContent>
                </w:sdt>
                <w:sdt>
                  <w:sdtPr>
                    <w:alias w:val="10.2 p."/>
                    <w:tag w:val="part_da26a5a1f2b448418aaa23cebacf780d"/>
                    <w:lock w:val="sdtLocked"/>
                    <w:richText/>
                  </w:sdtPr>
                  <w:sdtContent>
                    <w:p>
                      <w:pPr>
                        <w:ind w:firstLine="567"/>
                        <w:jc w:val="both"/>
                        <w:rPr>
                          <w:color w:val="000000"/>
                        </w:rPr>
                      </w:pPr>
                      <w:sdt>
                        <w:sdtPr>
                          <w:alias w:val="Numeris"/>
                          <w:tag w:val="nr_da26a5a1f2b448418aaa23cebacf780d"/>
                          <w:lock w:val="sdtLocked"/>
                          <w:richText/>
                        </w:sdtPr>
                        <w:sdtContent>
                          <w:r>
                            <w:t>10.2</w:t>
                          </w:r>
                        </w:sdtContent>
                      </w:sdt>
                      <w:r>
                        <w:t>. Prieš tiekdami žaislą rinkai, platintojai patikrina, ar žaislas paženklintas reikiamu atitikties ženklu, ar prie jo pridėti reikiami dokumentai, nurodymai ir saugumo informacija lietuvių kalba ir ar gamintojas ir importuotojas laikėsi Reglamento 7.5, 7.6 ir 9.4 papunkčiuose</w:t>
                      </w:r>
                      <w:r>
                        <w:rPr>
                          <w:b/>
                        </w:rPr>
                        <w:t xml:space="preserve"> </w:t>
                      </w:r>
                      <w:r>
                        <w:t>nustatytų reikalavimų.</w:t>
                      </w:r>
                    </w:p>
                  </w:sdtContent>
                </w:sdt>
                <w:sdt>
                  <w:sdtPr>
                    <w:alias w:val="10.3 p."/>
                    <w:tag w:val="part_74e2beefe3de408b8414fba28f996793"/>
                    <w:lock w:val="sdtLocked"/>
                    <w:richText/>
                  </w:sdtPr>
                  <w:sdtContent>
                    <w:p>
                      <w:pPr>
                        <w:widowControl w:val="0"/>
                        <w:suppressAutoHyphens/>
                        <w:ind w:firstLine="567"/>
                        <w:jc w:val="both"/>
                        <w:rPr>
                          <w:color w:val="000000"/>
                        </w:rPr>
                      </w:pPr>
                      <w:sdt>
                        <w:sdtPr>
                          <w:alias w:val="Numeris"/>
                          <w:tag w:val="nr_74e2beefe3de408b8414fba28f996793"/>
                          <w:lock w:val="sdtLocked"/>
                          <w:richText/>
                        </w:sdtPr>
                        <w:sdtContent>
                          <w:r>
                            <w:rPr>
                              <w:color w:val="000000"/>
                            </w:rPr>
                            <w:t>10.3</w:t>
                          </w:r>
                        </w:sdtContent>
                      </w:sdt>
                      <w:r>
                        <w:rPr>
                          <w:color w:val="000000"/>
                        </w:rPr>
                        <w:t>. Jei platintojas mano arba turi pagrindo manyti, kad žaislas neatitinka Reglamento 13 punkte ir 2 priede nustatytų reikalavimų, jis neteikia žaislo rinkai, kol neužtikrinama žaislo atitiktis. Be to, jei žaislas kelia riziką, platintojas praneša apie tai gamintojui ar importuotojui, Tarnybai ir</w:t>
                      </w:r>
                      <w:r>
                        <w:rPr>
                          <w:b/>
                          <w:bCs/>
                          <w:color w:val="000000"/>
                        </w:rPr>
                        <w:t xml:space="preserve"> </w:t>
                      </w:r>
                      <w:r>
                        <w:rPr>
                          <w:color w:val="000000"/>
                        </w:rPr>
                        <w:t>kitos valstybės narės, kurios rinkai buvo pateiktas žaislas, rinkos priežiūros institucijai.</w:t>
                      </w:r>
                    </w:p>
                  </w:sdtContent>
                </w:sdt>
                <w:sdt>
                  <w:sdtPr>
                    <w:alias w:val="10.4 p."/>
                    <w:tag w:val="part_1ca29a3eb10c4c098c1c20d3779f5ca8"/>
                    <w:lock w:val="sdtLocked"/>
                    <w:richText/>
                  </w:sdtPr>
                  <w:sdtContent>
                    <w:p>
                      <w:pPr>
                        <w:widowControl w:val="0"/>
                        <w:suppressAutoHyphens/>
                        <w:ind w:firstLine="567"/>
                        <w:jc w:val="both"/>
                        <w:rPr>
                          <w:color w:val="000000"/>
                        </w:rPr>
                      </w:pPr>
                      <w:sdt>
                        <w:sdtPr>
                          <w:alias w:val="Numeris"/>
                          <w:tag w:val="nr_1ca29a3eb10c4c098c1c20d3779f5ca8"/>
                          <w:lock w:val="sdtLocked"/>
                          <w:richText/>
                        </w:sdtPr>
                        <w:sdtContent>
                          <w:r>
                            <w:rPr>
                              <w:color w:val="000000"/>
                            </w:rPr>
                            <w:t>10.4</w:t>
                          </w:r>
                        </w:sdtContent>
                      </w:sdt>
                      <w:r>
                        <w:rPr>
                          <w:color w:val="000000"/>
                        </w:rPr>
                        <w:t>. Kai platintojai yra atsakingi už transportavimą ir (ar) sandėliavimą, jie užtikrina, kad sandėliavimo ir transportavimo sąlygos nepakenktų jo atitikčiai reikalavimams, nustatytiems Reglamento 13 punkte ir 2 priede.</w:t>
                      </w:r>
                    </w:p>
                  </w:sdtContent>
                </w:sdt>
                <w:sdt>
                  <w:sdtPr>
                    <w:alias w:val="10.5 p."/>
                    <w:tag w:val="part_b1100a8eaee0478e9fbb135728a78ac3"/>
                    <w:lock w:val="sdtLocked"/>
                    <w:richText/>
                  </w:sdtPr>
                  <w:sdtContent>
                    <w:p>
                      <w:pPr>
                        <w:widowControl w:val="0"/>
                        <w:suppressAutoHyphens/>
                        <w:ind w:firstLine="567"/>
                        <w:jc w:val="both"/>
                        <w:rPr>
                          <w:color w:val="000000"/>
                        </w:rPr>
                      </w:pPr>
                      <w:sdt>
                        <w:sdtPr>
                          <w:alias w:val="Numeris"/>
                          <w:tag w:val="nr_b1100a8eaee0478e9fbb135728a78ac3"/>
                          <w:lock w:val="sdtLocked"/>
                          <w:richText/>
                        </w:sdtPr>
                        <w:sdtContent>
                          <w:r>
                            <w:rPr>
                              <w:color w:val="000000"/>
                            </w:rPr>
                            <w:t>10.5</w:t>
                          </w:r>
                        </w:sdtContent>
                      </w:sdt>
                      <w:r>
                        <w:rPr>
                          <w:color w:val="000000"/>
                        </w:rPr>
                        <w:t>. Platintojai, manantys arba turintys pagrindo manyti, kad rinkai jų teiktas žaislas neatitinka tiesiogiai taikomų derinamųjų Europos Sąjungos teisės aktų ir juos įgyvendinančių Lietuvos Respublikos teisės aktų reikalavimų, užtikrina, kad būtų taikomos tinkamos priemonės, reikalingos siekiant užtikrinti žaislo atitiktį, jį pašalinti arba susigrąžinti, jeigu būtina. Be to, jei žaislas kelia riziką, platintojai nedelsdami praneša apie tai Tarnybai ir kitos valstybės narės, kurios rinkai buvo pateiktas žaislas, nustatytai kompetentingai institucijai ir nurodo išsamią informaciją, visų pirma apie neatitiktį ir apie bet kokias taikyti reikalingas priemones.</w:t>
                      </w:r>
                    </w:p>
                  </w:sdtContent>
                </w:sdt>
                <w:sdt>
                  <w:sdtPr>
                    <w:alias w:val="10.6 p."/>
                    <w:tag w:val="part_35a05cba309a47598fb2a203df84ecb0"/>
                    <w:lock w:val="sdtLocked"/>
                    <w:richText/>
                  </w:sdtPr>
                  <w:sdtContent>
                    <w:p>
                      <w:pPr>
                        <w:widowControl w:val="0"/>
                        <w:suppressAutoHyphens/>
                        <w:ind w:firstLine="567"/>
                        <w:jc w:val="both"/>
                        <w:rPr>
                          <w:color w:val="000000"/>
                        </w:rPr>
                      </w:pPr>
                      <w:sdt>
                        <w:sdtPr>
                          <w:alias w:val="Numeris"/>
                          <w:tag w:val="nr_35a05cba309a47598fb2a203df84ecb0"/>
                          <w:lock w:val="sdtLocked"/>
                          <w:richText/>
                        </w:sdtPr>
                        <w:sdtContent>
                          <w:r>
                            <w:rPr>
                              <w:color w:val="000000"/>
                            </w:rPr>
                            <w:t>10.6</w:t>
                          </w:r>
                        </w:sdtContent>
                      </w:sdt>
                      <w:r>
                        <w:rPr>
                          <w:color w:val="000000"/>
                        </w:rPr>
                        <w:t>. Pagrįstu Tarnybos ar kitos valstybės narės, kurios rinkai buvo pateiktas žaislas, nustatytos kompetentingos institucijos reikalavimu platintojai suteikia visą informaciją ir dokumentus, būtinus to žaislo atitikčiai nustatyti. Tarnybos reikalavimu platintojai bendradarbiauja su ja dėl visų veiksmų, kurių imamasi siekiant pašalinti rinkai platintojų tiektų žaislų keliamą riziką.</w:t>
                      </w:r>
                    </w:p>
                  </w:sdtContent>
                </w:sdt>
              </w:sdtContent>
            </w:sdt>
            <w:sdt>
              <w:sdtPr>
                <w:alias w:val="11 p."/>
                <w:tag w:val="part_29d8c5a4e47c418ea1fd7c7dc509cb38"/>
                <w:lock w:val="sdtLocked"/>
                <w:richText/>
              </w:sdtPr>
              <w:sdtContent>
                <w:p>
                  <w:pPr>
                    <w:widowControl w:val="0"/>
                    <w:suppressAutoHyphens/>
                    <w:ind w:firstLine="567"/>
                    <w:jc w:val="both"/>
                    <w:rPr>
                      <w:color w:val="000000"/>
                    </w:rPr>
                  </w:pPr>
                  <w:sdt>
                    <w:sdtPr>
                      <w:alias w:val="Numeris"/>
                      <w:tag w:val="nr_29d8c5a4e47c418ea1fd7c7dc509cb38"/>
                      <w:lock w:val="sdtLocked"/>
                      <w:richText/>
                    </w:sdtPr>
                    <w:sdtContent>
                      <w:r>
                        <w:rPr>
                          <w:color w:val="000000"/>
                        </w:rPr>
                        <w:t>11</w:t>
                      </w:r>
                    </w:sdtContent>
                  </w:sdt>
                  <w:r>
                    <w:rPr>
                      <w:color w:val="000000"/>
                    </w:rPr>
                    <w:t xml:space="preserve">. Šiame Reglamente importuotojas arba platintojas laikomi gamintoju ir įgyja Reglamento 7 punkte nustatytas gamintojo prievoles, jei pateikia žaislą į rinką savo vardu ar naudodami savo prekės ženklą arba pakeičia gaminį, kuris jau pateiktas į rinką, taip, kad galėtų pasikeisti gaminio atitiktis taikomiems reikalavimams. </w:t>
                  </w:r>
                </w:p>
              </w:sdtContent>
            </w:sdt>
            <w:sdt>
              <w:sdtPr>
                <w:alias w:val="12 p."/>
                <w:tag w:val="part_12522d9033f949e5a0ef87a864bf071f"/>
                <w:lock w:val="sdtLocked"/>
                <w:richText/>
              </w:sdtPr>
              <w:sdtContent>
                <w:p>
                  <w:pPr>
                    <w:widowControl w:val="0"/>
                    <w:suppressAutoHyphens/>
                    <w:ind w:firstLine="567"/>
                    <w:jc w:val="both"/>
                    <w:rPr>
                      <w:color w:val="000000"/>
                    </w:rPr>
                  </w:pPr>
                  <w:sdt>
                    <w:sdtPr>
                      <w:alias w:val="Numeris"/>
                      <w:tag w:val="nr_12522d9033f949e5a0ef87a864bf071f"/>
                      <w:lock w:val="sdtLocked"/>
                      <w:richText/>
                    </w:sdtPr>
                    <w:sdtContent>
                      <w:r>
                        <w:rPr>
                          <w:color w:val="000000"/>
                        </w:rPr>
                        <w:t>12</w:t>
                      </w:r>
                    </w:sdtContent>
                  </w:sdt>
                  <w:r>
                    <w:rPr>
                      <w:color w:val="000000"/>
                    </w:rPr>
                    <w:t>. Ekonominės veiklos vykdytojų identifikavimas:</w:t>
                  </w:r>
                </w:p>
                <w:sdt>
                  <w:sdtPr>
                    <w:alias w:val="12.1 p."/>
                    <w:tag w:val="part_2c1f16b149df4502b76de6f101e893b5"/>
                    <w:lock w:val="sdtLocked"/>
                    <w:richText/>
                  </w:sdtPr>
                  <w:sdtContent>
                    <w:p>
                      <w:pPr>
                        <w:widowControl w:val="0"/>
                        <w:suppressAutoHyphens/>
                        <w:ind w:firstLine="567"/>
                        <w:jc w:val="both"/>
                        <w:rPr>
                          <w:color w:val="000000"/>
                        </w:rPr>
                      </w:pPr>
                      <w:sdt>
                        <w:sdtPr>
                          <w:alias w:val="Numeris"/>
                          <w:tag w:val="nr_2c1f16b149df4502b76de6f101e893b5"/>
                          <w:lock w:val="sdtLocked"/>
                          <w:richText/>
                        </w:sdtPr>
                        <w:sdtContent>
                          <w:r>
                            <w:rPr>
                              <w:color w:val="000000"/>
                            </w:rPr>
                            <w:t>12.1</w:t>
                          </w:r>
                        </w:sdtContent>
                      </w:sdt>
                      <w:r>
                        <w:rPr>
                          <w:color w:val="000000"/>
                        </w:rPr>
                        <w:t>. Ekonominės veiklos vykdytojai Tarnybos prašymu nurodo šią informaciją:</w:t>
                      </w:r>
                      <w:r>
                        <w:t xml:space="preserve"> </w:t>
                      </w:r>
                    </w:p>
                    <w:p>
                      <w:pPr>
                        <w:widowControl w:val="0"/>
                        <w:suppressAutoHyphens/>
                        <w:ind w:firstLine="567"/>
                        <w:jc w:val="both"/>
                        <w:rPr>
                          <w:color w:val="000000"/>
                        </w:rPr>
                      </w:pPr>
                    </w:p>
                    <w:sdt>
                      <w:sdtPr>
                        <w:alias w:val="12.1.1 p."/>
                        <w:tag w:val="part_dccd15d4d18d4d39b490f6cdb1965962"/>
                        <w:lock w:val="sdtLocked"/>
                        <w:richText/>
                      </w:sdtPr>
                      <w:sdtContent>
                        <w:p>
                          <w:pPr>
                            <w:widowControl w:val="0"/>
                            <w:suppressAutoHyphens/>
                            <w:ind w:firstLine="567"/>
                            <w:jc w:val="both"/>
                            <w:rPr>
                              <w:color w:val="000000"/>
                            </w:rPr>
                          </w:pPr>
                          <w:sdt>
                            <w:sdtPr>
                              <w:alias w:val="Numeris"/>
                              <w:tag w:val="nr_dccd15d4d18d4d39b490f6cdb1965962"/>
                              <w:lock w:val="sdtLocked"/>
                              <w:richText/>
                            </w:sdtPr>
                            <w:sdtContent>
                              <w:r>
                                <w:rPr>
                                  <w:color w:val="000000"/>
                                </w:rPr>
                                <w:t>12.1.1</w:t>
                              </w:r>
                            </w:sdtContent>
                          </w:sdt>
                          <w:r>
                            <w:rPr>
                              <w:color w:val="000000"/>
                            </w:rPr>
                            <w:t>. kiekvieną ekonominės veiklos vykdytoją, kuris jiems pristatė žaislą;</w:t>
                          </w:r>
                        </w:p>
                      </w:sdtContent>
                    </w:sdt>
                    <w:sdt>
                      <w:sdtPr>
                        <w:alias w:val="12.1.2 p."/>
                        <w:tag w:val="part_2e969b09f10b45b3bbcb18c19856670b"/>
                        <w:lock w:val="sdtLocked"/>
                        <w:richText/>
                      </w:sdtPr>
                      <w:sdtContent>
                        <w:p>
                          <w:pPr>
                            <w:widowControl w:val="0"/>
                            <w:suppressAutoHyphens/>
                            <w:ind w:firstLine="567"/>
                            <w:jc w:val="both"/>
                            <w:rPr>
                              <w:color w:val="000000"/>
                            </w:rPr>
                          </w:pPr>
                          <w:sdt>
                            <w:sdtPr>
                              <w:alias w:val="Numeris"/>
                              <w:tag w:val="nr_2e969b09f10b45b3bbcb18c19856670b"/>
                              <w:lock w:val="sdtLocked"/>
                              <w:richText/>
                            </w:sdtPr>
                            <w:sdtContent>
                              <w:r>
                                <w:rPr>
                                  <w:color w:val="000000"/>
                                </w:rPr>
                                <w:t>12.1.2</w:t>
                              </w:r>
                            </w:sdtContent>
                          </w:sdt>
                          <w:r>
                            <w:rPr>
                              <w:color w:val="000000"/>
                            </w:rPr>
                            <w:t>. kiekvieną ekonominės veiklos vykdytoją, kuriam jie pristatė žaislą.</w:t>
                          </w:r>
                        </w:p>
                      </w:sdtContent>
                    </w:sdt>
                  </w:sdtContent>
                </w:sdt>
                <w:sdt>
                  <w:sdtPr>
                    <w:alias w:val="12.2 p."/>
                    <w:tag w:val="part_50afb036ef11474188428c16c8d847b9"/>
                    <w:lock w:val="sdtLocked"/>
                    <w:richText/>
                  </w:sdtPr>
                  <w:sdtContent>
                    <w:p>
                      <w:pPr>
                        <w:widowControl w:val="0"/>
                        <w:suppressAutoHyphens/>
                        <w:ind w:firstLine="567"/>
                        <w:jc w:val="both"/>
                        <w:rPr>
                          <w:color w:val="000000"/>
                        </w:rPr>
                      </w:pPr>
                      <w:sdt>
                        <w:sdtPr>
                          <w:alias w:val="Numeris"/>
                          <w:tag w:val="nr_50afb036ef11474188428c16c8d847b9"/>
                          <w:lock w:val="sdtLocked"/>
                          <w:richText/>
                        </w:sdtPr>
                        <w:sdtContent>
                          <w:r>
                            <w:rPr>
                              <w:color w:val="000000"/>
                            </w:rPr>
                            <w:t>12.2</w:t>
                          </w:r>
                        </w:sdtContent>
                      </w:sdt>
                      <w:r>
                        <w:rPr>
                          <w:color w:val="000000"/>
                        </w:rPr>
                        <w:t>. Gamintojas turi teikti Reglamento 12.1 papunktyje</w:t>
                      </w:r>
                      <w:r>
                        <w:rPr>
                          <w:b/>
                          <w:color w:val="000000"/>
                        </w:rPr>
                        <w:t xml:space="preserve"> </w:t>
                      </w:r>
                      <w:r>
                        <w:rPr>
                          <w:color w:val="000000"/>
                        </w:rPr>
                        <w:t>nurodytą informaciją 10 metų po to, kai žaislas buvo pateiktas rinkai, o kiti ekonominės veiklos vykdytojai – 10 metų po to, kai tas žaislas jiems buvo pateiktas.</w:t>
                      </w:r>
                    </w:p>
                  </w:sdtContent>
                </w:sdt>
              </w:sdtContent>
            </w:sdt>
          </w:sdtContent>
        </w:sdt>
        <w:sdt>
          <w:sdtPr>
            <w:alias w:val="skyrius"/>
            <w:tag w:val="part_058c668c79f14a90a080a3360f6b144b"/>
            <w:lock w:val="sdtLocked"/>
            <w:richText/>
          </w:sdtPr>
          <w:sdtContent>
            <w:p>
              <w:pPr>
                <w:keepLines/>
                <w:widowControl w:val="0"/>
                <w:suppressAutoHyphens/>
                <w:jc w:val="center"/>
                <w:rPr>
                  <w:b/>
                  <w:bCs/>
                  <w:caps/>
                  <w:color w:val="000000"/>
                </w:rPr>
              </w:pPr>
              <w:sdt>
                <w:sdtPr>
                  <w:alias w:val="Numeris"/>
                  <w:tag w:val="nr_058c668c79f14a90a080a3360f6b144b"/>
                  <w:lock w:val="sdtLocked"/>
                  <w:richText/>
                </w:sdtPr>
                <w:sdtContent>
                  <w:r>
                    <w:rPr>
                      <w:b/>
                      <w:bCs/>
                      <w:caps/>
                      <w:color w:val="000000"/>
                    </w:rPr>
                    <w:t>III</w:t>
                  </w:r>
                </w:sdtContent>
              </w:sdt>
              <w:r>
                <w:rPr>
                  <w:b/>
                  <w:bCs/>
                  <w:caps/>
                  <w:color w:val="000000"/>
                </w:rPr>
                <w:t xml:space="preserve"> SKYRIUS</w:t>
              </w:r>
            </w:p>
            <w:p>
              <w:pPr>
                <w:keepLines/>
                <w:widowControl w:val="0"/>
                <w:suppressAutoHyphens/>
                <w:jc w:val="center"/>
                <w:rPr>
                  <w:b/>
                  <w:bCs/>
                  <w:caps/>
                  <w:color w:val="000000"/>
                </w:rPr>
              </w:pPr>
              <w:r>
                <w:rPr>
                  <w:b/>
                  <w:bCs/>
                  <w:caps/>
                  <w:color w:val="000000"/>
                </w:rPr>
                <w:t xml:space="preserve"> </w:t>
              </w:r>
              <w:sdt>
                <w:sdtPr>
                  <w:alias w:val="Pavadinimas"/>
                  <w:tag w:val="title_058c668c79f14a90a080a3360f6b144b"/>
                  <w:lock w:val="sdtLocked"/>
                  <w:richText/>
                </w:sdtPr>
                <w:sdtContent>
                  <w:r>
                    <w:rPr>
                      <w:b/>
                      <w:bCs/>
                      <w:caps/>
                      <w:color w:val="000000"/>
                    </w:rPr>
                    <w:t xml:space="preserve">ŽAISLŲ ATITIKTIS </w:t>
                  </w:r>
                </w:sdtContent>
              </w:sdt>
            </w:p>
            <w:sdt>
              <w:sdtPr>
                <w:alias w:val="13 p."/>
                <w:tag w:val="part_882006b6f388421eb722cfd79e79a83f"/>
                <w:lock w:val="sdtLocked"/>
                <w:richText/>
              </w:sdtPr>
              <w:sdtContent>
                <w:p>
                  <w:pPr>
                    <w:widowControl w:val="0"/>
                    <w:suppressAutoHyphens/>
                    <w:ind w:firstLine="567"/>
                    <w:jc w:val="both"/>
                    <w:rPr>
                      <w:color w:val="000000"/>
                    </w:rPr>
                  </w:pPr>
                  <w:sdt>
                    <w:sdtPr>
                      <w:alias w:val="Numeris"/>
                      <w:tag w:val="nr_882006b6f388421eb722cfd79e79a83f"/>
                      <w:lock w:val="sdtLocked"/>
                      <w:richText/>
                    </w:sdtPr>
                    <w:sdtContent>
                      <w:r>
                        <w:rPr>
                          <w:color w:val="000000"/>
                        </w:rPr>
                        <w:t>13</w:t>
                      </w:r>
                    </w:sdtContent>
                  </w:sdt>
                  <w:r>
                    <w:rPr>
                      <w:color w:val="000000"/>
                    </w:rPr>
                    <w:t>. Į rinką pateikti žaislai turi atitikti esminius saugos reikalavimus, nustatytus šiame punkte, per jų numatomą ir logiškai pagrįstą naudojimo laikotarpį:</w:t>
                  </w:r>
                </w:p>
                <w:sdt>
                  <w:sdtPr>
                    <w:alias w:val="13.1 p."/>
                    <w:tag w:val="part_ebba3cb0f704404f9b8b78c01903de99"/>
                    <w:lock w:val="sdtLocked"/>
                    <w:richText/>
                  </w:sdtPr>
                  <w:sdtContent>
                    <w:p>
                      <w:pPr>
                        <w:widowControl w:val="0"/>
                        <w:suppressAutoHyphens/>
                        <w:ind w:firstLine="567"/>
                        <w:jc w:val="both"/>
                        <w:rPr>
                          <w:color w:val="000000"/>
                        </w:rPr>
                      </w:pPr>
                      <w:sdt>
                        <w:sdtPr>
                          <w:alias w:val="Numeris"/>
                          <w:tag w:val="nr_ebba3cb0f704404f9b8b78c01903de99"/>
                          <w:lock w:val="sdtLocked"/>
                          <w:richText/>
                        </w:sdtPr>
                        <w:sdtContent>
                          <w:r>
                            <w:rPr>
                              <w:color w:val="000000"/>
                            </w:rPr>
                            <w:t>13.1</w:t>
                          </w:r>
                        </w:sdtContent>
                      </w:sdt>
                      <w:r>
                        <w:rPr>
                          <w:color w:val="000000"/>
                        </w:rPr>
                        <w:t>. Lietuvos rinkai negalima pateikti žaislų, jeigu jie neatitinka esminių saugos reikalavimų: Reglamento 13.2, 13.3, 13.4 papunkčiuose</w:t>
                      </w:r>
                      <w:r>
                        <w:rPr>
                          <w:b/>
                          <w:color w:val="000000"/>
                        </w:rPr>
                        <w:t xml:space="preserve"> </w:t>
                      </w:r>
                      <w:r>
                        <w:rPr>
                          <w:color w:val="000000"/>
                        </w:rPr>
                        <w:t>nustatyto bendrojo saugos reikalavimo ir Reglamento 2 priede nustatytų specialiųjų saugos reikalavimų.</w:t>
                      </w:r>
                    </w:p>
                  </w:sdtContent>
                </w:sdt>
                <w:sdt>
                  <w:sdtPr>
                    <w:alias w:val="13.2 p."/>
                    <w:tag w:val="part_0b4e5301ef1c4450bbe16f4f9efcecc5"/>
                    <w:lock w:val="sdtLocked"/>
                    <w:richText/>
                  </w:sdtPr>
                  <w:sdtContent>
                    <w:p>
                      <w:pPr>
                        <w:widowControl w:val="0"/>
                        <w:suppressAutoHyphens/>
                        <w:ind w:firstLine="567"/>
                        <w:jc w:val="both"/>
                        <w:rPr>
                          <w:color w:val="000000"/>
                        </w:rPr>
                      </w:pPr>
                      <w:sdt>
                        <w:sdtPr>
                          <w:alias w:val="Numeris"/>
                          <w:tag w:val="nr_0b4e5301ef1c4450bbe16f4f9efcecc5"/>
                          <w:lock w:val="sdtLocked"/>
                          <w:richText/>
                        </w:sdtPr>
                        <w:sdtContent>
                          <w:r>
                            <w:rPr>
                              <w:color w:val="000000"/>
                            </w:rPr>
                            <w:t>13.2</w:t>
                          </w:r>
                        </w:sdtContent>
                      </w:sdt>
                      <w:r>
                        <w:rPr>
                          <w:color w:val="000000"/>
                        </w:rPr>
                        <w:t>. Žaislai, įskaitant juose esančias chemines medžiagas, neturi kelti pavojaus naudotojų ar trečiųjų asmenų saugai arba sveikatai, kai jie naudojami pagal paskirtį arba kitu numanomu būdu, atsižvelgiant į įprastą vaikų elgseną.</w:t>
                      </w:r>
                    </w:p>
                  </w:sdtContent>
                </w:sdt>
                <w:sdt>
                  <w:sdtPr>
                    <w:alias w:val="13.3 p."/>
                    <w:tag w:val="part_37ccdc6cccbb4d7a8d72f8b5e2e2d1eb"/>
                    <w:lock w:val="sdtLocked"/>
                    <w:richText/>
                  </w:sdtPr>
                  <w:sdtContent>
                    <w:p>
                      <w:pPr>
                        <w:widowControl w:val="0"/>
                        <w:suppressAutoHyphens/>
                        <w:ind w:firstLine="567"/>
                        <w:jc w:val="both"/>
                        <w:rPr>
                          <w:color w:val="000000"/>
                        </w:rPr>
                      </w:pPr>
                      <w:sdt>
                        <w:sdtPr>
                          <w:alias w:val="Numeris"/>
                          <w:tag w:val="nr_37ccdc6cccbb4d7a8d72f8b5e2e2d1eb"/>
                          <w:lock w:val="sdtLocked"/>
                          <w:richText/>
                        </w:sdtPr>
                        <w:sdtContent>
                          <w:r>
                            <w:rPr>
                              <w:color w:val="000000"/>
                            </w:rPr>
                            <w:t>13.3</w:t>
                          </w:r>
                        </w:sdtContent>
                      </w:sdt>
                      <w:r>
                        <w:rPr>
                          <w:color w:val="000000"/>
                        </w:rPr>
                        <w:t>. Turi būti atsižvelgiama į naudotojų (vaikų), prireikus į jų prižiūrėtojų (vaikus prižiūrinčių suaugusiųjų) gebėjimus, visų pirma kai naudojami vaikams iki 36 mėnesių ar kitoms tiksliai apibrėžtoms amžiaus grupėms skirti žaislai.</w:t>
                      </w:r>
                    </w:p>
                  </w:sdtContent>
                </w:sdt>
                <w:sdt>
                  <w:sdtPr>
                    <w:alias w:val="13.4 p."/>
                    <w:tag w:val="part_dc155a5039534495be1fb20cc0eb7542"/>
                    <w:lock w:val="sdtLocked"/>
                    <w:richText/>
                  </w:sdtPr>
                  <w:sdtContent>
                    <w:p>
                      <w:pPr>
                        <w:widowControl w:val="0"/>
                        <w:suppressAutoHyphens/>
                        <w:ind w:firstLine="567"/>
                        <w:jc w:val="both"/>
                        <w:rPr>
                          <w:color w:val="000000"/>
                        </w:rPr>
                      </w:pPr>
                      <w:sdt>
                        <w:sdtPr>
                          <w:alias w:val="Numeris"/>
                          <w:tag w:val="nr_dc155a5039534495be1fb20cc0eb7542"/>
                          <w:lock w:val="sdtLocked"/>
                          <w:richText/>
                        </w:sdtPr>
                        <w:sdtContent>
                          <w:r>
                            <w:rPr>
                              <w:color w:val="000000"/>
                            </w:rPr>
                            <w:t>13.4</w:t>
                          </w:r>
                        </w:sdtContent>
                      </w:sdt>
                      <w:r>
                        <w:rPr>
                          <w:color w:val="000000"/>
                        </w:rPr>
                        <w:t>. Etiketės, pritvirtintos laikantis Reglamento 14.4, 14.5 ir 14.6 papunkčiuose nustatytų reikalavimų, ir prie žaislų pridedamos naudojimo instrukcijos turi atkreipti naudotojų arba jų prižiūrėtojų dėmesį į būdingus pavojus ir riziką patirti žalą naudojant žaislus, taip pat į būdus jų išvengti.</w:t>
                      </w:r>
                    </w:p>
                  </w:sdtContent>
                </w:sdt>
              </w:sdtContent>
            </w:sdt>
            <w:sdt>
              <w:sdtPr>
                <w:alias w:val="14 p."/>
                <w:tag w:val="part_c88152d8576f447ea8fbc124e68f455c"/>
                <w:lock w:val="sdtLocked"/>
                <w:richText/>
              </w:sdtPr>
              <w:sdtContent>
                <w:p>
                  <w:pPr>
                    <w:widowControl w:val="0"/>
                    <w:suppressAutoHyphens/>
                    <w:ind w:firstLine="567"/>
                    <w:jc w:val="both"/>
                    <w:rPr>
                      <w:color w:val="000000"/>
                    </w:rPr>
                  </w:pPr>
                  <w:sdt>
                    <w:sdtPr>
                      <w:alias w:val="Numeris"/>
                      <w:tag w:val="nr_c88152d8576f447ea8fbc124e68f455c"/>
                      <w:lock w:val="sdtLocked"/>
                      <w:richText/>
                    </w:sdtPr>
                    <w:sdtContent>
                      <w:r>
                        <w:rPr>
                          <w:color w:val="000000"/>
                        </w:rPr>
                        <w:t>14</w:t>
                      </w:r>
                    </w:sdtContent>
                  </w:sdt>
                  <w:r>
                    <w:rPr>
                      <w:color w:val="000000"/>
                    </w:rPr>
                    <w:t>. Reikalavimai dėl įspėjimų:</w:t>
                  </w:r>
                </w:p>
                <w:sdt>
                  <w:sdtPr>
                    <w:alias w:val="14.1 p."/>
                    <w:tag w:val="part_f93521fed762449da5f443fa21642a41"/>
                    <w:lock w:val="sdtLocked"/>
                    <w:richText/>
                  </w:sdtPr>
                  <w:sdtContent>
                    <w:p>
                      <w:pPr>
                        <w:widowControl w:val="0"/>
                        <w:suppressAutoHyphens/>
                        <w:ind w:firstLine="567"/>
                        <w:jc w:val="both"/>
                        <w:rPr>
                          <w:color w:val="000000"/>
                        </w:rPr>
                      </w:pPr>
                      <w:sdt>
                        <w:sdtPr>
                          <w:alias w:val="Numeris"/>
                          <w:tag w:val="nr_f93521fed762449da5f443fa21642a41"/>
                          <w:lock w:val="sdtLocked"/>
                          <w:richText/>
                        </w:sdtPr>
                        <w:sdtContent>
                          <w:r>
                            <w:rPr>
                              <w:color w:val="000000"/>
                            </w:rPr>
                            <w:t>14.1</w:t>
                          </w:r>
                        </w:sdtContent>
                      </w:sdt>
                      <w:r>
                        <w:rPr>
                          <w:color w:val="000000"/>
                        </w:rPr>
                        <w:t>. Jei reikia dėl saugaus naudojimo, įspėjimuose pagal Reglamento 13.2, 13.3 ir 13.4 papunkčius</w:t>
                      </w:r>
                      <w:r>
                        <w:rPr>
                          <w:b/>
                          <w:color w:val="000000"/>
                        </w:rPr>
                        <w:t xml:space="preserve"> </w:t>
                      </w:r>
                      <w:r>
                        <w:rPr>
                          <w:color w:val="000000"/>
                        </w:rPr>
                        <w:t>nurodomi Reglamento 8 priedo I dalyje nustatyti atitinkami apribojimai naudotojams.</w:t>
                      </w:r>
                    </w:p>
                  </w:sdtContent>
                </w:sdt>
                <w:sdt>
                  <w:sdtPr>
                    <w:alias w:val="14.2 p."/>
                    <w:tag w:val="part_5a77ac0afa1c4961a61e7e7c5d1b04d5"/>
                    <w:lock w:val="sdtLocked"/>
                    <w:richText/>
                  </w:sdtPr>
                  <w:sdtContent>
                    <w:p>
                      <w:pPr>
                        <w:widowControl w:val="0"/>
                        <w:suppressAutoHyphens/>
                        <w:ind w:firstLine="567"/>
                        <w:jc w:val="both"/>
                        <w:rPr>
                          <w:color w:val="000000"/>
                        </w:rPr>
                      </w:pPr>
                      <w:sdt>
                        <w:sdtPr>
                          <w:alias w:val="Numeris"/>
                          <w:tag w:val="nr_5a77ac0afa1c4961a61e7e7c5d1b04d5"/>
                          <w:lock w:val="sdtLocked"/>
                          <w:richText/>
                        </w:sdtPr>
                        <w:sdtContent>
                          <w:r>
                            <w:rPr>
                              <w:color w:val="000000"/>
                            </w:rPr>
                            <w:t>14.2</w:t>
                          </w:r>
                        </w:sdtContent>
                      </w:sdt>
                      <w:r>
                        <w:rPr>
                          <w:color w:val="000000"/>
                        </w:rPr>
                        <w:t>. Reglamento 8 priedo II dalyje išvardytų žaislų kategorijoms naudojami tos dalies 4–12 punktuose nurodyti įspėjimai ir jų formuluotės.</w:t>
                      </w:r>
                    </w:p>
                  </w:sdtContent>
                </w:sdt>
                <w:sdt>
                  <w:sdtPr>
                    <w:alias w:val="14.3 p."/>
                    <w:tag w:val="part_029c34931a9b40c9aa0eab9d8f3029ec"/>
                    <w:lock w:val="sdtLocked"/>
                    <w:richText/>
                  </w:sdtPr>
                  <w:sdtContent>
                    <w:p>
                      <w:pPr>
                        <w:widowControl w:val="0"/>
                        <w:suppressAutoHyphens/>
                        <w:ind w:firstLine="567"/>
                        <w:jc w:val="both"/>
                        <w:rPr>
                          <w:color w:val="000000"/>
                        </w:rPr>
                      </w:pPr>
                      <w:sdt>
                        <w:sdtPr>
                          <w:alias w:val="Numeris"/>
                          <w:tag w:val="nr_029c34931a9b40c9aa0eab9d8f3029ec"/>
                          <w:lock w:val="sdtLocked"/>
                          <w:richText/>
                        </w:sdtPr>
                        <w:sdtContent>
                          <w:r>
                            <w:rPr>
                              <w:color w:val="000000"/>
                            </w:rPr>
                            <w:t>14.3</w:t>
                          </w:r>
                        </w:sdtContent>
                      </w:sdt>
                      <w:r>
                        <w:rPr>
                          <w:color w:val="000000"/>
                        </w:rPr>
                        <w:t>. Ant žaislų neturi būti nurodomas vienas ar daugiau specialių įspėjimų, nurodytų Reglamento 8 priedo II dalyje, jei jie prieštarauja pagal funkcijas, matmenis ir savybes nustatytai žaislo paskirčiai.</w:t>
                      </w:r>
                    </w:p>
                  </w:sdtContent>
                </w:sdt>
                <w:sdt>
                  <w:sdtPr>
                    <w:alias w:val="14.4 p."/>
                    <w:tag w:val="part_8d22ab4b36cc4aecac04e3449e0f0ae1"/>
                    <w:lock w:val="sdtLocked"/>
                    <w:richText/>
                  </w:sdtPr>
                  <w:sdtContent>
                    <w:p>
                      <w:pPr>
                        <w:widowControl w:val="0"/>
                        <w:suppressAutoHyphens/>
                        <w:ind w:firstLine="567"/>
                        <w:jc w:val="both"/>
                        <w:rPr>
                          <w:color w:val="000000"/>
                        </w:rPr>
                      </w:pPr>
                      <w:sdt>
                        <w:sdtPr>
                          <w:alias w:val="Numeris"/>
                          <w:tag w:val="nr_8d22ab4b36cc4aecac04e3449e0f0ae1"/>
                          <w:lock w:val="sdtLocked"/>
                          <w:richText/>
                        </w:sdtPr>
                        <w:sdtContent>
                          <w:r>
                            <w:rPr>
                              <w:color w:val="000000"/>
                            </w:rPr>
                            <w:t>14.4</w:t>
                          </w:r>
                        </w:sdtContent>
                      </w:sdt>
                      <w:r>
                        <w:rPr>
                          <w:color w:val="000000"/>
                        </w:rPr>
                        <w:t>. Gamintojas įspėjimus pateikia ant žaislo, prie žaislo tvirtinamoje etiketėje arba ant pakuotės, o prireikus prie žaislo pridedamose naudojimo instrukcijose taip, kad jie būtų aiškiai matomi ir lengvai įskaitomi, lengvai suprantami ir tikslūs. Tinkami įspėjimai turi būti tvirtinami prie mažų žaislų, parduodamų be pakuočių.</w:t>
                      </w:r>
                    </w:p>
                  </w:sdtContent>
                </w:sdt>
                <w:sdt>
                  <w:sdtPr>
                    <w:alias w:val="14.5 p."/>
                    <w:tag w:val="part_7add52e7e2a040f7942a8ca221b55a7c"/>
                    <w:lock w:val="sdtLocked"/>
                    <w:richText/>
                  </w:sdtPr>
                  <w:sdtContent>
                    <w:p>
                      <w:pPr>
                        <w:widowControl w:val="0"/>
                        <w:suppressAutoHyphens/>
                        <w:ind w:firstLine="567"/>
                        <w:jc w:val="both"/>
                        <w:rPr>
                          <w:color w:val="000000"/>
                        </w:rPr>
                      </w:pPr>
                      <w:sdt>
                        <w:sdtPr>
                          <w:alias w:val="Numeris"/>
                          <w:tag w:val="nr_7add52e7e2a040f7942a8ca221b55a7c"/>
                          <w:lock w:val="sdtLocked"/>
                          <w:richText/>
                        </w:sdtPr>
                        <w:sdtContent>
                          <w:r>
                            <w:rPr>
                              <w:color w:val="000000"/>
                            </w:rPr>
                            <w:t>14.5</w:t>
                          </w:r>
                        </w:sdtContent>
                      </w:sdt>
                      <w:r>
                        <w:rPr>
                          <w:color w:val="000000"/>
                        </w:rPr>
                        <w:t>. Prieš įspėjimo tekstą turi būti parašytas atitinkamas žodis „Įspėjimas“ arba „Įspėjimai“.</w:t>
                      </w:r>
                    </w:p>
                  </w:sdtContent>
                </w:sdt>
                <w:sdt>
                  <w:sdtPr>
                    <w:alias w:val="14.6 p."/>
                    <w:tag w:val="part_814b13912a114ee3a62ea7af35c76ea9"/>
                    <w:lock w:val="sdtLocked"/>
                    <w:richText/>
                  </w:sdtPr>
                  <w:sdtContent>
                    <w:p>
                      <w:pPr>
                        <w:widowControl w:val="0"/>
                        <w:suppressAutoHyphens/>
                        <w:ind w:firstLine="567"/>
                        <w:jc w:val="both"/>
                        <w:rPr>
                          <w:color w:val="000000"/>
                        </w:rPr>
                      </w:pPr>
                      <w:sdt>
                        <w:sdtPr>
                          <w:alias w:val="Numeris"/>
                          <w:tag w:val="nr_814b13912a114ee3a62ea7af35c76ea9"/>
                          <w:lock w:val="sdtLocked"/>
                          <w:richText/>
                        </w:sdtPr>
                        <w:sdtContent>
                          <w:r>
                            <w:rPr>
                              <w:color w:val="000000"/>
                            </w:rPr>
                            <w:t>14.6</w:t>
                          </w:r>
                        </w:sdtContent>
                      </w:sdt>
                      <w:r>
                        <w:rPr>
                          <w:color w:val="000000"/>
                        </w:rPr>
                        <w:t>. Įspėjimai, kurie nulemia sprendimą įsigyti žaislą, pvz., nurodomas minimalus ir maksimalus naudotojų amžius, ir kiti taikomi įspėjimai, nustatyti Reglamento 8 priede, turi būti nurodomi ant vartotojui skirtos pakuotės ar kitaip aiškiai matomi vartotojui prieš įsigijimą, įskaitant tuos atvejus, kai perkama internetu.</w:t>
                      </w:r>
                    </w:p>
                  </w:sdtContent>
                </w:sdt>
                <w:sdt>
                  <w:sdtPr>
                    <w:alias w:val="14.7 p."/>
                    <w:tag w:val="part_5a648fd1dd0a439f8a938957647ea5ab"/>
                    <w:lock w:val="sdtLocked"/>
                    <w:richText/>
                  </w:sdtPr>
                  <w:sdtContent>
                    <w:p>
                      <w:pPr>
                        <w:widowControl w:val="0"/>
                        <w:suppressAutoHyphens/>
                        <w:ind w:firstLine="567"/>
                        <w:jc w:val="both"/>
                        <w:rPr>
                          <w:color w:val="000000"/>
                        </w:rPr>
                      </w:pPr>
                      <w:sdt>
                        <w:sdtPr>
                          <w:alias w:val="Numeris"/>
                          <w:tag w:val="nr_5a648fd1dd0a439f8a938957647ea5ab"/>
                          <w:lock w:val="sdtLocked"/>
                          <w:richText/>
                        </w:sdtPr>
                        <w:sdtContent>
                          <w:r>
                            <w:rPr>
                              <w:color w:val="000000"/>
                            </w:rPr>
                            <w:t>14.7</w:t>
                          </w:r>
                        </w:sdtContent>
                      </w:sdt>
                      <w:r>
                        <w:rPr>
                          <w:color w:val="000000"/>
                        </w:rPr>
                        <w:t>. Įspėjimai ir saugos instrukcijos turi būti pateikiami lietuvių kalba.</w:t>
                      </w:r>
                    </w:p>
                  </w:sdtContent>
                </w:sdt>
              </w:sdtContent>
            </w:sdt>
            <w:sdt>
              <w:sdtPr>
                <w:alias w:val="15 p."/>
                <w:tag w:val="part_1b59ce5ad8444ad6838a1702b9667610"/>
                <w:lock w:val="sdtLocked"/>
                <w:richText/>
              </w:sdtPr>
              <w:sdtContent>
                <w:p>
                  <w:pPr>
                    <w:widowControl w:val="0"/>
                    <w:suppressAutoHyphens/>
                    <w:ind w:firstLine="567"/>
                    <w:jc w:val="both"/>
                    <w:rPr>
                      <w:color w:val="000000"/>
                    </w:rPr>
                  </w:pPr>
                  <w:sdt>
                    <w:sdtPr>
                      <w:alias w:val="Numeris"/>
                      <w:tag w:val="nr_1b59ce5ad8444ad6838a1702b9667610"/>
                      <w:lock w:val="sdtLocked"/>
                      <w:richText/>
                    </w:sdtPr>
                    <w:sdtContent>
                      <w:r>
                        <w:rPr>
                          <w:color w:val="000000"/>
                        </w:rPr>
                        <w:t>15</w:t>
                      </w:r>
                    </w:sdtContent>
                  </w:sdt>
                  <w:r>
                    <w:rPr>
                      <w:color w:val="000000"/>
                    </w:rPr>
                    <w:t>. Šį Reglamentą atitinkantys žaislai gali būti teikiami Lietuvos rinkai.</w:t>
                  </w:r>
                </w:p>
              </w:sdtContent>
            </w:sdt>
            <w:sdt>
              <w:sdtPr>
                <w:alias w:val="16 p."/>
                <w:tag w:val="part_85083ef746ca449796475802a57eaeee"/>
                <w:lock w:val="sdtLocked"/>
                <w:richText/>
              </w:sdtPr>
              <w:sdtContent>
                <w:p>
                  <w:pPr>
                    <w:widowControl w:val="0"/>
                    <w:suppressAutoHyphens/>
                    <w:ind w:firstLine="567"/>
                    <w:jc w:val="both"/>
                    <w:rPr>
                      <w:color w:val="000000"/>
                    </w:rPr>
                  </w:pPr>
                  <w:sdt>
                    <w:sdtPr>
                      <w:alias w:val="Numeris"/>
                      <w:tag w:val="nr_85083ef746ca449796475802a57eaeee"/>
                      <w:lock w:val="sdtLocked"/>
                      <w:richText/>
                    </w:sdtPr>
                    <w:sdtContent>
                      <w:r>
                        <w:rPr>
                          <w:color w:val="000000"/>
                        </w:rPr>
                        <w:t>16</w:t>
                      </w:r>
                    </w:sdtContent>
                  </w:sdt>
                  <w:r>
                    <w:rPr>
                      <w:color w:val="000000"/>
                    </w:rPr>
                    <w:t>. Žaislai, atitinkantys darniuosius standartus, kurie yra paskelbti Europos Sąjungos oficialiajame leidinyje, ar jų dalis atitinka šio Reglamento reikalavimus arba Reglamento 13 punkte ir 2 priede nustatytus saugos reikalavimus.</w:t>
                  </w:r>
                </w:p>
              </w:sdtContent>
            </w:sdt>
            <w:sdt>
              <w:sdtPr>
                <w:alias w:val="17 p."/>
                <w:tag w:val="part_7745f5fed77844fcb16d708e8cd5c8d6"/>
                <w:lock w:val="sdtLocked"/>
                <w:richText/>
              </w:sdtPr>
              <w:sdtContent>
                <w:p>
                  <w:pPr>
                    <w:ind w:firstLine="567"/>
                    <w:jc w:val="both"/>
                    <w:textAlignment w:val="baseline"/>
                    <w:rPr>
                      <w:color w:val="000000"/>
                    </w:rPr>
                  </w:pPr>
                  <w:sdt>
                    <w:sdtPr>
                      <w:alias w:val="Numeris"/>
                      <w:tag w:val="nr_7745f5fed77844fcb16d708e8cd5c8d6"/>
                      <w:lock w:val="sdtLocked"/>
                      <w:richText/>
                    </w:sdtPr>
                    <w:sdtContent>
                      <w:r>
                        <w:t>17</w:t>
                      </w:r>
                    </w:sdtContent>
                  </w:sdt>
                  <w:r>
                    <w:t>. Jeigu Lietuvos Respublikos ekonomikos ir inovacijų ministerija ar Tarnyba mano, kad darnusis standartas nevisiškai atitinka reikalavimus, kuriuos jis apima ir kurie yra nustatyti Reglamento 13 punkte ir 2 priede, šiuos argumentus Ekonomikos ir inovacijų ministerija pateikia Europos Komisijai Reglamento (ES) Nr. 1025/2012 11 straipsnyje nustatyta tvarka.</w:t>
                  </w:r>
                </w:p>
              </w:sdtContent>
            </w:sdt>
          </w:sdtContent>
        </w:sdt>
        <w:sdt>
          <w:sdtPr>
            <w:alias w:val="skyrius"/>
            <w:tag w:val="part_433a4da91dbd4a8d9d6244ffff950758"/>
            <w:lock w:val="sdtLocked"/>
            <w:richText/>
          </w:sdtPr>
          <w:sdtContent>
            <w:p>
              <w:pPr>
                <w:keepLines/>
                <w:widowControl w:val="0"/>
                <w:suppressAutoHyphens/>
                <w:jc w:val="center"/>
                <w:rPr>
                  <w:b/>
                  <w:bCs/>
                  <w:caps/>
                  <w:color w:val="000000"/>
                </w:rPr>
              </w:pPr>
              <w:sdt>
                <w:sdtPr>
                  <w:alias w:val="Numeris"/>
                  <w:tag w:val="nr_433a4da91dbd4a8d9d6244ffff950758"/>
                  <w:lock w:val="sdtLocked"/>
                  <w:richText/>
                </w:sdtPr>
                <w:sdtContent>
                  <w:r>
                    <w:rPr>
                      <w:b/>
                      <w:bCs/>
                      <w:caps/>
                      <w:color w:val="000000"/>
                    </w:rPr>
                    <w:t>IV</w:t>
                  </w:r>
                </w:sdtContent>
              </w:sdt>
              <w:r>
                <w:rPr>
                  <w:b/>
                  <w:bCs/>
                  <w:caps/>
                  <w:color w:val="000000"/>
                </w:rPr>
                <w:t xml:space="preserve"> SKYRIUS</w:t>
              </w:r>
            </w:p>
            <w:p>
              <w:pPr>
                <w:keepLines/>
                <w:widowControl w:val="0"/>
                <w:suppressAutoHyphens/>
                <w:jc w:val="center"/>
                <w:rPr>
                  <w:b/>
                  <w:bCs/>
                  <w:caps/>
                  <w:color w:val="000000"/>
                </w:rPr>
              </w:pPr>
              <w:r>
                <w:rPr>
                  <w:b/>
                  <w:bCs/>
                  <w:caps/>
                  <w:color w:val="000000"/>
                </w:rPr>
                <w:t xml:space="preserve"> </w:t>
              </w:r>
              <w:sdt>
                <w:sdtPr>
                  <w:alias w:val="Pavadinimas"/>
                  <w:tag w:val="title_433a4da91dbd4a8d9d6244ffff950758"/>
                  <w:lock w:val="sdtLocked"/>
                  <w:richText/>
                </w:sdtPr>
                <w:sdtContent>
                  <w:r>
                    <w:rPr>
                      <w:b/>
                      <w:bCs/>
                      <w:caps/>
                      <w:color w:val="000000"/>
                    </w:rPr>
                    <w:t xml:space="preserve">EB ATITIKTIES DEKLARACIJA </w:t>
                  </w:r>
                </w:sdtContent>
              </w:sdt>
            </w:p>
            <w:sdt>
              <w:sdtPr>
                <w:alias w:val="18 p."/>
                <w:tag w:val="part_bffea4f828b540bfb9b96b8b21411804"/>
                <w:lock w:val="sdtLocked"/>
                <w:richText/>
              </w:sdtPr>
              <w:sdtContent>
                <w:p>
                  <w:pPr>
                    <w:widowControl w:val="0"/>
                    <w:suppressAutoHyphens/>
                    <w:ind w:firstLine="567"/>
                    <w:jc w:val="both"/>
                    <w:rPr>
                      <w:color w:val="000000"/>
                    </w:rPr>
                  </w:pPr>
                  <w:sdt>
                    <w:sdtPr>
                      <w:alias w:val="Numeris"/>
                      <w:tag w:val="nr_bffea4f828b540bfb9b96b8b21411804"/>
                      <w:lock w:val="sdtLocked"/>
                      <w:richText/>
                    </w:sdtPr>
                    <w:sdtContent>
                      <w:r>
                        <w:rPr>
                          <w:color w:val="000000"/>
                        </w:rPr>
                        <w:t>18</w:t>
                      </w:r>
                    </w:sdtContent>
                  </w:sdt>
                  <w:r>
                    <w:rPr>
                      <w:color w:val="000000"/>
                    </w:rPr>
                    <w:t>. EB atitikties deklaracijoje nurodoma, kad įrodyta, jog įvykdyti Reglamento 13 punkte ir 2 priede nustatyti reikalavimai.</w:t>
                  </w:r>
                </w:p>
              </w:sdtContent>
            </w:sdt>
            <w:sdt>
              <w:sdtPr>
                <w:alias w:val="19 p."/>
                <w:tag w:val="part_56a30d7988084254a2d653efa1e69b72"/>
                <w:lock w:val="sdtLocked"/>
                <w:richText/>
              </w:sdtPr>
              <w:sdtContent>
                <w:p>
                  <w:pPr>
                    <w:ind w:firstLine="567"/>
                    <w:jc w:val="both"/>
                    <w:rPr>
                      <w:color w:val="000000"/>
                    </w:rPr>
                  </w:pPr>
                  <w:sdt>
                    <w:sdtPr>
                      <w:alias w:val="Numeris"/>
                      <w:tag w:val="nr_56a30d7988084254a2d653efa1e69b72"/>
                      <w:lock w:val="sdtLocked"/>
                      <w:richText/>
                    </w:sdtPr>
                    <w:sdtContent>
                      <w:r>
                        <w:rPr>
                          <w:szCs w:val="24"/>
                        </w:rPr>
                        <w:t>19</w:t>
                      </w:r>
                    </w:sdtContent>
                  </w:sdt>
                  <w:r>
                    <w:rPr>
                      <w:szCs w:val="24"/>
                    </w:rPr>
                    <w:t>. EB atitikties deklaracijoje nurodoma informacija, pateikta Reglamento 6 priede ir atitinkamuose moduliuose, nurodytuose 2008 m. liepos 9 d. Europos Parlamento ir Tarybos sprendimo Nr. 768/2008/EB dėl bendrosios gaminių pardavimo sistemos ir panaikinančio Sprendimą 93/465/EEB II priede. EB atitikties deklaracija atnaujinama, jei pasikeitė EB atitikties deklaracijoje pateikiami duomenys ir informacija. EB atitikties deklaracijos forma atitinka Reglamento 6 priede nustatytą pavyzdį. Ji turi būti išversta į lietuvių kalbą.</w:t>
                  </w:r>
                </w:p>
              </w:sdtContent>
            </w:sdt>
            <w:sdt>
              <w:sdtPr>
                <w:alias w:val="20 p."/>
                <w:tag w:val="part_89c04be5caf3455fad5effcf37b9b26f"/>
                <w:lock w:val="sdtLocked"/>
                <w:richText/>
              </w:sdtPr>
              <w:sdtContent>
                <w:p>
                  <w:pPr>
                    <w:widowControl w:val="0"/>
                    <w:suppressAutoHyphens/>
                    <w:ind w:firstLine="567"/>
                    <w:jc w:val="both"/>
                    <w:rPr>
                      <w:color w:val="000000"/>
                    </w:rPr>
                  </w:pPr>
                  <w:sdt>
                    <w:sdtPr>
                      <w:alias w:val="Numeris"/>
                      <w:tag w:val="nr_89c04be5caf3455fad5effcf37b9b26f"/>
                      <w:lock w:val="sdtLocked"/>
                      <w:richText/>
                    </w:sdtPr>
                    <w:sdtContent>
                      <w:r>
                        <w:rPr>
                          <w:color w:val="000000"/>
                        </w:rPr>
                        <w:t>20</w:t>
                      </w:r>
                    </w:sdtContent>
                  </w:sdt>
                  <w:r>
                    <w:rPr>
                      <w:color w:val="000000"/>
                    </w:rPr>
                    <w:t>. Parengęs EB atitikties deklaraciją gamintojas prisiima atsakomybę dėl žaislo atitikties.</w:t>
                  </w:r>
                </w:p>
                <w:p>
                  <w:pPr>
                    <w:widowControl w:val="0"/>
                    <w:suppressAutoHyphens/>
                    <w:ind w:firstLine="567"/>
                    <w:jc w:val="both"/>
                    <w:rPr>
                      <w:color w:val="000000"/>
                    </w:rPr>
                  </w:pPr>
                </w:p>
              </w:sdtContent>
            </w:sdt>
          </w:sdtContent>
        </w:sdt>
        <w:sdt>
          <w:sdtPr>
            <w:alias w:val="skyrius"/>
            <w:tag w:val="part_d90528bd89ea4c06af1dc5f82d80a4fd"/>
            <w:lock w:val="sdtLocked"/>
            <w:richText/>
          </w:sdtPr>
          <w:sdtContent>
            <w:p>
              <w:pPr>
                <w:keepLines/>
                <w:widowControl w:val="0"/>
                <w:suppressAutoHyphens/>
                <w:jc w:val="center"/>
                <w:rPr>
                  <w:b/>
                  <w:bCs/>
                  <w:caps/>
                  <w:color w:val="000000"/>
                </w:rPr>
              </w:pPr>
              <w:sdt>
                <w:sdtPr>
                  <w:alias w:val="Numeris"/>
                  <w:tag w:val="nr_d90528bd89ea4c06af1dc5f82d80a4fd"/>
                  <w:lock w:val="sdtLocked"/>
                  <w:richText/>
                </w:sdtPr>
                <w:sdtContent>
                  <w:r>
                    <w:rPr>
                      <w:b/>
                      <w:bCs/>
                      <w:caps/>
                      <w:color w:val="000000"/>
                    </w:rPr>
                    <w:t>V</w:t>
                  </w:r>
                </w:sdtContent>
              </w:sdt>
              <w:r>
                <w:rPr>
                  <w:b/>
                  <w:bCs/>
                  <w:caps/>
                  <w:color w:val="000000"/>
                </w:rPr>
                <w:t xml:space="preserve"> SKYRIUS</w:t>
              </w:r>
            </w:p>
            <w:p>
              <w:pPr>
                <w:keepLines/>
                <w:widowControl w:val="0"/>
                <w:suppressAutoHyphens/>
                <w:jc w:val="center"/>
                <w:rPr>
                  <w:b/>
                  <w:bCs/>
                  <w:caps/>
                  <w:color w:val="000000"/>
                </w:rPr>
              </w:pPr>
              <w:r>
                <w:rPr>
                  <w:b/>
                  <w:bCs/>
                  <w:caps/>
                  <w:color w:val="000000"/>
                </w:rPr>
                <w:t xml:space="preserve"> </w:t>
              </w:r>
              <w:sdt>
                <w:sdtPr>
                  <w:alias w:val="Pavadinimas"/>
                  <w:tag w:val="title_d90528bd89ea4c06af1dc5f82d80a4fd"/>
                  <w:lock w:val="sdtLocked"/>
                  <w:richText/>
                </w:sdtPr>
                <w:sdtContent>
                  <w:r>
                    <w:rPr>
                      <w:b/>
                      <w:bCs/>
                      <w:caps/>
                      <w:color w:val="000000"/>
                    </w:rPr>
                    <w:t xml:space="preserve">BENDRIEJI ŽYMĖJIMO ŽENKLU CE PRINCIPAI, TAISYKLĖS IR SĄLYGOS </w:t>
                  </w:r>
                </w:sdtContent>
              </w:sdt>
            </w:p>
            <w:sdt>
              <w:sdtPr>
                <w:alias w:val="21 p."/>
                <w:tag w:val="part_a9bff983c18945b6b30aa49466f3329e"/>
                <w:lock w:val="sdtLocked"/>
                <w:richText/>
              </w:sdtPr>
              <w:sdtContent>
                <w:p>
                  <w:pPr>
                    <w:widowControl w:val="0"/>
                    <w:suppressAutoHyphens/>
                    <w:ind w:firstLine="567"/>
                    <w:jc w:val="both"/>
                    <w:rPr>
                      <w:color w:val="000000"/>
                    </w:rPr>
                  </w:pPr>
                  <w:sdt>
                    <w:sdtPr>
                      <w:alias w:val="Numeris"/>
                      <w:tag w:val="nr_a9bff983c18945b6b30aa49466f3329e"/>
                      <w:lock w:val="sdtLocked"/>
                      <w:richText/>
                    </w:sdtPr>
                    <w:sdtContent>
                      <w:r>
                        <w:rPr>
                          <w:color w:val="000000"/>
                        </w:rPr>
                        <w:t>21</w:t>
                      </w:r>
                    </w:sdtContent>
                  </w:sdt>
                  <w:r>
                    <w:rPr>
                      <w:color w:val="000000"/>
                    </w:rPr>
                    <w:t>. Lietuvos rinkai tiekiami žaislai ženklinami „CE“ ženklu.</w:t>
                  </w:r>
                </w:p>
              </w:sdtContent>
            </w:sdt>
            <w:sdt>
              <w:sdtPr>
                <w:alias w:val="22 p."/>
                <w:tag w:val="part_c0737281a96b45ea9ac6b3b6a2a59fb5"/>
                <w:lock w:val="sdtLocked"/>
                <w:richText/>
              </w:sdtPr>
              <w:sdtContent>
                <w:p>
                  <w:pPr>
                    <w:widowControl w:val="0"/>
                    <w:suppressAutoHyphens/>
                    <w:ind w:firstLine="567"/>
                    <w:jc w:val="both"/>
                    <w:rPr>
                      <w:color w:val="000000"/>
                    </w:rPr>
                  </w:pPr>
                  <w:sdt>
                    <w:sdtPr>
                      <w:alias w:val="Numeris"/>
                      <w:tag w:val="nr_c0737281a96b45ea9ac6b3b6a2a59fb5"/>
                      <w:lock w:val="sdtLocked"/>
                      <w:richText/>
                    </w:sdtPr>
                    <w:sdtContent>
                      <w:r>
                        <w:rPr>
                          <w:color w:val="000000"/>
                        </w:rPr>
                        <w:t>22</w:t>
                      </w:r>
                    </w:sdtContent>
                  </w:sdt>
                  <w:r>
                    <w:rPr>
                      <w:color w:val="000000"/>
                    </w:rPr>
                    <w:t>. Žymėjimui „CE“ ženklu taikomi bendrieji principai, nustatyti Reglamento (EB) Nr. 765/2008 30 straipsnyje.</w:t>
                  </w:r>
                </w:p>
              </w:sdtContent>
            </w:sdt>
            <w:sdt>
              <w:sdtPr>
                <w:alias w:val="23 p."/>
                <w:tag w:val="part_8ca678ffbfdc4a0e9288cdc2de17e553"/>
                <w:lock w:val="sdtLocked"/>
                <w:richText/>
              </w:sdtPr>
              <w:sdtContent>
                <w:p>
                  <w:pPr>
                    <w:widowControl w:val="0"/>
                    <w:suppressAutoHyphens/>
                    <w:ind w:firstLine="567"/>
                    <w:jc w:val="both"/>
                    <w:rPr>
                      <w:color w:val="000000"/>
                    </w:rPr>
                  </w:pPr>
                  <w:sdt>
                    <w:sdtPr>
                      <w:alias w:val="Numeris"/>
                      <w:tag w:val="nr_8ca678ffbfdc4a0e9288cdc2de17e553"/>
                      <w:lock w:val="sdtLocked"/>
                      <w:richText/>
                    </w:sdtPr>
                    <w:sdtContent>
                      <w:r>
                        <w:rPr>
                          <w:color w:val="000000"/>
                        </w:rPr>
                        <w:t>23</w:t>
                      </w:r>
                    </w:sdtContent>
                  </w:sdt>
                  <w:r>
                    <w:rPr>
                      <w:color w:val="000000"/>
                    </w:rPr>
                    <w:t>. Laikoma, kad „CE“ ženklu paženklinti žaislai atitinka šį Reglamentą.</w:t>
                  </w:r>
                  <w:r>
                    <w:t xml:space="preserve"> </w:t>
                  </w:r>
                </w:p>
              </w:sdtContent>
            </w:sdt>
            <w:sdt>
              <w:sdtPr>
                <w:alias w:val="24 p."/>
                <w:tag w:val="part_a8a358dae9954f88997844daad14e7a1"/>
                <w:lock w:val="sdtLocked"/>
                <w:richText/>
              </w:sdtPr>
              <w:sdtContent>
                <w:p>
                  <w:pPr>
                    <w:widowControl w:val="0"/>
                    <w:suppressAutoHyphens/>
                    <w:ind w:firstLine="567"/>
                    <w:jc w:val="both"/>
                    <w:rPr>
                      <w:color w:val="000000"/>
                    </w:rPr>
                  </w:pPr>
                  <w:sdt>
                    <w:sdtPr>
                      <w:alias w:val="Numeris"/>
                      <w:tag w:val="nr_a8a358dae9954f88997844daad14e7a1"/>
                      <w:lock w:val="sdtLocked"/>
                      <w:richText/>
                    </w:sdtPr>
                    <w:sdtContent>
                      <w:r>
                        <w:rPr>
                          <w:color w:val="000000"/>
                        </w:rPr>
                        <w:t>24</w:t>
                      </w:r>
                    </w:sdtContent>
                  </w:sdt>
                  <w:r>
                    <w:rPr>
                      <w:color w:val="000000"/>
                    </w:rPr>
                    <w:t>. Žaislai, nepaženklinti „CE“ ženklu ar kitaip neatitinkantys šio Reglamento, gali būti rodomi ir naudojami prekybos mugėse ir parodose, jei prie jų pridedama žyma, kurioje aiškiai nurodyta, kad žaislai neatitinka šio Reglamento ir nepateks į Lietuvos rinką, kol nebus užtikrinta jų atitiktis.</w:t>
                  </w:r>
                </w:p>
              </w:sdtContent>
            </w:sdt>
            <w:sdt>
              <w:sdtPr>
                <w:alias w:val="25 p."/>
                <w:tag w:val="part_ac0dc3eade7a468e9238a7cf5cc6cf86"/>
                <w:lock w:val="sdtLocked"/>
                <w:richText/>
              </w:sdtPr>
              <w:sdtContent>
                <w:p>
                  <w:pPr>
                    <w:widowControl w:val="0"/>
                    <w:suppressAutoHyphens/>
                    <w:ind w:firstLine="567"/>
                    <w:jc w:val="both"/>
                    <w:rPr>
                      <w:color w:val="000000"/>
                    </w:rPr>
                  </w:pPr>
                  <w:sdt>
                    <w:sdtPr>
                      <w:alias w:val="Numeris"/>
                      <w:tag w:val="nr_ac0dc3eade7a468e9238a7cf5cc6cf86"/>
                      <w:lock w:val="sdtLocked"/>
                      <w:richText/>
                    </w:sdtPr>
                    <w:sdtContent>
                      <w:r>
                        <w:rPr>
                          <w:color w:val="000000"/>
                        </w:rPr>
                        <w:t>25</w:t>
                      </w:r>
                    </w:sdtContent>
                  </w:sdt>
                  <w:r>
                    <w:rPr>
                      <w:color w:val="000000"/>
                    </w:rPr>
                    <w:t>. Žaislas, etiketė arba pakuotė ženklinama „CE“ ženklu taip, kad šis ženklas būtų matomas, įskaitomas ir negalėtų būti panaikintas. Jei žaislai yra maži arba turi mažų detalių, „CE“ ženklą galima nurodyti etiketėje ar pridedamame informaciniame lapelyje. Jei to padaryti techniškai neįmanoma, prekiaujant žaislais prekių stende ir esant sąlygai, kad prekių stendas iš pradžių buvo naudojamas kaip žaislų pakuotė, „CE“ ženklas gali būti tvirtinamas prie prekių stendo.</w:t>
                  </w:r>
                </w:p>
              </w:sdtContent>
            </w:sdt>
            <w:sdt>
              <w:sdtPr>
                <w:alias w:val="26 p."/>
                <w:tag w:val="part_7f155a65b1c34194a45500681344ee57"/>
                <w:lock w:val="sdtLocked"/>
                <w:richText/>
              </w:sdtPr>
              <w:sdtContent>
                <w:p>
                  <w:pPr>
                    <w:widowControl w:val="0"/>
                    <w:suppressAutoHyphens/>
                    <w:ind w:firstLine="567"/>
                    <w:jc w:val="both"/>
                    <w:rPr>
                      <w:color w:val="000000"/>
                    </w:rPr>
                  </w:pPr>
                  <w:sdt>
                    <w:sdtPr>
                      <w:alias w:val="Numeris"/>
                      <w:tag w:val="nr_7f155a65b1c34194a45500681344ee57"/>
                      <w:lock w:val="sdtLocked"/>
                      <w:richText/>
                    </w:sdtPr>
                    <w:sdtContent>
                      <w:r>
                        <w:rPr>
                          <w:color w:val="000000"/>
                        </w:rPr>
                        <w:t>26</w:t>
                      </w:r>
                    </w:sdtContent>
                  </w:sdt>
                  <w:r>
                    <w:rPr>
                      <w:color w:val="000000"/>
                    </w:rPr>
                    <w:t>. Jei „CE“ ženklo nematyti per pakuotę, jis turi būti bent ant pakuotės.</w:t>
                  </w:r>
                </w:p>
              </w:sdtContent>
            </w:sdt>
            <w:sdt>
              <w:sdtPr>
                <w:alias w:val="27 p."/>
                <w:tag w:val="part_a4f22f680dc049d4adb7d92a23dfd50a"/>
                <w:lock w:val="sdtLocked"/>
                <w:richText/>
              </w:sdtPr>
              <w:sdtContent>
                <w:p>
                  <w:pPr>
                    <w:widowControl w:val="0"/>
                    <w:suppressAutoHyphens/>
                    <w:ind w:firstLine="567"/>
                    <w:jc w:val="both"/>
                    <w:rPr>
                      <w:color w:val="000000"/>
                    </w:rPr>
                  </w:pPr>
                  <w:sdt>
                    <w:sdtPr>
                      <w:alias w:val="Numeris"/>
                      <w:tag w:val="nr_a4f22f680dc049d4adb7d92a23dfd50a"/>
                      <w:lock w:val="sdtLocked"/>
                      <w:richText/>
                    </w:sdtPr>
                    <w:sdtContent>
                      <w:r>
                        <w:rPr>
                          <w:color w:val="000000"/>
                        </w:rPr>
                        <w:t>27</w:t>
                      </w:r>
                    </w:sdtContent>
                  </w:sdt>
                  <w:r>
                    <w:rPr>
                      <w:color w:val="000000"/>
                    </w:rPr>
                    <w:t>. Žaislas ženklinamas „CE“ ženklu prieš pateikiamas į rinką. Prie jo gali būti pateikiama piktograma arba bet koks kitas ženklas, nurodantis konkrečią riziką ar naudojimo atvejį.</w:t>
                  </w:r>
                </w:p>
                <w:p>
                  <w:pPr>
                    <w:widowControl w:val="0"/>
                    <w:suppressAutoHyphens/>
                    <w:ind w:firstLine="567"/>
                    <w:jc w:val="both"/>
                    <w:rPr>
                      <w:color w:val="000000"/>
                    </w:rPr>
                  </w:pPr>
                </w:p>
              </w:sdtContent>
            </w:sdt>
          </w:sdtContent>
        </w:sdt>
        <w:sdt>
          <w:sdtPr>
            <w:alias w:val="skyrius"/>
            <w:tag w:val="part_b25f8246ccae440dba43ace4dc0f25be"/>
            <w:lock w:val="sdtLocked"/>
            <w:richText/>
          </w:sdtPr>
          <w:sdtContent>
            <w:p>
              <w:pPr>
                <w:keepLines/>
                <w:widowControl w:val="0"/>
                <w:suppressAutoHyphens/>
                <w:jc w:val="center"/>
                <w:rPr>
                  <w:b/>
                  <w:bCs/>
                  <w:caps/>
                  <w:color w:val="000000"/>
                </w:rPr>
              </w:pPr>
              <w:sdt>
                <w:sdtPr>
                  <w:alias w:val="Numeris"/>
                  <w:tag w:val="nr_b25f8246ccae440dba43ace4dc0f25be"/>
                  <w:lock w:val="sdtLocked"/>
                  <w:richText/>
                </w:sdtPr>
                <w:sdtContent>
                  <w:r>
                    <w:rPr>
                      <w:b/>
                      <w:bCs/>
                      <w:caps/>
                      <w:color w:val="000000"/>
                    </w:rPr>
                    <w:t>VI</w:t>
                  </w:r>
                </w:sdtContent>
              </w:sdt>
              <w:r>
                <w:rPr>
                  <w:b/>
                  <w:bCs/>
                  <w:caps/>
                  <w:color w:val="000000"/>
                </w:rPr>
                <w:t xml:space="preserve"> SKYRIUS</w:t>
              </w:r>
            </w:p>
            <w:p>
              <w:pPr>
                <w:keepLines/>
                <w:widowControl w:val="0"/>
                <w:suppressAutoHyphens/>
                <w:jc w:val="center"/>
                <w:rPr>
                  <w:b/>
                  <w:bCs/>
                  <w:caps/>
                  <w:color w:val="000000"/>
                </w:rPr>
              </w:pPr>
              <w:r>
                <w:rPr>
                  <w:b/>
                  <w:bCs/>
                  <w:caps/>
                  <w:color w:val="000000"/>
                </w:rPr>
                <w:t xml:space="preserve"> </w:t>
              </w:r>
              <w:sdt>
                <w:sdtPr>
                  <w:alias w:val="Pavadinimas"/>
                  <w:tag w:val="title_b25f8246ccae440dba43ace4dc0f25be"/>
                  <w:lock w:val="sdtLocked"/>
                  <w:richText/>
                </w:sdtPr>
                <w:sdtContent>
                  <w:r>
                    <w:rPr>
                      <w:b/>
                      <w:bCs/>
                      <w:caps/>
                      <w:color w:val="000000"/>
                    </w:rPr>
                    <w:t xml:space="preserve">ATITIKTIES ĮVERTINIMAS IR REIKALAVIMAI NOTIFIKUOTOSIOMS ĮSTAIGOMS </w:t>
                  </w:r>
                </w:sdtContent>
              </w:sdt>
            </w:p>
            <w:sdt>
              <w:sdtPr>
                <w:alias w:val="28 p."/>
                <w:tag w:val="part_a82954401fd141ad8867eccf9c2199e0"/>
                <w:lock w:val="sdtLocked"/>
                <w:richText/>
              </w:sdtPr>
              <w:sdtContent>
                <w:p>
                  <w:pPr>
                    <w:widowControl w:val="0"/>
                    <w:suppressAutoHyphens/>
                    <w:ind w:firstLine="567"/>
                    <w:jc w:val="both"/>
                    <w:rPr>
                      <w:color w:val="000000"/>
                    </w:rPr>
                  </w:pPr>
                  <w:sdt>
                    <w:sdtPr>
                      <w:alias w:val="Numeris"/>
                      <w:tag w:val="nr_a82954401fd141ad8867eccf9c2199e0"/>
                      <w:lock w:val="sdtLocked"/>
                      <w:richText/>
                    </w:sdtPr>
                    <w:sdtContent>
                      <w:r>
                        <w:rPr>
                          <w:color w:val="000000"/>
                        </w:rPr>
                        <w:t>28</w:t>
                      </w:r>
                    </w:sdtContent>
                  </w:sdt>
                  <w:r>
                    <w:rPr>
                      <w:color w:val="000000"/>
                    </w:rPr>
                    <w:t>. Prieš pateikdami žaislą į rinką gamintojai atlieka analizę dėl cheminio, fizinio, mechaninio pobūdžio pavojaus bei pavojaus dėl elektros, degumo, higienos ir radioaktyvumo, kurį gali kelti žaislas, ir vertina galimo minėtų rūšių pavojaus atsiradimo galimybes.</w:t>
                  </w:r>
                </w:p>
              </w:sdtContent>
            </w:sdt>
            <w:sdt>
              <w:sdtPr>
                <w:alias w:val="29 p."/>
                <w:tag w:val="part_628b31be9ff34ff6bada963da05ae0a3"/>
                <w:lock w:val="sdtLocked"/>
                <w:richText/>
              </w:sdtPr>
              <w:sdtContent>
                <w:p>
                  <w:pPr>
                    <w:widowControl w:val="0"/>
                    <w:suppressAutoHyphens/>
                    <w:ind w:firstLine="567"/>
                    <w:jc w:val="both"/>
                    <w:rPr>
                      <w:color w:val="000000"/>
                    </w:rPr>
                  </w:pPr>
                  <w:sdt>
                    <w:sdtPr>
                      <w:alias w:val="Numeris"/>
                      <w:tag w:val="nr_628b31be9ff34ff6bada963da05ae0a3"/>
                      <w:lock w:val="sdtLocked"/>
                      <w:richText/>
                    </w:sdtPr>
                    <w:sdtContent>
                      <w:r>
                        <w:rPr>
                          <w:color w:val="000000"/>
                        </w:rPr>
                        <w:t>29</w:t>
                      </w:r>
                    </w:sdtContent>
                  </w:sdt>
                  <w:r>
                    <w:rPr>
                      <w:color w:val="000000"/>
                    </w:rPr>
                    <w:t>. Prieš pateikdami žaislą į rinką gamintojai taiko Reglamento 30 ir 31 punktuose nurodytas atitikties vertinimo procedūras, kad įrodytų, jog žaislas atitinka Reglamento 13 punkte ir 2 priede išdėstytus reikalavimus.</w:t>
                  </w:r>
                </w:p>
              </w:sdtContent>
            </w:sdt>
            <w:sdt>
              <w:sdtPr>
                <w:alias w:val="30 p."/>
                <w:tag w:val="part_29bab3fe27704f358c64b1437d7bf85b"/>
                <w:lock w:val="sdtLocked"/>
                <w:richText/>
              </w:sdtPr>
              <w:sdtContent>
                <w:p>
                  <w:pPr>
                    <w:widowControl w:val="0"/>
                    <w:suppressAutoHyphens/>
                    <w:ind w:firstLine="567"/>
                    <w:jc w:val="both"/>
                    <w:rPr>
                      <w:color w:val="000000"/>
                    </w:rPr>
                  </w:pPr>
                  <w:sdt>
                    <w:sdtPr>
                      <w:alias w:val="Numeris"/>
                      <w:tag w:val="nr_29bab3fe27704f358c64b1437d7bf85b"/>
                      <w:lock w:val="sdtLocked"/>
                      <w:richText/>
                    </w:sdtPr>
                    <w:sdtContent>
                      <w:r>
                        <w:rPr>
                          <w:color w:val="000000"/>
                        </w:rPr>
                        <w:t>30</w:t>
                      </w:r>
                    </w:sdtContent>
                  </w:sdt>
                  <w:r>
                    <w:rPr>
                      <w:color w:val="000000"/>
                    </w:rPr>
                    <w:t>. Jei gamintojas taikė darniuosius standartus, kurių nuorodos numeris yra pateiktas Europos Sąjungos oficialiajame leidinyje ir kurie apima visus susijusius žaislo saugos reikalavimus, jis taiko Sprendimo Nr. 768/2008/EB II priedo A modulyje nustatytą gamybos vidaus kontrolės procedūrą.</w:t>
                  </w:r>
                </w:p>
              </w:sdtContent>
            </w:sdt>
            <w:sdt>
              <w:sdtPr>
                <w:alias w:val="31 p."/>
                <w:tag w:val="part_1b187e7c39d5439ea66f0ddf804a9e26"/>
                <w:lock w:val="sdtLocked"/>
                <w:richText/>
              </w:sdtPr>
              <w:sdtContent>
                <w:p>
                  <w:pPr>
                    <w:widowControl w:val="0"/>
                    <w:suppressAutoHyphens/>
                    <w:ind w:firstLine="567"/>
                    <w:jc w:val="both"/>
                    <w:rPr>
                      <w:color w:val="000000"/>
                    </w:rPr>
                  </w:pPr>
                  <w:sdt>
                    <w:sdtPr>
                      <w:alias w:val="Numeris"/>
                      <w:tag w:val="nr_1b187e7c39d5439ea66f0ddf804a9e26"/>
                      <w:lock w:val="sdtLocked"/>
                      <w:richText/>
                    </w:sdtPr>
                    <w:sdtContent>
                      <w:r>
                        <w:rPr>
                          <w:color w:val="000000"/>
                        </w:rPr>
                        <w:t>31</w:t>
                      </w:r>
                    </w:sdtContent>
                  </w:sdt>
                  <w:r>
                    <w:rPr>
                      <w:color w:val="000000"/>
                    </w:rPr>
                    <w:t>. Žaislas teikiamas EB tipo tyrimui, kaip nurodyta Reglamento VII skyriuje, kartu taikant Sprendimo Nr. 768/2008/EB II priedo C modulyje nustatytą atitikties tipui procedūrą toliau išvardytais atvejais:</w:t>
                  </w:r>
                </w:p>
                <w:sdt>
                  <w:sdtPr>
                    <w:alias w:val="31.1 p."/>
                    <w:tag w:val="part_fc1a675077ea4dc49718e22e15927618"/>
                    <w:lock w:val="sdtLocked"/>
                    <w:richText/>
                  </w:sdtPr>
                  <w:sdtContent>
                    <w:p>
                      <w:pPr>
                        <w:widowControl w:val="0"/>
                        <w:suppressAutoHyphens/>
                        <w:ind w:firstLine="567"/>
                        <w:jc w:val="both"/>
                        <w:rPr>
                          <w:color w:val="000000"/>
                        </w:rPr>
                      </w:pPr>
                      <w:sdt>
                        <w:sdtPr>
                          <w:alias w:val="Numeris"/>
                          <w:tag w:val="nr_fc1a675077ea4dc49718e22e15927618"/>
                          <w:lock w:val="sdtLocked"/>
                          <w:richText/>
                        </w:sdtPr>
                        <w:sdtContent>
                          <w:r>
                            <w:rPr>
                              <w:color w:val="000000"/>
                            </w:rPr>
                            <w:t>31.1</w:t>
                          </w:r>
                        </w:sdtContent>
                      </w:sdt>
                      <w:r>
                        <w:rPr>
                          <w:color w:val="000000"/>
                        </w:rPr>
                        <w:t>. kai nėra darniųjų standartų, kurių nuorodos numeris paskelbtas Europos Sąjungos oficialiajame leidinyje ir kurie apima visus susijusius žaislo saugos reikalavimus;</w:t>
                      </w:r>
                    </w:p>
                  </w:sdtContent>
                </w:sdt>
                <w:sdt>
                  <w:sdtPr>
                    <w:alias w:val="31.2 p."/>
                    <w:tag w:val="part_4e871cc54ac944dba22aa5a7257b6893"/>
                    <w:lock w:val="sdtLocked"/>
                    <w:richText/>
                  </w:sdtPr>
                  <w:sdtContent>
                    <w:p>
                      <w:pPr>
                        <w:spacing w:line="314" w:lineRule="atLeast"/>
                        <w:ind w:firstLine="567"/>
                        <w:jc w:val="both"/>
                        <w:rPr>
                          <w:color w:val="000000"/>
                        </w:rPr>
                      </w:pPr>
                      <w:sdt>
                        <w:sdtPr>
                          <w:alias w:val="Numeris"/>
                          <w:tag w:val="nr_4e871cc54ac944dba22aa5a7257b6893"/>
                          <w:lock w:val="sdtLocked"/>
                          <w:richText/>
                        </w:sdtPr>
                        <w:sdtContent>
                          <w:r>
                            <w:rPr>
                              <w:color w:val="000000"/>
                              <w:szCs w:val="24"/>
                              <w:lang w:eastAsia="lt-LT"/>
                            </w:rPr>
                            <w:t>31.2</w:t>
                          </w:r>
                        </w:sdtContent>
                      </w:sdt>
                      <w:r>
                        <w:rPr>
                          <w:color w:val="000000"/>
                          <w:szCs w:val="24"/>
                          <w:lang w:eastAsia="lt-LT"/>
                        </w:rPr>
                        <w:t>. kai Reglamento 31.1 papunktyje</w:t>
                      </w:r>
                      <w:r>
                        <w:rPr>
                          <w:b/>
                          <w:color w:val="000000"/>
                          <w:szCs w:val="24"/>
                          <w:lang w:eastAsia="lt-LT"/>
                        </w:rPr>
                        <w:t xml:space="preserve"> </w:t>
                      </w:r>
                      <w:r>
                        <w:rPr>
                          <w:color w:val="000000"/>
                          <w:szCs w:val="24"/>
                          <w:lang w:eastAsia="lt-LT"/>
                        </w:rPr>
                        <w:t>nurodyti darnieji standartai yra, tačiau gamintojas jų netaikė arba taikė tik iš dalies;</w:t>
                      </w:r>
                    </w:p>
                  </w:sdtContent>
                </w:sdt>
                <w:sdt>
                  <w:sdtPr>
                    <w:alias w:val="31.3 p."/>
                    <w:tag w:val="part_ba001b05d2374020a62a7c15b9ca4ef7"/>
                    <w:lock w:val="sdtLocked"/>
                    <w:richText/>
                  </w:sdtPr>
                  <w:sdtContent>
                    <w:p>
                      <w:pPr>
                        <w:spacing w:line="314" w:lineRule="atLeast"/>
                        <w:ind w:firstLine="567"/>
                        <w:jc w:val="both"/>
                        <w:rPr>
                          <w:color w:val="000000"/>
                        </w:rPr>
                      </w:pPr>
                      <w:sdt>
                        <w:sdtPr>
                          <w:alias w:val="Numeris"/>
                          <w:tag w:val="nr_ba001b05d2374020a62a7c15b9ca4ef7"/>
                          <w:lock w:val="sdtLocked"/>
                          <w:richText/>
                        </w:sdtPr>
                        <w:sdtContent>
                          <w:r>
                            <w:rPr>
                              <w:color w:val="000000"/>
                              <w:szCs w:val="22"/>
                              <w:lang w:eastAsia="lt-LT"/>
                            </w:rPr>
                            <w:t>31.3</w:t>
                          </w:r>
                        </w:sdtContent>
                      </w:sdt>
                      <w:r>
                        <w:rPr>
                          <w:color w:val="000000"/>
                          <w:szCs w:val="22"/>
                          <w:lang w:eastAsia="lt-LT"/>
                        </w:rPr>
                        <w:t>. kai Reglamento 31.1 papunktyje</w:t>
                      </w:r>
                      <w:r>
                        <w:rPr>
                          <w:b/>
                          <w:color w:val="000000"/>
                          <w:szCs w:val="22"/>
                          <w:lang w:eastAsia="lt-LT"/>
                        </w:rPr>
                        <w:t xml:space="preserve"> </w:t>
                      </w:r>
                      <w:r>
                        <w:rPr>
                          <w:color w:val="000000"/>
                          <w:szCs w:val="22"/>
                          <w:lang w:eastAsia="lt-LT"/>
                        </w:rPr>
                        <w:t>nurodyti darnieji standartai arba bet kuris iš standartų buvo paskelbtas su apribojimu;</w:t>
                      </w:r>
                    </w:p>
                  </w:sdtContent>
                </w:sdt>
                <w:sdt>
                  <w:sdtPr>
                    <w:alias w:val="31.4 p."/>
                    <w:tag w:val="part_281acc2d55074e7cae81a971c826108a"/>
                    <w:lock w:val="sdtLocked"/>
                    <w:richText/>
                  </w:sdtPr>
                  <w:sdtContent>
                    <w:p>
                      <w:pPr>
                        <w:widowControl w:val="0"/>
                        <w:suppressAutoHyphens/>
                        <w:ind w:firstLine="567"/>
                        <w:jc w:val="both"/>
                        <w:rPr>
                          <w:color w:val="000000"/>
                        </w:rPr>
                      </w:pPr>
                      <w:sdt>
                        <w:sdtPr>
                          <w:alias w:val="Numeris"/>
                          <w:tag w:val="nr_281acc2d55074e7cae81a971c826108a"/>
                          <w:lock w:val="sdtLocked"/>
                          <w:richText/>
                        </w:sdtPr>
                        <w:sdtContent>
                          <w:r>
                            <w:rPr>
                              <w:color w:val="000000"/>
                            </w:rPr>
                            <w:t>31.4</w:t>
                          </w:r>
                        </w:sdtContent>
                      </w:sdt>
                      <w:r>
                        <w:rPr>
                          <w:color w:val="000000"/>
                        </w:rPr>
                        <w:t>. kai gamintojas mano, kad dėl žaislo pobūdžio, dizaino, konstrukcijos ar paskirties yra būtina pateikti žaislą trečiajai šaliai patvirtinti.</w:t>
                      </w:r>
                    </w:p>
                  </w:sdtContent>
                </w:sdt>
              </w:sdtContent>
            </w:sdt>
            <w:sdt>
              <w:sdtPr>
                <w:alias w:val="32 p."/>
                <w:tag w:val="part_2793bd18f72b41b9a443e4a31561a5ac"/>
                <w:lock w:val="sdtLocked"/>
                <w:richText/>
              </w:sdtPr>
              <w:sdtContent>
                <w:p>
                  <w:pPr>
                    <w:widowControl w:val="0"/>
                    <w:suppressAutoHyphens/>
                    <w:ind w:firstLine="567"/>
                    <w:jc w:val="both"/>
                    <w:rPr>
                      <w:color w:val="000000"/>
                    </w:rPr>
                  </w:pPr>
                  <w:sdt>
                    <w:sdtPr>
                      <w:alias w:val="Numeris"/>
                      <w:tag w:val="nr_2793bd18f72b41b9a443e4a31561a5ac"/>
                      <w:lock w:val="sdtLocked"/>
                      <w:richText/>
                    </w:sdtPr>
                    <w:sdtContent>
                      <w:r>
                        <w:rPr>
                          <w:color w:val="000000"/>
                        </w:rPr>
                        <w:t>32</w:t>
                      </w:r>
                    </w:sdtContent>
                  </w:sdt>
                  <w:r>
                    <w:rPr>
                      <w:color w:val="000000"/>
                    </w:rPr>
                    <w:t>. Atitikties vertinimo įstaiga turi atitikti šiuos reikalavimus:</w:t>
                  </w:r>
                </w:p>
                <w:sdt>
                  <w:sdtPr>
                    <w:alias w:val="32.1 p."/>
                    <w:tag w:val="part_fb027f7786ca4d3eb29e9b5436897c35"/>
                    <w:lock w:val="sdtLocked"/>
                    <w:richText/>
                  </w:sdtPr>
                  <w:sdtContent>
                    <w:p>
                      <w:pPr>
                        <w:widowControl w:val="0"/>
                        <w:suppressAutoHyphens/>
                        <w:ind w:firstLine="567"/>
                        <w:jc w:val="both"/>
                        <w:rPr>
                          <w:color w:val="000000"/>
                        </w:rPr>
                      </w:pPr>
                      <w:sdt>
                        <w:sdtPr>
                          <w:alias w:val="Numeris"/>
                          <w:tag w:val="nr_fb027f7786ca4d3eb29e9b5436897c35"/>
                          <w:lock w:val="sdtLocked"/>
                          <w:richText/>
                        </w:sdtPr>
                        <w:sdtContent>
                          <w:r>
                            <w:rPr>
                              <w:color w:val="000000"/>
                            </w:rPr>
                            <w:t>32.1</w:t>
                          </w:r>
                        </w:sdtContent>
                      </w:sdt>
                      <w:r>
                        <w:rPr>
                          <w:color w:val="000000"/>
                        </w:rPr>
                        <w:t>. Atitikties vertinimo įstaiga steigiama pagal Lietuvos Respublikos įstatymus ir kitus teisės aktus ir turi teisinį subjektiškumą.</w:t>
                      </w:r>
                    </w:p>
                  </w:sdtContent>
                </w:sdt>
                <w:sdt>
                  <w:sdtPr>
                    <w:alias w:val="32.2 p."/>
                    <w:tag w:val="part_44a00bcb6acf4444bd3c555fcce83c6b"/>
                    <w:lock w:val="sdtLocked"/>
                    <w:richText/>
                  </w:sdtPr>
                  <w:sdtContent>
                    <w:p>
                      <w:pPr>
                        <w:widowControl w:val="0"/>
                        <w:suppressAutoHyphens/>
                        <w:ind w:firstLine="567"/>
                        <w:jc w:val="both"/>
                        <w:rPr>
                          <w:color w:val="000000"/>
                        </w:rPr>
                      </w:pPr>
                      <w:sdt>
                        <w:sdtPr>
                          <w:alias w:val="Numeris"/>
                          <w:tag w:val="nr_44a00bcb6acf4444bd3c555fcce83c6b"/>
                          <w:lock w:val="sdtLocked"/>
                          <w:richText/>
                        </w:sdtPr>
                        <w:sdtContent>
                          <w:r>
                            <w:rPr>
                              <w:color w:val="000000"/>
                            </w:rPr>
                            <w:t>32.2</w:t>
                          </w:r>
                        </w:sdtContent>
                      </w:sdt>
                      <w:r>
                        <w:rPr>
                          <w:color w:val="000000"/>
                        </w:rPr>
                        <w:t>. Atitikties vertinimo įstaiga yra trečiosios šalies įstaiga, nepriklausoma nuo vertinamos organizacijos ar žaislo. Įstaiga, priklausanti verslo asociacijai arba profesinei federacijai, atstovaujančiai įmonėms, susijusioms su jos vertinamų žaislų projektavimu, gamyba, tiekimu, surinkimu, naudojimu ar priežiūra, gali būti laikoma tokia įstaiga, jeigu įrodoma, kad ji yra nešališka ir nėra jokio interesų konflikto.</w:t>
                      </w:r>
                    </w:p>
                  </w:sdtContent>
                </w:sdt>
                <w:sdt>
                  <w:sdtPr>
                    <w:alias w:val="32.3 p."/>
                    <w:tag w:val="part_ceb7ac3b3563425ab68acd6f02cc35ed"/>
                    <w:lock w:val="sdtLocked"/>
                    <w:richText/>
                  </w:sdtPr>
                  <w:sdtContent>
                    <w:p>
                      <w:pPr>
                        <w:widowControl w:val="0"/>
                        <w:suppressAutoHyphens/>
                        <w:ind w:firstLine="567"/>
                        <w:jc w:val="both"/>
                        <w:rPr>
                          <w:color w:val="000000"/>
                        </w:rPr>
                      </w:pPr>
                      <w:sdt>
                        <w:sdtPr>
                          <w:alias w:val="Numeris"/>
                          <w:tag w:val="nr_ceb7ac3b3563425ab68acd6f02cc35ed"/>
                          <w:lock w:val="sdtLocked"/>
                          <w:richText/>
                        </w:sdtPr>
                        <w:sdtContent>
                          <w:r>
                            <w:rPr>
                              <w:color w:val="000000"/>
                            </w:rPr>
                            <w:t>32.3</w:t>
                          </w:r>
                        </w:sdtContent>
                      </w:sdt>
                      <w:r>
                        <w:rPr>
                          <w:color w:val="000000"/>
                        </w:rPr>
                        <w:t>. Atitikties vertinimo įstaiga, jos aukščiausio lygio vadovai ir už atitikties vertinimo užduotis atsakingi darbuotojai negali būti vertinamų žaislų projektuotojai, gamintojai, tiekėjai, montuotojai, pirkėjai, savininkai, naudotojai ar prižiūrėtojai arba tų šalių įgaliotieji atstovai. Tai netrukdo vertinamų žaislų, kurie būtini atitikties vertinimo įstaigos veiksmams, naudojimui arba tokių žaislų naudojimui asmeniniais tikslais.</w:t>
                      </w:r>
                    </w:p>
                  </w:sdtContent>
                </w:sdt>
                <w:sdt>
                  <w:sdtPr>
                    <w:alias w:val="32.4 p."/>
                    <w:tag w:val="part_828308abd10c4e9c813ed565b3d5cbc3"/>
                    <w:lock w:val="sdtLocked"/>
                    <w:richText/>
                  </w:sdtPr>
                  <w:sdtContent>
                    <w:p>
                      <w:pPr>
                        <w:widowControl w:val="0"/>
                        <w:suppressAutoHyphens/>
                        <w:ind w:firstLine="567"/>
                        <w:jc w:val="both"/>
                        <w:rPr>
                          <w:color w:val="000000"/>
                        </w:rPr>
                      </w:pPr>
                      <w:sdt>
                        <w:sdtPr>
                          <w:alias w:val="Numeris"/>
                          <w:tag w:val="nr_828308abd10c4e9c813ed565b3d5cbc3"/>
                          <w:lock w:val="sdtLocked"/>
                          <w:richText/>
                        </w:sdtPr>
                        <w:sdtContent>
                          <w:r>
                            <w:rPr>
                              <w:color w:val="000000"/>
                            </w:rPr>
                            <w:t>32.4</w:t>
                          </w:r>
                        </w:sdtContent>
                      </w:sdt>
                      <w:r>
                        <w:rPr>
                          <w:color w:val="000000"/>
                        </w:rPr>
                        <w:t>. Atitikties vertinimo įstaiga, jos aukščiausio lygio vadovai ir už atitikties vertinimo užduotis atsakingi darbuotojai tiesiogiai nedalyvauja projektuojant ar gaminant, parduodant, montuojant, naudojant šiuos žaislus ar atliekant techninę jų priežiūrą, taip pat negali atstovauti šioje veikloje dalyvaujančioms šalims. Jie nesiima jokios veiklos, kuri prieštarautų jų sprendimo, susijusio su atitikties vertinimo veikla, kuriai jie notifikuoti, nepriklausomumui ar sąžiningumui. Tai ypač taikoma konsultavimo paslaugoms.</w:t>
                      </w:r>
                    </w:p>
                  </w:sdtContent>
                </w:sdt>
                <w:sdt>
                  <w:sdtPr>
                    <w:alias w:val="32.5 p."/>
                    <w:tag w:val="part_8617d5cfbde2413f967654ed09985bd0"/>
                    <w:lock w:val="sdtLocked"/>
                    <w:richText/>
                  </w:sdtPr>
                  <w:sdtContent>
                    <w:p>
                      <w:pPr>
                        <w:widowControl w:val="0"/>
                        <w:suppressAutoHyphens/>
                        <w:ind w:firstLine="567"/>
                        <w:jc w:val="both"/>
                        <w:rPr>
                          <w:color w:val="000000"/>
                        </w:rPr>
                      </w:pPr>
                      <w:sdt>
                        <w:sdtPr>
                          <w:alias w:val="Numeris"/>
                          <w:tag w:val="nr_8617d5cfbde2413f967654ed09985bd0"/>
                          <w:lock w:val="sdtLocked"/>
                          <w:richText/>
                        </w:sdtPr>
                        <w:sdtContent>
                          <w:r>
                            <w:rPr>
                              <w:color w:val="000000"/>
                            </w:rPr>
                            <w:t>32.5</w:t>
                          </w:r>
                        </w:sdtContent>
                      </w:sdt>
                      <w:r>
                        <w:rPr>
                          <w:color w:val="000000"/>
                        </w:rPr>
                        <w:t>. Atitikties vertinimo įstaigos užtikrina, kad joms pavaldžių įstaigų ar subrangovų veikla nepakenktų jų atitikties vertinimo veiklos konfidencialumui, objektyvumui ar nešališkumui.</w:t>
                      </w:r>
                    </w:p>
                  </w:sdtContent>
                </w:sdt>
                <w:sdt>
                  <w:sdtPr>
                    <w:alias w:val="32.6 p."/>
                    <w:tag w:val="part_9214a26264214841b67df7208035ef90"/>
                    <w:lock w:val="sdtLocked"/>
                    <w:richText/>
                  </w:sdtPr>
                  <w:sdtContent>
                    <w:p>
                      <w:pPr>
                        <w:widowControl w:val="0"/>
                        <w:suppressAutoHyphens/>
                        <w:ind w:firstLine="567"/>
                        <w:jc w:val="both"/>
                        <w:rPr>
                          <w:color w:val="000000"/>
                        </w:rPr>
                      </w:pPr>
                      <w:sdt>
                        <w:sdtPr>
                          <w:alias w:val="Numeris"/>
                          <w:tag w:val="nr_9214a26264214841b67df7208035ef90"/>
                          <w:lock w:val="sdtLocked"/>
                          <w:richText/>
                        </w:sdtPr>
                        <w:sdtContent>
                          <w:r>
                            <w:rPr>
                              <w:color w:val="000000"/>
                            </w:rPr>
                            <w:t>32.6</w:t>
                          </w:r>
                        </w:sdtContent>
                      </w:sdt>
                      <w:r>
                        <w:rPr>
                          <w:color w:val="000000"/>
                        </w:rPr>
                        <w:t>. Atitikties vertinimo įstaigos ir jų darbuotojai atitikties vertinimo veiklą turi vykdyti vadovaudamiesi didžiausio profesinio sąžiningumo principais, turėti tinkamą techninę kompetenciją konkrečioje srityje ir jiems neturi būti daromas joks spaudimas ar siūlomas skatinimas, visų pirma finansinis, kuris galėtų paveikti jų sprendimą arba atitikties vertinimo veiklos rezultatus, ypač jei spaudimą daro ir skatinimus siūlo šios veiklos rezultatais suinteresuoti asmenys arba asmenų grupės.</w:t>
                      </w:r>
                    </w:p>
                  </w:sdtContent>
                </w:sdt>
                <w:sdt>
                  <w:sdtPr>
                    <w:alias w:val="32.7 p."/>
                    <w:tag w:val="part_a08733648d854589baf864b8af5eba99"/>
                    <w:lock w:val="sdtLocked"/>
                    <w:richText/>
                  </w:sdtPr>
                  <w:sdtContent>
                    <w:p>
                      <w:pPr>
                        <w:widowControl w:val="0"/>
                        <w:suppressAutoHyphens/>
                        <w:ind w:firstLine="567"/>
                        <w:jc w:val="both"/>
                        <w:rPr>
                          <w:color w:val="000000"/>
                        </w:rPr>
                      </w:pPr>
                      <w:sdt>
                        <w:sdtPr>
                          <w:alias w:val="Numeris"/>
                          <w:tag w:val="nr_a08733648d854589baf864b8af5eba99"/>
                          <w:lock w:val="sdtLocked"/>
                          <w:richText/>
                        </w:sdtPr>
                        <w:sdtContent>
                          <w:r>
                            <w:rPr>
                              <w:color w:val="000000"/>
                            </w:rPr>
                            <w:t>32.7</w:t>
                          </w:r>
                        </w:sdtContent>
                      </w:sdt>
                      <w:r>
                        <w:rPr>
                          <w:color w:val="000000"/>
                        </w:rPr>
                        <w:t>. Atitikties vertinimo įstaiga yra pajėgi atlikti visas atitikties vertinimo užduotis, kurios jai yra nustatytos Reglamento VII skyriuje ir kurioms atlikti ji yra notifikuota, neatsižvelgiant į tai, ar šias užduotis atlieka pati atitikties vertinimo įstaiga, arba jos yra atliekamos įstaigos vardu ir jai prisiimant atsakomybę. Visais atvejais kiekvienai atitikties vertinimo procedūrai ir kiekvienai žaislų rūšiai ar kategorijai, kuriai atitikties vertinimo įstaiga yra notifikuota, atitikties vertinimo įstaiga turi turėti reikiamų:</w:t>
                      </w:r>
                    </w:p>
                    <w:sdt>
                      <w:sdtPr>
                        <w:alias w:val="32.7.1 p."/>
                        <w:tag w:val="part_4ca25436415a42f3903737ba5189be05"/>
                        <w:lock w:val="sdtLocked"/>
                        <w:richText/>
                      </w:sdtPr>
                      <w:sdtContent>
                        <w:p>
                          <w:pPr>
                            <w:widowControl w:val="0"/>
                            <w:suppressAutoHyphens/>
                            <w:ind w:firstLine="567"/>
                            <w:jc w:val="both"/>
                            <w:rPr>
                              <w:color w:val="000000"/>
                            </w:rPr>
                          </w:pPr>
                          <w:sdt>
                            <w:sdtPr>
                              <w:alias w:val="Numeris"/>
                              <w:tag w:val="nr_4ca25436415a42f3903737ba5189be05"/>
                              <w:lock w:val="sdtLocked"/>
                              <w:richText/>
                            </w:sdtPr>
                            <w:sdtContent>
                              <w:r>
                                <w:rPr>
                                  <w:color w:val="000000"/>
                                </w:rPr>
                                <w:t>32.7.1</w:t>
                              </w:r>
                            </w:sdtContent>
                          </w:sdt>
                          <w:r>
                            <w:rPr>
                              <w:color w:val="000000"/>
                            </w:rPr>
                            <w:t>. darbuotojų, turinčių techninių žinių ir pakankamai patyrusių atitikties vertinimo užduotims atlikti;</w:t>
                          </w:r>
                        </w:p>
                      </w:sdtContent>
                    </w:sdt>
                    <w:sdt>
                      <w:sdtPr>
                        <w:alias w:val="32.7.2 p."/>
                        <w:tag w:val="part_5845ac8a2c6843a2901233cd242ee3b7"/>
                        <w:lock w:val="sdtLocked"/>
                        <w:richText/>
                      </w:sdtPr>
                      <w:sdtContent>
                        <w:p>
                          <w:pPr>
                            <w:widowControl w:val="0"/>
                            <w:suppressAutoHyphens/>
                            <w:ind w:firstLine="567"/>
                            <w:jc w:val="both"/>
                            <w:rPr>
                              <w:color w:val="000000"/>
                            </w:rPr>
                          </w:pPr>
                          <w:sdt>
                            <w:sdtPr>
                              <w:alias w:val="Numeris"/>
                              <w:tag w:val="nr_5845ac8a2c6843a2901233cd242ee3b7"/>
                              <w:lock w:val="sdtLocked"/>
                              <w:richText/>
                            </w:sdtPr>
                            <w:sdtContent>
                              <w:r>
                                <w:rPr>
                                  <w:color w:val="000000"/>
                                </w:rPr>
                                <w:t>32.7.2</w:t>
                              </w:r>
                            </w:sdtContent>
                          </w:sdt>
                          <w:r>
                            <w:rPr>
                              <w:color w:val="000000"/>
                            </w:rPr>
                            <w:t>. procedūrų, pagal kurias atliekama atitikties vertinimo veikla, aprašymus, taip užtikrinant skaidrumą ir galimybę šias procedūras atkurti. Ji turi parengusi tinkamą politiką ir procedūras, pagal kurias užtikrinamas užduočių, jos atliekamų kaip notifikuotosios įstaigos, ir kitų užduočių atskyrimas;</w:t>
                          </w:r>
                        </w:p>
                      </w:sdtContent>
                    </w:sdt>
                    <w:sdt>
                      <w:sdtPr>
                        <w:alias w:val="32.7.3 p."/>
                        <w:tag w:val="part_2bff87dc7690419d8c456b6316310999"/>
                        <w:lock w:val="sdtLocked"/>
                        <w:richText/>
                      </w:sdtPr>
                      <w:sdtContent>
                        <w:p>
                          <w:pPr>
                            <w:widowControl w:val="0"/>
                            <w:suppressAutoHyphens/>
                            <w:ind w:firstLine="567"/>
                            <w:jc w:val="both"/>
                            <w:rPr>
                              <w:color w:val="000000"/>
                            </w:rPr>
                          </w:pPr>
                          <w:sdt>
                            <w:sdtPr>
                              <w:alias w:val="Numeris"/>
                              <w:tag w:val="nr_2bff87dc7690419d8c456b6316310999"/>
                              <w:lock w:val="sdtLocked"/>
                              <w:richText/>
                            </w:sdtPr>
                            <w:sdtContent>
                              <w:r>
                                <w:rPr>
                                  <w:color w:val="000000"/>
                                </w:rPr>
                                <w:t>32.7.3</w:t>
                              </w:r>
                            </w:sdtContent>
                          </w:sdt>
                          <w:r>
                            <w:rPr>
                              <w:color w:val="000000"/>
                            </w:rPr>
                            <w:t>. procedūrų aprašymus, pagal kuriuos ji galėtų vykdyti savo veiklą atsižvelgdama į įmonės dydį, jos veiklos sektorių ir jos struktūrą, atitinkamo žaislo technologijos sudėtingumo mastą ir į tai, ar gamybos procesas masinis, ar serijinis.</w:t>
                          </w:r>
                        </w:p>
                      </w:sdtContent>
                    </w:sdt>
                  </w:sdtContent>
                </w:sdt>
                <w:sdt>
                  <w:sdtPr>
                    <w:alias w:val="32.8 p."/>
                    <w:tag w:val="part_484945f1f0b64d40acf48376b79e3a2e"/>
                    <w:lock w:val="sdtLocked"/>
                    <w:richText/>
                  </w:sdtPr>
                  <w:sdtContent>
                    <w:p>
                      <w:pPr>
                        <w:widowControl w:val="0"/>
                        <w:suppressAutoHyphens/>
                        <w:ind w:firstLine="567"/>
                        <w:jc w:val="both"/>
                        <w:rPr>
                          <w:color w:val="000000"/>
                        </w:rPr>
                      </w:pPr>
                      <w:sdt>
                        <w:sdtPr>
                          <w:alias w:val="Numeris"/>
                          <w:tag w:val="nr_484945f1f0b64d40acf48376b79e3a2e"/>
                          <w:lock w:val="sdtLocked"/>
                          <w:richText/>
                        </w:sdtPr>
                        <w:sdtContent>
                          <w:r>
                            <w:rPr>
                              <w:color w:val="000000"/>
                            </w:rPr>
                            <w:t>32.8</w:t>
                          </w:r>
                        </w:sdtContent>
                      </w:sdt>
                      <w:r>
                        <w:rPr>
                          <w:color w:val="000000"/>
                        </w:rPr>
                        <w:t>. Atitikties vertinimo įstaiga turi turėti priemonių, būtinų su atitikties vertinimo veikla susijusioms techninėms ir administracinėms užduotims tinkamai atlikti, ir galimybę naudotis visa reikiama įranga ar įrenginiais.</w:t>
                      </w:r>
                    </w:p>
                  </w:sdtContent>
                </w:sdt>
                <w:sdt>
                  <w:sdtPr>
                    <w:alias w:val="32.9 p."/>
                    <w:tag w:val="part_64df364e22ef4f8c957623241b5457f5"/>
                    <w:lock w:val="sdtLocked"/>
                    <w:richText/>
                  </w:sdtPr>
                  <w:sdtContent>
                    <w:p>
                      <w:pPr>
                        <w:widowControl w:val="0"/>
                        <w:suppressAutoHyphens/>
                        <w:ind w:firstLine="567"/>
                        <w:jc w:val="both"/>
                        <w:rPr>
                          <w:color w:val="000000"/>
                        </w:rPr>
                      </w:pPr>
                      <w:sdt>
                        <w:sdtPr>
                          <w:alias w:val="Numeris"/>
                          <w:tag w:val="nr_64df364e22ef4f8c957623241b5457f5"/>
                          <w:lock w:val="sdtLocked"/>
                          <w:richText/>
                        </w:sdtPr>
                        <w:sdtContent>
                          <w:r>
                            <w:rPr>
                              <w:color w:val="000000"/>
                            </w:rPr>
                            <w:t>32.9</w:t>
                          </w:r>
                        </w:sdtContent>
                      </w:sdt>
                      <w:r>
                        <w:rPr>
                          <w:color w:val="000000"/>
                        </w:rPr>
                        <w:t>. Už atitikties vertinimo veiklos vykdymą atsakingi darbuotojai:</w:t>
                      </w:r>
                    </w:p>
                    <w:sdt>
                      <w:sdtPr>
                        <w:alias w:val="32.9.1 p."/>
                        <w:tag w:val="part_9e6cc74746134f8c8fc43ef77ae8ba52"/>
                        <w:lock w:val="sdtLocked"/>
                        <w:richText/>
                      </w:sdtPr>
                      <w:sdtContent>
                        <w:p>
                          <w:pPr>
                            <w:widowControl w:val="0"/>
                            <w:suppressAutoHyphens/>
                            <w:ind w:firstLine="567"/>
                            <w:jc w:val="both"/>
                            <w:rPr>
                              <w:color w:val="000000"/>
                            </w:rPr>
                          </w:pPr>
                          <w:sdt>
                            <w:sdtPr>
                              <w:alias w:val="Numeris"/>
                              <w:tag w:val="nr_9e6cc74746134f8c8fc43ef77ae8ba52"/>
                              <w:lock w:val="sdtLocked"/>
                              <w:richText/>
                            </w:sdtPr>
                            <w:sdtContent>
                              <w:r>
                                <w:rPr>
                                  <w:color w:val="000000"/>
                                </w:rPr>
                                <w:t>32.9.1</w:t>
                              </w:r>
                            </w:sdtContent>
                          </w:sdt>
                          <w:r>
                            <w:rPr>
                              <w:color w:val="000000"/>
                            </w:rPr>
                            <w:t>. turi tinkamą techninį ir profesinį parengimą, apimantį visą atitinkamų rūšių atitikties vertinimo veiklą, kuriai atitikties vertinimo įstaiga yra notifikuota;</w:t>
                          </w:r>
                        </w:p>
                      </w:sdtContent>
                    </w:sdt>
                    <w:sdt>
                      <w:sdtPr>
                        <w:alias w:val="32.9.2 p."/>
                        <w:tag w:val="part_1dd9befacf404c28a2736bd531c4ff81"/>
                        <w:lock w:val="sdtLocked"/>
                        <w:richText/>
                      </w:sdtPr>
                      <w:sdtContent>
                        <w:p>
                          <w:pPr>
                            <w:widowControl w:val="0"/>
                            <w:suppressAutoHyphens/>
                            <w:ind w:firstLine="567"/>
                            <w:jc w:val="both"/>
                            <w:rPr>
                              <w:color w:val="000000"/>
                            </w:rPr>
                          </w:pPr>
                          <w:sdt>
                            <w:sdtPr>
                              <w:alias w:val="Numeris"/>
                              <w:tag w:val="nr_1dd9befacf404c28a2736bd531c4ff81"/>
                              <w:lock w:val="sdtLocked"/>
                              <w:richText/>
                            </w:sdtPr>
                            <w:sdtContent>
                              <w:r>
                                <w:rPr>
                                  <w:color w:val="000000"/>
                                </w:rPr>
                                <w:t>32.9.2</w:t>
                              </w:r>
                            </w:sdtContent>
                          </w:sdt>
                          <w:r>
                            <w:rPr>
                              <w:color w:val="000000"/>
                            </w:rPr>
                            <w:t>. gerai išmano atliekamo vertinimo reikalavimus ir turi reikiamus įgaliojimus tiems vertinimams atlikti;</w:t>
                          </w:r>
                        </w:p>
                      </w:sdtContent>
                    </w:sdt>
                    <w:sdt>
                      <w:sdtPr>
                        <w:alias w:val="32.9.3 p."/>
                        <w:tag w:val="part_e05e890bb4c44e0db5a7974d232e0e84"/>
                        <w:lock w:val="sdtLocked"/>
                        <w:richText/>
                      </w:sdtPr>
                      <w:sdtContent>
                        <w:p>
                          <w:pPr>
                            <w:widowControl w:val="0"/>
                            <w:suppressAutoHyphens/>
                            <w:ind w:firstLine="567"/>
                            <w:jc w:val="both"/>
                            <w:rPr>
                              <w:color w:val="000000"/>
                            </w:rPr>
                          </w:pPr>
                          <w:sdt>
                            <w:sdtPr>
                              <w:alias w:val="Numeris"/>
                              <w:tag w:val="nr_e05e890bb4c44e0db5a7974d232e0e84"/>
                              <w:lock w:val="sdtLocked"/>
                              <w:richText/>
                            </w:sdtPr>
                            <w:sdtContent>
                              <w:r>
                                <w:rPr>
                                  <w:color w:val="000000"/>
                                </w:rPr>
                                <w:t>32.9.3</w:t>
                              </w:r>
                            </w:sdtContent>
                          </w:sdt>
                          <w:r>
                            <w:rPr>
                              <w:color w:val="000000"/>
                            </w:rPr>
                            <w:t>. turi reikiamų žinių ir išmano pagrindinius reikalavimus, taikomus darniuosius standartus, tiesiogiai taikomus derinamuosius Sąjungos teisės aktus bei juos įgyvendinančius Lietuvos Respublikos teisės aktus;</w:t>
                          </w:r>
                        </w:p>
                      </w:sdtContent>
                    </w:sdt>
                    <w:sdt>
                      <w:sdtPr>
                        <w:alias w:val="32.9.4 p."/>
                        <w:tag w:val="part_c262470611ff48dd9dcc1e0b8a58fae8"/>
                        <w:lock w:val="sdtLocked"/>
                        <w:richText/>
                      </w:sdtPr>
                      <w:sdtContent>
                        <w:p>
                          <w:pPr>
                            <w:widowControl w:val="0"/>
                            <w:suppressAutoHyphens/>
                            <w:ind w:firstLine="567"/>
                            <w:jc w:val="both"/>
                            <w:rPr>
                              <w:color w:val="000000"/>
                            </w:rPr>
                          </w:pPr>
                          <w:sdt>
                            <w:sdtPr>
                              <w:alias w:val="Numeris"/>
                              <w:tag w:val="nr_c262470611ff48dd9dcc1e0b8a58fae8"/>
                              <w:lock w:val="sdtLocked"/>
                              <w:richText/>
                            </w:sdtPr>
                            <w:sdtContent>
                              <w:r>
                                <w:rPr>
                                  <w:color w:val="000000"/>
                                </w:rPr>
                                <w:t>32.9.4</w:t>
                              </w:r>
                            </w:sdtContent>
                          </w:sdt>
                          <w:r>
                            <w:rPr>
                              <w:color w:val="000000"/>
                            </w:rPr>
                            <w:t>. turi gebėjimų rengti pažymėjimus, įrašus ir ataskaitas, patvirtinančias vertinimo atlikimo faktą.</w:t>
                          </w:r>
                        </w:p>
                      </w:sdtContent>
                    </w:sdt>
                  </w:sdtContent>
                </w:sdt>
                <w:sdt>
                  <w:sdtPr>
                    <w:alias w:val="32.10 p."/>
                    <w:tag w:val="part_f00d72373aa84ceeb222993a1ec6443f"/>
                    <w:lock w:val="sdtLocked"/>
                    <w:richText/>
                  </w:sdtPr>
                  <w:sdtContent>
                    <w:p>
                      <w:pPr>
                        <w:widowControl w:val="0"/>
                        <w:suppressAutoHyphens/>
                        <w:ind w:firstLine="567"/>
                        <w:jc w:val="both"/>
                        <w:rPr>
                          <w:color w:val="000000"/>
                        </w:rPr>
                      </w:pPr>
                      <w:sdt>
                        <w:sdtPr>
                          <w:alias w:val="Numeris"/>
                          <w:tag w:val="nr_f00d72373aa84ceeb222993a1ec6443f"/>
                          <w:lock w:val="sdtLocked"/>
                          <w:richText/>
                        </w:sdtPr>
                        <w:sdtContent>
                          <w:r>
                            <w:rPr>
                              <w:color w:val="000000"/>
                            </w:rPr>
                            <w:t>32.10</w:t>
                          </w:r>
                        </w:sdtContent>
                      </w:sdt>
                      <w:r>
                        <w:rPr>
                          <w:color w:val="000000"/>
                        </w:rPr>
                        <w:t>. Užtikrinamas atitikties vertinimo įstaigų, jų aukščiausio lygio vadovų ir vertinimą atliekančių darbuotojų nešališkumas. Atitikties vertinimo įstaigos aukščiausio lygio vadovų ir vertinimo darbuotojų atlyginimas nepriklauso nuo atliktų vertinimų skaičiaus arba nuo tų vertinimų rezultatų.</w:t>
                      </w:r>
                    </w:p>
                  </w:sdtContent>
                </w:sdt>
                <w:sdt>
                  <w:sdtPr>
                    <w:alias w:val="32.11 p."/>
                    <w:tag w:val="part_8f812502f56342eea7e9c6accc470f12"/>
                    <w:lock w:val="sdtLocked"/>
                    <w:richText/>
                  </w:sdtPr>
                  <w:sdtContent>
                    <w:p>
                      <w:pPr>
                        <w:widowControl w:val="0"/>
                        <w:suppressAutoHyphens/>
                        <w:ind w:firstLine="567"/>
                        <w:jc w:val="both"/>
                        <w:rPr>
                          <w:color w:val="000000"/>
                        </w:rPr>
                      </w:pPr>
                      <w:sdt>
                        <w:sdtPr>
                          <w:alias w:val="Numeris"/>
                          <w:tag w:val="nr_8f812502f56342eea7e9c6accc470f12"/>
                          <w:lock w:val="sdtLocked"/>
                          <w:richText/>
                        </w:sdtPr>
                        <w:sdtContent>
                          <w:r>
                            <w:rPr>
                              <w:color w:val="000000"/>
                            </w:rPr>
                            <w:t>32.11</w:t>
                          </w:r>
                        </w:sdtContent>
                      </w:sdt>
                      <w:r>
                        <w:rPr>
                          <w:color w:val="000000"/>
                        </w:rPr>
                        <w:t>. Atitikties vertinimo įstaigos įformina atsakomybės draudimą. Šis reikalavimas netaikomas, kai atitikties vertinimą atlieka Lietuvos Respublikos Vyriausybė ar jos įgaliota institucija.</w:t>
                      </w:r>
                    </w:p>
                  </w:sdtContent>
                </w:sdt>
                <w:sdt>
                  <w:sdtPr>
                    <w:alias w:val="32.12 p."/>
                    <w:tag w:val="part_09199a3e299444afa1508b8f2a3862cf"/>
                    <w:lock w:val="sdtLocked"/>
                    <w:richText/>
                  </w:sdtPr>
                  <w:sdtContent>
                    <w:p>
                      <w:pPr>
                        <w:widowControl w:val="0"/>
                        <w:suppressAutoHyphens/>
                        <w:ind w:firstLine="567"/>
                        <w:jc w:val="both"/>
                        <w:rPr>
                          <w:color w:val="000000"/>
                        </w:rPr>
                      </w:pPr>
                      <w:sdt>
                        <w:sdtPr>
                          <w:alias w:val="Numeris"/>
                          <w:tag w:val="nr_09199a3e299444afa1508b8f2a3862cf"/>
                          <w:lock w:val="sdtLocked"/>
                          <w:richText/>
                        </w:sdtPr>
                        <w:sdtContent>
                          <w:r>
                            <w:rPr>
                              <w:color w:val="000000"/>
                            </w:rPr>
                            <w:t>32.12</w:t>
                          </w:r>
                        </w:sdtContent>
                      </w:sdt>
                      <w:r>
                        <w:rPr>
                          <w:color w:val="000000"/>
                        </w:rPr>
                        <w:t>. Atitikties vertinimo įstaigos darbuotojai laikosi konfidencialumo reikalavimo, taikomo visai informacijai, kurią jie gavo, vykdydami savo užduotis pagal Reglamento VII skyrių arba bet kurią kitą Lietuvos Respublikos įstatymų ar kitų teisės aktų nuostatą. Šis reikalavimas netaikomas, jei atitikties vertinimo įstaigų darbuotojai atlieka savo pareigas kompetentingų institucijų atžvilgiu kitoje valstybėje narėje. Nuosavybės teisės visai pateiktai informacijai turi būti saugomos.</w:t>
                      </w:r>
                    </w:p>
                  </w:sdtContent>
                </w:sdt>
                <w:sdt>
                  <w:sdtPr>
                    <w:alias w:val="32.13 p."/>
                    <w:tag w:val="part_f3fd091ea1be42d78496e1dff55a0070"/>
                    <w:lock w:val="sdtLocked"/>
                    <w:richText/>
                  </w:sdtPr>
                  <w:sdtContent>
                    <w:p>
                      <w:pPr>
                        <w:widowControl w:val="0"/>
                        <w:suppressAutoHyphens/>
                        <w:ind w:firstLine="567"/>
                        <w:jc w:val="both"/>
                        <w:rPr>
                          <w:color w:val="000000"/>
                          <w:spacing w:val="-2"/>
                        </w:rPr>
                      </w:pPr>
                      <w:sdt>
                        <w:sdtPr>
                          <w:alias w:val="Numeris"/>
                          <w:tag w:val="nr_f3fd091ea1be42d78496e1dff55a0070"/>
                          <w:lock w:val="sdtLocked"/>
                          <w:richText/>
                        </w:sdtPr>
                        <w:sdtContent>
                          <w:r>
                            <w:rPr>
                              <w:color w:val="000000"/>
                              <w:spacing w:val="-2"/>
                            </w:rPr>
                            <w:t>32.13</w:t>
                          </w:r>
                        </w:sdtContent>
                      </w:sdt>
                      <w:r>
                        <w:rPr>
                          <w:color w:val="000000"/>
                          <w:spacing w:val="-2"/>
                        </w:rPr>
                        <w:t>. Atitikties vertinimo įstaigos dalyvauja atitinkamoje standartizacijos veikloje ir Europos Komisijos įsteigtos notifikuotųjų įstaigų koordinavimo grupės veikloje arba užtikrina, kad vertinimą atliekantys jų darbuotojai būtų apie šią veiklą informuoti, taip pat ji šios grupės priimtus administracinius sprendimus ir parengtus dokumentus taiko kaip bendrąsias gaires.</w:t>
                      </w:r>
                    </w:p>
                  </w:sdtContent>
                </w:sdt>
              </w:sdtContent>
            </w:sdt>
            <w:sdt>
              <w:sdtPr>
                <w:alias w:val="33 p."/>
                <w:tag w:val="part_4c292f6a9884402eb44f4411c440460d"/>
                <w:lock w:val="sdtLocked"/>
                <w:richText/>
              </w:sdtPr>
              <w:sdtContent>
                <w:p>
                  <w:pPr>
                    <w:widowControl w:val="0"/>
                    <w:suppressAutoHyphens/>
                    <w:ind w:firstLine="567"/>
                    <w:jc w:val="both"/>
                    <w:rPr>
                      <w:color w:val="000000"/>
                    </w:rPr>
                  </w:pPr>
                  <w:sdt>
                    <w:sdtPr>
                      <w:alias w:val="Numeris"/>
                      <w:tag w:val="nr_4c292f6a9884402eb44f4411c440460d"/>
                      <w:lock w:val="sdtLocked"/>
                      <w:richText/>
                    </w:sdtPr>
                    <w:sdtContent>
                      <w:r>
                        <w:rPr>
                          <w:color w:val="000000"/>
                        </w:rPr>
                        <w:t>33</w:t>
                      </w:r>
                    </w:sdtContent>
                  </w:sdt>
                  <w:r>
                    <w:rPr>
                      <w:color w:val="000000"/>
                    </w:rPr>
                    <w:t xml:space="preserve">. Jeigu atitikties vertinimo įstaiga įrodo, kad atitinka kriterijus, nustatytus atitinkamuose darniuosiuose standartuose arba jų dalyse, kurių nuorodos paskelbtos </w:t>
                  </w:r>
                  <w:r>
                    <w:rPr>
                      <w:i/>
                      <w:iCs/>
                      <w:color w:val="000000"/>
                    </w:rPr>
                    <w:t>Europos Sąjungos oficialiajame leidinyje</w:t>
                  </w:r>
                  <w:r>
                    <w:rPr>
                      <w:color w:val="000000"/>
                    </w:rPr>
                    <w:t>, preziumuojama, kad ji atitinka Reglamento 32 punkte nustatytus reikalavimus tiek, kiek taikytini darnieji standartai apima tuos reikalavimus.</w:t>
                  </w:r>
                </w:p>
              </w:sdtContent>
            </w:sdt>
            <w:sdt>
              <w:sdtPr>
                <w:alias w:val="34 p."/>
                <w:tag w:val="part_724ca147dc38481097620408c09cbb9a"/>
                <w:lock w:val="sdtLocked"/>
                <w:richText/>
              </w:sdtPr>
              <w:sdtContent>
                <w:p>
                  <w:pPr>
                    <w:widowControl w:val="0"/>
                    <w:suppressAutoHyphens/>
                    <w:ind w:firstLine="567"/>
                    <w:jc w:val="both"/>
                    <w:rPr>
                      <w:color w:val="000000"/>
                    </w:rPr>
                  </w:pPr>
                  <w:sdt>
                    <w:sdtPr>
                      <w:alias w:val="Numeris"/>
                      <w:tag w:val="nr_724ca147dc38481097620408c09cbb9a"/>
                      <w:lock w:val="sdtLocked"/>
                      <w:richText/>
                    </w:sdtPr>
                    <w:sdtContent>
                      <w:r>
                        <w:rPr>
                          <w:color w:val="000000"/>
                        </w:rPr>
                        <w:t>34</w:t>
                      </w:r>
                    </w:sdtContent>
                  </w:sdt>
                  <w:r>
                    <w:rPr>
                      <w:color w:val="000000"/>
                    </w:rPr>
                    <w:t>. Notifikuotosios įstaigos sudarydamos subrangos sutartis turi laikytis šių reikalavimų:</w:t>
                  </w:r>
                </w:p>
                <w:sdt>
                  <w:sdtPr>
                    <w:alias w:val="34.1 p."/>
                    <w:tag w:val="part_3315ce9ad3dd4bb196b22099d9b41544"/>
                    <w:lock w:val="sdtLocked"/>
                    <w:richText/>
                  </w:sdtPr>
                  <w:sdtContent>
                    <w:p>
                      <w:pPr>
                        <w:widowControl w:val="0"/>
                        <w:suppressAutoHyphens/>
                        <w:ind w:firstLine="567"/>
                        <w:jc w:val="both"/>
                        <w:rPr>
                          <w:color w:val="000000"/>
                        </w:rPr>
                      </w:pPr>
                      <w:sdt>
                        <w:sdtPr>
                          <w:alias w:val="Numeris"/>
                          <w:tag w:val="nr_3315ce9ad3dd4bb196b22099d9b41544"/>
                          <w:lock w:val="sdtLocked"/>
                          <w:richText/>
                        </w:sdtPr>
                        <w:sdtContent>
                          <w:r>
                            <w:rPr>
                              <w:color w:val="000000"/>
                            </w:rPr>
                            <w:t>34.1</w:t>
                          </w:r>
                        </w:sdtContent>
                      </w:sdt>
                      <w:r>
                        <w:rPr>
                          <w:color w:val="000000"/>
                        </w:rPr>
                        <w:t xml:space="preserve">. Jeigu notifikuotoji įstaiga užsako subrangos būdu atlikti konkrečias užduotis, susijusias su atitikties vertinimu, arba naudojasi jai pavaldžios įstaigos paslaugomis, ji užtikrina, kad subrangovas arba pavaldi įstaiga atitiktų Reglamento 32 punkte nustatytus reikalavimus, ir atitinkamai praneša Nacionaliniam akreditacijos biurui ir </w:t>
                      </w:r>
                      <w:r>
                        <w:t xml:space="preserve">Ekonomikos ir inovacijų </w:t>
                      </w:r>
                      <w:r>
                        <w:rPr>
                          <w:color w:val="000000"/>
                        </w:rPr>
                        <w:t>ministerijai.</w:t>
                      </w:r>
                    </w:p>
                  </w:sdtContent>
                </w:sdt>
                <w:sdt>
                  <w:sdtPr>
                    <w:alias w:val="34.2 p."/>
                    <w:tag w:val="part_9ee5fe98d8cd4fc18149d3c8a659fd81"/>
                    <w:lock w:val="sdtLocked"/>
                    <w:richText/>
                  </w:sdtPr>
                  <w:sdtContent>
                    <w:p>
                      <w:pPr>
                        <w:widowControl w:val="0"/>
                        <w:suppressAutoHyphens/>
                        <w:ind w:firstLine="567"/>
                        <w:jc w:val="both"/>
                        <w:rPr>
                          <w:color w:val="000000"/>
                        </w:rPr>
                      </w:pPr>
                      <w:sdt>
                        <w:sdtPr>
                          <w:alias w:val="Numeris"/>
                          <w:tag w:val="nr_9ee5fe98d8cd4fc18149d3c8a659fd81"/>
                          <w:lock w:val="sdtLocked"/>
                          <w:richText/>
                        </w:sdtPr>
                        <w:sdtContent>
                          <w:r>
                            <w:rPr>
                              <w:color w:val="000000"/>
                            </w:rPr>
                            <w:t>34.2</w:t>
                          </w:r>
                        </w:sdtContent>
                      </w:sdt>
                      <w:r>
                        <w:rPr>
                          <w:color w:val="000000"/>
                        </w:rPr>
                        <w:t>. Notifikuotosios įstaigos prisiima visą atsakomybę už subrangovų ar pavaldžių įstaigų atliekamas užduotis, neatsižvelgdamos į tai, kur jie yra įsisteigę.</w:t>
                      </w:r>
                    </w:p>
                  </w:sdtContent>
                </w:sdt>
                <w:sdt>
                  <w:sdtPr>
                    <w:alias w:val="34.3 p."/>
                    <w:tag w:val="part_d6811747d2f349a2b9495d0fd1b0251d"/>
                    <w:lock w:val="sdtLocked"/>
                    <w:richText/>
                  </w:sdtPr>
                  <w:sdtContent>
                    <w:p>
                      <w:pPr>
                        <w:widowControl w:val="0"/>
                        <w:suppressAutoHyphens/>
                        <w:ind w:firstLine="567"/>
                        <w:jc w:val="both"/>
                        <w:rPr>
                          <w:color w:val="000000"/>
                        </w:rPr>
                      </w:pPr>
                      <w:sdt>
                        <w:sdtPr>
                          <w:alias w:val="Numeris"/>
                          <w:tag w:val="nr_d6811747d2f349a2b9495d0fd1b0251d"/>
                          <w:lock w:val="sdtLocked"/>
                          <w:richText/>
                        </w:sdtPr>
                        <w:sdtContent>
                          <w:r>
                            <w:rPr>
                              <w:color w:val="000000"/>
                            </w:rPr>
                            <w:t>34.3</w:t>
                          </w:r>
                        </w:sdtContent>
                      </w:sdt>
                      <w:r>
                        <w:rPr>
                          <w:color w:val="000000"/>
                        </w:rPr>
                        <w:t>. Pavesti darbą subrangovui arba pavaldžiai įstaigai galima tik gavus kliento sutikimą.</w:t>
                      </w:r>
                    </w:p>
                  </w:sdtContent>
                </w:sdt>
                <w:sdt>
                  <w:sdtPr>
                    <w:alias w:val="34.4 p."/>
                    <w:tag w:val="part_ad85e5fbfc4e489db4f582e15c810935"/>
                    <w:lock w:val="sdtLocked"/>
                    <w:richText/>
                  </w:sdtPr>
                  <w:sdtContent>
                    <w:p>
                      <w:pPr>
                        <w:widowControl w:val="0"/>
                        <w:suppressAutoHyphens/>
                        <w:ind w:firstLine="567"/>
                        <w:jc w:val="both"/>
                        <w:rPr>
                          <w:color w:val="000000"/>
                          <w:spacing w:val="-2"/>
                        </w:rPr>
                      </w:pPr>
                      <w:sdt>
                        <w:sdtPr>
                          <w:alias w:val="Numeris"/>
                          <w:tag w:val="nr_ad85e5fbfc4e489db4f582e15c810935"/>
                          <w:lock w:val="sdtLocked"/>
                          <w:richText/>
                        </w:sdtPr>
                        <w:sdtContent>
                          <w:r>
                            <w:rPr>
                              <w:color w:val="000000"/>
                              <w:spacing w:val="-2"/>
                            </w:rPr>
                            <w:t>34.4</w:t>
                          </w:r>
                        </w:sdtContent>
                      </w:sdt>
                      <w:r>
                        <w:rPr>
                          <w:color w:val="000000"/>
                          <w:spacing w:val="-2"/>
                        </w:rPr>
                        <w:t>. Notifikuotosios įstaigos sudaro sąlygas Nacionaliniam akreditacijos biurui susipažinti su atitinkamais dokumentais, susijusiais su subrangovo arba pavaldžios įstaigos kvalifikacijos ir jų pagal Reglamento VII skyrių atlikto darbo įvertinimu.</w:t>
                      </w:r>
                    </w:p>
                  </w:sdtContent>
                </w:sdt>
              </w:sdtContent>
            </w:sdt>
            <w:sdt>
              <w:sdtPr>
                <w:alias w:val="35 p."/>
                <w:tag w:val="part_a02a92b6ffc541daaac3154c58e88e7b"/>
                <w:lock w:val="sdtLocked"/>
                <w:richText/>
              </w:sdtPr>
              <w:sdtContent>
                <w:p>
                  <w:pPr>
                    <w:widowControl w:val="0"/>
                    <w:suppressAutoHyphens/>
                    <w:ind w:firstLine="567"/>
                    <w:jc w:val="both"/>
                    <w:rPr>
                      <w:color w:val="000000"/>
                      <w:spacing w:val="-2"/>
                    </w:rPr>
                  </w:pPr>
                  <w:sdt>
                    <w:sdtPr>
                      <w:alias w:val="Numeris"/>
                      <w:tag w:val="nr_a02a92b6ffc541daaac3154c58e88e7b"/>
                      <w:lock w:val="sdtLocked"/>
                      <w:richText/>
                    </w:sdtPr>
                    <w:sdtContent>
                      <w:r>
                        <w:t>35</w:t>
                      </w:r>
                    </w:sdtContent>
                  </w:sdt>
                  <w:r>
                    <w:t>. Pagal Reglamentą atitikties vertinimo įstaiga notifikavimo paraišką pateikia vadovaudamasi Bandymų laboratorijų, sertifikacijos ir kontrolės įstaigų paskyrimo ir paskelbimo taisyklių, patvirtintų Lietuvos Respublikos Vyriausybės 2006 m. liepos 4 d. nutarimu Nr. 674 „Dėl Bandymų laboratorijų, sertifikacijos ir kontrolės įstaigų paskyrimo ir paskelbimo taisyklių patvirtinimo“</w:t>
                  </w:r>
                  <w:r>
                    <w:rPr>
                      <w:b/>
                    </w:rPr>
                    <w:t xml:space="preserve"> </w:t>
                  </w:r>
                  <w:r>
                    <w:t>(toliau – Vyriausybės nutarimas Nr. 674), 6 ir 7 punktais.</w:t>
                  </w:r>
                </w:p>
              </w:sdtContent>
            </w:sdt>
            <w:sdt>
              <w:sdtPr>
                <w:alias w:val="36 p."/>
                <w:tag w:val="part_b5fa491efbd64f449db5bba9cd5d00ee"/>
                <w:lock w:val="sdtLocked"/>
                <w:richText/>
              </w:sdtPr>
              <w:sdtContent>
                <w:p>
                  <w:pPr>
                    <w:widowControl w:val="0"/>
                    <w:suppressAutoHyphens/>
                    <w:ind w:firstLine="567"/>
                    <w:jc w:val="both"/>
                    <w:rPr>
                      <w:color w:val="000000"/>
                    </w:rPr>
                  </w:pPr>
                  <w:sdt>
                    <w:sdtPr>
                      <w:alias w:val="Numeris"/>
                      <w:tag w:val="nr_b5fa491efbd64f449db5bba9cd5d00ee"/>
                      <w:lock w:val="sdtLocked"/>
                      <w:richText/>
                    </w:sdtPr>
                    <w:sdtContent>
                      <w:r>
                        <w:rPr>
                          <w:color w:val="000000"/>
                        </w:rPr>
                        <w:t>36</w:t>
                      </w:r>
                    </w:sdtContent>
                  </w:sdt>
                  <w:r>
                    <w:rPr>
                      <w:color w:val="000000"/>
                    </w:rPr>
                    <w:t>. Prie Reglamento 35 punkte nurodytos paraiškos yra pridedamas atitikties vertinimo veiklos, atitikties vertinimo modulio ar modulių ir žaislo ar žaislų, kuriuos vertinti ta įstaiga turi kompetenciją, aprašymas, taip pat Nacionalinio akreditacijos biuro, kuris atitiko tarpusavio vertinimo reikalavimus, išduotas akreditacijos pažymėjimas, jeigu jis egzistuoja, patvirtinantis, kad atitikties vertinimo įstaiga atitinka Reglamento 32 punkte nustatytus reikalavimus.</w:t>
                  </w:r>
                </w:p>
              </w:sdtContent>
            </w:sdt>
            <w:sdt>
              <w:sdtPr>
                <w:alias w:val="37 p."/>
                <w:tag w:val="part_de55588fccc64a1cb49345a1bce7a693"/>
                <w:lock w:val="sdtLocked"/>
                <w:richText/>
              </w:sdtPr>
              <w:sdtContent>
                <w:p>
                  <w:pPr>
                    <w:widowControl w:val="0"/>
                    <w:suppressAutoHyphens/>
                    <w:ind w:firstLine="567"/>
                    <w:jc w:val="both"/>
                    <w:rPr>
                      <w:color w:val="000000"/>
                    </w:rPr>
                  </w:pPr>
                  <w:sdt>
                    <w:sdtPr>
                      <w:alias w:val="Numeris"/>
                      <w:tag w:val="nr_de55588fccc64a1cb49345a1bce7a693"/>
                      <w:lock w:val="sdtLocked"/>
                      <w:richText/>
                    </w:sdtPr>
                    <w:sdtContent>
                      <w:r>
                        <w:rPr>
                          <w:color w:val="000000"/>
                          <w:spacing w:val="-4"/>
                        </w:rPr>
                        <w:t>37</w:t>
                      </w:r>
                    </w:sdtContent>
                  </w:sdt>
                  <w:r>
                    <w:rPr>
                      <w:color w:val="000000"/>
                      <w:spacing w:val="-4"/>
                    </w:rPr>
                    <w:t>. Jeigu tam tikra atitikties vertinimo įstaiga negali pateikti akreditacijos pažymėjimo, ji</w:t>
                  </w:r>
                  <w:r>
                    <w:rPr>
                      <w:strike/>
                      <w:color w:val="000000"/>
                      <w:spacing w:val="-4"/>
                    </w:rPr>
                    <w:t xml:space="preserve"> </w:t>
                  </w:r>
                  <w:r>
                    <w:t xml:space="preserve">Ekonomikos ir inovacijų </w:t>
                  </w:r>
                  <w:r>
                    <w:rPr>
                      <w:color w:val="000000"/>
                      <w:spacing w:val="-4"/>
                    </w:rPr>
                    <w:t>ministerijai pateikia dokumentus, būtinus jos atitikčiai Reglamento 32 punkte nustatytiems reikalavimams patikrinti, patvirtinti ir reguliariai stebėti.</w:t>
                  </w:r>
                </w:p>
              </w:sdtContent>
            </w:sdt>
            <w:sdt>
              <w:sdtPr>
                <w:alias w:val="38 p."/>
                <w:tag w:val="part_ac728486a27b4c0fa51bf5fd3241a1ac"/>
                <w:lock w:val="sdtLocked"/>
                <w:richText/>
              </w:sdtPr>
              <w:sdtContent>
                <w:p>
                  <w:pPr>
                    <w:widowControl w:val="0"/>
                    <w:suppressAutoHyphens/>
                    <w:ind w:firstLine="567"/>
                    <w:jc w:val="both"/>
                    <w:rPr>
                      <w:color w:val="000000"/>
                    </w:rPr>
                  </w:pPr>
                  <w:sdt>
                    <w:sdtPr>
                      <w:alias w:val="Numeris"/>
                      <w:tag w:val="nr_ac728486a27b4c0fa51bf5fd3241a1ac"/>
                      <w:lock w:val="sdtLocked"/>
                      <w:richText/>
                    </w:sdtPr>
                    <w:sdtContent>
                      <w:r>
                        <w:rPr>
                          <w:color w:val="000000"/>
                          <w:szCs w:val="24"/>
                        </w:rPr>
                        <w:t>38</w:t>
                      </w:r>
                    </w:sdtContent>
                  </w:sdt>
                  <w:r>
                    <w:rPr>
                      <w:color w:val="000000"/>
                      <w:szCs w:val="24"/>
                    </w:rPr>
                    <w:t xml:space="preserve">. </w:t>
                  </w:r>
                  <w:r>
                    <w:rPr>
                      <w:szCs w:val="24"/>
                    </w:rPr>
                    <w:t xml:space="preserve">Ekonomikos ir inovacijų </w:t>
                  </w:r>
                  <w:r>
                    <w:rPr>
                      <w:color w:val="000000"/>
                      <w:szCs w:val="24"/>
                    </w:rPr>
                    <w:t>ministerija gali notifikuoti tik tas atitikties vertinimo įstaigas, kurios atitinka Reglamento 32 punkte nustatytus reikalavimus.</w:t>
                  </w:r>
                </w:p>
              </w:sdtContent>
            </w:sdt>
            <w:sdt>
              <w:sdtPr>
                <w:alias w:val="39 p."/>
                <w:tag w:val="part_4b6bc9c6f4c540558014557e514d0488"/>
                <w:lock w:val="sdtLocked"/>
                <w:richText/>
              </w:sdtPr>
              <w:sdtContent>
                <w:p>
                  <w:pPr>
                    <w:widowControl w:val="0"/>
                    <w:suppressAutoHyphens/>
                    <w:ind w:firstLine="567"/>
                    <w:jc w:val="both"/>
                    <w:rPr>
                      <w:color w:val="000000"/>
                      <w:spacing w:val="-2"/>
                    </w:rPr>
                  </w:pPr>
                  <w:sdt>
                    <w:sdtPr>
                      <w:alias w:val="Numeris"/>
                      <w:tag w:val="nr_4b6bc9c6f4c540558014557e514d0488"/>
                      <w:lock w:val="sdtLocked"/>
                      <w:richText/>
                    </w:sdtPr>
                    <w:sdtContent>
                      <w:r>
                        <w:rPr>
                          <w:color w:val="000000"/>
                          <w:szCs w:val="24"/>
                        </w:rPr>
                        <w:t>39</w:t>
                      </w:r>
                    </w:sdtContent>
                  </w:sdt>
                  <w:r>
                    <w:rPr>
                      <w:color w:val="000000"/>
                      <w:szCs w:val="24"/>
                    </w:rPr>
                    <w:t xml:space="preserve">. </w:t>
                  </w:r>
                  <w:r>
                    <w:rPr>
                      <w:color w:val="000000"/>
                      <w:spacing w:val="-2"/>
                      <w:szCs w:val="24"/>
                    </w:rPr>
                    <w:t xml:space="preserve">Notifikavimo pranešime </w:t>
                  </w:r>
                  <w:r>
                    <w:rPr>
                      <w:szCs w:val="24"/>
                    </w:rPr>
                    <w:t xml:space="preserve">Ekonomikos ir inovacijų </w:t>
                  </w:r>
                  <w:r>
                    <w:rPr>
                      <w:color w:val="000000"/>
                      <w:spacing w:val="-2"/>
                      <w:szCs w:val="24"/>
                    </w:rPr>
                    <w:t>ministerija pateikia išsamią informaciją apie atitikties vertinimo veiklą, atitikties vertinimo modulį ar modulius, atitinkamą žaislą ar žaislus ir atitinkamą kompetencijos atestaciją.</w:t>
                  </w:r>
                </w:p>
              </w:sdtContent>
            </w:sdt>
            <w:sdt>
              <w:sdtPr>
                <w:alias w:val="40 p."/>
                <w:tag w:val="part_2df2e9812ce24ddc912fc315e9b7fde5"/>
                <w:lock w:val="sdtLocked"/>
                <w:richText/>
              </w:sdtPr>
              <w:sdtContent>
                <w:p>
                  <w:pPr>
                    <w:widowControl w:val="0"/>
                    <w:suppressAutoHyphens/>
                    <w:ind w:firstLine="567"/>
                    <w:jc w:val="both"/>
                    <w:rPr>
                      <w:color w:val="000000"/>
                    </w:rPr>
                  </w:pPr>
                  <w:sdt>
                    <w:sdtPr>
                      <w:alias w:val="Numeris"/>
                      <w:tag w:val="nr_2df2e9812ce24ddc912fc315e9b7fde5"/>
                      <w:lock w:val="sdtLocked"/>
                      <w:richText/>
                    </w:sdtPr>
                    <w:sdtContent>
                      <w:r>
                        <w:rPr>
                          <w:color w:val="000000"/>
                          <w:spacing w:val="-2"/>
                          <w:szCs w:val="24"/>
                        </w:rPr>
                        <w:t>40</w:t>
                      </w:r>
                    </w:sdtContent>
                  </w:sdt>
                  <w:r>
                    <w:rPr>
                      <w:color w:val="000000"/>
                      <w:spacing w:val="-2"/>
                      <w:szCs w:val="24"/>
                    </w:rPr>
                    <w:t xml:space="preserve">. </w:t>
                  </w:r>
                  <w:r>
                    <w:rPr>
                      <w:color w:val="000000"/>
                      <w:szCs w:val="24"/>
                    </w:rPr>
                    <w:t xml:space="preserve">Jeigu notifikavimas nėra pagrįstas akreditacijos pažymėjimu, kaip nurodyta Reglamento 36 punkte, </w:t>
                  </w:r>
                  <w:r>
                    <w:rPr>
                      <w:szCs w:val="24"/>
                    </w:rPr>
                    <w:t xml:space="preserve">Ekonomikos ir inovacijų </w:t>
                  </w:r>
                  <w:r>
                    <w:rPr>
                      <w:color w:val="000000"/>
                      <w:szCs w:val="24"/>
                    </w:rPr>
                    <w:t>ministerija Europos Komisijai ir kitoms valstybėms narėms pateikia dokumentus, kurie patvirtina atitikties vertinimo įstaigos kompetenciją ir susitarimus, užtikrinančius, kad įstaiga bus reguliariai stebima ir kad įstaiga toliau atitiks Reglamento 32 punkte išdėstytus reikalavimus.</w:t>
                  </w:r>
                </w:p>
              </w:sdtContent>
            </w:sdt>
            <w:sdt>
              <w:sdtPr>
                <w:alias w:val="41 p."/>
                <w:tag w:val="part_2561a1b71cdb4b6c87f6cff82fe51264"/>
                <w:lock w:val="sdtLocked"/>
                <w:richText/>
              </w:sdtPr>
              <w:sdtContent>
                <w:p>
                  <w:pPr>
                    <w:widowControl w:val="0"/>
                    <w:suppressAutoHyphens/>
                    <w:ind w:firstLine="567"/>
                    <w:jc w:val="both"/>
                    <w:rPr>
                      <w:color w:val="000000"/>
                      <w:spacing w:val="-4"/>
                    </w:rPr>
                  </w:pPr>
                  <w:sdt>
                    <w:sdtPr>
                      <w:alias w:val="Numeris"/>
                      <w:tag w:val="nr_2561a1b71cdb4b6c87f6cff82fe51264"/>
                      <w:lock w:val="sdtLocked"/>
                      <w:richText/>
                    </w:sdtPr>
                    <w:sdtContent>
                      <w:r>
                        <w:rPr>
                          <w:color w:val="000000"/>
                          <w:spacing w:val="-4"/>
                          <w:szCs w:val="24"/>
                        </w:rPr>
                        <w:t>41</w:t>
                      </w:r>
                    </w:sdtContent>
                  </w:sdt>
                  <w:r>
                    <w:rPr>
                      <w:color w:val="000000"/>
                      <w:spacing w:val="-4"/>
                      <w:szCs w:val="24"/>
                    </w:rPr>
                    <w:t xml:space="preserve">. Jeigu </w:t>
                  </w:r>
                  <w:r>
                    <w:rPr>
                      <w:szCs w:val="24"/>
                    </w:rPr>
                    <w:t xml:space="preserve">Ekonomikos ir inovacijų </w:t>
                  </w:r>
                  <w:r>
                    <w:rPr>
                      <w:color w:val="000000"/>
                      <w:spacing w:val="-4"/>
                      <w:szCs w:val="24"/>
                    </w:rPr>
                    <w:t xml:space="preserve">ministerija išsiaiškina arba jai yra pranešama, kad notifikuotoji įstaiga nebeatitinka Reglamento 32 punkte nurodytų reikalavimų arba kad ji nevykdo Reglamento VI skyriuje nustatytų pareigų, </w:t>
                  </w:r>
                  <w:r>
                    <w:rPr>
                      <w:szCs w:val="24"/>
                    </w:rPr>
                    <w:t>Ekonomikos ir inovacijų</w:t>
                  </w:r>
                  <w:r>
                    <w:rPr>
                      <w:color w:val="000000"/>
                      <w:spacing w:val="-4"/>
                      <w:szCs w:val="24"/>
                    </w:rPr>
                    <w:t xml:space="preserve"> ministerija priima Vyriausybės nutarimo Nr. 674 15 ir 16 punktuose nurodytus sprendimus juose nustatyta tvarka, atsižvelgdama į konkretų atvejį pagal tų reikalavimų neatitikties arba tų prievolių nevykdymo mastą. Apie tai </w:t>
                  </w:r>
                  <w:r>
                    <w:rPr>
                      <w:szCs w:val="24"/>
                    </w:rPr>
                    <w:t xml:space="preserve">Ekonomikos ir inovacijų </w:t>
                  </w:r>
                  <w:r>
                    <w:rPr>
                      <w:color w:val="000000"/>
                      <w:spacing w:val="-4"/>
                      <w:szCs w:val="24"/>
                    </w:rPr>
                    <w:t>ministerija nedelsdama praneša Europos Komisijai ir kitoms valstybėms narėms.</w:t>
                  </w:r>
                </w:p>
              </w:sdtContent>
            </w:sdt>
            <w:sdt>
              <w:sdtPr>
                <w:alias w:val="42 p."/>
                <w:tag w:val="part_50a3ccfb23ff46908dbcfbd30fa4c3e8"/>
                <w:lock w:val="sdtLocked"/>
                <w:richText/>
              </w:sdtPr>
              <w:sdtContent>
                <w:p>
                  <w:pPr>
                    <w:widowControl w:val="0"/>
                    <w:suppressAutoHyphens/>
                    <w:ind w:firstLine="567"/>
                    <w:jc w:val="both"/>
                    <w:rPr>
                      <w:color w:val="000000"/>
                    </w:rPr>
                  </w:pPr>
                  <w:sdt>
                    <w:sdtPr>
                      <w:alias w:val="Numeris"/>
                      <w:tag w:val="nr_50a3ccfb23ff46908dbcfbd30fa4c3e8"/>
                      <w:lock w:val="sdtLocked"/>
                      <w:richText/>
                    </w:sdtPr>
                    <w:sdtContent>
                      <w:r>
                        <w:rPr>
                          <w:color w:val="000000"/>
                          <w:spacing w:val="-3"/>
                          <w:szCs w:val="24"/>
                        </w:rPr>
                        <w:t>42</w:t>
                      </w:r>
                    </w:sdtContent>
                  </w:sdt>
                  <w:r>
                    <w:rPr>
                      <w:color w:val="000000"/>
                      <w:spacing w:val="-3"/>
                      <w:szCs w:val="24"/>
                    </w:rPr>
                    <w:t xml:space="preserve">. </w:t>
                  </w:r>
                  <w:r>
                    <w:rPr>
                      <w:color w:val="000000"/>
                      <w:szCs w:val="24"/>
                    </w:rPr>
                    <w:t xml:space="preserve">Jeigu Ekonomikos ir inovacijų ministerija priima Reglamento 41 punkte nurodytus sprendimus arba jei notifikuotoji įstaiga nutraukia savo veiklą, </w:t>
                  </w:r>
                  <w:r>
                    <w:rPr>
                      <w:szCs w:val="24"/>
                    </w:rPr>
                    <w:t>įstaiga</w:t>
                  </w:r>
                  <w:r>
                    <w:rPr>
                      <w:color w:val="000000"/>
                      <w:szCs w:val="24"/>
                    </w:rPr>
                    <w:t xml:space="preserve"> imasi atitinkamų priemonių, būtinų užtikrinti, kad tos įstaigos bylas tvarkytų kita notifikuotoji įstaiga arba kad su jomis galėtų susipažinti to pageidaujančios kitos atsakingos notifikuojančiosios ir rinkos priežiūros institucijos, ir apie tai informuoja Ekonomikos ir inovacijų ministeriją.</w:t>
                  </w:r>
                </w:p>
              </w:sdtContent>
            </w:sdt>
            <w:sdt>
              <w:sdtPr>
                <w:alias w:val="43 p."/>
                <w:tag w:val="part_96ea03b747834ac5919371bbcb0ae6a4"/>
                <w:lock w:val="sdtLocked"/>
                <w:richText/>
              </w:sdtPr>
              <w:sdtContent>
                <w:p>
                  <w:pPr>
                    <w:widowControl w:val="0"/>
                    <w:suppressAutoHyphens/>
                    <w:ind w:firstLine="567"/>
                    <w:jc w:val="both"/>
                    <w:rPr>
                      <w:color w:val="000000"/>
                    </w:rPr>
                  </w:pPr>
                  <w:sdt>
                    <w:sdtPr>
                      <w:alias w:val="Numeris"/>
                      <w:tag w:val="nr_96ea03b747834ac5919371bbcb0ae6a4"/>
                      <w:lock w:val="sdtLocked"/>
                      <w:richText/>
                    </w:sdtPr>
                    <w:sdtContent>
                      <w:r>
                        <w:rPr>
                          <w:color w:val="000000"/>
                        </w:rPr>
                        <w:t>43</w:t>
                      </w:r>
                    </w:sdtContent>
                  </w:sdt>
                  <w:r>
                    <w:rPr>
                      <w:color w:val="000000"/>
                    </w:rPr>
                    <w:t>. Su veikla susijusių notifikuotųjų įstaigų reikalavimai:</w:t>
                  </w:r>
                </w:p>
                <w:sdt>
                  <w:sdtPr>
                    <w:alias w:val="43.1 p."/>
                    <w:tag w:val="part_f49ffca41c6a49f6961b63aeabcc0c05"/>
                    <w:lock w:val="sdtLocked"/>
                    <w:richText/>
                  </w:sdtPr>
                  <w:sdtContent>
                    <w:p>
                      <w:pPr>
                        <w:widowControl w:val="0"/>
                        <w:suppressAutoHyphens/>
                        <w:ind w:firstLine="567"/>
                        <w:jc w:val="both"/>
                        <w:rPr>
                          <w:color w:val="000000"/>
                        </w:rPr>
                      </w:pPr>
                      <w:sdt>
                        <w:sdtPr>
                          <w:alias w:val="Numeris"/>
                          <w:tag w:val="nr_f49ffca41c6a49f6961b63aeabcc0c05"/>
                          <w:lock w:val="sdtLocked"/>
                          <w:richText/>
                        </w:sdtPr>
                        <w:sdtContent>
                          <w:r>
                            <w:rPr>
                              <w:color w:val="000000"/>
                            </w:rPr>
                            <w:t>43.1</w:t>
                          </w:r>
                        </w:sdtContent>
                      </w:sdt>
                      <w:r>
                        <w:rPr>
                          <w:color w:val="000000"/>
                        </w:rPr>
                        <w:t>. Notifikuotosios įstaigos atitikties vertinimą atlieka pagal Reglamento VII skyriuje nustatytą atitikties vertinimo procedūrą.</w:t>
                      </w:r>
                    </w:p>
                  </w:sdtContent>
                </w:sdt>
                <w:sdt>
                  <w:sdtPr>
                    <w:alias w:val="43.2 p."/>
                    <w:tag w:val="part_0383d95ba2d9422b8d89da3e928b870f"/>
                    <w:lock w:val="sdtLocked"/>
                    <w:richText/>
                  </w:sdtPr>
                  <w:sdtContent>
                    <w:p>
                      <w:pPr>
                        <w:ind w:firstLine="567"/>
                        <w:jc w:val="both"/>
                        <w:rPr>
                          <w:color w:val="000000"/>
                        </w:rPr>
                      </w:pPr>
                      <w:sdt>
                        <w:sdtPr>
                          <w:alias w:val="Numeris"/>
                          <w:tag w:val="nr_0383d95ba2d9422b8d89da3e928b870f"/>
                          <w:lock w:val="sdtLocked"/>
                          <w:richText/>
                        </w:sdtPr>
                        <w:sdtContent>
                          <w:r>
                            <w:rPr>
                              <w:szCs w:val="24"/>
                            </w:rPr>
                            <w:t>43.2</w:t>
                          </w:r>
                        </w:sdtContent>
                      </w:sdt>
                      <w:r>
                        <w:rPr>
                          <w:szCs w:val="24"/>
                        </w:rPr>
                        <w:t>. Atitikties vertinimas atliekamas laikantis proporcingumo principo, stengiantis išvengti nereikalingos naštos ekonomin</w:t>
                      </w:r>
                      <w:r>
                        <w:rPr>
                          <w:rFonts w:eastAsia="EUAlbertina-Regu-Identity-H"/>
                          <w:szCs w:val="24"/>
                        </w:rPr>
                        <w:t>ė</w:t>
                      </w:r>
                      <w:r>
                        <w:rPr>
                          <w:szCs w:val="24"/>
                        </w:rPr>
                        <w:t xml:space="preserve">s veiklos vykdytojams. Atitikties vertinimo </w:t>
                      </w:r>
                      <w:r>
                        <w:rPr>
                          <w:rFonts w:eastAsia="EUAlbertina-Regu-Identity-H"/>
                          <w:szCs w:val="24"/>
                        </w:rPr>
                        <w:t>į</w:t>
                      </w:r>
                      <w:r>
                        <w:rPr>
                          <w:szCs w:val="24"/>
                        </w:rPr>
                        <w:t>staigos atlieka savo veikl</w:t>
                      </w:r>
                      <w:r>
                        <w:rPr>
                          <w:rFonts w:eastAsia="EUAlbertina-Regu-Identity-H"/>
                          <w:szCs w:val="24"/>
                        </w:rPr>
                        <w:t xml:space="preserve">ą </w:t>
                      </w:r>
                      <w:r>
                        <w:rPr>
                          <w:szCs w:val="24"/>
                        </w:rPr>
                        <w:t xml:space="preserve">tinkamai atsižvelgdamos </w:t>
                      </w:r>
                      <w:r>
                        <w:rPr>
                          <w:rFonts w:eastAsia="EUAlbertina-Regu-Identity-H"/>
                          <w:szCs w:val="24"/>
                        </w:rPr>
                        <w:t>į į</w:t>
                      </w:r>
                      <w:r>
                        <w:rPr>
                          <w:szCs w:val="24"/>
                        </w:rPr>
                        <w:t>mon</w:t>
                      </w:r>
                      <w:r>
                        <w:rPr>
                          <w:rFonts w:eastAsia="EUAlbertina-Regu-Identity-H"/>
                          <w:szCs w:val="24"/>
                        </w:rPr>
                        <w:t>ė</w:t>
                      </w:r>
                      <w:r>
                        <w:rPr>
                          <w:szCs w:val="24"/>
                        </w:rPr>
                        <w:t>s dyd</w:t>
                      </w:r>
                      <w:r>
                        <w:rPr>
                          <w:rFonts w:eastAsia="EUAlbertina-Regu-Identity-H"/>
                          <w:szCs w:val="24"/>
                        </w:rPr>
                        <w:t>į</w:t>
                      </w:r>
                      <w:r>
                        <w:rPr>
                          <w:szCs w:val="24"/>
                        </w:rPr>
                        <w:t>, jos veiklos sektori</w:t>
                      </w:r>
                      <w:r>
                        <w:rPr>
                          <w:rFonts w:eastAsia="EUAlbertina-Regu-Identity-H"/>
                          <w:szCs w:val="24"/>
                        </w:rPr>
                        <w:t xml:space="preserve">ų </w:t>
                      </w:r>
                      <w:r>
                        <w:rPr>
                          <w:szCs w:val="24"/>
                        </w:rPr>
                        <w:t>ir jos strukt</w:t>
                      </w:r>
                      <w:r>
                        <w:rPr>
                          <w:rFonts w:eastAsia="EUAlbertina-Regu-Identity-H"/>
                          <w:szCs w:val="24"/>
                        </w:rPr>
                        <w:t>ū</w:t>
                      </w:r>
                      <w:r>
                        <w:rPr>
                          <w:szCs w:val="24"/>
                        </w:rPr>
                        <w:t>r</w:t>
                      </w:r>
                      <w:r>
                        <w:rPr>
                          <w:rFonts w:eastAsia="EUAlbertina-Regu-Identity-H"/>
                          <w:szCs w:val="24"/>
                        </w:rPr>
                        <w:t>ą</w:t>
                      </w:r>
                      <w:r>
                        <w:rPr>
                          <w:szCs w:val="24"/>
                        </w:rPr>
                        <w:t>, žaislo technologijos sud</w:t>
                      </w:r>
                      <w:r>
                        <w:rPr>
                          <w:rFonts w:eastAsia="EUAlbertina-Regu-Identity-H"/>
                          <w:szCs w:val="24"/>
                        </w:rPr>
                        <w:t>ė</w:t>
                      </w:r>
                      <w:r>
                        <w:rPr>
                          <w:szCs w:val="24"/>
                        </w:rPr>
                        <w:t>tingumo laipsn</w:t>
                      </w:r>
                      <w:r>
                        <w:rPr>
                          <w:rFonts w:eastAsia="EUAlbertina-Regu-Identity-H"/>
                          <w:szCs w:val="24"/>
                        </w:rPr>
                        <w:t xml:space="preserve">į </w:t>
                      </w:r>
                      <w:r>
                        <w:rPr>
                          <w:szCs w:val="24"/>
                        </w:rPr>
                        <w:t xml:space="preserve">ir </w:t>
                      </w:r>
                      <w:r>
                        <w:rPr>
                          <w:rFonts w:eastAsia="EUAlbertina-Regu-Identity-H"/>
                          <w:szCs w:val="24"/>
                        </w:rPr>
                        <w:t xml:space="preserve">į </w:t>
                      </w:r>
                      <w:r>
                        <w:rPr>
                          <w:szCs w:val="24"/>
                        </w:rPr>
                        <w:t xml:space="preserve">tai, ar gamybos procesas masinis, ar serijinis. Atitikties vertinimo </w:t>
                      </w:r>
                      <w:r>
                        <w:rPr>
                          <w:rFonts w:eastAsia="EUAlbertina-Regu-Identity-H"/>
                          <w:szCs w:val="24"/>
                        </w:rPr>
                        <w:t>į</w:t>
                      </w:r>
                      <w:r>
                        <w:rPr>
                          <w:szCs w:val="24"/>
                        </w:rPr>
                        <w:t>staigos, vykdydamos ši</w:t>
                      </w:r>
                      <w:r>
                        <w:rPr>
                          <w:rFonts w:eastAsia="EUAlbertina-Regu-Identity-H"/>
                          <w:szCs w:val="24"/>
                        </w:rPr>
                        <w:t xml:space="preserve">ą </w:t>
                      </w:r>
                      <w:r>
                        <w:rPr>
                          <w:szCs w:val="24"/>
                        </w:rPr>
                        <w:t>veikl</w:t>
                      </w:r>
                      <w:r>
                        <w:rPr>
                          <w:rFonts w:eastAsia="EUAlbertina-Regu-Identity-H"/>
                          <w:szCs w:val="24"/>
                        </w:rPr>
                        <w:t>ą</w:t>
                      </w:r>
                      <w:r>
                        <w:rPr>
                          <w:szCs w:val="24"/>
                        </w:rPr>
                        <w:t>, laikosi tokio lygio griežtumo ir apsaugos, kokio reikia, kad žaislas atitikt</w:t>
                      </w:r>
                      <w:r>
                        <w:rPr>
                          <w:rFonts w:eastAsia="EUAlbertina-Regu-Identity-H"/>
                          <w:szCs w:val="24"/>
                        </w:rPr>
                        <w:t xml:space="preserve">ų </w:t>
                      </w:r>
                      <w:r>
                        <w:rPr>
                          <w:szCs w:val="24"/>
                        </w:rPr>
                        <w:t>šį Reglamentą.</w:t>
                      </w:r>
                      <w:r>
                        <w:t xml:space="preserve"> </w:t>
                      </w:r>
                    </w:p>
                  </w:sdtContent>
                </w:sdt>
                <w:sdt>
                  <w:sdtPr>
                    <w:alias w:val="43.3 p."/>
                    <w:tag w:val="part_39a5799baf494d2d8aa6823880abdcc2"/>
                    <w:lock w:val="sdtLocked"/>
                    <w:richText/>
                  </w:sdtPr>
                  <w:sdtContent>
                    <w:p>
                      <w:pPr>
                        <w:widowControl w:val="0"/>
                        <w:suppressAutoHyphens/>
                        <w:ind w:firstLine="567"/>
                        <w:jc w:val="both"/>
                        <w:rPr>
                          <w:color w:val="000000"/>
                        </w:rPr>
                      </w:pPr>
                      <w:sdt>
                        <w:sdtPr>
                          <w:alias w:val="Numeris"/>
                          <w:tag w:val="nr_39a5799baf494d2d8aa6823880abdcc2"/>
                          <w:lock w:val="sdtLocked"/>
                          <w:richText/>
                        </w:sdtPr>
                        <w:sdtContent>
                          <w:r>
                            <w:rPr>
                              <w:color w:val="000000"/>
                            </w:rPr>
                            <w:t>43.3</w:t>
                          </w:r>
                        </w:sdtContent>
                      </w:sdt>
                      <w:r>
                        <w:rPr>
                          <w:color w:val="000000"/>
                        </w:rPr>
                        <w:t>. Jeigu notifikuotoji įstaiga nustato, kad gamintojas neįvykdė Reglamento 13 punkte ir 2 priede nustatytų reikalavimų ar nesivadovavo atitinkamais suderintais standartais, ji reikalauja, kad šis gamintojas imtųsi atitinkamų korekcinių priemonių ir neišduotų EB tipo tyrimo sertifikato, kaip nurodyta Reglamento 48, 49, 50 ir 51 punktuose.</w:t>
                      </w:r>
                    </w:p>
                  </w:sdtContent>
                </w:sdt>
                <w:sdt>
                  <w:sdtPr>
                    <w:alias w:val="43.4 p."/>
                    <w:tag w:val="part_d9d976c66eec4fa389c308988aeec747"/>
                    <w:lock w:val="sdtLocked"/>
                    <w:richText/>
                  </w:sdtPr>
                  <w:sdtContent>
                    <w:p>
                      <w:pPr>
                        <w:widowControl w:val="0"/>
                        <w:suppressAutoHyphens/>
                        <w:ind w:firstLine="567"/>
                        <w:jc w:val="both"/>
                        <w:rPr>
                          <w:color w:val="000000"/>
                        </w:rPr>
                      </w:pPr>
                      <w:sdt>
                        <w:sdtPr>
                          <w:alias w:val="Numeris"/>
                          <w:tag w:val="nr_d9d976c66eec4fa389c308988aeec747"/>
                          <w:lock w:val="sdtLocked"/>
                          <w:richText/>
                        </w:sdtPr>
                        <w:sdtContent>
                          <w:r>
                            <w:rPr>
                              <w:color w:val="000000"/>
                            </w:rPr>
                            <w:t>43.4</w:t>
                          </w:r>
                        </w:sdtContent>
                      </w:sdt>
                      <w:r>
                        <w:rPr>
                          <w:color w:val="000000"/>
                        </w:rPr>
                        <w:t>. Jeigu atliekant atitikties stebėseną po EB tipo tyrimo sertifikato išdavimo notifikuotoji įstaiga nustato, kad žaislas nebeatitinka reikalavimų, ji reikalauja, kad gamintojas imtųsi atitinkamų korekcinių priemonių, ir prireikus laikinai sustabdo arba panaikina EB tipo tyrimo sertifikato galiojimą.</w:t>
                      </w:r>
                    </w:p>
                  </w:sdtContent>
                </w:sdt>
                <w:sdt>
                  <w:sdtPr>
                    <w:alias w:val="43.5 p."/>
                    <w:tag w:val="part_181f63125e6d40e3a63193017bb438ca"/>
                    <w:lock w:val="sdtLocked"/>
                    <w:richText/>
                  </w:sdtPr>
                  <w:sdtContent>
                    <w:p>
                      <w:pPr>
                        <w:widowControl w:val="0"/>
                        <w:suppressAutoHyphens/>
                        <w:ind w:firstLine="567"/>
                        <w:jc w:val="both"/>
                        <w:rPr>
                          <w:color w:val="000000"/>
                        </w:rPr>
                      </w:pPr>
                      <w:sdt>
                        <w:sdtPr>
                          <w:alias w:val="Numeris"/>
                          <w:tag w:val="nr_181f63125e6d40e3a63193017bb438ca"/>
                          <w:lock w:val="sdtLocked"/>
                          <w:richText/>
                        </w:sdtPr>
                        <w:sdtContent>
                          <w:r>
                            <w:rPr>
                              <w:color w:val="000000"/>
                            </w:rPr>
                            <w:t>43.5</w:t>
                          </w:r>
                        </w:sdtContent>
                      </w:sdt>
                      <w:r>
                        <w:rPr>
                          <w:color w:val="000000"/>
                        </w:rPr>
                        <w:t>. Jeigu korekcinių priemonių nesiimama arba jos neturi reikiamo poveikio, notifikuotoji įstaiga prireikus apriboja, laikinai sustabdo ar panaikina EB tipo tyrimo sertifikatų galiojimą.</w:t>
                      </w:r>
                    </w:p>
                  </w:sdtContent>
                </w:sdt>
              </w:sdtContent>
            </w:sdt>
            <w:sdt>
              <w:sdtPr>
                <w:alias w:val="44 p."/>
                <w:tag w:val="part_f436c6c4337f485395355aa9a9f7209c"/>
                <w:lock w:val="sdtLocked"/>
                <w:richText/>
              </w:sdtPr>
              <w:sdtContent>
                <w:p>
                  <w:pPr>
                    <w:widowControl w:val="0"/>
                    <w:suppressAutoHyphens/>
                    <w:ind w:firstLine="567"/>
                    <w:jc w:val="both"/>
                    <w:rPr>
                      <w:color w:val="000000"/>
                    </w:rPr>
                  </w:pPr>
                  <w:sdt>
                    <w:sdtPr>
                      <w:alias w:val="Numeris"/>
                      <w:tag w:val="nr_f436c6c4337f485395355aa9a9f7209c"/>
                      <w:lock w:val="sdtLocked"/>
                      <w:richText/>
                    </w:sdtPr>
                    <w:sdtContent>
                      <w:r>
                        <w:rPr>
                          <w:color w:val="000000"/>
                        </w:rPr>
                        <w:t>44</w:t>
                      </w:r>
                    </w:sdtContent>
                  </w:sdt>
                  <w:r>
                    <w:rPr>
                      <w:color w:val="000000"/>
                    </w:rPr>
                    <w:t>. Su informavimu susijusios notifikuotųjų įstaigų prievolės:</w:t>
                  </w:r>
                </w:p>
                <w:sdt>
                  <w:sdtPr>
                    <w:alias w:val="44.1 p."/>
                    <w:tag w:val="part_10196b75b8934b509d6e031d3f00a07f"/>
                    <w:lock w:val="sdtLocked"/>
                    <w:richText/>
                  </w:sdtPr>
                  <w:sdtContent>
                    <w:p>
                      <w:pPr>
                        <w:widowControl w:val="0"/>
                        <w:suppressAutoHyphens/>
                        <w:ind w:firstLine="567"/>
                        <w:jc w:val="both"/>
                        <w:rPr>
                          <w:color w:val="000000"/>
                        </w:rPr>
                      </w:pPr>
                      <w:sdt>
                        <w:sdtPr>
                          <w:alias w:val="Numeris"/>
                          <w:tag w:val="nr_10196b75b8934b509d6e031d3f00a07f"/>
                          <w:lock w:val="sdtLocked"/>
                          <w:richText/>
                        </w:sdtPr>
                        <w:sdtContent>
                          <w:r>
                            <w:rPr>
                              <w:color w:val="000000"/>
                            </w:rPr>
                            <w:t>44.1</w:t>
                          </w:r>
                        </w:sdtContent>
                      </w:sdt>
                      <w:r>
                        <w:rPr>
                          <w:color w:val="000000"/>
                        </w:rPr>
                        <w:t>. Notifikuotosios įstaigos praneša Nacionaliniam akreditacijos biurui apie:</w:t>
                      </w:r>
                    </w:p>
                    <w:sdt>
                      <w:sdtPr>
                        <w:alias w:val="44.1.1 p."/>
                        <w:tag w:val="part_b357e10ba31441e5ab1acaf501c0ac90"/>
                        <w:lock w:val="sdtLocked"/>
                        <w:richText/>
                      </w:sdtPr>
                      <w:sdtContent>
                        <w:p>
                          <w:pPr>
                            <w:widowControl w:val="0"/>
                            <w:suppressAutoHyphens/>
                            <w:ind w:firstLine="567"/>
                            <w:jc w:val="both"/>
                            <w:rPr>
                              <w:color w:val="000000"/>
                            </w:rPr>
                          </w:pPr>
                          <w:sdt>
                            <w:sdtPr>
                              <w:alias w:val="Numeris"/>
                              <w:tag w:val="nr_b357e10ba31441e5ab1acaf501c0ac90"/>
                              <w:lock w:val="sdtLocked"/>
                              <w:richText/>
                            </w:sdtPr>
                            <w:sdtContent>
                              <w:r>
                                <w:rPr>
                                  <w:color w:val="000000"/>
                                </w:rPr>
                                <w:t>44.1.1</w:t>
                              </w:r>
                            </w:sdtContent>
                          </w:sdt>
                          <w:r>
                            <w:rPr>
                              <w:color w:val="000000"/>
                            </w:rPr>
                            <w:t>. bet kokį atsisakymą išduoti EB tipo tyrimo sertifikatus, jų galiojimo apribojimą, laikiną sustabdymą ar panaikinimą;</w:t>
                          </w:r>
                        </w:p>
                      </w:sdtContent>
                    </w:sdt>
                    <w:sdt>
                      <w:sdtPr>
                        <w:alias w:val="44.1.2 p."/>
                        <w:tag w:val="part_20a6a2fe174f4d0fab77725973abcc39"/>
                        <w:lock w:val="sdtLocked"/>
                        <w:richText/>
                      </w:sdtPr>
                      <w:sdtContent>
                        <w:p>
                          <w:pPr>
                            <w:widowControl w:val="0"/>
                            <w:suppressAutoHyphens/>
                            <w:ind w:firstLine="567"/>
                            <w:jc w:val="both"/>
                            <w:rPr>
                              <w:color w:val="000000"/>
                            </w:rPr>
                          </w:pPr>
                          <w:sdt>
                            <w:sdtPr>
                              <w:alias w:val="Numeris"/>
                              <w:tag w:val="nr_20a6a2fe174f4d0fab77725973abcc39"/>
                              <w:lock w:val="sdtLocked"/>
                              <w:richText/>
                            </w:sdtPr>
                            <w:sdtContent>
                              <w:r>
                                <w:rPr>
                                  <w:color w:val="000000"/>
                                </w:rPr>
                                <w:t>44.1.2</w:t>
                              </w:r>
                            </w:sdtContent>
                          </w:sdt>
                          <w:r>
                            <w:rPr>
                              <w:color w:val="000000"/>
                            </w:rPr>
                            <w:t>. bet kokias aplinkybes, turinčias įtakos notifikavimo aprėpčiai ir sąlygoms;</w:t>
                          </w:r>
                        </w:p>
                      </w:sdtContent>
                    </w:sdt>
                    <w:sdt>
                      <w:sdtPr>
                        <w:alias w:val="44.1.3 p."/>
                        <w:tag w:val="part_7ac4280283f44f82bb7cb61b4f7003ad"/>
                        <w:lock w:val="sdtLocked"/>
                        <w:richText/>
                      </w:sdtPr>
                      <w:sdtContent>
                        <w:p>
                          <w:pPr>
                            <w:widowControl w:val="0"/>
                            <w:suppressAutoHyphens/>
                            <w:ind w:firstLine="567"/>
                            <w:jc w:val="both"/>
                            <w:rPr>
                              <w:color w:val="000000"/>
                            </w:rPr>
                          </w:pPr>
                          <w:sdt>
                            <w:sdtPr>
                              <w:alias w:val="Numeris"/>
                              <w:tag w:val="nr_7ac4280283f44f82bb7cb61b4f7003ad"/>
                              <w:lock w:val="sdtLocked"/>
                              <w:richText/>
                            </w:sdtPr>
                            <w:sdtContent>
                              <w:r>
                                <w:rPr>
                                  <w:color w:val="000000"/>
                                </w:rPr>
                                <w:t>44.1.3</w:t>
                              </w:r>
                            </w:sdtContent>
                          </w:sdt>
                          <w:r>
                            <w:rPr>
                              <w:color w:val="000000"/>
                            </w:rPr>
                            <w:t>. bet kokius prašymus dėl informacijos apie atitikties vertinimo veiklą, kuriuos jos gavo iš Tarnybos ar kitų valstybių narių rinkos priežiūros institucijų;</w:t>
                          </w:r>
                        </w:p>
                      </w:sdtContent>
                    </w:sdt>
                    <w:sdt>
                      <w:sdtPr>
                        <w:alias w:val="44.1.4 p."/>
                        <w:tag w:val="part_58875d1887b44c338b0514a522271f3a"/>
                        <w:lock w:val="sdtLocked"/>
                        <w:richText/>
                      </w:sdtPr>
                      <w:sdtContent>
                        <w:p>
                          <w:pPr>
                            <w:widowControl w:val="0"/>
                            <w:suppressAutoHyphens/>
                            <w:ind w:firstLine="567"/>
                            <w:jc w:val="both"/>
                            <w:rPr>
                              <w:color w:val="000000"/>
                            </w:rPr>
                          </w:pPr>
                          <w:sdt>
                            <w:sdtPr>
                              <w:alias w:val="Numeris"/>
                              <w:tag w:val="nr_58875d1887b44c338b0514a522271f3a"/>
                              <w:lock w:val="sdtLocked"/>
                              <w:richText/>
                            </w:sdtPr>
                            <w:sdtContent>
                              <w:r>
                                <w:rPr>
                                  <w:color w:val="000000"/>
                                </w:rPr>
                                <w:t>44.1.4</w:t>
                              </w:r>
                            </w:sdtContent>
                          </w:sdt>
                          <w:r>
                            <w:rPr>
                              <w:color w:val="000000"/>
                            </w:rPr>
                            <w:t>. esant pageidavimui, atitikties vertinimo veiklą, vykdomą jų notifikavimo srityje, ir visą kitą vykdomą veiklą, pvz., tarpvalstybinę veiklą ir subrangos sutarčių sudarymą.</w:t>
                          </w:r>
                        </w:p>
                      </w:sdtContent>
                    </w:sdt>
                  </w:sdtContent>
                </w:sdt>
                <w:sdt>
                  <w:sdtPr>
                    <w:alias w:val="44.2 p."/>
                    <w:tag w:val="part_2667de89ed934b2a8075b888f84f2fcd"/>
                    <w:lock w:val="sdtLocked"/>
                    <w:richText/>
                  </w:sdtPr>
                  <w:sdtContent>
                    <w:p>
                      <w:pPr>
                        <w:widowControl w:val="0"/>
                        <w:suppressAutoHyphens/>
                        <w:ind w:firstLine="567"/>
                        <w:jc w:val="both"/>
                        <w:rPr>
                          <w:color w:val="000000"/>
                        </w:rPr>
                      </w:pPr>
                      <w:sdt>
                        <w:sdtPr>
                          <w:alias w:val="Numeris"/>
                          <w:tag w:val="nr_2667de89ed934b2a8075b888f84f2fcd"/>
                          <w:lock w:val="sdtLocked"/>
                          <w:richText/>
                        </w:sdtPr>
                        <w:sdtContent>
                          <w:r>
                            <w:rPr>
                              <w:color w:val="000000"/>
                            </w:rPr>
                            <w:t>44.2</w:t>
                          </w:r>
                        </w:sdtContent>
                      </w:sdt>
                      <w:r>
                        <w:rPr>
                          <w:color w:val="000000"/>
                        </w:rPr>
                        <w:t>. Notifikuotosios įstaigos kitoms pagal šį Reglamentą notifikuotoms įstaigoms, kurios vykdo panašią atitikties vertinimo veiklą ir vertina tuos pačius žaislus, teikia atitinkamą informaciją apie klausimus, susijusius su neigiamais ir, esant pageidavimui, teigiamais atitikties vertinimo rezultatais.</w:t>
                      </w:r>
                    </w:p>
                    <w:p>
                      <w:pPr>
                        <w:widowControl w:val="0"/>
                        <w:suppressAutoHyphens/>
                        <w:ind w:firstLine="567"/>
                        <w:jc w:val="both"/>
                        <w:rPr>
                          <w:color w:val="000000"/>
                        </w:rPr>
                      </w:pPr>
                    </w:p>
                  </w:sdtContent>
                </w:sdt>
              </w:sdtContent>
            </w:sdt>
          </w:sdtContent>
        </w:sdt>
        <w:sdt>
          <w:sdtPr>
            <w:alias w:val="skyrius"/>
            <w:tag w:val="part_361b4f31771241fc8b504e3b8a25cb4d"/>
            <w:lock w:val="sdtLocked"/>
            <w:richText/>
          </w:sdtPr>
          <w:sdtContent>
            <w:p>
              <w:pPr>
                <w:keepLines/>
                <w:widowControl w:val="0"/>
                <w:suppressAutoHyphens/>
                <w:jc w:val="center"/>
                <w:rPr>
                  <w:b/>
                  <w:bCs/>
                  <w:caps/>
                  <w:color w:val="000000"/>
                </w:rPr>
              </w:pPr>
              <w:sdt>
                <w:sdtPr>
                  <w:alias w:val="Numeris"/>
                  <w:tag w:val="nr_361b4f31771241fc8b504e3b8a25cb4d"/>
                  <w:lock w:val="sdtLocked"/>
                  <w:richText/>
                </w:sdtPr>
                <w:sdtContent>
                  <w:r>
                    <w:rPr>
                      <w:b/>
                      <w:bCs/>
                      <w:caps/>
                      <w:color w:val="000000"/>
                    </w:rPr>
                    <w:t>VII</w:t>
                  </w:r>
                </w:sdtContent>
              </w:sdt>
              <w:r>
                <w:rPr>
                  <w:b/>
                  <w:bCs/>
                  <w:caps/>
                  <w:color w:val="000000"/>
                </w:rPr>
                <w:t xml:space="preserve"> SKYRIUS</w:t>
              </w:r>
            </w:p>
            <w:p>
              <w:pPr>
                <w:keepLines/>
                <w:widowControl w:val="0"/>
                <w:suppressAutoHyphens/>
                <w:jc w:val="center"/>
                <w:rPr>
                  <w:b/>
                  <w:bCs/>
                  <w:caps/>
                  <w:color w:val="000000"/>
                </w:rPr>
              </w:pPr>
              <w:r>
                <w:rPr>
                  <w:b/>
                  <w:bCs/>
                  <w:caps/>
                  <w:color w:val="000000"/>
                </w:rPr>
                <w:t xml:space="preserve"> </w:t>
              </w:r>
              <w:sdt>
                <w:sdtPr>
                  <w:alias w:val="Pavadinimas"/>
                  <w:tag w:val="title_361b4f31771241fc8b504e3b8a25cb4d"/>
                  <w:lock w:val="sdtLocked"/>
                  <w:richText/>
                </w:sdtPr>
                <w:sdtContent>
                  <w:r>
                    <w:rPr>
                      <w:b/>
                      <w:bCs/>
                      <w:caps/>
                      <w:color w:val="000000"/>
                    </w:rPr>
                    <w:t xml:space="preserve">EB TIPO TYRIMAS </w:t>
                  </w:r>
                </w:sdtContent>
              </w:sdt>
            </w:p>
            <w:sdt>
              <w:sdtPr>
                <w:alias w:val="45 p."/>
                <w:tag w:val="part_78ee57430e134830bd2d2f7daeed1772"/>
                <w:lock w:val="sdtLocked"/>
                <w:richText/>
              </w:sdtPr>
              <w:sdtContent>
                <w:p>
                  <w:pPr>
                    <w:widowControl w:val="0"/>
                    <w:suppressAutoHyphens/>
                    <w:ind w:firstLine="567"/>
                    <w:jc w:val="both"/>
                    <w:rPr>
                      <w:color w:val="000000"/>
                    </w:rPr>
                  </w:pPr>
                  <w:sdt>
                    <w:sdtPr>
                      <w:alias w:val="Numeris"/>
                      <w:tag w:val="nr_78ee57430e134830bd2d2f7daeed1772"/>
                      <w:lock w:val="sdtLocked"/>
                      <w:richText/>
                    </w:sdtPr>
                    <w:sdtContent>
                      <w:r>
                        <w:rPr>
                          <w:color w:val="000000"/>
                        </w:rPr>
                        <w:t>45</w:t>
                      </w:r>
                    </w:sdtContent>
                  </w:sdt>
                  <w:r>
                    <w:rPr>
                      <w:color w:val="000000"/>
                    </w:rPr>
                    <w:t>. Paraiška atlikti EB tipo tyrimą teikiama, o tyrimas atliekamas ir EB tipo tyrimo sertifikatas išduodamas laikantis Sprendimo Nr. 768/2008/EB II priedo B modulyje nustatytos procedūros. EB tipo tyrimas atliekamas Sprendimo Nr. 768/2008/EB B modulio 2 dalies antroje įtraukoje nurodytu būdu. Be minėtų, taikomi Reglamento 46–52 punktų reikalavimai.</w:t>
                  </w:r>
                </w:p>
              </w:sdtContent>
            </w:sdt>
            <w:sdt>
              <w:sdtPr>
                <w:alias w:val="46 p."/>
                <w:tag w:val="part_adab9542316a4f1ead28d63c2bbe3c4f"/>
                <w:lock w:val="sdtLocked"/>
                <w:richText/>
              </w:sdtPr>
              <w:sdtContent>
                <w:p>
                  <w:pPr>
                    <w:widowControl w:val="0"/>
                    <w:suppressAutoHyphens/>
                    <w:ind w:firstLine="567"/>
                    <w:jc w:val="both"/>
                    <w:rPr>
                      <w:color w:val="000000"/>
                      <w:spacing w:val="-2"/>
                    </w:rPr>
                  </w:pPr>
                  <w:sdt>
                    <w:sdtPr>
                      <w:alias w:val="Numeris"/>
                      <w:tag w:val="nr_adab9542316a4f1ead28d63c2bbe3c4f"/>
                      <w:lock w:val="sdtLocked"/>
                      <w:richText/>
                    </w:sdtPr>
                    <w:sdtContent>
                      <w:r>
                        <w:rPr>
                          <w:color w:val="000000"/>
                          <w:spacing w:val="-2"/>
                        </w:rPr>
                        <w:t>46</w:t>
                      </w:r>
                    </w:sdtContent>
                  </w:sdt>
                  <w:r>
                    <w:rPr>
                      <w:color w:val="000000"/>
                      <w:spacing w:val="-2"/>
                    </w:rPr>
                    <w:t>. Paraiškoje atlikti EB tipo tyrimą, be kitų dalykų, pateikiamas žaislo aprašymas ir nurodoma gamybos vieta ir adresas.</w:t>
                  </w:r>
                </w:p>
              </w:sdtContent>
            </w:sdt>
            <w:sdt>
              <w:sdtPr>
                <w:alias w:val="47 p."/>
                <w:tag w:val="part_c696386b5c1a401b92bc576c36fb584b"/>
                <w:lock w:val="sdtLocked"/>
                <w:richText/>
              </w:sdtPr>
              <w:sdtContent>
                <w:p>
                  <w:pPr>
                    <w:widowControl w:val="0"/>
                    <w:suppressAutoHyphens/>
                    <w:ind w:firstLine="567"/>
                    <w:jc w:val="both"/>
                    <w:rPr>
                      <w:color w:val="000000"/>
                    </w:rPr>
                  </w:pPr>
                  <w:sdt>
                    <w:sdtPr>
                      <w:alias w:val="Numeris"/>
                      <w:tag w:val="nr_c696386b5c1a401b92bc576c36fb584b"/>
                      <w:lock w:val="sdtLocked"/>
                      <w:richText/>
                    </w:sdtPr>
                    <w:sdtContent>
                      <w:r>
                        <w:rPr>
                          <w:color w:val="000000"/>
                        </w:rPr>
                        <w:t>47</w:t>
                      </w:r>
                    </w:sdtContent>
                  </w:sdt>
                  <w:r>
                    <w:rPr>
                      <w:color w:val="000000"/>
                    </w:rPr>
                    <w:t>. Kai EB tipo tyrimą atlieka pagal Vyriausybės nutarimą Nr. 674 nustatyta notifikuota įstaiga (toliau – notifikuotoji įstaiga), ji, prireikus kartu su gamintoju, vertina pagal Reglamento 28 punktą gamintojo atliktą analizę dėl pavojaus, kurį gali kelti žaislas.</w:t>
                  </w:r>
                </w:p>
              </w:sdtContent>
            </w:sdt>
            <w:sdt>
              <w:sdtPr>
                <w:alias w:val="48 p."/>
                <w:tag w:val="part_28b70480fcf64819847fc3dbbab810aa"/>
                <w:lock w:val="sdtLocked"/>
                <w:richText/>
              </w:sdtPr>
              <w:sdtContent>
                <w:p>
                  <w:pPr>
                    <w:widowControl w:val="0"/>
                    <w:suppressAutoHyphens/>
                    <w:ind w:firstLine="567"/>
                    <w:jc w:val="both"/>
                    <w:rPr>
                      <w:color w:val="000000"/>
                    </w:rPr>
                  </w:pPr>
                  <w:sdt>
                    <w:sdtPr>
                      <w:alias w:val="Numeris"/>
                      <w:tag w:val="nr_28b70480fcf64819847fc3dbbab810aa"/>
                      <w:lock w:val="sdtLocked"/>
                      <w:richText/>
                    </w:sdtPr>
                    <w:sdtContent>
                      <w:r>
                        <w:rPr>
                          <w:color w:val="000000"/>
                        </w:rPr>
                        <w:t>48</w:t>
                      </w:r>
                    </w:sdtContent>
                  </w:sdt>
                  <w:r>
                    <w:rPr>
                      <w:color w:val="000000"/>
                    </w:rPr>
                    <w:t>. EB tipo tyrimo sertifikate, be kitų dalykų, pateikiama nuoroda į šį Reglamentą, spalvotas atvaizdas ir aiškus žaislo apibūdinimas, įskaitant matmenis, taip pat atliktų bandymų sąrašas (su nuoroda į atitinkamą bandymo ataskaitą).</w:t>
                  </w:r>
                </w:p>
              </w:sdtContent>
            </w:sdt>
            <w:sdt>
              <w:sdtPr>
                <w:alias w:val="49 p."/>
                <w:tag w:val="part_f1cb7bc85f1a4f82bb9b73d90be1d172"/>
                <w:lock w:val="sdtLocked"/>
                <w:richText/>
              </w:sdtPr>
              <w:sdtContent>
                <w:p>
                  <w:pPr>
                    <w:widowControl w:val="0"/>
                    <w:suppressAutoHyphens/>
                    <w:ind w:firstLine="567"/>
                    <w:jc w:val="both"/>
                    <w:rPr>
                      <w:color w:val="000000"/>
                    </w:rPr>
                  </w:pPr>
                  <w:sdt>
                    <w:sdtPr>
                      <w:alias w:val="Numeris"/>
                      <w:tag w:val="nr_f1cb7bc85f1a4f82bb9b73d90be1d172"/>
                      <w:lock w:val="sdtLocked"/>
                      <w:richText/>
                    </w:sdtPr>
                    <w:sdtContent>
                      <w:r>
                        <w:rPr>
                          <w:color w:val="000000"/>
                        </w:rPr>
                        <w:t>49</w:t>
                      </w:r>
                    </w:sdtContent>
                  </w:sdt>
                  <w:r>
                    <w:rPr>
                      <w:color w:val="000000"/>
                    </w:rPr>
                    <w:t>. EB tipo tyrimo sertifikatas peržiūrimas, jei reikia, bet kuriuo metu, visų pirma, kai keičiamas žaislo gamybos procesas, naudojamos žaliavos arba sudedamosios dalys, ir visais atvejais – kas penkerius metus.</w:t>
                  </w:r>
                </w:p>
              </w:sdtContent>
            </w:sdt>
            <w:sdt>
              <w:sdtPr>
                <w:alias w:val="50 p."/>
                <w:tag w:val="part_88082c9c886c40fe912d1be4ebeca68a"/>
                <w:lock w:val="sdtLocked"/>
                <w:richText/>
              </w:sdtPr>
              <w:sdtContent>
                <w:p>
                  <w:pPr>
                    <w:widowControl w:val="0"/>
                    <w:suppressAutoHyphens/>
                    <w:ind w:firstLine="567"/>
                    <w:jc w:val="both"/>
                    <w:rPr>
                      <w:color w:val="000000"/>
                      <w:spacing w:val="-4"/>
                    </w:rPr>
                  </w:pPr>
                  <w:sdt>
                    <w:sdtPr>
                      <w:alias w:val="Numeris"/>
                      <w:tag w:val="nr_88082c9c886c40fe912d1be4ebeca68a"/>
                      <w:lock w:val="sdtLocked"/>
                      <w:richText/>
                    </w:sdtPr>
                    <w:sdtContent>
                      <w:r>
                        <w:rPr>
                          <w:color w:val="000000"/>
                          <w:spacing w:val="-4"/>
                        </w:rPr>
                        <w:t>50</w:t>
                      </w:r>
                    </w:sdtContent>
                  </w:sdt>
                  <w:r>
                    <w:rPr>
                      <w:color w:val="000000"/>
                      <w:spacing w:val="-4"/>
                    </w:rPr>
                    <w:t>. EB tipo tyrimo sertifikatas panaikinamas, jei žaislas neatitinka Reglamento 13 punkte ir 2 priede nustatytų reikalavimų.</w:t>
                  </w:r>
                </w:p>
              </w:sdtContent>
            </w:sdt>
            <w:sdt>
              <w:sdtPr>
                <w:alias w:val="51 p."/>
                <w:tag w:val="part_a7d87a66d0eb413d80de156a3afbd467"/>
                <w:lock w:val="sdtLocked"/>
                <w:richText/>
              </w:sdtPr>
              <w:sdtContent>
                <w:p>
                  <w:pPr>
                    <w:widowControl w:val="0"/>
                    <w:suppressAutoHyphens/>
                    <w:ind w:firstLine="567"/>
                    <w:jc w:val="both"/>
                    <w:rPr>
                      <w:color w:val="000000"/>
                    </w:rPr>
                  </w:pPr>
                  <w:sdt>
                    <w:sdtPr>
                      <w:alias w:val="Numeris"/>
                      <w:tag w:val="nr_a7d87a66d0eb413d80de156a3afbd467"/>
                      <w:lock w:val="sdtLocked"/>
                      <w:richText/>
                    </w:sdtPr>
                    <w:sdtContent>
                      <w:r>
                        <w:rPr>
                          <w:color w:val="000000"/>
                        </w:rPr>
                        <w:t>51</w:t>
                      </w:r>
                    </w:sdtContent>
                  </w:sdt>
                  <w:r>
                    <w:rPr>
                      <w:color w:val="000000"/>
                    </w:rPr>
                    <w:t>. Notifikuotosios įstaigos negali suteikti EB tipo tyrimo sertifikatų žaislams, kuriems buvo atsisakyta suteikti sertifikatą arba kuriems sertifikatas buvo panaikintas.</w:t>
                  </w:r>
                </w:p>
              </w:sdtContent>
            </w:sdt>
            <w:sdt>
              <w:sdtPr>
                <w:alias w:val="52 p."/>
                <w:tag w:val="part_55a0fe384ead4e4cbe43ee7e595e4192"/>
                <w:lock w:val="sdtLocked"/>
                <w:richText/>
              </w:sdtPr>
              <w:sdtContent>
                <w:p>
                  <w:pPr>
                    <w:widowControl w:val="0"/>
                    <w:suppressAutoHyphens/>
                    <w:ind w:firstLine="567"/>
                    <w:jc w:val="both"/>
                    <w:rPr>
                      <w:color w:val="000000"/>
                    </w:rPr>
                  </w:pPr>
                  <w:sdt>
                    <w:sdtPr>
                      <w:alias w:val="Numeris"/>
                      <w:tag w:val="nr_55a0fe384ead4e4cbe43ee7e595e4192"/>
                      <w:lock w:val="sdtLocked"/>
                      <w:richText/>
                    </w:sdtPr>
                    <w:sdtContent>
                      <w:r>
                        <w:rPr>
                          <w:color w:val="000000"/>
                        </w:rPr>
                        <w:t>52</w:t>
                      </w:r>
                    </w:sdtContent>
                  </w:sdt>
                  <w:r>
                    <w:rPr>
                      <w:color w:val="000000"/>
                    </w:rPr>
                    <w:t>. Su EB tipo tyrimo procedūromis susiję techniniai dokumentai ir korespondencija rengiama lietuvių kalba arba, jei notifikuotoji įstaiga įsikūrusi kitoje valstybėje narėje, – įstaigai priimtina kalba.</w:t>
                  </w:r>
                </w:p>
                <w:p>
                  <w:pPr>
                    <w:widowControl w:val="0"/>
                    <w:suppressAutoHyphens/>
                    <w:ind w:firstLine="567"/>
                    <w:jc w:val="both"/>
                    <w:rPr>
                      <w:color w:val="000000"/>
                    </w:rPr>
                  </w:pPr>
                </w:p>
              </w:sdtContent>
            </w:sdt>
          </w:sdtContent>
        </w:sdt>
        <w:sdt>
          <w:sdtPr>
            <w:alias w:val="skyrius"/>
            <w:tag w:val="part_4cd880172efb4bf5913e9c9652456119"/>
            <w:lock w:val="sdtLocked"/>
            <w:richText/>
          </w:sdtPr>
          <w:sdtContent>
            <w:p>
              <w:pPr>
                <w:keepLines/>
                <w:widowControl w:val="0"/>
                <w:suppressAutoHyphens/>
                <w:jc w:val="center"/>
                <w:rPr>
                  <w:b/>
                  <w:bCs/>
                  <w:caps/>
                  <w:color w:val="000000"/>
                </w:rPr>
              </w:pPr>
              <w:sdt>
                <w:sdtPr>
                  <w:alias w:val="Numeris"/>
                  <w:tag w:val="nr_4cd880172efb4bf5913e9c9652456119"/>
                  <w:lock w:val="sdtLocked"/>
                  <w:richText/>
                </w:sdtPr>
                <w:sdtContent>
                  <w:r>
                    <w:rPr>
                      <w:b/>
                      <w:bCs/>
                      <w:caps/>
                      <w:color w:val="000000"/>
                    </w:rPr>
                    <w:t>VIII</w:t>
                  </w:r>
                </w:sdtContent>
              </w:sdt>
              <w:r>
                <w:rPr>
                  <w:b/>
                  <w:bCs/>
                  <w:caps/>
                  <w:color w:val="000000"/>
                </w:rPr>
                <w:t xml:space="preserve"> SKYRIUS</w:t>
              </w:r>
            </w:p>
            <w:p>
              <w:pPr>
                <w:keepLines/>
                <w:widowControl w:val="0"/>
                <w:suppressAutoHyphens/>
                <w:jc w:val="center"/>
                <w:rPr>
                  <w:b/>
                  <w:bCs/>
                  <w:caps/>
                  <w:color w:val="000000"/>
                </w:rPr>
              </w:pPr>
              <w:r>
                <w:rPr>
                  <w:b/>
                  <w:bCs/>
                  <w:caps/>
                  <w:color w:val="000000"/>
                </w:rPr>
                <w:t xml:space="preserve"> </w:t>
              </w:r>
              <w:sdt>
                <w:sdtPr>
                  <w:alias w:val="Pavadinimas"/>
                  <w:tag w:val="title_4cd880172efb4bf5913e9c9652456119"/>
                  <w:lock w:val="sdtLocked"/>
                  <w:richText/>
                </w:sdtPr>
                <w:sdtContent>
                  <w:r>
                    <w:rPr>
                      <w:b/>
                      <w:bCs/>
                      <w:caps/>
                      <w:color w:val="000000"/>
                    </w:rPr>
                    <w:t xml:space="preserve">TECHNINIAI DOKUMENTAI </w:t>
                  </w:r>
                </w:sdtContent>
              </w:sdt>
            </w:p>
            <w:sdt>
              <w:sdtPr>
                <w:alias w:val="53 p."/>
                <w:tag w:val="part_d45a17ed955341518795adafc61e50a5"/>
                <w:lock w:val="sdtLocked"/>
                <w:richText/>
              </w:sdtPr>
              <w:sdtContent>
                <w:p>
                  <w:pPr>
                    <w:ind w:firstLine="567"/>
                    <w:jc w:val="both"/>
                    <w:rPr>
                      <w:color w:val="000000"/>
                    </w:rPr>
                  </w:pPr>
                  <w:sdt>
                    <w:sdtPr>
                      <w:alias w:val="Numeris"/>
                      <w:tag w:val="nr_d45a17ed955341518795adafc61e50a5"/>
                      <w:lock w:val="sdtLocked"/>
                      <w:richText/>
                    </w:sdtPr>
                    <w:sdtContent>
                      <w:r>
                        <w:t>53</w:t>
                      </w:r>
                    </w:sdtContent>
                  </w:sdt>
                  <w:r>
                    <w:t>. Reglamento 7.2 papunktyje</w:t>
                  </w:r>
                  <w:r>
                    <w:rPr>
                      <w:b/>
                    </w:rPr>
                    <w:t xml:space="preserve"> </w:t>
                  </w:r>
                  <w:r>
                    <w:t>nurodytuose techniniuose dokumentuose, tarp kurių visų pirma turi būti Reglamento 7 priede išvardyti dokumentai, pateikiami visi duomenys ir išsami informacija, susijusi su gamintojo taikomomis priemonėmis, kurios skirtos užtikrinti, kad žaislai atitiktų atitinkamus Reglamento 13 punkte ir 2 priede nustatytus reikalavimus.</w:t>
                  </w:r>
                </w:p>
              </w:sdtContent>
            </w:sdt>
            <w:sdt>
              <w:sdtPr>
                <w:alias w:val="54 p."/>
                <w:tag w:val="part_4d11df5ba31e47df949b396be56d657b"/>
                <w:lock w:val="sdtLocked"/>
                <w:richText/>
              </w:sdtPr>
              <w:sdtContent>
                <w:p>
                  <w:pPr>
                    <w:widowControl w:val="0"/>
                    <w:suppressAutoHyphens/>
                    <w:ind w:firstLine="567"/>
                    <w:jc w:val="both"/>
                    <w:rPr>
                      <w:color w:val="000000"/>
                    </w:rPr>
                  </w:pPr>
                  <w:sdt>
                    <w:sdtPr>
                      <w:alias w:val="Numeris"/>
                      <w:tag w:val="nr_4d11df5ba31e47df949b396be56d657b"/>
                      <w:lock w:val="sdtLocked"/>
                      <w:richText/>
                    </w:sdtPr>
                    <w:sdtContent>
                      <w:r>
                        <w:rPr>
                          <w:color w:val="000000"/>
                        </w:rPr>
                        <w:t>54</w:t>
                      </w:r>
                    </w:sdtContent>
                  </w:sdt>
                  <w:r>
                    <w:rPr>
                      <w:color w:val="000000"/>
                    </w:rPr>
                    <w:t>. Techniniai dokumentai rengiami lietuvių kalba, atsižvelgiant į Reglamento 52 punkto reikalavimą.</w:t>
                  </w:r>
                </w:p>
              </w:sdtContent>
            </w:sdt>
            <w:sdt>
              <w:sdtPr>
                <w:alias w:val="55 p."/>
                <w:tag w:val="part_8a2d24cc6f6b42738e56d6cc14db0783"/>
                <w:lock w:val="sdtLocked"/>
                <w:richText/>
              </w:sdtPr>
              <w:sdtContent>
                <w:p>
                  <w:pPr>
                    <w:widowControl w:val="0"/>
                    <w:suppressAutoHyphens/>
                    <w:ind w:firstLine="567"/>
                    <w:jc w:val="both"/>
                    <w:rPr>
                      <w:color w:val="000000"/>
                    </w:rPr>
                  </w:pPr>
                  <w:sdt>
                    <w:sdtPr>
                      <w:alias w:val="Numeris"/>
                      <w:tag w:val="nr_8a2d24cc6f6b42738e56d6cc14db0783"/>
                      <w:lock w:val="sdtLocked"/>
                      <w:richText/>
                    </w:sdtPr>
                    <w:sdtContent>
                      <w:r>
                        <w:rPr>
                          <w:color w:val="000000"/>
                        </w:rPr>
                        <w:t>55</w:t>
                      </w:r>
                    </w:sdtContent>
                  </w:sdt>
                  <w:r>
                    <w:rPr>
                      <w:color w:val="000000"/>
                    </w:rPr>
                    <w:t>. Gamintojas, gavęs Tarnybos ar kitos valstybės narės, kurios rinkai buvo pateiktas žaislas, rinkos priežiūros institucijos motyvuotą prašymą, pateikia atitinkamų techninių dokumentų dalių vertimą į tos valstybės narės kalbą. Kai rinkos priežiūros institucija gamintojo paprašo pateikti techninių dokumentų arba jų dalių vertimą, ji vertimui pateikti gali nustatyti 30 dienų terminą, jei nėra pagrįstų priežasčių nustatyti trumpesnį terminą dėl rimtos ar tiesioginės rizikos.</w:t>
                  </w:r>
                </w:p>
              </w:sdtContent>
            </w:sdt>
            <w:sdt>
              <w:sdtPr>
                <w:alias w:val="56 p."/>
                <w:tag w:val="part_8848c765bda54302b0d6930d2a97e93d"/>
                <w:lock w:val="sdtLocked"/>
                <w:richText/>
              </w:sdtPr>
              <w:sdtContent>
                <w:p>
                  <w:pPr>
                    <w:widowControl w:val="0"/>
                    <w:suppressAutoHyphens/>
                    <w:ind w:firstLine="567"/>
                    <w:jc w:val="both"/>
                    <w:rPr>
                      <w:color w:val="000000"/>
                    </w:rPr>
                  </w:pPr>
                  <w:sdt>
                    <w:sdtPr>
                      <w:alias w:val="Numeris"/>
                      <w:tag w:val="nr_8848c765bda54302b0d6930d2a97e93d"/>
                      <w:lock w:val="sdtLocked"/>
                      <w:richText/>
                    </w:sdtPr>
                    <w:sdtContent>
                      <w:r>
                        <w:rPr>
                          <w:color w:val="000000"/>
                        </w:rPr>
                        <w:t>56</w:t>
                      </w:r>
                    </w:sdtContent>
                  </w:sdt>
                  <w:r>
                    <w:rPr>
                      <w:color w:val="000000"/>
                    </w:rPr>
                    <w:t>. Jei gamintojas nesilaiko Reglamento 53, 54, 55 punktuose nurodytų prievolių, Tarnyba gali reikalauti, kad jo sąskaita per Tarnybos nustatytą laikotarpį notifikuotoji įstaiga atliktų tyrimą, siekdama patikrinti atitiktį darniesiems standartams ir esminiams saugos reikalavimams.</w:t>
                  </w:r>
                </w:p>
              </w:sdtContent>
            </w:sdt>
          </w:sdtContent>
        </w:sdt>
        <w:sdt>
          <w:sdtPr>
            <w:alias w:val="skyrius"/>
            <w:tag w:val="part_b2480a6d641a48878ce748c90e538e77"/>
            <w:lock w:val="sdtLocked"/>
            <w:richText/>
          </w:sdtPr>
          <w:sdtContent>
            <w:p>
              <w:pPr>
                <w:keepLines/>
                <w:widowControl w:val="0"/>
                <w:suppressAutoHyphens/>
                <w:jc w:val="center"/>
                <w:rPr>
                  <w:b/>
                  <w:bCs/>
                  <w:caps/>
                  <w:color w:val="000000"/>
                </w:rPr>
              </w:pPr>
              <w:sdt>
                <w:sdtPr>
                  <w:alias w:val="Numeris"/>
                  <w:tag w:val="nr_b2480a6d641a48878ce748c90e538e77"/>
                  <w:lock w:val="sdtLocked"/>
                  <w:richText/>
                </w:sdtPr>
                <w:sdtContent>
                  <w:r>
                    <w:rPr>
                      <w:b/>
                      <w:bCs/>
                      <w:caps/>
                      <w:color w:val="000000"/>
                    </w:rPr>
                    <w:t>IX</w:t>
                  </w:r>
                </w:sdtContent>
              </w:sdt>
              <w:r>
                <w:rPr>
                  <w:b/>
                  <w:bCs/>
                  <w:caps/>
                  <w:color w:val="000000"/>
                </w:rPr>
                <w:t xml:space="preserve"> SKYRIUS</w:t>
              </w:r>
            </w:p>
            <w:p>
              <w:pPr>
                <w:keepLines/>
                <w:widowControl w:val="0"/>
                <w:suppressAutoHyphens/>
                <w:jc w:val="center"/>
                <w:rPr>
                  <w:b/>
                  <w:bCs/>
                  <w:caps/>
                  <w:color w:val="000000"/>
                </w:rPr>
              </w:pPr>
              <w:r>
                <w:rPr>
                  <w:b/>
                  <w:bCs/>
                  <w:caps/>
                  <w:color w:val="000000"/>
                </w:rPr>
                <w:t xml:space="preserve"> </w:t>
              </w:r>
              <w:sdt>
                <w:sdtPr>
                  <w:alias w:val="Pavadinimas"/>
                  <w:tag w:val="title_b2480a6d641a48878ce748c90e538e77"/>
                  <w:lock w:val="sdtLocked"/>
                  <w:richText/>
                </w:sdtPr>
                <w:sdtContent>
                  <w:r>
                    <w:rPr>
                      <w:b/>
                      <w:bCs/>
                      <w:caps/>
                      <w:color w:val="000000"/>
                    </w:rPr>
                    <w:t xml:space="preserve">RINKOS PRIEŽIŪROS REIKALAVIMAI </w:t>
                  </w:r>
                </w:sdtContent>
              </w:sdt>
            </w:p>
            <w:sdt>
              <w:sdtPr>
                <w:alias w:val="57 p."/>
                <w:tag w:val="part_7f988b68c972474aba5396982313f6ee"/>
                <w:lock w:val="sdtLocked"/>
                <w:richText/>
              </w:sdtPr>
              <w:sdtContent>
                <w:p>
                  <w:pPr>
                    <w:suppressAutoHyphens/>
                    <w:ind w:firstLine="567"/>
                    <w:jc w:val="both"/>
                    <w:rPr>
                      <w:color w:val="000000"/>
                    </w:rPr>
                  </w:pPr>
                  <w:sdt>
                    <w:sdtPr>
                      <w:alias w:val="Numeris"/>
                      <w:tag w:val="nr_7f988b68c972474aba5396982313f6ee"/>
                      <w:lock w:val="sdtLocked"/>
                      <w:richText/>
                    </w:sdtPr>
                    <w:sdtContent>
                      <w:r>
                        <w:rPr>
                          <w:color w:val="000000"/>
                        </w:rPr>
                        <w:t>57</w:t>
                      </w:r>
                    </w:sdtContent>
                  </w:sdt>
                  <w:r>
                    <w:rPr>
                      <w:color w:val="000000"/>
                    </w:rPr>
                    <w:t>. Kai Tarnyba imasi Reglamente nustatytų priemonių, ji, nepažeisdama teisės aktų, vadovaujasi atsargumo principu.</w:t>
                  </w:r>
                </w:p>
              </w:sdtContent>
            </w:sdt>
            <w:sdt>
              <w:sdtPr>
                <w:alias w:val="58 p."/>
                <w:tag w:val="part_904fde87aad04923897ac09d38ebd973"/>
                <w:lock w:val="sdtLocked"/>
                <w:richText/>
              </w:sdtPr>
              <w:sdtContent>
                <w:p>
                  <w:pPr>
                    <w:widowControl w:val="0"/>
                    <w:suppressAutoHyphens/>
                    <w:ind w:firstLine="567"/>
                    <w:jc w:val="both"/>
                    <w:rPr>
                      <w:color w:val="000000"/>
                    </w:rPr>
                  </w:pPr>
                  <w:sdt>
                    <w:sdtPr>
                      <w:alias w:val="Numeris"/>
                      <w:tag w:val="nr_904fde87aad04923897ac09d38ebd973"/>
                      <w:lock w:val="sdtLocked"/>
                      <w:richText/>
                    </w:sdtPr>
                    <w:sdtContent>
                      <w:r>
                        <w:rPr>
                          <w:color w:val="000000"/>
                        </w:rPr>
                        <w:t>58</w:t>
                      </w:r>
                    </w:sdtContent>
                  </w:sdt>
                  <w:r>
                    <w:rPr>
                      <w:color w:val="000000"/>
                    </w:rPr>
                    <w:t>. Į rinką pateiktų žaislų priežiūra yra atliekama pagal Reglamento (EB) Nr. 765/2008 15–29 straipsnius. Be nurodytų straipsnių, taikomi šio Reglamento 59, 60, 61 punktai.</w:t>
                  </w:r>
                </w:p>
              </w:sdtContent>
            </w:sdt>
            <w:sdt>
              <w:sdtPr>
                <w:alias w:val="59 p."/>
                <w:tag w:val="part_1e03b01efdfe491e85cab69ce9ce05c5"/>
                <w:lock w:val="sdtLocked"/>
                <w:richText/>
              </w:sdtPr>
              <w:sdtContent>
                <w:p>
                  <w:pPr>
                    <w:widowControl w:val="0"/>
                    <w:suppressAutoHyphens/>
                    <w:ind w:firstLine="567"/>
                    <w:jc w:val="both"/>
                    <w:rPr>
                      <w:color w:val="000000"/>
                    </w:rPr>
                  </w:pPr>
                  <w:sdt>
                    <w:sdtPr>
                      <w:alias w:val="Numeris"/>
                      <w:tag w:val="nr_1e03b01efdfe491e85cab69ce9ce05c5"/>
                      <w:lock w:val="sdtLocked"/>
                      <w:richText/>
                    </w:sdtPr>
                    <w:sdtContent>
                      <w:r>
                        <w:rPr>
                          <w:color w:val="000000"/>
                        </w:rPr>
                        <w:t>59</w:t>
                      </w:r>
                    </w:sdtContent>
                  </w:sdt>
                  <w:r>
                    <w:rPr>
                      <w:color w:val="000000"/>
                    </w:rPr>
                    <w:t>. Tarnyba gali prašyti, kad notifikuotoji įstaiga pateiktų informaciją apie bet kokį EB tipo tyrimo sertifikatą, kurį ši įstaiga išdavė, kuriuo galiojimą panaikino arba kuris susijęs su bet kuriuo atsisakymu išduoti tokį sertifikatą, įskaitant bandymų ataskaitas ir techninius dokumentus.</w:t>
                  </w:r>
                </w:p>
              </w:sdtContent>
            </w:sdt>
            <w:sdt>
              <w:sdtPr>
                <w:alias w:val="60 p."/>
                <w:tag w:val="part_0dfe67a36d514b7f8a7fe035c26a3a15"/>
                <w:lock w:val="sdtLocked"/>
                <w:richText/>
              </w:sdtPr>
              <w:sdtContent>
                <w:p>
                  <w:pPr>
                    <w:widowControl w:val="0"/>
                    <w:suppressAutoHyphens/>
                    <w:ind w:firstLine="567"/>
                    <w:jc w:val="both"/>
                    <w:rPr>
                      <w:color w:val="000000"/>
                    </w:rPr>
                  </w:pPr>
                  <w:sdt>
                    <w:sdtPr>
                      <w:alias w:val="Numeris"/>
                      <w:tag w:val="nr_0dfe67a36d514b7f8a7fe035c26a3a15"/>
                      <w:lock w:val="sdtLocked"/>
                      <w:richText/>
                    </w:sdtPr>
                    <w:sdtContent>
                      <w:r>
                        <w:rPr>
                          <w:color w:val="000000"/>
                        </w:rPr>
                        <w:t>60</w:t>
                      </w:r>
                    </w:sdtContent>
                  </w:sdt>
                  <w:r>
                    <w:rPr>
                      <w:color w:val="000000"/>
                    </w:rPr>
                    <w:t>. Jei Tarnyba nustato, kad žaislas neatitinka Reglamento 13 punkte ir 2 priede nustatytų reikalavimų, tais atvejais, kai turima tai patvirtinančių įrodymų, Tarnyba nurodo notifikuotajai įstaigai panaikinti tokių žaislų EB tipo tyrimo sertifikatą.</w:t>
                  </w:r>
                </w:p>
              </w:sdtContent>
            </w:sdt>
            <w:sdt>
              <w:sdtPr>
                <w:alias w:val="61 p."/>
                <w:tag w:val="part_72ce57bf9b7b4d5685440521b8f19cc9"/>
                <w:lock w:val="sdtLocked"/>
                <w:richText/>
              </w:sdtPr>
              <w:sdtContent>
                <w:p>
                  <w:pPr>
                    <w:widowControl w:val="0"/>
                    <w:suppressAutoHyphens/>
                    <w:ind w:firstLine="567"/>
                    <w:jc w:val="both"/>
                    <w:rPr>
                      <w:color w:val="000000"/>
                    </w:rPr>
                  </w:pPr>
                  <w:sdt>
                    <w:sdtPr>
                      <w:alias w:val="Numeris"/>
                      <w:tag w:val="nr_72ce57bf9b7b4d5685440521b8f19cc9"/>
                      <w:lock w:val="sdtLocked"/>
                      <w:richText/>
                    </w:sdtPr>
                    <w:sdtContent>
                      <w:r>
                        <w:rPr>
                          <w:color w:val="000000"/>
                        </w:rPr>
                        <w:t>61</w:t>
                      </w:r>
                    </w:sdtContent>
                  </w:sdt>
                  <w:r>
                    <w:rPr>
                      <w:color w:val="000000"/>
                    </w:rPr>
                    <w:t>. Prireikus ir Reglamento 49 punkte nurodytais atvejais Tarnyba nurodo notifikuotajai įstaigai persvarstyti EB tipo tyrimo sertifikatą.</w:t>
                  </w:r>
                </w:p>
              </w:sdtContent>
            </w:sdt>
            <w:sdt>
              <w:sdtPr>
                <w:alias w:val="62 p."/>
                <w:tag w:val="part_c0678ab9131346e09caafba89c64b3e4"/>
                <w:lock w:val="sdtLocked"/>
                <w:richText/>
              </w:sdtPr>
              <w:sdtContent>
                <w:p>
                  <w:pPr>
                    <w:widowControl w:val="0"/>
                    <w:suppressAutoHyphens/>
                    <w:ind w:firstLine="567"/>
                    <w:jc w:val="both"/>
                    <w:rPr>
                      <w:color w:val="000000"/>
                    </w:rPr>
                  </w:pPr>
                  <w:sdt>
                    <w:sdtPr>
                      <w:alias w:val="Numeris"/>
                      <w:tag w:val="nr_c0678ab9131346e09caafba89c64b3e4"/>
                      <w:lock w:val="sdtLocked"/>
                      <w:richText/>
                    </w:sdtPr>
                    <w:sdtContent>
                      <w:r>
                        <w:rPr>
                          <w:color w:val="000000"/>
                        </w:rPr>
                        <w:t>62</w:t>
                      </w:r>
                    </w:sdtContent>
                  </w:sdt>
                  <w:r>
                    <w:rPr>
                      <w:color w:val="000000"/>
                    </w:rPr>
                    <w:t>. Jei Tarnyba ėmėsi veiksmų pagal Reglamento (EB) Nr. 765/2008 20 straipsnį arba ji turi pakankamą pagrindą manyti, kad žaislas, kuriam taikomas Reglamentas, kelia riziką asmenų sveikatai, saugai arba kitiems visuomenės interesams, kuriems taikomas Reglamentas, Tarnyba atlieka vertinimą, susijusį su atitinkamu žaislu ir apimantį visus Reglamente nustatytus reikalavimus. Atitinkami ekonominės veiklos vykdytojai bendradarbiauja su Tarnyba pagal jos nustatytus reikalavimus.</w:t>
                  </w:r>
                </w:p>
                <w:p>
                  <w:pPr>
                    <w:widowControl w:val="0"/>
                    <w:suppressAutoHyphens/>
                    <w:ind w:firstLine="567"/>
                    <w:jc w:val="both"/>
                    <w:rPr>
                      <w:color w:val="000000"/>
                      <w:spacing w:val="-2"/>
                    </w:rPr>
                  </w:pPr>
                  <w:r>
                    <w:rPr>
                      <w:color w:val="000000"/>
                      <w:spacing w:val="-2"/>
                    </w:rPr>
                    <w:t>Jei atlikdama šį vertinimą Tarnyba nustato, kad žaislas neatitinka Reglamente nustatytų reikalavimų, ji reikalauja, kad atitinkamas ūkinės veiklos vykdytojas nedelsdamas imtųsi reikiamų priemonių, kad žaislas atitiktų tuos reikalavimus, arba pašalintų žaislą iš rinkos, arba jį susigrąžintų per pagrįstą laikotarpį, kurį Tarnyba nustato atsižvelgdama į rizikos pobūdį.</w:t>
                  </w:r>
                </w:p>
                <w:p>
                  <w:pPr>
                    <w:widowControl w:val="0"/>
                    <w:suppressAutoHyphens/>
                    <w:ind w:firstLine="567"/>
                    <w:jc w:val="both"/>
                    <w:rPr>
                      <w:color w:val="000000"/>
                    </w:rPr>
                  </w:pPr>
                  <w:r>
                    <w:rPr>
                      <w:color w:val="000000"/>
                    </w:rPr>
                    <w:t>Tarnyba informuoja atitinkamą notifikuotąją įstaigą.</w:t>
                  </w:r>
                </w:p>
                <w:p>
                  <w:pPr>
                    <w:widowControl w:val="0"/>
                    <w:suppressAutoHyphens/>
                    <w:ind w:firstLine="567"/>
                    <w:jc w:val="both"/>
                    <w:rPr>
                      <w:color w:val="000000"/>
                    </w:rPr>
                  </w:pPr>
                  <w:r>
                    <w:rPr>
                      <w:color w:val="000000"/>
                    </w:rPr>
                    <w:t>Reglamento (EB) Nr. 765/2008 21 straipsnis taikomas šio punkto antrojoje pastraipoje nurodytoms priemonėms.</w:t>
                  </w:r>
                </w:p>
              </w:sdtContent>
            </w:sdt>
            <w:sdt>
              <w:sdtPr>
                <w:alias w:val="63 p."/>
                <w:tag w:val="part_ace1928779924fe69e64343617366142"/>
                <w:lock w:val="sdtLocked"/>
                <w:richText/>
              </w:sdtPr>
              <w:sdtContent>
                <w:p>
                  <w:pPr>
                    <w:widowControl w:val="0"/>
                    <w:suppressAutoHyphens/>
                    <w:ind w:firstLine="567"/>
                    <w:jc w:val="both"/>
                    <w:rPr>
                      <w:color w:val="000000"/>
                    </w:rPr>
                  </w:pPr>
                  <w:sdt>
                    <w:sdtPr>
                      <w:alias w:val="Numeris"/>
                      <w:tag w:val="nr_ace1928779924fe69e64343617366142"/>
                      <w:lock w:val="sdtLocked"/>
                      <w:richText/>
                    </w:sdtPr>
                    <w:sdtContent>
                      <w:r>
                        <w:rPr>
                          <w:color w:val="000000"/>
                        </w:rPr>
                        <w:t>63</w:t>
                      </w:r>
                    </w:sdtContent>
                  </w:sdt>
                  <w:r>
                    <w:rPr>
                      <w:color w:val="000000"/>
                    </w:rPr>
                    <w:t>. Jei Tarnyba</w:t>
                  </w:r>
                  <w:r>
                    <w:rPr>
                      <w:b/>
                      <w:color w:val="000000"/>
                    </w:rPr>
                    <w:t xml:space="preserve"> </w:t>
                  </w:r>
                  <w:r>
                    <w:rPr>
                      <w:color w:val="000000"/>
                    </w:rPr>
                    <w:t>mano, kad neatitiktis neapsiriboja Lietuvos teritorija, ji informuoja Europos Komisiją ir kitas valstybes nares apie vertinimo rezultatus ir veiksmus, kurių jų reikalavimu ėmėsi ekonominės veiklos vykdytojai.</w:t>
                  </w:r>
                </w:p>
              </w:sdtContent>
            </w:sdt>
            <w:sdt>
              <w:sdtPr>
                <w:alias w:val="64 p."/>
                <w:tag w:val="part_e0d77f66d47742ab8f2af636753380a2"/>
                <w:lock w:val="sdtLocked"/>
                <w:richText/>
              </w:sdtPr>
              <w:sdtContent>
                <w:p>
                  <w:pPr>
                    <w:ind w:firstLine="567"/>
                    <w:jc w:val="both"/>
                    <w:rPr>
                      <w:color w:val="000000"/>
                    </w:rPr>
                  </w:pPr>
                  <w:sdt>
                    <w:sdtPr>
                      <w:alias w:val="Numeris"/>
                      <w:tag w:val="nr_e0d77f66d47742ab8f2af636753380a2"/>
                      <w:lock w:val="sdtLocked"/>
                      <w:richText/>
                    </w:sdtPr>
                    <w:sdtContent>
                      <w:r>
                        <w:t>64</w:t>
                      </w:r>
                    </w:sdtContent>
                  </w:sdt>
                  <w:r>
                    <w:t>. Atitinkamas ekonominės veiklos vykdytojas užtikrina, kad įmanomos korekcinės priemonės būtų taikomos gaminiams, kuriuos tas ekonominės veiklos vykdytojas pateikė į rinką Europos Sąjungoje.</w:t>
                  </w:r>
                </w:p>
              </w:sdtContent>
            </w:sdt>
            <w:sdt>
              <w:sdtPr>
                <w:alias w:val="65 p."/>
                <w:tag w:val="part_d2361524c78d462e82ce4abc01ccd71d"/>
                <w:lock w:val="sdtLocked"/>
                <w:richText/>
              </w:sdtPr>
              <w:sdtContent>
                <w:p>
                  <w:pPr>
                    <w:widowControl w:val="0"/>
                    <w:suppressAutoHyphens/>
                    <w:ind w:firstLine="567"/>
                    <w:jc w:val="both"/>
                    <w:rPr>
                      <w:color w:val="000000"/>
                    </w:rPr>
                  </w:pPr>
                  <w:sdt>
                    <w:sdtPr>
                      <w:alias w:val="Numeris"/>
                      <w:tag w:val="nr_d2361524c78d462e82ce4abc01ccd71d"/>
                      <w:lock w:val="sdtLocked"/>
                      <w:richText/>
                    </w:sdtPr>
                    <w:sdtContent>
                      <w:r>
                        <w:rPr>
                          <w:color w:val="000000"/>
                        </w:rPr>
                        <w:t>65</w:t>
                      </w:r>
                    </w:sdtContent>
                  </w:sdt>
                  <w:r>
                    <w:rPr>
                      <w:color w:val="000000"/>
                    </w:rPr>
                    <w:t>. Jeigu per Reglamento 62 punkte antrojoje pastraipoje nurodytą laikotarpį ekonominės veiklos vykdytojas nesiima atitinkamų veiksmų, Tarnyba imasi Reglamento</w:t>
                  </w:r>
                  <w:r>
                    <w:rPr>
                      <w:b/>
                      <w:color w:val="000000"/>
                    </w:rPr>
                    <w:t xml:space="preserve"> </w:t>
                  </w:r>
                  <w:r>
                    <w:rPr>
                      <w:color w:val="000000"/>
                    </w:rPr>
                    <w:t>66 punkte nurodytų reikiamų pereinamojo laikotarpio priemonių, kuriomis siekiama uždrausti arba apriboti tiekimą Lietuvos rinkai, pašalinti žaislą iš rinkos arba jį susigrąžinti.</w:t>
                  </w:r>
                </w:p>
                <w:p>
                  <w:pPr>
                    <w:widowControl w:val="0"/>
                    <w:suppressAutoHyphens/>
                    <w:ind w:firstLine="567"/>
                    <w:jc w:val="both"/>
                    <w:rPr>
                      <w:color w:val="000000"/>
                    </w:rPr>
                  </w:pPr>
                  <w:r>
                    <w:rPr>
                      <w:color w:val="000000"/>
                    </w:rPr>
                    <w:t>Apie visas tokias priemones Tarnyba informuoja Europos Komisiją ir kitas valstybes nares.</w:t>
                  </w:r>
                </w:p>
              </w:sdtContent>
            </w:sdt>
            <w:sdt>
              <w:sdtPr>
                <w:alias w:val="66 p."/>
                <w:tag w:val="part_9284dfcff155413dbdcb8471a0e6c607"/>
                <w:lock w:val="sdtLocked"/>
                <w:richText/>
              </w:sdtPr>
              <w:sdtContent>
                <w:p>
                  <w:pPr>
                    <w:widowControl w:val="0"/>
                    <w:suppressAutoHyphens/>
                    <w:ind w:firstLine="567"/>
                    <w:jc w:val="both"/>
                    <w:rPr>
                      <w:color w:val="000000"/>
                    </w:rPr>
                  </w:pPr>
                  <w:sdt>
                    <w:sdtPr>
                      <w:alias w:val="Numeris"/>
                      <w:tag w:val="nr_9284dfcff155413dbdcb8471a0e6c607"/>
                      <w:lock w:val="sdtLocked"/>
                      <w:richText/>
                    </w:sdtPr>
                    <w:sdtContent>
                      <w:r>
                        <w:rPr>
                          <w:color w:val="000000"/>
                        </w:rPr>
                        <w:t>66</w:t>
                      </w:r>
                    </w:sdtContent>
                  </w:sdt>
                  <w:r>
                    <w:rPr>
                      <w:color w:val="000000"/>
                    </w:rPr>
                    <w:t>. Reglamento 65 punkte nurodyta informacija apima visus duomenis, visų pirma duomenis, reikalingus reikalavimų neatitinkančiam žaislui, žaislo kilmei, tariamos neatitikties ir keliamos rizikos ir nacionaliniu lygmeniu taikomų priemonių pobūdžiui, trukmei ir atitinkamo ekonominės veiklos vykdytojo argumentams nustatyti. Tarnyba nurodo, ar neatitikties priežastis yra:</w:t>
                  </w:r>
                  <w:r>
                    <w:t xml:space="preserve"> </w:t>
                  </w:r>
                </w:p>
                <w:p>
                  <w:pPr>
                    <w:widowControl w:val="0"/>
                    <w:suppressAutoHyphens/>
                    <w:ind w:firstLine="567"/>
                    <w:jc w:val="both"/>
                    <w:rPr>
                      <w:color w:val="000000"/>
                    </w:rPr>
                  </w:pPr>
                </w:p>
                <w:sdt>
                  <w:sdtPr>
                    <w:alias w:val="66.1 p."/>
                    <w:tag w:val="part_fadf794bf5484baf8eab0dd63bf50b0f"/>
                    <w:lock w:val="sdtLocked"/>
                    <w:richText/>
                  </w:sdtPr>
                  <w:sdtContent>
                    <w:p>
                      <w:pPr>
                        <w:widowControl w:val="0"/>
                        <w:suppressAutoHyphens/>
                        <w:ind w:firstLine="567"/>
                        <w:jc w:val="both"/>
                        <w:rPr>
                          <w:color w:val="000000"/>
                        </w:rPr>
                      </w:pPr>
                      <w:sdt>
                        <w:sdtPr>
                          <w:alias w:val="Numeris"/>
                          <w:tag w:val="nr_fadf794bf5484baf8eab0dd63bf50b0f"/>
                          <w:lock w:val="sdtLocked"/>
                          <w:richText/>
                        </w:sdtPr>
                        <w:sdtContent>
                          <w:r>
                            <w:rPr>
                              <w:color w:val="000000"/>
                            </w:rPr>
                            <w:t>66.1</w:t>
                          </w:r>
                        </w:sdtContent>
                      </w:sdt>
                      <w:r>
                        <w:rPr>
                          <w:color w:val="000000"/>
                        </w:rPr>
                        <w:t>. tai, kad gaminys neatitinka asmenų sveikatos ar saugos reikalavimų;</w:t>
                      </w:r>
                    </w:p>
                  </w:sdtContent>
                </w:sdt>
                <w:sdt>
                  <w:sdtPr>
                    <w:alias w:val="66.2 p."/>
                    <w:tag w:val="part_0546d7e17d4740f9a69497120939bd97"/>
                    <w:lock w:val="sdtLocked"/>
                    <w:richText/>
                  </w:sdtPr>
                  <w:sdtContent>
                    <w:p>
                      <w:pPr>
                        <w:widowControl w:val="0"/>
                        <w:suppressAutoHyphens/>
                        <w:ind w:firstLine="567"/>
                        <w:jc w:val="both"/>
                        <w:rPr>
                          <w:color w:val="000000"/>
                        </w:rPr>
                      </w:pPr>
                      <w:sdt>
                        <w:sdtPr>
                          <w:alias w:val="Numeris"/>
                          <w:tag w:val="nr_0546d7e17d4740f9a69497120939bd97"/>
                          <w:lock w:val="sdtLocked"/>
                          <w:richText/>
                        </w:sdtPr>
                        <w:sdtContent>
                          <w:r>
                            <w:rPr>
                              <w:color w:val="000000"/>
                            </w:rPr>
                            <w:t>66.2</w:t>
                          </w:r>
                        </w:sdtContent>
                      </w:sdt>
                      <w:r>
                        <w:rPr>
                          <w:color w:val="000000"/>
                        </w:rPr>
                        <w:t>. darniųjų standartų, kurie yra nurodyti Reglamento 16 punkte kaip suteikiantys atitikties prielaidą, trūkumai.</w:t>
                      </w:r>
                    </w:p>
                  </w:sdtContent>
                </w:sdt>
              </w:sdtContent>
            </w:sdt>
            <w:sdt>
              <w:sdtPr>
                <w:alias w:val="67 p."/>
                <w:tag w:val="part_412b2cbf19a74d76a10d693636509e6f"/>
                <w:lock w:val="sdtLocked"/>
                <w:richText/>
              </w:sdtPr>
              <w:sdtContent>
                <w:p>
                  <w:pPr>
                    <w:widowControl w:val="0"/>
                    <w:suppressAutoHyphens/>
                    <w:ind w:firstLine="567"/>
                    <w:jc w:val="both"/>
                    <w:rPr>
                      <w:color w:val="000000"/>
                    </w:rPr>
                  </w:pPr>
                  <w:sdt>
                    <w:sdtPr>
                      <w:alias w:val="Numeris"/>
                      <w:tag w:val="nr_412b2cbf19a74d76a10d693636509e6f"/>
                      <w:lock w:val="sdtLocked"/>
                      <w:richText/>
                    </w:sdtPr>
                    <w:sdtContent>
                      <w:r>
                        <w:rPr>
                          <w:color w:val="000000"/>
                        </w:rPr>
                        <w:t>67</w:t>
                      </w:r>
                    </w:sdtContent>
                  </w:sdt>
                  <w:r>
                    <w:rPr>
                      <w:color w:val="000000"/>
                    </w:rPr>
                    <w:t>. Tarnyba, gavusi informaciją apie kitos valstybės narės inicijuotą procedūrą, nedelsdama praneša Europos Komisijai ir kitoms valstybėms narėms apie bet kokias priimtas priemones ar bet kokią turimą papildomą informaciją, susijusią su gaminio neatitiktimi, ir apie savo prieštaravimą, jeigu ji nepritaria kitos valstybės narės nacionalinei priemonei, apie kurią buvo pranešta.</w:t>
                  </w:r>
                </w:p>
              </w:sdtContent>
            </w:sdt>
            <w:sdt>
              <w:sdtPr>
                <w:alias w:val="68 p."/>
                <w:tag w:val="part_1141c97ba61f425da759cbe47133e519"/>
                <w:lock w:val="sdtLocked"/>
                <w:richText/>
              </w:sdtPr>
              <w:sdtContent>
                <w:p>
                  <w:pPr>
                    <w:widowControl w:val="0"/>
                    <w:suppressAutoHyphens/>
                    <w:ind w:firstLine="567"/>
                    <w:jc w:val="both"/>
                    <w:rPr>
                      <w:color w:val="000000"/>
                    </w:rPr>
                  </w:pPr>
                  <w:sdt>
                    <w:sdtPr>
                      <w:alias w:val="Numeris"/>
                      <w:tag w:val="nr_1141c97ba61f425da759cbe47133e519"/>
                      <w:lock w:val="sdtLocked"/>
                      <w:richText/>
                    </w:sdtPr>
                    <w:sdtContent>
                      <w:r>
                        <w:rPr>
                          <w:color w:val="000000"/>
                        </w:rPr>
                        <w:t>68</w:t>
                      </w:r>
                    </w:sdtContent>
                  </w:sdt>
                  <w:r>
                    <w:rPr>
                      <w:color w:val="000000"/>
                    </w:rPr>
                    <w:t>. Jeigu per tris mėnesius po Reglamento 65 punkte nurodytos informacijos gavimo nei valstybė narė, nei Europos Komisija nepareiškė nepritarimo pereinamojo laikotarpio priemonei, kurią taiko Tarnyba, ta priemonė laikoma pagrįsta.</w:t>
                  </w:r>
                </w:p>
              </w:sdtContent>
            </w:sdt>
            <w:sdt>
              <w:sdtPr>
                <w:alias w:val="69 p."/>
                <w:tag w:val="part_896325cca69a42f0b73785b41f2fcf62"/>
                <w:lock w:val="sdtLocked"/>
                <w:richText/>
              </w:sdtPr>
              <w:sdtContent>
                <w:p>
                  <w:pPr>
                    <w:widowControl w:val="0"/>
                    <w:suppressAutoHyphens/>
                    <w:ind w:firstLine="567"/>
                    <w:jc w:val="both"/>
                    <w:rPr>
                      <w:color w:val="000000"/>
                    </w:rPr>
                  </w:pPr>
                  <w:sdt>
                    <w:sdtPr>
                      <w:alias w:val="Numeris"/>
                      <w:tag w:val="nr_896325cca69a42f0b73785b41f2fcf62"/>
                      <w:lock w:val="sdtLocked"/>
                      <w:richText/>
                    </w:sdtPr>
                    <w:sdtContent>
                      <w:r>
                        <w:rPr>
                          <w:color w:val="000000"/>
                        </w:rPr>
                        <w:t>69</w:t>
                      </w:r>
                    </w:sdtContent>
                  </w:sdt>
                  <w:r>
                    <w:rPr>
                      <w:color w:val="000000"/>
                    </w:rPr>
                    <w:t>. Tarnyba užtikrina, kad dėl atitinkamo žaislo būtų imamasi tinkamų ribojamųjų priemonių, nustatytų</w:t>
                  </w:r>
                  <w:r>
                    <w:rPr>
                      <w:b/>
                      <w:bCs/>
                      <w:color w:val="000000"/>
                    </w:rPr>
                    <w:t xml:space="preserve"> </w:t>
                  </w:r>
                  <w:r>
                    <w:rPr>
                      <w:color w:val="000000"/>
                    </w:rPr>
                    <w:t>Lietuvos Respublikos produktų saugos įstatyme</w:t>
                  </w:r>
                  <w:r>
                    <w:t>.</w:t>
                  </w:r>
                </w:p>
              </w:sdtContent>
            </w:sdt>
            <w:sdt>
              <w:sdtPr>
                <w:alias w:val="70 p."/>
                <w:tag w:val="part_627f93944dd1414db6dd0b8da17809f4"/>
                <w:lock w:val="sdtLocked"/>
                <w:richText/>
              </w:sdtPr>
              <w:sdtContent>
                <w:p>
                  <w:pPr>
                    <w:widowControl w:val="0"/>
                    <w:suppressAutoHyphens/>
                    <w:ind w:firstLine="567"/>
                    <w:jc w:val="both"/>
                    <w:rPr>
                      <w:color w:val="000000"/>
                    </w:rPr>
                  </w:pPr>
                  <w:sdt>
                    <w:sdtPr>
                      <w:alias w:val="Numeris"/>
                      <w:tag w:val="nr_627f93944dd1414db6dd0b8da17809f4"/>
                      <w:lock w:val="sdtLocked"/>
                      <w:richText/>
                    </w:sdtPr>
                    <w:sdtContent>
                      <w:r>
                        <w:rPr>
                          <w:color w:val="000000"/>
                        </w:rPr>
                        <w:t>70</w:t>
                      </w:r>
                    </w:sdtContent>
                  </w:sdt>
                  <w:r>
                    <w:rPr>
                      <w:color w:val="000000"/>
                    </w:rPr>
                    <w:t>. Jeigu Tarnybos ar kitos valstybės narės nacionalinė priemonė laikoma pagrįsta, Tarnyba imasi priemonių, būtinų užtikrinti, kad reikalavimų neatitinkantis gaminys būtų pašalintas iš rinkos, ir atitinkamai informuoja Europos Komisiją. Jeigu nacionalinė priemonė laikoma nepagrįsta, Tarnyba panaikina tą priemonę.</w:t>
                  </w:r>
                </w:p>
              </w:sdtContent>
            </w:sdt>
            <w:sdt>
              <w:sdtPr>
                <w:alias w:val="71 p."/>
                <w:tag w:val="part_2d0ddda55cd84cc0a3d53763df1225c1"/>
                <w:lock w:val="sdtLocked"/>
                <w:richText/>
              </w:sdtPr>
              <w:sdtContent>
                <w:p>
                  <w:pPr>
                    <w:ind w:firstLine="567"/>
                    <w:jc w:val="both"/>
                  </w:pPr>
                  <w:sdt>
                    <w:sdtPr>
                      <w:alias w:val="Numeris"/>
                      <w:tag w:val="nr_2d0ddda55cd84cc0a3d53763df1225c1"/>
                      <w:lock w:val="sdtLocked"/>
                      <w:richText/>
                    </w:sdtPr>
                    <w:sdtContent>
                      <w:r>
                        <w:t>71</w:t>
                      </w:r>
                    </w:sdtContent>
                  </w:sdt>
                  <w:r>
                    <w:t>. Jeigu Reglamento 65 punkte nurodyta tokia priemonė, apie kurią reikia pranešti per Europos Sąjungos skubaus pasikeitimo informacija sistemą (RAPEX) pagal Reglamento (EB) Nr. 765/2008 22 straipsnį, nebūtina apie ją pranešti atskirai remiantis šio Reglamento 65 punktu, jeigu vykdomi šie reikalavimai:</w:t>
                  </w:r>
                </w:p>
                <w:sdt>
                  <w:sdtPr>
                    <w:alias w:val="71.1 pp."/>
                    <w:tag w:val="part_02dc9a30a25b49cf99689475fdf31a8e"/>
                    <w:lock w:val="sdtLocked"/>
                    <w:richText/>
                  </w:sdtPr>
                  <w:sdtContent>
                    <w:p>
                      <w:pPr>
                        <w:ind w:firstLine="567"/>
                        <w:jc w:val="both"/>
                      </w:pPr>
                      <w:sdt>
                        <w:sdtPr>
                          <w:alias w:val="Numeris"/>
                          <w:tag w:val="nr_02dc9a30a25b49cf99689475fdf31a8e"/>
                          <w:lock w:val="sdtLocked"/>
                          <w:richText/>
                        </w:sdtPr>
                        <w:sdtContent>
                          <w:r>
                            <w:t>71.1</w:t>
                          </w:r>
                        </w:sdtContent>
                      </w:sdt>
                      <w:r>
                        <w:t>. Europos Sąjungos skubaus pasikeitimo informacija sistemos pranešime nurodoma, kad pranešti apie šią priemonę taip pat reikalaujama šiuo Reglamentu;</w:t>
                      </w:r>
                    </w:p>
                  </w:sdtContent>
                </w:sdt>
                <w:sdt>
                  <w:sdtPr>
                    <w:alias w:val="71.2 pp."/>
                    <w:tag w:val="part_7769e4caff934be9876c026b9056fa25"/>
                    <w:lock w:val="sdtLocked"/>
                    <w:richText/>
                  </w:sdtPr>
                  <w:sdtContent>
                    <w:p>
                      <w:pPr>
                        <w:ind w:firstLine="567"/>
                        <w:jc w:val="both"/>
                        <w:rPr>
                          <w:color w:val="000000"/>
                        </w:rPr>
                      </w:pPr>
                      <w:sdt>
                        <w:sdtPr>
                          <w:alias w:val="Numeris"/>
                          <w:tag w:val="nr_7769e4caff934be9876c026b9056fa25"/>
                          <w:lock w:val="sdtLocked"/>
                          <w:richText/>
                        </w:sdtPr>
                        <w:sdtContent>
                          <w:r>
                            <w:t>71.2</w:t>
                          </w:r>
                        </w:sdtContent>
                      </w:sdt>
                      <w:r>
                        <w:t>. Reglamento 66 punkte nurodyti patvirtinamieji įrodymai pateikiami kartu su Europos Sąjungos skubaus pasikeitimo informacija sistemos pranešimu.</w:t>
                      </w:r>
                    </w:p>
                  </w:sdtContent>
                </w:sdt>
              </w:sdtContent>
            </w:sdt>
          </w:sdtContent>
        </w:sdt>
        <w:sdt>
          <w:sdtPr>
            <w:alias w:val="skyrius"/>
            <w:tag w:val="part_96197d9294a74aff9f91e2a0414b39f0"/>
            <w:lock w:val="sdtLocked"/>
            <w:richText/>
          </w:sdtPr>
          <w:sdtContent>
            <w:p>
              <w:pPr>
                <w:keepLines/>
                <w:widowControl w:val="0"/>
                <w:suppressAutoHyphens/>
                <w:jc w:val="center"/>
                <w:rPr>
                  <w:b/>
                  <w:bCs/>
                  <w:caps/>
                  <w:color w:val="000000"/>
                </w:rPr>
              </w:pPr>
              <w:sdt>
                <w:sdtPr>
                  <w:alias w:val="Numeris"/>
                  <w:tag w:val="nr_96197d9294a74aff9f91e2a0414b39f0"/>
                  <w:lock w:val="sdtLocked"/>
                  <w:richText/>
                </w:sdtPr>
                <w:sdtContent>
                  <w:r>
                    <w:rPr>
                      <w:b/>
                      <w:bCs/>
                      <w:caps/>
                      <w:color w:val="000000"/>
                    </w:rPr>
                    <w:t>X</w:t>
                  </w:r>
                </w:sdtContent>
              </w:sdt>
              <w:r>
                <w:rPr>
                  <w:b/>
                  <w:bCs/>
                  <w:caps/>
                  <w:color w:val="000000"/>
                </w:rPr>
                <w:t xml:space="preserve"> SKYRIUS</w:t>
              </w:r>
            </w:p>
            <w:p>
              <w:pPr>
                <w:keepLines/>
                <w:widowControl w:val="0"/>
                <w:suppressAutoHyphens/>
                <w:jc w:val="center"/>
                <w:rPr>
                  <w:b/>
                  <w:bCs/>
                  <w:caps/>
                  <w:color w:val="000000"/>
                </w:rPr>
              </w:pPr>
              <w:r>
                <w:rPr>
                  <w:b/>
                  <w:bCs/>
                  <w:caps/>
                  <w:color w:val="000000"/>
                </w:rPr>
                <w:t xml:space="preserve"> </w:t>
              </w:r>
              <w:sdt>
                <w:sdtPr>
                  <w:alias w:val="Pavadinimas"/>
                  <w:tag w:val="title_96197d9294a74aff9f91e2a0414b39f0"/>
                  <w:lock w:val="sdtLocked"/>
                  <w:richText/>
                </w:sdtPr>
                <w:sdtContent>
                  <w:r>
                    <w:rPr>
                      <w:b/>
                      <w:bCs/>
                      <w:caps/>
                      <w:color w:val="000000"/>
                    </w:rPr>
                    <w:t xml:space="preserve">OFICIALI NEATITIKTIS </w:t>
                  </w:r>
                </w:sdtContent>
              </w:sdt>
            </w:p>
            <w:sdt>
              <w:sdtPr>
                <w:alias w:val="72 p."/>
                <w:tag w:val="part_dc173a2eea1744918fbddf43b6b06074"/>
                <w:lock w:val="sdtLocked"/>
                <w:richText/>
              </w:sdtPr>
              <w:sdtContent>
                <w:p>
                  <w:pPr>
                    <w:widowControl w:val="0"/>
                    <w:suppressAutoHyphens/>
                    <w:ind w:firstLine="567"/>
                    <w:jc w:val="both"/>
                    <w:rPr>
                      <w:color w:val="000000"/>
                    </w:rPr>
                  </w:pPr>
                  <w:sdt>
                    <w:sdtPr>
                      <w:alias w:val="Numeris"/>
                      <w:tag w:val="nr_dc173a2eea1744918fbddf43b6b06074"/>
                      <w:lock w:val="sdtLocked"/>
                      <w:richText/>
                    </w:sdtPr>
                    <w:sdtContent>
                      <w:r>
                        <w:rPr>
                          <w:color w:val="000000"/>
                        </w:rPr>
                        <w:t>72</w:t>
                      </w:r>
                    </w:sdtContent>
                  </w:sdt>
                  <w:r>
                    <w:rPr>
                      <w:color w:val="000000"/>
                    </w:rPr>
                    <w:t>. Nustačiusi vieną iš toliau nurodytų faktų Tarnyba, nepažeisdama Reglamento 62–69 punktų nuostatų, pareikalauja, kad konkrečiu atveju atitinkamas ekonominės veiklos vykdytojas panaikintų susijusį neatitikimą:</w:t>
                  </w:r>
                  <w:r>
                    <w:t xml:space="preserve"> </w:t>
                  </w:r>
                </w:p>
                <w:p>
                  <w:pPr>
                    <w:widowControl w:val="0"/>
                    <w:suppressAutoHyphens/>
                    <w:ind w:firstLine="567"/>
                    <w:jc w:val="both"/>
                    <w:rPr>
                      <w:color w:val="000000"/>
                    </w:rPr>
                  </w:pPr>
                </w:p>
                <w:sdt>
                  <w:sdtPr>
                    <w:alias w:val="72.1 p."/>
                    <w:tag w:val="part_aed47c14efa5452fa4e03f887f9010d7"/>
                    <w:lock w:val="sdtLocked"/>
                    <w:richText/>
                  </w:sdtPr>
                  <w:sdtContent>
                    <w:p>
                      <w:pPr>
                        <w:widowControl w:val="0"/>
                        <w:suppressAutoHyphens/>
                        <w:ind w:firstLine="567"/>
                        <w:jc w:val="both"/>
                        <w:rPr>
                          <w:color w:val="000000"/>
                        </w:rPr>
                      </w:pPr>
                      <w:sdt>
                        <w:sdtPr>
                          <w:alias w:val="Numeris"/>
                          <w:tag w:val="nr_aed47c14efa5452fa4e03f887f9010d7"/>
                          <w:lock w:val="sdtLocked"/>
                          <w:richText/>
                        </w:sdtPr>
                        <w:sdtContent>
                          <w:r>
                            <w:rPr>
                              <w:color w:val="000000"/>
                            </w:rPr>
                            <w:t>72.1</w:t>
                          </w:r>
                        </w:sdtContent>
                      </w:sdt>
                      <w:r>
                        <w:rPr>
                          <w:color w:val="000000"/>
                        </w:rPr>
                        <w:t>. CE ženklu buvo ženklinama pažeidžiant šio Reglamento 21–24 punktus arba Reglamento 25–27 punktus;</w:t>
                      </w:r>
                    </w:p>
                  </w:sdtContent>
                </w:sdt>
                <w:sdt>
                  <w:sdtPr>
                    <w:alias w:val="72.2 p."/>
                    <w:tag w:val="part_c0e3b08704784cad90310e723231ac1e"/>
                    <w:lock w:val="sdtLocked"/>
                    <w:richText/>
                  </w:sdtPr>
                  <w:sdtContent>
                    <w:p>
                      <w:pPr>
                        <w:widowControl w:val="0"/>
                        <w:suppressAutoHyphens/>
                        <w:ind w:firstLine="567"/>
                        <w:jc w:val="both"/>
                        <w:rPr>
                          <w:color w:val="000000"/>
                        </w:rPr>
                      </w:pPr>
                      <w:sdt>
                        <w:sdtPr>
                          <w:alias w:val="Numeris"/>
                          <w:tag w:val="nr_c0e3b08704784cad90310e723231ac1e"/>
                          <w:lock w:val="sdtLocked"/>
                          <w:richText/>
                        </w:sdtPr>
                        <w:sdtContent>
                          <w:r>
                            <w:rPr>
                              <w:color w:val="000000"/>
                            </w:rPr>
                            <w:t>72.2</w:t>
                          </w:r>
                        </w:sdtContent>
                      </w:sdt>
                      <w:r>
                        <w:rPr>
                          <w:color w:val="000000"/>
                        </w:rPr>
                        <w:t>. nebuvo ženklinama CE ženklu;</w:t>
                      </w:r>
                    </w:p>
                  </w:sdtContent>
                </w:sdt>
                <w:sdt>
                  <w:sdtPr>
                    <w:alias w:val="72.3 p."/>
                    <w:tag w:val="part_ba9c847b60764a5d8c92c3c3f2db272d"/>
                    <w:lock w:val="sdtLocked"/>
                    <w:richText/>
                  </w:sdtPr>
                  <w:sdtContent>
                    <w:p>
                      <w:pPr>
                        <w:widowControl w:val="0"/>
                        <w:suppressAutoHyphens/>
                        <w:ind w:firstLine="567"/>
                        <w:jc w:val="both"/>
                        <w:rPr>
                          <w:color w:val="000000"/>
                        </w:rPr>
                      </w:pPr>
                      <w:sdt>
                        <w:sdtPr>
                          <w:alias w:val="Numeris"/>
                          <w:tag w:val="nr_ba9c847b60764a5d8c92c3c3f2db272d"/>
                          <w:lock w:val="sdtLocked"/>
                          <w:richText/>
                        </w:sdtPr>
                        <w:sdtContent>
                          <w:r>
                            <w:rPr>
                              <w:color w:val="000000"/>
                            </w:rPr>
                            <w:t>72.3</w:t>
                          </w:r>
                        </w:sdtContent>
                      </w:sdt>
                      <w:r>
                        <w:rPr>
                          <w:color w:val="000000"/>
                        </w:rPr>
                        <w:t>. nebuvo parengta EB atitikties deklaracija;</w:t>
                      </w:r>
                    </w:p>
                  </w:sdtContent>
                </w:sdt>
                <w:sdt>
                  <w:sdtPr>
                    <w:alias w:val="72.4 p."/>
                    <w:tag w:val="part_76bf58f24a774404be6e67c95f4f2d71"/>
                    <w:lock w:val="sdtLocked"/>
                    <w:richText/>
                  </w:sdtPr>
                  <w:sdtContent>
                    <w:p>
                      <w:pPr>
                        <w:widowControl w:val="0"/>
                        <w:suppressAutoHyphens/>
                        <w:ind w:firstLine="567"/>
                        <w:jc w:val="both"/>
                        <w:rPr>
                          <w:color w:val="000000"/>
                        </w:rPr>
                      </w:pPr>
                      <w:sdt>
                        <w:sdtPr>
                          <w:alias w:val="Numeris"/>
                          <w:tag w:val="nr_76bf58f24a774404be6e67c95f4f2d71"/>
                          <w:lock w:val="sdtLocked"/>
                          <w:richText/>
                        </w:sdtPr>
                        <w:sdtContent>
                          <w:r>
                            <w:rPr>
                              <w:color w:val="000000"/>
                            </w:rPr>
                            <w:t>72.4</w:t>
                          </w:r>
                        </w:sdtContent>
                      </w:sdt>
                      <w:r>
                        <w:rPr>
                          <w:color w:val="000000"/>
                        </w:rPr>
                        <w:t>. EB atitikties deklaracija nebuvo tinkamai parengta;</w:t>
                      </w:r>
                    </w:p>
                  </w:sdtContent>
                </w:sdt>
                <w:sdt>
                  <w:sdtPr>
                    <w:alias w:val="72.5 p."/>
                    <w:tag w:val="part_7c95d697370f49bab730aa4da28c56e7"/>
                    <w:lock w:val="sdtLocked"/>
                    <w:richText/>
                  </w:sdtPr>
                  <w:sdtContent>
                    <w:p>
                      <w:pPr>
                        <w:widowControl w:val="0"/>
                        <w:suppressAutoHyphens/>
                        <w:ind w:firstLine="567"/>
                        <w:jc w:val="both"/>
                        <w:rPr>
                          <w:color w:val="000000"/>
                        </w:rPr>
                      </w:pPr>
                      <w:sdt>
                        <w:sdtPr>
                          <w:alias w:val="Numeris"/>
                          <w:tag w:val="nr_7c95d697370f49bab730aa4da28c56e7"/>
                          <w:lock w:val="sdtLocked"/>
                          <w:richText/>
                        </w:sdtPr>
                        <w:sdtContent>
                          <w:r>
                            <w:rPr>
                              <w:color w:val="000000"/>
                            </w:rPr>
                            <w:t>72.5</w:t>
                          </w:r>
                        </w:sdtContent>
                      </w:sdt>
                      <w:r>
                        <w:rPr>
                          <w:color w:val="000000"/>
                        </w:rPr>
                        <w:t>. techniniai dokumentai nepateikti arba nepateikta visa informacija.</w:t>
                      </w:r>
                    </w:p>
                  </w:sdtContent>
                </w:sdt>
              </w:sdtContent>
            </w:sdt>
            <w:sdt>
              <w:sdtPr>
                <w:alias w:val="73 p."/>
                <w:tag w:val="part_5e2933e922d54c06b7e1ae101abe2dd4"/>
                <w:lock w:val="sdtLocked"/>
                <w:richText/>
              </w:sdtPr>
              <w:sdtContent>
                <w:p>
                  <w:pPr>
                    <w:widowControl w:val="0"/>
                    <w:suppressAutoHyphens/>
                    <w:ind w:firstLine="567"/>
                    <w:jc w:val="both"/>
                    <w:rPr>
                      <w:color w:val="000000"/>
                    </w:rPr>
                  </w:pPr>
                  <w:sdt>
                    <w:sdtPr>
                      <w:alias w:val="Numeris"/>
                      <w:tag w:val="nr_5e2933e922d54c06b7e1ae101abe2dd4"/>
                      <w:lock w:val="sdtLocked"/>
                      <w:richText/>
                    </w:sdtPr>
                    <w:sdtContent>
                      <w:r>
                        <w:rPr>
                          <w:color w:val="000000"/>
                        </w:rPr>
                        <w:t>73</w:t>
                      </w:r>
                    </w:sdtContent>
                  </w:sdt>
                  <w:r>
                    <w:rPr>
                      <w:color w:val="000000"/>
                    </w:rPr>
                    <w:t>. Jeigu Reglamento 72 punkte nurodyta neatitiktis išlieka, Tarnyba imasi būtinų ir reikiamų priemonių, siekdama apriboti ar uždrausti tiekti rinkai gaminį arba siekdama užtikrinti, kad gaminys būtų susigrąžintas arba pašalintas iš rinkos.</w:t>
                  </w:r>
                </w:p>
              </w:sdtContent>
            </w:sdt>
          </w:sdtContent>
        </w:sdt>
        <w:sdt>
          <w:sdtPr>
            <w:alias w:val="skyrius"/>
            <w:tag w:val="part_ae1e73a8c7f84395b1a2a271289849e6"/>
            <w:lock w:val="sdtLocked"/>
            <w:richText/>
          </w:sdtPr>
          <w:sdtContent>
            <w:p>
              <w:pPr>
                <w:keepLines/>
                <w:widowControl w:val="0"/>
                <w:suppressAutoHyphens/>
                <w:jc w:val="center"/>
                <w:rPr>
                  <w:b/>
                  <w:bCs/>
                  <w:caps/>
                  <w:color w:val="000000"/>
                </w:rPr>
              </w:pPr>
              <w:sdt>
                <w:sdtPr>
                  <w:alias w:val="Numeris"/>
                  <w:tag w:val="nr_ae1e73a8c7f84395b1a2a271289849e6"/>
                  <w:lock w:val="sdtLocked"/>
                  <w:richText/>
                </w:sdtPr>
                <w:sdtContent>
                  <w:r>
                    <w:rPr>
                      <w:b/>
                      <w:bCs/>
                      <w:caps/>
                      <w:color w:val="000000"/>
                    </w:rPr>
                    <w:t>XI</w:t>
                  </w:r>
                </w:sdtContent>
              </w:sdt>
              <w:r>
                <w:rPr>
                  <w:b/>
                  <w:bCs/>
                  <w:caps/>
                  <w:color w:val="000000"/>
                </w:rPr>
                <w:t xml:space="preserve"> SKYRIUS</w:t>
              </w:r>
            </w:p>
            <w:p>
              <w:pPr>
                <w:keepLines/>
                <w:widowControl w:val="0"/>
                <w:suppressAutoHyphens/>
                <w:jc w:val="center"/>
                <w:rPr>
                  <w:b/>
                  <w:bCs/>
                  <w:caps/>
                  <w:color w:val="000000"/>
                </w:rPr>
              </w:pPr>
              <w:r>
                <w:rPr>
                  <w:b/>
                  <w:bCs/>
                  <w:caps/>
                  <w:color w:val="000000"/>
                </w:rPr>
                <w:t xml:space="preserve"> </w:t>
              </w:r>
              <w:sdt>
                <w:sdtPr>
                  <w:alias w:val="Pavadinimas"/>
                  <w:tag w:val="title_ae1e73a8c7f84395b1a2a271289849e6"/>
                  <w:lock w:val="sdtLocked"/>
                  <w:richText/>
                </w:sdtPr>
                <w:sdtContent>
                  <w:r>
                    <w:rPr>
                      <w:b/>
                      <w:bCs/>
                      <w:caps/>
                      <w:color w:val="000000"/>
                    </w:rPr>
                    <w:t xml:space="preserve">SPECIFINĖS ADMINISTRACINĖS NUOSTATOS </w:t>
                  </w:r>
                </w:sdtContent>
              </w:sdt>
            </w:p>
            <w:sdt>
              <w:sdtPr>
                <w:alias w:val="74 p."/>
                <w:tag w:val="part_702a460e88f9413d8cc88f8fd60a6ba9"/>
                <w:lock w:val="sdtLocked"/>
                <w:richText/>
              </w:sdtPr>
              <w:sdtContent>
                <w:p>
                  <w:pPr>
                    <w:widowControl w:val="0"/>
                    <w:suppressAutoHyphens/>
                    <w:ind w:firstLine="567"/>
                    <w:jc w:val="both"/>
                    <w:rPr>
                      <w:color w:val="000000"/>
                    </w:rPr>
                  </w:pPr>
                  <w:sdt>
                    <w:sdtPr>
                      <w:alias w:val="Numeris"/>
                      <w:tag w:val="nr_702a460e88f9413d8cc88f8fd60a6ba9"/>
                      <w:lock w:val="sdtLocked"/>
                      <w:richText/>
                    </w:sdtPr>
                    <w:sdtContent>
                      <w:r>
                        <w:rPr>
                          <w:color w:val="000000"/>
                          <w:szCs w:val="24"/>
                        </w:rPr>
                        <w:t>74</w:t>
                      </w:r>
                    </w:sdtContent>
                  </w:sdt>
                  <w:r>
                    <w:rPr>
                      <w:color w:val="000000"/>
                      <w:szCs w:val="24"/>
                    </w:rPr>
                    <w:t xml:space="preserve">. 2024 m. birželio 20 d., o vėliau kas 5 metus Tarnyba pateikia </w:t>
                  </w:r>
                  <w:r>
                    <w:rPr>
                      <w:szCs w:val="24"/>
                    </w:rPr>
                    <w:t>Ekonomikos ir inovacijų</w:t>
                  </w:r>
                  <w:r>
                    <w:rPr>
                      <w:color w:val="000000"/>
                      <w:szCs w:val="24"/>
                    </w:rPr>
                    <w:t xml:space="preserve"> ministerijai ataskaitą, kurioje pagal savo kompetenciją pateikia Reglamento taikymo ataskaitą, atsižvelgdama į žaislų saugą, Reglamento veiksmingumą ir Lietuvos Respublikoje atliktos rinkos priežiūros apžvalgą. </w:t>
                  </w:r>
                  <w:r>
                    <w:rPr>
                      <w:szCs w:val="24"/>
                    </w:rPr>
                    <w:t>Ekonomikos ir inovacijų</w:t>
                  </w:r>
                  <w:r>
                    <w:rPr>
                      <w:color w:val="000000"/>
                      <w:szCs w:val="24"/>
                    </w:rPr>
                    <w:t xml:space="preserve"> ministerija ataskaitą pateikia Europos Komisijai.</w:t>
                  </w:r>
                </w:p>
              </w:sdtContent>
            </w:sdt>
            <w:sdt>
              <w:sdtPr>
                <w:alias w:val="75 p."/>
                <w:tag w:val="part_dcfbe37ecc754e4ba2436c93fbc17ed7"/>
                <w:lock w:val="sdtLocked"/>
                <w:richText/>
              </w:sdtPr>
              <w:sdtContent>
                <w:p>
                  <w:pPr>
                    <w:widowControl w:val="0"/>
                    <w:suppressAutoHyphens/>
                    <w:ind w:firstLine="567"/>
                    <w:jc w:val="both"/>
                    <w:rPr>
                      <w:color w:val="000000"/>
                    </w:rPr>
                  </w:pPr>
                  <w:sdt>
                    <w:sdtPr>
                      <w:alias w:val="Numeris"/>
                      <w:tag w:val="nr_dcfbe37ecc754e4ba2436c93fbc17ed7"/>
                      <w:lock w:val="sdtLocked"/>
                      <w:richText/>
                    </w:sdtPr>
                    <w:sdtContent>
                      <w:r>
                        <w:rPr>
                          <w:color w:val="000000"/>
                          <w:szCs w:val="24"/>
                        </w:rPr>
                        <w:t>75</w:t>
                      </w:r>
                    </w:sdtContent>
                  </w:sdt>
                  <w:r>
                    <w:rPr>
                      <w:color w:val="000000"/>
                      <w:szCs w:val="24"/>
                    </w:rPr>
                    <w:t xml:space="preserve">. </w:t>
                  </w:r>
                  <w:r>
                    <w:rPr>
                      <w:szCs w:val="24"/>
                    </w:rPr>
                    <w:t>Ekonomikos ir inovacijų</w:t>
                  </w:r>
                  <w:r>
                    <w:rPr>
                      <w:color w:val="000000"/>
                      <w:szCs w:val="24"/>
                    </w:rPr>
                    <w:t xml:space="preserve"> ministerijai ir Europos Komisijai patvirtinus priemones pagal Reglamentą, taikomi Produktų saugos įstatymo 14 straipsnyje nustatyti reikalavimai.</w:t>
                  </w:r>
                </w:p>
              </w:sdtContent>
            </w:sdt>
            <w:sdt>
              <w:sdtPr>
                <w:alias w:val="76 p."/>
                <w:tag w:val="part_d500c20aa9c84230b5dc798ec9ab6dd2"/>
                <w:lock w:val="sdtLocked"/>
                <w:richText/>
              </w:sdtPr>
              <w:sdtContent>
                <w:p>
                  <w:pPr>
                    <w:widowControl w:val="0"/>
                    <w:suppressAutoHyphens/>
                    <w:ind w:firstLine="567"/>
                    <w:jc w:val="both"/>
                    <w:rPr>
                      <w:color w:val="000000"/>
                    </w:rPr>
                  </w:pPr>
                  <w:sdt>
                    <w:sdtPr>
                      <w:alias w:val="Numeris"/>
                      <w:tag w:val="nr_d500c20aa9c84230b5dc798ec9ab6dd2"/>
                      <w:lock w:val="sdtLocked"/>
                      <w:richText/>
                    </w:sdtPr>
                    <w:sdtContent>
                      <w:r>
                        <w:rPr>
                          <w:color w:val="000000"/>
                        </w:rPr>
                        <w:t>76</w:t>
                      </w:r>
                    </w:sdtContent>
                  </w:sdt>
                  <w:r>
                    <w:rPr>
                      <w:color w:val="000000"/>
                    </w:rPr>
                    <w:t>. Pagal Reglamentą Tarnybai taikant bet kokias priemones, kuriomis siekiama uždrausti arba apriboti žaislo pateikimą rinkai, pašalinti ar susigrąžinti žaislą iš rinkos, nurodomi tikslūs motyvai, kuriais grindžiamos šios priemonės. Apie šias priemones Tarnyba</w:t>
                  </w:r>
                  <w:r>
                    <w:rPr>
                      <w:b/>
                      <w:color w:val="000000"/>
                    </w:rPr>
                    <w:t xml:space="preserve"> </w:t>
                  </w:r>
                  <w:r>
                    <w:rPr>
                      <w:color w:val="000000"/>
                    </w:rPr>
                    <w:t>nedelsdama praneša atitinkamam ekonominės veiklos vykdytojui, kartu informuoja apie susidariusiai padėčiai ištaisyti būtinus veiksmus, kurių galima būtų imtis pagal atitinkamos valstybės narės galiojančius teisės aktus, taip pat apie nustatytą terminą, per kurį gali būti imtasi šių veiksmų.</w:t>
                  </w:r>
                </w:p>
              </w:sdtContent>
            </w:sdt>
          </w:sdtContent>
        </w:sdt>
        <w:sdt>
          <w:sdtPr>
            <w:alias w:val="pabaiga"/>
            <w:tag w:val="part_187c529311f148579d1f3de0ec832f19"/>
            <w:lock w:val="sdtLocked"/>
            <w:richText/>
          </w:sdtPr>
          <w:sdtContent>
            <w:p>
              <w:pPr>
                <w:widowControl w:val="0"/>
                <w:suppressAutoHyphens/>
                <w:jc w:val="center"/>
                <w:rPr>
                  <w:color w:val="000000"/>
                </w:rPr>
              </w:pPr>
              <w:r>
                <w:rPr>
                  <w:color w:val="00000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2e26a01ac611ec93af8a5fb475d9bd">
            <w:r w:rsidRPr="00532B9F">
              <w:rPr>
                <w:rFonts w:ascii="Times New Roman" w:eastAsia="MS Mincho" w:hAnsi="Times New Roman"/>
                <w:sz w:val="20"/>
                <w:i/>
                <w:iCs/>
                <w:color w:val="0000FF" w:themeColor="hyperlink"/>
                <w:u w:val="single"/>
              </w:rPr>
              <w:t>4-994</w:t>
            </w:r>
          </w:fldSimple>
          <w:r>
            <w:rPr>
              <w:rFonts w:ascii="Times New Roman" w:eastAsia="MS Mincho" w:hAnsi="Times New Roman"/>
              <w:sz w:val="20"/>
              <w:i/>
              <w:iCs/>
            </w:rPr>
            <w:t>,
2021-09-21,
paskelbta TAR 2021-09-21, i. k. 2021-19774            </w:t>
          </w:r>
        </w:p>
        <w:p/>
      </w:sdtContent>
    </w:sdt>
    <w:sdt>
      <w:sdtPr>
        <w:alias w:val="1 pr."/>
        <w:tag w:val="part_7ff9126342534f62ab8f130af0650f0c"/>
        <w:lock w:val="sdtLocked"/>
        <w:richText/>
      </w:sdtPr>
      <w:sdtContent>
        <w:p>
          <w:pPr>
            <w:widowControl w:val="0"/>
            <w:suppressAutoHyphens/>
            <w:ind w:left="5102"/>
            <w:sectPr>
              <w:headerReference w:type="first" r:id="rId15"/>
              <w:pgSz w:w="11907" w:h="16840" w:code="9"/>
              <w:pgMar w:top="1134" w:right="425" w:bottom="1134" w:left="1701" w:header="567" w:footer="284" w:gutter="0"/>
              <w:pgNumType w:start="1"/>
              <w:cols w:space="1296"/>
              <w:titlePg/>
              <w:docGrid w:linePitch="360"/>
            </w:sectPr>
          </w:pPr>
        </w:p>
        <w:p>
          <w:pPr>
            <w:widowControl w:val="0"/>
            <w:suppressAutoHyphens/>
            <w:ind w:left="5102"/>
            <w:rPr>
              <w:color w:val="000000"/>
            </w:rPr>
          </w:pPr>
          <w:r>
            <w:rPr>
              <w:color w:val="000000"/>
            </w:rPr>
            <w:t>Žaislų saugos techninio reglamento</w:t>
          </w:r>
        </w:p>
        <w:p>
          <w:pPr>
            <w:widowControl w:val="0"/>
            <w:suppressAutoHyphens/>
            <w:ind w:firstLine="5102"/>
            <w:rPr>
              <w:color w:val="000000"/>
            </w:rPr>
          </w:pPr>
          <w:sdt>
            <w:sdtPr>
              <w:alias w:val="Numeris"/>
              <w:tag w:val="nr_7ff9126342534f62ab8f130af0650f0c"/>
              <w:lock w:val="sdtLocked"/>
              <w:richText/>
            </w:sdtPr>
            <w:sdtContent>
              <w:r>
                <w:rPr>
                  <w:color w:val="000000"/>
                </w:rPr>
                <w:t>1</w:t>
              </w:r>
            </w:sdtContent>
          </w:sdt>
          <w:r>
            <w:rPr>
              <w:color w:val="000000"/>
            </w:rPr>
            <w:t xml:space="preserve"> priedas</w:t>
          </w:r>
        </w:p>
        <w:p>
          <w:pPr>
            <w:widowControl w:val="0"/>
            <w:suppressAutoHyphens/>
            <w:jc w:val="both"/>
            <w:rPr>
              <w:color w:val="000000"/>
            </w:rPr>
          </w:pPr>
        </w:p>
        <w:p>
          <w:pPr>
            <w:widowControl w:val="0"/>
            <w:suppressAutoHyphens/>
            <w:jc w:val="center"/>
            <w:rPr>
              <w:b/>
              <w:bCs/>
              <w:caps/>
              <w:color w:val="000000"/>
            </w:rPr>
          </w:pPr>
          <w:sdt>
            <w:sdtPr>
              <w:alias w:val="Pavadinimas"/>
              <w:tag w:val="title_7ff9126342534f62ab8f130af0650f0c"/>
              <w:lock w:val="sdtLocked"/>
              <w:richText/>
            </w:sdtPr>
            <w:sdtContent>
              <w:r>
                <w:rPr>
                  <w:b/>
                  <w:bCs/>
                  <w:caps/>
                  <w:color w:val="000000"/>
                </w:rPr>
                <w:t>GAMINIŲ, KURIE NĖRA LAIKOMI ŽAISLAIS PAGAL ŽAISLŲ SAUGOS TECHNINĮ REGLAMENTĄ, SĄRAŠAS</w:t>
              </w:r>
            </w:sdtContent>
          </w:sdt>
        </w:p>
        <w:p>
          <w:pPr>
            <w:widowControl w:val="0"/>
            <w:suppressAutoHyphens/>
            <w:jc w:val="both"/>
            <w:rPr>
              <w:bCs/>
              <w:color w:val="000000"/>
            </w:rPr>
          </w:pPr>
        </w:p>
        <w:sdt>
          <w:sdtPr>
            <w:alias w:val="1 pr. 1 p."/>
            <w:tag w:val="part_5bb88d2e8df846f68160b418aa867268"/>
            <w:lock w:val="sdtLocked"/>
            <w:richText/>
          </w:sdtPr>
          <w:sdtContent>
            <w:p>
              <w:pPr>
                <w:widowControl w:val="0"/>
                <w:suppressAutoHyphens/>
                <w:ind w:firstLine="567"/>
                <w:jc w:val="both"/>
                <w:rPr>
                  <w:color w:val="000000"/>
                </w:rPr>
              </w:pPr>
              <w:sdt>
                <w:sdtPr>
                  <w:alias w:val="Numeris"/>
                  <w:tag w:val="nr_5bb88d2e8df846f68160b418aa867268"/>
                  <w:lock w:val="sdtLocked"/>
                  <w:richText/>
                </w:sdtPr>
                <w:sdtContent>
                  <w:r>
                    <w:rPr>
                      <w:color w:val="000000"/>
                    </w:rPr>
                    <w:t>1</w:t>
                  </w:r>
                </w:sdtContent>
              </w:sdt>
              <w:r>
                <w:rPr>
                  <w:color w:val="000000"/>
                </w:rPr>
                <w:t>. Dekoratyviniai objektai, skirti šventėms ir šventiniams renginiams.</w:t>
              </w:r>
            </w:p>
          </w:sdtContent>
        </w:sdt>
        <w:sdt>
          <w:sdtPr>
            <w:alias w:val="1 pr. 2 p."/>
            <w:tag w:val="part_bde99cc165174cfe94cda098878ddd1e"/>
            <w:lock w:val="sdtLocked"/>
            <w:richText/>
          </w:sdtPr>
          <w:sdtContent>
            <w:p>
              <w:pPr>
                <w:widowControl w:val="0"/>
                <w:suppressAutoHyphens/>
                <w:ind w:firstLine="567"/>
                <w:jc w:val="both"/>
                <w:rPr>
                  <w:color w:val="000000"/>
                </w:rPr>
              </w:pPr>
              <w:sdt>
                <w:sdtPr>
                  <w:alias w:val="Numeris"/>
                  <w:tag w:val="nr_bde99cc165174cfe94cda098878ddd1e"/>
                  <w:lock w:val="sdtLocked"/>
                  <w:richText/>
                </w:sdtPr>
                <w:sdtContent>
                  <w:r>
                    <w:rPr>
                      <w:color w:val="000000"/>
                    </w:rPr>
                    <w:t>2</w:t>
                  </w:r>
                </w:sdtContent>
              </w:sdt>
              <w:r>
                <w:rPr>
                  <w:color w:val="000000"/>
                </w:rPr>
                <w:t>. Gaminiai kolekcionieriams su sąlyga, kad ant gaminio ar jo pakuotės aiškiai ir įskaitomai nurodyta, kad jis skirtas 14 metų ar vyresniems kolekcionieriams. Šios kategorijos pavyzdžiai:</w:t>
              </w:r>
            </w:p>
            <w:sdt>
              <w:sdtPr>
                <w:alias w:val="1 pr. 2.1 p."/>
                <w:tag w:val="part_5ff6b4c3456f425b96a4b7380d761fa2"/>
                <w:lock w:val="sdtLocked"/>
                <w:richText/>
              </w:sdtPr>
              <w:sdtContent>
                <w:p>
                  <w:pPr>
                    <w:widowControl w:val="0"/>
                    <w:suppressAutoHyphens/>
                    <w:ind w:firstLine="567"/>
                    <w:jc w:val="both"/>
                    <w:rPr>
                      <w:color w:val="000000"/>
                    </w:rPr>
                  </w:pPr>
                  <w:sdt>
                    <w:sdtPr>
                      <w:alias w:val="Numeris"/>
                      <w:tag w:val="nr_5ff6b4c3456f425b96a4b7380d761fa2"/>
                      <w:lock w:val="sdtLocked"/>
                      <w:richText/>
                    </w:sdtPr>
                    <w:sdtContent>
                      <w:r>
                        <w:rPr>
                          <w:color w:val="000000"/>
                        </w:rPr>
                        <w:t>2.1</w:t>
                      </w:r>
                    </w:sdtContent>
                  </w:sdt>
                  <w:r>
                    <w:rPr>
                      <w:color w:val="000000"/>
                    </w:rPr>
                    <w:t>. detalūs ir natūralaus dydžio modeliai;</w:t>
                  </w:r>
                </w:p>
              </w:sdtContent>
            </w:sdt>
            <w:sdt>
              <w:sdtPr>
                <w:alias w:val="1 pr. 2.2 p."/>
                <w:tag w:val="part_02cbc424d3dd4fc395d41237f4cc43e4"/>
                <w:lock w:val="sdtLocked"/>
                <w:richText/>
              </w:sdtPr>
              <w:sdtContent>
                <w:p>
                  <w:pPr>
                    <w:widowControl w:val="0"/>
                    <w:suppressAutoHyphens/>
                    <w:ind w:firstLine="567"/>
                    <w:jc w:val="both"/>
                    <w:rPr>
                      <w:color w:val="000000"/>
                    </w:rPr>
                  </w:pPr>
                  <w:sdt>
                    <w:sdtPr>
                      <w:alias w:val="Numeris"/>
                      <w:tag w:val="nr_02cbc424d3dd4fc395d41237f4cc43e4"/>
                      <w:lock w:val="sdtLocked"/>
                      <w:richText/>
                    </w:sdtPr>
                    <w:sdtContent>
                      <w:r>
                        <w:rPr>
                          <w:color w:val="000000"/>
                        </w:rPr>
                        <w:t>2.2</w:t>
                      </w:r>
                    </w:sdtContent>
                  </w:sdt>
                  <w:r>
                    <w:rPr>
                      <w:color w:val="000000"/>
                    </w:rPr>
                    <w:t>. rinkiniai, iš kurių galima surinkti detalius sumažintus modelius;</w:t>
                  </w:r>
                </w:p>
              </w:sdtContent>
            </w:sdt>
            <w:sdt>
              <w:sdtPr>
                <w:alias w:val="1 pr. 2.3 p."/>
                <w:tag w:val="part_57cc304dfecc46eeb4bc2dada7dea730"/>
                <w:lock w:val="sdtLocked"/>
                <w:richText/>
              </w:sdtPr>
              <w:sdtContent>
                <w:p>
                  <w:pPr>
                    <w:widowControl w:val="0"/>
                    <w:suppressAutoHyphens/>
                    <w:ind w:firstLine="567"/>
                    <w:jc w:val="both"/>
                    <w:rPr>
                      <w:color w:val="000000"/>
                    </w:rPr>
                  </w:pPr>
                  <w:sdt>
                    <w:sdtPr>
                      <w:alias w:val="Numeris"/>
                      <w:tag w:val="nr_57cc304dfecc46eeb4bc2dada7dea730"/>
                      <w:lock w:val="sdtLocked"/>
                      <w:richText/>
                    </w:sdtPr>
                    <w:sdtContent>
                      <w:r>
                        <w:rPr>
                          <w:color w:val="000000"/>
                        </w:rPr>
                        <w:t>2.3</w:t>
                      </w:r>
                    </w:sdtContent>
                  </w:sdt>
                  <w:r>
                    <w:rPr>
                      <w:color w:val="000000"/>
                    </w:rPr>
                    <w:t>. tautinės bei dekoratyvinės lėlės ir panašūs dirbiniai;</w:t>
                  </w:r>
                </w:p>
              </w:sdtContent>
            </w:sdt>
            <w:sdt>
              <w:sdtPr>
                <w:alias w:val="1 pr. 2.4 p."/>
                <w:tag w:val="part_c13b0652aa0e4f159af6a7d365644c1a"/>
                <w:lock w:val="sdtLocked"/>
                <w:richText/>
              </w:sdtPr>
              <w:sdtContent>
                <w:p>
                  <w:pPr>
                    <w:widowControl w:val="0"/>
                    <w:suppressAutoHyphens/>
                    <w:ind w:firstLine="567"/>
                    <w:jc w:val="both"/>
                    <w:rPr>
                      <w:color w:val="000000"/>
                    </w:rPr>
                  </w:pPr>
                  <w:sdt>
                    <w:sdtPr>
                      <w:alias w:val="Numeris"/>
                      <w:tag w:val="nr_c13b0652aa0e4f159af6a7d365644c1a"/>
                      <w:lock w:val="sdtLocked"/>
                      <w:richText/>
                    </w:sdtPr>
                    <w:sdtContent>
                      <w:r>
                        <w:rPr>
                          <w:color w:val="000000"/>
                        </w:rPr>
                        <w:t>2.4</w:t>
                      </w:r>
                    </w:sdtContent>
                  </w:sdt>
                  <w:r>
                    <w:rPr>
                      <w:color w:val="000000"/>
                    </w:rPr>
                    <w:t>. istorinės žaislų kopijos;</w:t>
                  </w:r>
                </w:p>
              </w:sdtContent>
            </w:sdt>
            <w:sdt>
              <w:sdtPr>
                <w:alias w:val="1 pr. 2.5 p."/>
                <w:tag w:val="part_1578048d7a234da49034aa57432f653f"/>
                <w:lock w:val="sdtLocked"/>
                <w:richText/>
              </w:sdtPr>
              <w:sdtContent>
                <w:p>
                  <w:pPr>
                    <w:widowControl w:val="0"/>
                    <w:suppressAutoHyphens/>
                    <w:ind w:firstLine="567"/>
                    <w:jc w:val="both"/>
                    <w:rPr>
                      <w:color w:val="000000"/>
                    </w:rPr>
                  </w:pPr>
                  <w:sdt>
                    <w:sdtPr>
                      <w:alias w:val="Numeris"/>
                      <w:tag w:val="nr_1578048d7a234da49034aa57432f653f"/>
                      <w:lock w:val="sdtLocked"/>
                      <w:richText/>
                    </w:sdtPr>
                    <w:sdtContent>
                      <w:r>
                        <w:rPr>
                          <w:color w:val="000000"/>
                        </w:rPr>
                        <w:t>2.5</w:t>
                      </w:r>
                    </w:sdtContent>
                  </w:sdt>
                  <w:r>
                    <w:rPr>
                      <w:color w:val="000000"/>
                    </w:rPr>
                    <w:t>. tikrų šaunamųjų ginklų kopijos.</w:t>
                  </w:r>
                </w:p>
              </w:sdtContent>
            </w:sdt>
          </w:sdtContent>
        </w:sdt>
        <w:sdt>
          <w:sdtPr>
            <w:alias w:val="1 pr. 3 p."/>
            <w:tag w:val="part_de65fed1545142fea1ab2c3785ae6e3b"/>
            <w:lock w:val="sdtLocked"/>
            <w:richText/>
          </w:sdtPr>
          <w:sdtContent>
            <w:p>
              <w:pPr>
                <w:widowControl w:val="0"/>
                <w:suppressAutoHyphens/>
                <w:ind w:firstLine="567"/>
                <w:jc w:val="both"/>
                <w:rPr>
                  <w:color w:val="000000"/>
                </w:rPr>
              </w:pPr>
              <w:sdt>
                <w:sdtPr>
                  <w:alias w:val="Numeris"/>
                  <w:tag w:val="nr_de65fed1545142fea1ab2c3785ae6e3b"/>
                  <w:lock w:val="sdtLocked"/>
                  <w:richText/>
                </w:sdtPr>
                <w:sdtContent>
                  <w:r>
                    <w:rPr>
                      <w:color w:val="000000"/>
                    </w:rPr>
                    <w:t>3</w:t>
                  </w:r>
                </w:sdtContent>
              </w:sdt>
              <w:r>
                <w:rPr>
                  <w:color w:val="000000"/>
                </w:rPr>
                <w:t>. Sporto įranga, įskaitant riedučius, vienaeilius riedučius ir riedlentes, skirtas vaikams, kurių kūno masė ne mažesnė kaip 20 kg.</w:t>
              </w:r>
            </w:p>
          </w:sdtContent>
        </w:sdt>
        <w:sdt>
          <w:sdtPr>
            <w:alias w:val="1 pr. 4 p."/>
            <w:tag w:val="part_a8e5b1b9d763411eb5f45ff88283bc5f"/>
            <w:lock w:val="sdtLocked"/>
            <w:richText/>
          </w:sdtPr>
          <w:sdtContent>
            <w:p>
              <w:pPr>
                <w:tabs>
                  <w:tab w:val="left" w:pos="1276"/>
                </w:tabs>
                <w:ind w:firstLine="567"/>
                <w:jc w:val="both"/>
                <w:rPr>
                  <w:color w:val="000000"/>
                </w:rPr>
              </w:pPr>
              <w:sdt>
                <w:sdtPr>
                  <w:alias w:val="Numeris"/>
                  <w:tag w:val="nr_a8e5b1b9d763411eb5f45ff88283bc5f"/>
                  <w:lock w:val="sdtLocked"/>
                  <w:richText/>
                </w:sdtPr>
                <w:sdtContent>
                  <w:r>
                    <w:rPr>
                      <w:szCs w:val="24"/>
                    </w:rPr>
                    <w:t>4</w:t>
                  </w:r>
                </w:sdtContent>
              </w:sdt>
              <w:r>
                <w:rPr>
                  <w:szCs w:val="24"/>
                </w:rPr>
                <w:t xml:space="preserve">. Dviračiai, kurių maksimalus sėdynės aukštis yra daugiau kaip 435 mm, kai matuojamas vertikalus atstumas nuo žemės iki sėdynės paviršiaus, sėdynei esant horizontalioje padėtyje ir pakeltai iki aukščiausio galimo lygio.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54d0dc1b11e39a43a3f57c05722e">
                <w:r w:rsidRPr="00532B9F">
                  <w:rPr>
                    <w:rFonts w:ascii="Times New Roman" w:eastAsia="MS Mincho" w:hAnsi="Times New Roman"/>
                    <w:sz w:val="20"/>
                    <w:i/>
                    <w:iCs/>
                    <w:color w:val="0000FF" w:themeColor="hyperlink"/>
                    <w:u w:val="single"/>
                  </w:rPr>
                  <w:t>4-274</w:t>
                </w:r>
              </w:fldSimple>
              <w:r>
                <w:rPr>
                  <w:rFonts w:ascii="Times New Roman" w:eastAsia="MS Mincho" w:hAnsi="Times New Roman"/>
                  <w:sz w:val="20"/>
                  <w:i/>
                  <w:iCs/>
                </w:rPr>
                <w:t>,
2014-05-14,
paskelbta TAR 2014-05-15, i. k. 2014-05439            </w:t>
              </w:r>
            </w:p>
            <w:p/>
          </w:sdtContent>
        </w:sdt>
        <w:sdt>
          <w:sdtPr>
            <w:alias w:val="1 pr. 5 p."/>
            <w:tag w:val="part_59397dc7f426452786f0477859bd833b"/>
            <w:lock w:val="sdtLocked"/>
            <w:richText/>
          </w:sdtPr>
          <w:sdtContent>
            <w:p>
              <w:pPr>
                <w:widowControl w:val="0"/>
                <w:suppressAutoHyphens/>
                <w:ind w:firstLine="567"/>
                <w:jc w:val="both"/>
                <w:rPr>
                  <w:color w:val="000000"/>
                </w:rPr>
              </w:pPr>
              <w:sdt>
                <w:sdtPr>
                  <w:alias w:val="Numeris"/>
                  <w:tag w:val="nr_59397dc7f426452786f0477859bd833b"/>
                  <w:lock w:val="sdtLocked"/>
                  <w:richText/>
                </w:sdtPr>
                <w:sdtContent>
                  <w:r>
                    <w:rPr>
                      <w:color w:val="000000"/>
                    </w:rPr>
                    <w:t>5</w:t>
                  </w:r>
                </w:sdtContent>
              </w:sdt>
              <w:r>
                <w:rPr>
                  <w:color w:val="000000"/>
                </w:rPr>
                <w:t>. Motoroleriai ir kitos transporto priemonės, skirtos keliauti viešaisiais keliais ar viešaisiais takais.</w:t>
              </w:r>
            </w:p>
          </w:sdtContent>
        </w:sdt>
        <w:sdt>
          <w:sdtPr>
            <w:alias w:val="1 pr. 6 p."/>
            <w:tag w:val="part_1a72cf4f13ef4734bdf8da4bed9db4f7"/>
            <w:lock w:val="sdtLocked"/>
            <w:richText/>
          </w:sdtPr>
          <w:sdtContent>
            <w:p>
              <w:pPr>
                <w:widowControl w:val="0"/>
                <w:suppressAutoHyphens/>
                <w:ind w:firstLine="567"/>
                <w:jc w:val="both"/>
                <w:rPr>
                  <w:color w:val="000000"/>
                </w:rPr>
              </w:pPr>
              <w:sdt>
                <w:sdtPr>
                  <w:alias w:val="Numeris"/>
                  <w:tag w:val="nr_1a72cf4f13ef4734bdf8da4bed9db4f7"/>
                  <w:lock w:val="sdtLocked"/>
                  <w:richText/>
                </w:sdtPr>
                <w:sdtContent>
                  <w:r>
                    <w:rPr>
                      <w:color w:val="000000"/>
                    </w:rPr>
                    <w:t>6</w:t>
                  </w:r>
                </w:sdtContent>
              </w:sdt>
              <w:r>
                <w:rPr>
                  <w:color w:val="000000"/>
                </w:rPr>
                <w:t>. Elektra varomos transporto priemonės, skirtos keliauti viešaisiais keliais, viešaisiais takais ar jų šaligatviais.</w:t>
              </w:r>
            </w:p>
          </w:sdtContent>
        </w:sdt>
        <w:sdt>
          <w:sdtPr>
            <w:alias w:val="1 pr. 7 p."/>
            <w:tag w:val="part_fa7e26cdec6c462cb2a250c8bffbdfa9"/>
            <w:lock w:val="sdtLocked"/>
            <w:richText/>
          </w:sdtPr>
          <w:sdtContent>
            <w:p>
              <w:pPr>
                <w:widowControl w:val="0"/>
                <w:suppressAutoHyphens/>
                <w:ind w:firstLine="567"/>
                <w:jc w:val="both"/>
                <w:rPr>
                  <w:color w:val="000000"/>
                </w:rPr>
              </w:pPr>
              <w:sdt>
                <w:sdtPr>
                  <w:alias w:val="Numeris"/>
                  <w:tag w:val="nr_fa7e26cdec6c462cb2a250c8bffbdfa9"/>
                  <w:lock w:val="sdtLocked"/>
                  <w:richText/>
                </w:sdtPr>
                <w:sdtContent>
                  <w:r>
                    <w:rPr>
                      <w:color w:val="000000"/>
                    </w:rPr>
                    <w:t>7</w:t>
                  </w:r>
                </w:sdtContent>
              </w:sdt>
              <w:r>
                <w:rPr>
                  <w:color w:val="000000"/>
                </w:rPr>
                <w:t>. Vandens sporto įranga, skirta naudoti vandens gelmėje, ir vaikams mokytis plaukti skirti įtaisai, pvz., plaukiojamosios kėdutės ir plaukiojimo reikmenys.</w:t>
              </w:r>
            </w:p>
          </w:sdtContent>
        </w:sdt>
        <w:sdt>
          <w:sdtPr>
            <w:alias w:val="1 pr. 8 p."/>
            <w:tag w:val="part_59e36c2315b94401a9e599fdd6c2ba24"/>
            <w:lock w:val="sdtLocked"/>
            <w:richText/>
          </w:sdtPr>
          <w:sdtContent>
            <w:p>
              <w:pPr>
                <w:widowControl w:val="0"/>
                <w:suppressAutoHyphens/>
                <w:ind w:firstLine="567"/>
                <w:jc w:val="both"/>
                <w:rPr>
                  <w:color w:val="000000"/>
                </w:rPr>
              </w:pPr>
              <w:sdt>
                <w:sdtPr>
                  <w:alias w:val="Numeris"/>
                  <w:tag w:val="nr_59e36c2315b94401a9e599fdd6c2ba24"/>
                  <w:lock w:val="sdtLocked"/>
                  <w:richText/>
                </w:sdtPr>
                <w:sdtContent>
                  <w:r>
                    <w:rPr>
                      <w:color w:val="000000"/>
                    </w:rPr>
                    <w:t>8</w:t>
                  </w:r>
                </w:sdtContent>
              </w:sdt>
              <w:r>
                <w:rPr>
                  <w:color w:val="000000"/>
                </w:rPr>
                <w:t>. Dėlionės iš daugiau kaip 500 dalių.</w:t>
              </w:r>
            </w:p>
          </w:sdtContent>
        </w:sdt>
        <w:sdt>
          <w:sdtPr>
            <w:alias w:val="1 pr. 9 p."/>
            <w:tag w:val="part_1f3a694200144385aed123045b8282df"/>
            <w:lock w:val="sdtLocked"/>
            <w:richText/>
          </w:sdtPr>
          <w:sdtContent>
            <w:p>
              <w:pPr>
                <w:widowControl w:val="0"/>
                <w:suppressAutoHyphens/>
                <w:ind w:firstLine="567"/>
                <w:jc w:val="both"/>
                <w:rPr>
                  <w:color w:val="000000"/>
                </w:rPr>
              </w:pPr>
              <w:sdt>
                <w:sdtPr>
                  <w:alias w:val="Numeris"/>
                  <w:tag w:val="nr_1f3a694200144385aed123045b8282df"/>
                  <w:lock w:val="sdtLocked"/>
                  <w:richText/>
                </w:sdtPr>
                <w:sdtContent>
                  <w:r>
                    <w:rPr>
                      <w:color w:val="000000"/>
                    </w:rPr>
                    <w:t>9</w:t>
                  </w:r>
                </w:sdtContent>
              </w:sdt>
              <w:r>
                <w:rPr>
                  <w:color w:val="000000"/>
                </w:rPr>
                <w:t>. Šautuvai ir pistoletai, naudojantys suslėgtąsias dujas, išskyrus vandens šautuvus ir vandens pistoletus ir ilgesnius nei 120 cm lankus šaudymui.</w:t>
              </w:r>
            </w:p>
          </w:sdtContent>
        </w:sdt>
        <w:sdt>
          <w:sdtPr>
            <w:alias w:val="1 pr. 10 p."/>
            <w:tag w:val="part_47b8fff7cc3f492a86d1e8eceedb9962"/>
            <w:lock w:val="sdtLocked"/>
            <w:richText/>
          </w:sdtPr>
          <w:sdtContent>
            <w:p>
              <w:pPr>
                <w:widowControl w:val="0"/>
                <w:suppressAutoHyphens/>
                <w:ind w:firstLine="567"/>
                <w:jc w:val="both"/>
                <w:rPr>
                  <w:color w:val="000000"/>
                </w:rPr>
              </w:pPr>
              <w:sdt>
                <w:sdtPr>
                  <w:alias w:val="Numeris"/>
                  <w:tag w:val="nr_47b8fff7cc3f492a86d1e8eceedb9962"/>
                  <w:lock w:val="sdtLocked"/>
                  <w:richText/>
                </w:sdtPr>
                <w:sdtContent>
                  <w:r>
                    <w:rPr>
                      <w:color w:val="000000"/>
                    </w:rPr>
                    <w:t>10</w:t>
                  </w:r>
                </w:sdtContent>
              </w:sdt>
              <w:r>
                <w:rPr>
                  <w:color w:val="000000"/>
                </w:rPr>
                <w:t>. Fejerverkai, įskaitant sprogdinimo kapsules, kurios nėra specialiai pritaikytos žaislams.</w:t>
              </w:r>
            </w:p>
          </w:sdtContent>
        </w:sdt>
        <w:sdt>
          <w:sdtPr>
            <w:alias w:val="1 pr. 11 p."/>
            <w:tag w:val="part_1473c2ec4a3442bb90c53ed628a79599"/>
            <w:lock w:val="sdtLocked"/>
            <w:richText/>
          </w:sdtPr>
          <w:sdtContent>
            <w:p>
              <w:pPr>
                <w:widowControl w:val="0"/>
                <w:suppressAutoHyphens/>
                <w:ind w:firstLine="567"/>
                <w:jc w:val="both"/>
                <w:rPr>
                  <w:color w:val="000000"/>
                </w:rPr>
              </w:pPr>
              <w:sdt>
                <w:sdtPr>
                  <w:alias w:val="Numeris"/>
                  <w:tag w:val="nr_1473c2ec4a3442bb90c53ed628a79599"/>
                  <w:lock w:val="sdtLocked"/>
                  <w:richText/>
                </w:sdtPr>
                <w:sdtContent>
                  <w:r>
                    <w:rPr>
                      <w:color w:val="000000"/>
                    </w:rPr>
                    <w:t>11</w:t>
                  </w:r>
                </w:sdtContent>
              </w:sdt>
              <w:r>
                <w:rPr>
                  <w:color w:val="000000"/>
                </w:rPr>
                <w:t>. Gaminiai ir žaidimai su smailiais svaidomaisiais daiktais, pvz., strėlyčių su metaliniais antgaliais rinkiniai.</w:t>
              </w:r>
            </w:p>
          </w:sdtContent>
        </w:sdt>
        <w:sdt>
          <w:sdtPr>
            <w:alias w:val="1 pr. 12 p."/>
            <w:tag w:val="part_7446f133579f49109f6598e327b70360"/>
            <w:lock w:val="sdtLocked"/>
            <w:richText/>
          </w:sdtPr>
          <w:sdtContent>
            <w:p>
              <w:pPr>
                <w:widowControl w:val="0"/>
                <w:suppressAutoHyphens/>
                <w:ind w:firstLine="567"/>
                <w:jc w:val="both"/>
                <w:rPr>
                  <w:color w:val="000000"/>
                </w:rPr>
              </w:pPr>
              <w:sdt>
                <w:sdtPr>
                  <w:alias w:val="Numeris"/>
                  <w:tag w:val="nr_7446f133579f49109f6598e327b70360"/>
                  <w:lock w:val="sdtLocked"/>
                  <w:richText/>
                </w:sdtPr>
                <w:sdtContent>
                  <w:r>
                    <w:rPr>
                      <w:color w:val="000000"/>
                    </w:rPr>
                    <w:t>12</w:t>
                  </w:r>
                </w:sdtContent>
              </w:sdt>
              <w:r>
                <w:rPr>
                  <w:color w:val="000000"/>
                </w:rPr>
                <w:t>. Funkciniai mokomieji gaminiai, pvz., elektrinės viryklės, laidynės ir kiti funkciniai gaminiai, veikiantys esant vardinei įtampai, neviršijančiai 24 voltų, parduodami vien tik mokymo prižiūrint suaugusiesiems tikslais.</w:t>
              </w:r>
            </w:p>
          </w:sdtContent>
        </w:sdt>
        <w:sdt>
          <w:sdtPr>
            <w:alias w:val="1 pr. 13 p."/>
            <w:tag w:val="part_3cca7d11635b48e29276417a33cd29b5"/>
            <w:lock w:val="sdtLocked"/>
            <w:richText/>
          </w:sdtPr>
          <w:sdtContent>
            <w:p>
              <w:pPr>
                <w:widowControl w:val="0"/>
                <w:suppressAutoHyphens/>
                <w:ind w:firstLine="567"/>
                <w:jc w:val="both"/>
                <w:rPr>
                  <w:color w:val="000000"/>
                </w:rPr>
              </w:pPr>
              <w:sdt>
                <w:sdtPr>
                  <w:alias w:val="Numeris"/>
                  <w:tag w:val="nr_3cca7d11635b48e29276417a33cd29b5"/>
                  <w:lock w:val="sdtLocked"/>
                  <w:richText/>
                </w:sdtPr>
                <w:sdtContent>
                  <w:r>
                    <w:rPr>
                      <w:color w:val="000000"/>
                    </w:rPr>
                    <w:t>13</w:t>
                  </w:r>
                </w:sdtContent>
              </w:sdt>
              <w:r>
                <w:rPr>
                  <w:color w:val="000000"/>
                </w:rPr>
                <w:t>. Gaminiai, skirti naudoti mokomaisiais ir kitais pedagoginiais tikslais prižiūrint mokytojui, pvz., mokslinė įranga.</w:t>
              </w:r>
            </w:p>
          </w:sdtContent>
        </w:sdt>
        <w:sdt>
          <w:sdtPr>
            <w:alias w:val="1 pr. 14 p."/>
            <w:tag w:val="part_010dd6b4b6a34cccbe4789abcf288a34"/>
            <w:lock w:val="sdtLocked"/>
            <w:richText/>
          </w:sdtPr>
          <w:sdtContent>
            <w:p>
              <w:pPr>
                <w:widowControl w:val="0"/>
                <w:suppressAutoHyphens/>
                <w:ind w:firstLine="567"/>
                <w:jc w:val="both"/>
                <w:rPr>
                  <w:color w:val="000000"/>
                </w:rPr>
              </w:pPr>
              <w:sdt>
                <w:sdtPr>
                  <w:alias w:val="Numeris"/>
                  <w:tag w:val="nr_010dd6b4b6a34cccbe4789abcf288a34"/>
                  <w:lock w:val="sdtLocked"/>
                  <w:richText/>
                </w:sdtPr>
                <w:sdtContent>
                  <w:r>
                    <w:rPr>
                      <w:color w:val="000000"/>
                    </w:rPr>
                    <w:t>14</w:t>
                  </w:r>
                </w:sdtContent>
              </w:sdt>
              <w:r>
                <w:rPr>
                  <w:color w:val="000000"/>
                </w:rPr>
                <w:t>. Elektroninė įranga, pvz., asmeniniai kompiuteriai ir žaidimų pultai, reikalingi pasinaudoti interaktyvia programine įranga ir susijusiais išoriniais įrenginiais, jeigu elektroninė įranga ar susiję išoriniai įrenginiai nėra specialiai suprojektuoti arba skirti vaikams ir patys savaime nėra žaislai, pvz., specialiai suprojektuoti asmeniniai kompiuteriai, klaviatūros, vairalazdės ar vairaračiai.</w:t>
              </w:r>
            </w:p>
          </w:sdtContent>
        </w:sdt>
        <w:sdt>
          <w:sdtPr>
            <w:alias w:val="1 pr. 15 p."/>
            <w:tag w:val="part_89eeec28e01a4073b02af0a7af27c0d3"/>
            <w:lock w:val="sdtLocked"/>
            <w:richText/>
          </w:sdtPr>
          <w:sdtContent>
            <w:p>
              <w:pPr>
                <w:widowControl w:val="0"/>
                <w:suppressAutoHyphens/>
                <w:ind w:firstLine="567"/>
                <w:jc w:val="both"/>
                <w:rPr>
                  <w:color w:val="000000"/>
                </w:rPr>
              </w:pPr>
              <w:sdt>
                <w:sdtPr>
                  <w:alias w:val="Numeris"/>
                  <w:tag w:val="nr_89eeec28e01a4073b02af0a7af27c0d3"/>
                  <w:lock w:val="sdtLocked"/>
                  <w:richText/>
                </w:sdtPr>
                <w:sdtContent>
                  <w:r>
                    <w:rPr>
                      <w:color w:val="000000"/>
                    </w:rPr>
                    <w:t>15</w:t>
                  </w:r>
                </w:sdtContent>
              </w:sdt>
              <w:r>
                <w:rPr>
                  <w:color w:val="000000"/>
                </w:rPr>
                <w:t>. Interaktyvi programinė įranga, skirta laisvalaikiui ir pramogoms, pvz., kompiuteriniai žaidimai ir jų laikmenos, kompaktiniai diskai.</w:t>
              </w:r>
            </w:p>
          </w:sdtContent>
        </w:sdt>
        <w:sdt>
          <w:sdtPr>
            <w:alias w:val="1 pr. 16 p."/>
            <w:tag w:val="part_57121d49681d482ca871995a8bb50632"/>
            <w:lock w:val="sdtLocked"/>
            <w:richText/>
          </w:sdtPr>
          <w:sdtContent>
            <w:p>
              <w:pPr>
                <w:widowControl w:val="0"/>
                <w:suppressAutoHyphens/>
                <w:ind w:firstLine="567"/>
                <w:jc w:val="both"/>
                <w:rPr>
                  <w:color w:val="000000"/>
                </w:rPr>
              </w:pPr>
              <w:sdt>
                <w:sdtPr>
                  <w:alias w:val="Numeris"/>
                  <w:tag w:val="nr_57121d49681d482ca871995a8bb50632"/>
                  <w:lock w:val="sdtLocked"/>
                  <w:richText/>
                </w:sdtPr>
                <w:sdtContent>
                  <w:r>
                    <w:rPr>
                      <w:color w:val="000000"/>
                    </w:rPr>
                    <w:t>16</w:t>
                  </w:r>
                </w:sdtContent>
              </w:sdt>
              <w:r>
                <w:rPr>
                  <w:color w:val="000000"/>
                </w:rPr>
                <w:t>. Čiulptukai kūdikiams.</w:t>
              </w:r>
            </w:p>
          </w:sdtContent>
        </w:sdt>
        <w:sdt>
          <w:sdtPr>
            <w:alias w:val="1 pr. 17 p."/>
            <w:tag w:val="part_29a21521bceb440e9d8dccfec9f7aae7"/>
            <w:lock w:val="sdtLocked"/>
            <w:richText/>
          </w:sdtPr>
          <w:sdtContent>
            <w:p>
              <w:pPr>
                <w:widowControl w:val="0"/>
                <w:suppressAutoHyphens/>
                <w:ind w:firstLine="567"/>
                <w:jc w:val="both"/>
                <w:rPr>
                  <w:color w:val="000000"/>
                </w:rPr>
              </w:pPr>
              <w:sdt>
                <w:sdtPr>
                  <w:alias w:val="Numeris"/>
                  <w:tag w:val="nr_29a21521bceb440e9d8dccfec9f7aae7"/>
                  <w:lock w:val="sdtLocked"/>
                  <w:richText/>
                </w:sdtPr>
                <w:sdtContent>
                  <w:r>
                    <w:rPr>
                      <w:color w:val="000000"/>
                    </w:rPr>
                    <w:t>17</w:t>
                  </w:r>
                </w:sdtContent>
              </w:sdt>
              <w:r>
                <w:rPr>
                  <w:color w:val="000000"/>
                </w:rPr>
                <w:t>. Vaikiški kilnojamieji šviestuvai.</w:t>
              </w:r>
            </w:p>
          </w:sdtContent>
        </w:sdt>
        <w:sdt>
          <w:sdtPr>
            <w:alias w:val="1 pr. 18 p."/>
            <w:tag w:val="part_8c770d7b7ca54faba166bcbe70d3ca77"/>
            <w:lock w:val="sdtLocked"/>
            <w:richText/>
          </w:sdtPr>
          <w:sdtContent>
            <w:p>
              <w:pPr>
                <w:widowControl w:val="0"/>
                <w:suppressAutoHyphens/>
                <w:ind w:firstLine="567"/>
                <w:jc w:val="both"/>
                <w:rPr>
                  <w:color w:val="000000"/>
                </w:rPr>
              </w:pPr>
              <w:sdt>
                <w:sdtPr>
                  <w:alias w:val="Numeris"/>
                  <w:tag w:val="nr_8c770d7b7ca54faba166bcbe70d3ca77"/>
                  <w:lock w:val="sdtLocked"/>
                  <w:richText/>
                </w:sdtPr>
                <w:sdtContent>
                  <w:r>
                    <w:rPr>
                      <w:color w:val="000000"/>
                    </w:rPr>
                    <w:t>18</w:t>
                  </w:r>
                </w:sdtContent>
              </w:sdt>
              <w:r>
                <w:rPr>
                  <w:color w:val="000000"/>
                </w:rPr>
                <w:t>. Žaislams skirti elektros transformatoriai.</w:t>
              </w:r>
            </w:p>
          </w:sdtContent>
        </w:sdt>
        <w:sdt>
          <w:sdtPr>
            <w:alias w:val="1 pr. 19 p."/>
            <w:tag w:val="part_36b104197b3d4bda8501df2f7f332fb8"/>
            <w:lock w:val="sdtLocked"/>
            <w:richText/>
          </w:sdtPr>
          <w:sdtContent>
            <w:p>
              <w:pPr>
                <w:widowControl w:val="0"/>
                <w:suppressAutoHyphens/>
                <w:ind w:firstLine="567"/>
                <w:jc w:val="both"/>
                <w:rPr>
                  <w:color w:val="000000"/>
                </w:rPr>
              </w:pPr>
              <w:sdt>
                <w:sdtPr>
                  <w:alias w:val="Numeris"/>
                  <w:tag w:val="nr_36b104197b3d4bda8501df2f7f332fb8"/>
                  <w:lock w:val="sdtLocked"/>
                  <w:richText/>
                </w:sdtPr>
                <w:sdtContent>
                  <w:r>
                    <w:rPr>
                      <w:color w:val="000000"/>
                    </w:rPr>
                    <w:t>19</w:t>
                  </w:r>
                </w:sdtContent>
              </w:sdt>
              <w:r>
                <w:rPr>
                  <w:color w:val="000000"/>
                </w:rPr>
                <w:t>. Vaikiški mados aksesuarai, kurie nėra skirti žaisti.</w:t>
              </w:r>
            </w:p>
            <w:p>
              <w:pPr>
                <w:widowControl w:val="0"/>
                <w:suppressAutoHyphens/>
                <w:rPr>
                  <w:color w:val="000000"/>
                </w:rPr>
              </w:pPr>
            </w:p>
          </w:sdtContent>
        </w:sdt>
        <w:sdt>
          <w:sdtPr>
            <w:alias w:val="pabaiga"/>
            <w:tag w:val="part_160b4600f16d4eb49dbafbb91d24faad"/>
            <w:lock w:val="sdtLocked"/>
            <w:richText/>
          </w:sdtPr>
          <w:sdtContent>
            <w:p>
              <w:pPr>
                <w:widowControl w:val="0"/>
                <w:suppressAutoHyphens/>
                <w:jc w:val="center"/>
                <w:rPr>
                  <w:color w:val="000000"/>
                </w:rPr>
              </w:pPr>
              <w:r>
                <w:rPr>
                  <w:color w:val="000000"/>
                </w:rPr>
                <w:t>_________________</w:t>
              </w:r>
            </w:p>
          </w:sdtContent>
        </w:sdt>
      </w:sdtContent>
    </w:sdt>
    <w:sdt>
      <w:sdtPr>
        <w:alias w:val="2 pr."/>
        <w:tag w:val="part_e6d7c2b16ba64e23ae7f22aa71d681e9"/>
        <w:lock w:val="sdtLocked"/>
        <w:richText/>
      </w:sdtPr>
      <w:sdtContent>
        <w:p>
          <w:pPr>
            <w:widowControl w:val="0"/>
            <w:suppressAutoHyphens/>
            <w:ind w:left="5102"/>
            <w:sectPr>
              <w:pgSz w:w="11907" w:h="16840" w:code="9"/>
              <w:pgMar w:top="1134" w:right="425" w:bottom="1134" w:left="1701" w:header="567" w:footer="284" w:gutter="0"/>
              <w:pgNumType w:start="1"/>
              <w:cols w:space="1296"/>
              <w:titlePg/>
              <w:docGrid w:linePitch="360"/>
            </w:sectPr>
          </w:pPr>
        </w:p>
        <w:p>
          <w:pPr>
            <w:widowControl w:val="0"/>
            <w:suppressAutoHyphens/>
            <w:ind w:left="5102"/>
            <w:rPr>
              <w:color w:val="000000"/>
            </w:rPr>
          </w:pPr>
          <w:r>
            <w:rPr>
              <w:color w:val="000000"/>
            </w:rPr>
            <w:t>Žaislų saugos techninio reglamento</w:t>
          </w:r>
        </w:p>
        <w:p>
          <w:pPr>
            <w:widowControl w:val="0"/>
            <w:suppressAutoHyphens/>
            <w:ind w:firstLine="5102"/>
            <w:rPr>
              <w:color w:val="000000"/>
            </w:rPr>
          </w:pPr>
          <w:sdt>
            <w:sdtPr>
              <w:alias w:val="Numeris"/>
              <w:tag w:val="nr_e6d7c2b16ba64e23ae7f22aa71d681e9"/>
              <w:lock w:val="sdtLocked"/>
              <w:richText/>
            </w:sdtPr>
            <w:sdtContent>
              <w:r>
                <w:rPr>
                  <w:color w:val="000000"/>
                </w:rPr>
                <w:t>2</w:t>
              </w:r>
            </w:sdtContent>
          </w:sdt>
          <w:r>
            <w:rPr>
              <w:color w:val="000000"/>
            </w:rPr>
            <w:t xml:space="preserve"> priedas</w:t>
          </w:r>
        </w:p>
        <w:p>
          <w:pPr>
            <w:widowControl w:val="0"/>
            <w:suppressAutoHyphens/>
            <w:ind w:firstLine="5102"/>
            <w:rPr>
              <w:color w:val="000000"/>
            </w:rPr>
          </w:pPr>
        </w:p>
        <w:p>
          <w:pPr>
            <w:widowControl w:val="0"/>
            <w:suppressAutoHyphens/>
            <w:jc w:val="center"/>
            <w:rPr>
              <w:b/>
              <w:bCs/>
              <w:caps/>
              <w:color w:val="000000"/>
            </w:rPr>
          </w:pPr>
          <w:sdt>
            <w:sdtPr>
              <w:alias w:val="Pavadinimas"/>
              <w:tag w:val="title_e6d7c2b16ba64e23ae7f22aa71d681e9"/>
              <w:lock w:val="sdtLocked"/>
              <w:richText/>
            </w:sdtPr>
            <w:sdtContent>
              <w:r>
                <w:rPr>
                  <w:b/>
                  <w:bCs/>
                  <w:caps/>
                  <w:color w:val="000000"/>
                </w:rPr>
                <w:t>SPECIALIŲJŲ SAUGOS REIKALAVIMŲ APRAŠAS</w:t>
              </w:r>
            </w:sdtContent>
          </w:sdt>
        </w:p>
        <w:p>
          <w:pPr>
            <w:widowControl w:val="0"/>
            <w:suppressAutoHyphens/>
            <w:jc w:val="center"/>
            <w:rPr>
              <w:b/>
              <w:bCs/>
              <w:caps/>
              <w:color w:val="000000"/>
            </w:rPr>
          </w:pPr>
        </w:p>
        <w:sdt>
          <w:sdtPr>
            <w:alias w:val="skyrius"/>
            <w:tag w:val="part_a178a93f288d4734b97d0ca031ace102"/>
            <w:lock w:val="sdtLocked"/>
            <w:richText/>
          </w:sdtPr>
          <w:sdtContent>
            <w:p>
              <w:pPr>
                <w:widowControl w:val="0"/>
                <w:suppressAutoHyphens/>
                <w:jc w:val="center"/>
                <w:rPr>
                  <w:b/>
                  <w:bCs/>
                  <w:caps/>
                  <w:color w:val="000000"/>
                </w:rPr>
              </w:pPr>
              <w:sdt>
                <w:sdtPr>
                  <w:alias w:val="Numeris"/>
                  <w:tag w:val="nr_a178a93f288d4734b97d0ca031ace102"/>
                  <w:lock w:val="sdtLocked"/>
                  <w:richText/>
                </w:sdtPr>
                <w:sdtContent>
                  <w:r>
                    <w:rPr>
                      <w:b/>
                      <w:bCs/>
                      <w:caps/>
                      <w:color w:val="000000"/>
                    </w:rPr>
                    <w:t>I</w:t>
                  </w:r>
                </w:sdtContent>
              </w:sdt>
              <w:r>
                <w:rPr>
                  <w:b/>
                  <w:bCs/>
                  <w:caps/>
                  <w:color w:val="000000"/>
                </w:rPr>
                <w:t xml:space="preserve"> SKYRIUS</w:t>
              </w:r>
            </w:p>
            <w:p>
              <w:pPr>
                <w:widowControl w:val="0"/>
                <w:suppressAutoHyphens/>
                <w:jc w:val="center"/>
                <w:rPr>
                  <w:b/>
                  <w:bCs/>
                  <w:caps/>
                  <w:color w:val="000000"/>
                </w:rPr>
              </w:pPr>
              <w:sdt>
                <w:sdtPr>
                  <w:alias w:val="Pavadinimas"/>
                  <w:tag w:val="title_a178a93f288d4734b97d0ca031ace102"/>
                  <w:lock w:val="sdtLocked"/>
                  <w:richText/>
                </w:sdtPr>
                <w:sdtContent>
                  <w:r>
                    <w:rPr>
                      <w:b/>
                      <w:bCs/>
                      <w:caps/>
                      <w:color w:val="000000"/>
                    </w:rPr>
                    <w:t xml:space="preserve">BENDROSIOS NUOSTATOS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8f9b708fdd11e8b93ad15b34c9248c">
                <w:r w:rsidRPr="00532B9F">
                  <w:rPr>
                    <w:rFonts w:ascii="Times New Roman" w:eastAsia="MS Mincho" w:hAnsi="Times New Roman"/>
                    <w:sz w:val="20"/>
                    <w:i/>
                    <w:iCs/>
                    <w:color w:val="0000FF" w:themeColor="hyperlink"/>
                    <w:u w:val="single"/>
                  </w:rPr>
                  <w:t>4-472</w:t>
                </w:r>
              </w:fldSimple>
              <w:r>
                <w:rPr>
                  <w:rFonts w:ascii="Times New Roman" w:eastAsia="MS Mincho" w:hAnsi="Times New Roman"/>
                  <w:sz w:val="20"/>
                  <w:i/>
                  <w:iCs/>
                </w:rPr>
                <w:t>,
2018-07-25,
paskelbta TAR 2018-07-25, i. k. 2018-12375        </w:t>
              </w:r>
            </w:p>
            <w:p/>
            <w:sdt>
              <w:sdtPr>
                <w:alias w:val="2 pr. 1 p."/>
                <w:tag w:val="part_9158c015c14e4bf0bf58ae93cb4937a0"/>
                <w:lock w:val="sdtLocked"/>
                <w:richText/>
              </w:sdtPr>
              <w:sdtContent>
                <w:p>
                  <w:pPr>
                    <w:widowControl w:val="0"/>
                    <w:suppressAutoHyphens/>
                    <w:ind w:firstLine="567"/>
                    <w:jc w:val="both"/>
                    <w:rPr>
                      <w:color w:val="000000"/>
                    </w:rPr>
                  </w:pPr>
                  <w:sdt>
                    <w:sdtPr>
                      <w:alias w:val="Numeris"/>
                      <w:tag w:val="nr_9158c015c14e4bf0bf58ae93cb4937a0"/>
                      <w:lock w:val="sdtLocked"/>
                      <w:richText/>
                    </w:sdtPr>
                    <w:sdtContent>
                      <w:r>
                        <w:rPr>
                          <w:color w:val="000000"/>
                        </w:rPr>
                        <w:t>1</w:t>
                      </w:r>
                    </w:sdtContent>
                  </w:sdt>
                  <w:r>
                    <w:rPr>
                      <w:color w:val="000000"/>
                    </w:rPr>
                    <w:t>. Specialių saugos reikalavimų aprašas (toliau – Aprašas) nustato specialiuosius reikalavimus žaislų fizikinėms ir mechaninėms savybėms, degumui, cheminėms savybėms, elektrinėms savybėms, higienai ir radioaktyvumui.</w:t>
                  </w:r>
                </w:p>
                <w:p>
                  <w:pPr>
                    <w:widowControl w:val="0"/>
                    <w:suppressAutoHyphens/>
                    <w:ind w:firstLine="567"/>
                    <w:jc w:val="both"/>
                    <w:rPr>
                      <w:color w:val="000000"/>
                    </w:rPr>
                  </w:pPr>
                </w:p>
              </w:sdtContent>
            </w:sdt>
          </w:sdtContent>
        </w:sdt>
        <w:sdt>
          <w:sdtPr>
            <w:alias w:val="skyrius"/>
            <w:tag w:val="part_ce4a2782620a437c833c7fff38edc580"/>
            <w:lock w:val="sdtLocked"/>
            <w:richText/>
          </w:sdtPr>
          <w:sdtContent>
            <w:p>
              <w:pPr>
                <w:keepLines/>
                <w:widowControl w:val="0"/>
                <w:suppressAutoHyphens/>
                <w:jc w:val="center"/>
                <w:rPr>
                  <w:b/>
                  <w:bCs/>
                  <w:caps/>
                  <w:color w:val="000000"/>
                </w:rPr>
              </w:pPr>
              <w:sdt>
                <w:sdtPr>
                  <w:alias w:val="Numeris"/>
                  <w:tag w:val="nr_ce4a2782620a437c833c7fff38edc580"/>
                  <w:lock w:val="sdtLocked"/>
                  <w:richText/>
                </w:sdtPr>
                <w:sdtContent>
                  <w:r>
                    <w:rPr>
                      <w:b/>
                      <w:bCs/>
                      <w:caps/>
                      <w:color w:val="000000"/>
                    </w:rPr>
                    <w:t>II</w:t>
                  </w:r>
                </w:sdtContent>
              </w:sdt>
              <w:r>
                <w:rPr>
                  <w:b/>
                  <w:bCs/>
                  <w:caps/>
                  <w:color w:val="000000"/>
                </w:rPr>
                <w:t xml:space="preserve"> SKYRIUS</w:t>
              </w:r>
            </w:p>
            <w:p>
              <w:pPr>
                <w:keepLines/>
                <w:widowControl w:val="0"/>
                <w:suppressAutoHyphens/>
                <w:jc w:val="center"/>
                <w:rPr>
                  <w:b/>
                  <w:bCs/>
                  <w:caps/>
                  <w:color w:val="000000"/>
                </w:rPr>
              </w:pPr>
              <w:sdt>
                <w:sdtPr>
                  <w:alias w:val="Pavadinimas"/>
                  <w:tag w:val="title_ce4a2782620a437c833c7fff38edc580"/>
                  <w:lock w:val="sdtLocked"/>
                  <w:richText/>
                </w:sdtPr>
                <w:sdtContent>
                  <w:r>
                    <w:rPr>
                      <w:b/>
                      <w:bCs/>
                      <w:caps/>
                      <w:color w:val="000000"/>
                    </w:rPr>
                    <w:t xml:space="preserve">FIZIKINĖS IR MECHANINĖS SAVYBĖS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8f9b708fdd11e8b93ad15b34c9248c">
                <w:r w:rsidRPr="00532B9F">
                  <w:rPr>
                    <w:rFonts w:ascii="Times New Roman" w:eastAsia="MS Mincho" w:hAnsi="Times New Roman"/>
                    <w:sz w:val="20"/>
                    <w:i/>
                    <w:iCs/>
                    <w:color w:val="0000FF" w:themeColor="hyperlink"/>
                    <w:u w:val="single"/>
                  </w:rPr>
                  <w:t>4-472</w:t>
                </w:r>
              </w:fldSimple>
              <w:r>
                <w:rPr>
                  <w:rFonts w:ascii="Times New Roman" w:eastAsia="MS Mincho" w:hAnsi="Times New Roman"/>
                  <w:sz w:val="20"/>
                  <w:i/>
                  <w:iCs/>
                </w:rPr>
                <w:t>,
2018-07-25,
paskelbta TAR 2018-07-25, i. k. 2018-12375        </w:t>
              </w:r>
            </w:p>
            <w:p/>
            <w:sdt>
              <w:sdtPr>
                <w:alias w:val="2 pr. 2 p."/>
                <w:tag w:val="part_3d8c0b34f51840a1a602fad3e24623a9"/>
                <w:lock w:val="sdtLocked"/>
                <w:richText/>
              </w:sdtPr>
              <w:sdtContent>
                <w:p>
                  <w:pPr>
                    <w:widowControl w:val="0"/>
                    <w:suppressAutoHyphens/>
                    <w:ind w:firstLine="567"/>
                    <w:jc w:val="both"/>
                    <w:rPr>
                      <w:color w:val="000000"/>
                    </w:rPr>
                  </w:pPr>
                  <w:sdt>
                    <w:sdtPr>
                      <w:alias w:val="Numeris"/>
                      <w:tag w:val="nr_3d8c0b34f51840a1a602fad3e24623a9"/>
                      <w:lock w:val="sdtLocked"/>
                      <w:richText/>
                    </w:sdtPr>
                    <w:sdtContent>
                      <w:r>
                        <w:rPr>
                          <w:color w:val="000000"/>
                        </w:rPr>
                        <w:t>2</w:t>
                      </w:r>
                    </w:sdtContent>
                  </w:sdt>
                  <w:r>
                    <w:rPr>
                      <w:color w:val="000000"/>
                    </w:rPr>
                    <w:t>. Žaislai bei jų dalys, o jeigu žaislai yra įtaisomi – jų sutvirtinimai turi būti reikiamo mechaninio stiprumo ir prireikus stabilumo, kad atlaikytų žaidimo metu naudojamą deformuojančią jėgą, nesulūžtų ar nebūtų sugadinti taip, kad dėl to kiltų rizika susižeisti.</w:t>
                  </w:r>
                </w:p>
              </w:sdtContent>
            </w:sdt>
            <w:sdt>
              <w:sdtPr>
                <w:alias w:val="2 pr. 3 p."/>
                <w:tag w:val="part_920ec2abf8db430b9e93eb4818888aa3"/>
                <w:lock w:val="sdtLocked"/>
                <w:richText/>
              </w:sdtPr>
              <w:sdtContent>
                <w:p>
                  <w:pPr>
                    <w:widowControl w:val="0"/>
                    <w:suppressAutoHyphens/>
                    <w:ind w:firstLine="567"/>
                    <w:jc w:val="both"/>
                    <w:rPr>
                      <w:color w:val="000000"/>
                    </w:rPr>
                  </w:pPr>
                  <w:sdt>
                    <w:sdtPr>
                      <w:alias w:val="Numeris"/>
                      <w:tag w:val="nr_920ec2abf8db430b9e93eb4818888aa3"/>
                      <w:lock w:val="sdtLocked"/>
                      <w:richText/>
                    </w:sdtPr>
                    <w:sdtContent>
                      <w:r>
                        <w:rPr>
                          <w:color w:val="000000"/>
                        </w:rPr>
                        <w:t>3</w:t>
                      </w:r>
                    </w:sdtContent>
                  </w:sdt>
                  <w:r>
                    <w:rPr>
                      <w:color w:val="000000"/>
                    </w:rPr>
                    <w:t>. Atviros briaunos, kyšuliai, vielos, laidai ir žaislų sutvirtinimo detalės turi būti suprojektuoti ir pagaminti taip, kad būtų kiek įmanoma sumažinta dėl sąlyčio su jais kylanti rizika fiziškai susižeisti. Žaislai turi būti suprojektuoti ir pagaminti taip, kad būtų panaikinta ar iki minimumo sumažinta rizika, kurią galėtų sukelti žaislų dalių judėjimas.</w:t>
                  </w:r>
                </w:p>
              </w:sdtContent>
            </w:sdt>
            <w:sdt>
              <w:sdtPr>
                <w:alias w:val="2 pr. 4 p."/>
                <w:tag w:val="part_8c6c90c13c444b7d829412391fae2560"/>
                <w:lock w:val="sdtLocked"/>
                <w:richText/>
              </w:sdtPr>
              <w:sdtContent>
                <w:p>
                  <w:pPr>
                    <w:widowControl w:val="0"/>
                    <w:suppressAutoHyphens/>
                    <w:ind w:firstLine="567"/>
                    <w:jc w:val="both"/>
                    <w:rPr>
                      <w:color w:val="000000"/>
                    </w:rPr>
                  </w:pPr>
                  <w:sdt>
                    <w:sdtPr>
                      <w:alias w:val="Numeris"/>
                      <w:tag w:val="nr_8c6c90c13c444b7d829412391fae2560"/>
                      <w:lock w:val="sdtLocked"/>
                      <w:richText/>
                    </w:sdtPr>
                    <w:sdtContent>
                      <w:r>
                        <w:rPr>
                          <w:color w:val="000000"/>
                        </w:rPr>
                        <w:t>4</w:t>
                      </w:r>
                    </w:sdtContent>
                  </w:sdt>
                  <w:r>
                    <w:rPr>
                      <w:color w:val="000000"/>
                    </w:rPr>
                    <w:t>. Žaislai ir jų dalys neturi kelti rizikos pasismaugti.</w:t>
                  </w:r>
                </w:p>
              </w:sdtContent>
            </w:sdt>
            <w:sdt>
              <w:sdtPr>
                <w:alias w:val="2 pr. 5 p."/>
                <w:tag w:val="part_15c28134f8514aa2a082756c5b4463e6"/>
                <w:lock w:val="sdtLocked"/>
                <w:richText/>
              </w:sdtPr>
              <w:sdtContent>
                <w:p>
                  <w:pPr>
                    <w:widowControl w:val="0"/>
                    <w:suppressAutoHyphens/>
                    <w:ind w:firstLine="567"/>
                    <w:jc w:val="both"/>
                    <w:rPr>
                      <w:color w:val="000000"/>
                    </w:rPr>
                  </w:pPr>
                  <w:sdt>
                    <w:sdtPr>
                      <w:alias w:val="Numeris"/>
                      <w:tag w:val="nr_15c28134f8514aa2a082756c5b4463e6"/>
                      <w:lock w:val="sdtLocked"/>
                      <w:richText/>
                    </w:sdtPr>
                    <w:sdtContent>
                      <w:r>
                        <w:rPr>
                          <w:color w:val="000000"/>
                        </w:rPr>
                        <w:t>5</w:t>
                      </w:r>
                    </w:sdtContent>
                  </w:sdt>
                  <w:r>
                    <w:rPr>
                      <w:color w:val="000000"/>
                    </w:rPr>
                    <w:t>. Žaislai ir jų dalys neturi kelti rizikos uždusti dėl viršutinių (burnos ir nosies ertmės) kvėpavimo takų užblokavimo iš vidaus ir išorės.</w:t>
                  </w:r>
                </w:p>
              </w:sdtContent>
            </w:sdt>
            <w:sdt>
              <w:sdtPr>
                <w:alias w:val="2 pr. 6 p."/>
                <w:tag w:val="part_adcf89dc28e246178d3b88ca5d72aabd"/>
                <w:lock w:val="sdtLocked"/>
                <w:richText/>
              </w:sdtPr>
              <w:sdtContent>
                <w:p>
                  <w:pPr>
                    <w:widowControl w:val="0"/>
                    <w:suppressAutoHyphens/>
                    <w:ind w:firstLine="567"/>
                    <w:jc w:val="both"/>
                    <w:rPr>
                      <w:color w:val="000000"/>
                    </w:rPr>
                  </w:pPr>
                  <w:sdt>
                    <w:sdtPr>
                      <w:alias w:val="Numeris"/>
                      <w:tag w:val="nr_adcf89dc28e246178d3b88ca5d72aabd"/>
                      <w:lock w:val="sdtLocked"/>
                      <w:richText/>
                    </w:sdtPr>
                    <w:sdtContent>
                      <w:r>
                        <w:rPr>
                          <w:color w:val="000000"/>
                        </w:rPr>
                        <w:t>6</w:t>
                      </w:r>
                    </w:sdtContent>
                  </w:sdt>
                  <w:r>
                    <w:rPr>
                      <w:color w:val="000000"/>
                    </w:rPr>
                    <w:t>. Žaislai ir jų sudedamosios dalys turi būti tokių matmenų, kad jos negalėtų sukelti pavojaus uždusti, kai oro srautas užblokuojamas dėl burnoje arba ryklėje įstrigusių objektų arba dėl apatiniuose kvėpavimo takuose įstrigusių objektų.</w:t>
                  </w:r>
                </w:p>
              </w:sdtContent>
            </w:sdt>
            <w:sdt>
              <w:sdtPr>
                <w:alias w:val="2 pr. 7 p."/>
                <w:tag w:val="part_23fb0ce8eaa0453084b7776a5443b538"/>
                <w:lock w:val="sdtLocked"/>
                <w:richText/>
              </w:sdtPr>
              <w:sdtContent>
                <w:p>
                  <w:pPr>
                    <w:widowControl w:val="0"/>
                    <w:suppressAutoHyphens/>
                    <w:ind w:firstLine="567"/>
                    <w:jc w:val="both"/>
                    <w:rPr>
                      <w:color w:val="000000"/>
                    </w:rPr>
                  </w:pPr>
                  <w:sdt>
                    <w:sdtPr>
                      <w:alias w:val="Numeris"/>
                      <w:tag w:val="nr_23fb0ce8eaa0453084b7776a5443b538"/>
                      <w:lock w:val="sdtLocked"/>
                      <w:richText/>
                    </w:sdtPr>
                    <w:sdtContent>
                      <w:r>
                        <w:rPr>
                          <w:color w:val="000000"/>
                        </w:rPr>
                        <w:t>7</w:t>
                      </w:r>
                    </w:sdtContent>
                  </w:sdt>
                  <w:r>
                    <w:rPr>
                      <w:color w:val="000000"/>
                    </w:rPr>
                    <w:t>. Aiškiai vaikams iki 36 mėnesių naudoti skirti žaislai, jų sudedamosios dalys ir nuo žaislų nuimamos dalys turi būti tokių matmenų, kad jų nebūtų įmanoma praryti arba jos negalėtų patekti į kvėpavimo takus. Tokie reikalavimai taip pat taikomi kitiems žaislams, kurie skirti dėti į burną, jų sudedamosioms dalims ir nuo žaislų nuimamoms dalims.</w:t>
                  </w:r>
                </w:p>
              </w:sdtContent>
            </w:sdt>
            <w:sdt>
              <w:sdtPr>
                <w:alias w:val="2 pr. 8 p."/>
                <w:tag w:val="part_083d8a368f174d70876a15d5c6165093"/>
                <w:lock w:val="sdtLocked"/>
                <w:richText/>
              </w:sdtPr>
              <w:sdtContent>
                <w:p>
                  <w:pPr>
                    <w:widowControl w:val="0"/>
                    <w:suppressAutoHyphens/>
                    <w:ind w:firstLine="567"/>
                    <w:jc w:val="both"/>
                    <w:rPr>
                      <w:color w:val="000000"/>
                    </w:rPr>
                  </w:pPr>
                  <w:sdt>
                    <w:sdtPr>
                      <w:alias w:val="Numeris"/>
                      <w:tag w:val="nr_083d8a368f174d70876a15d5c6165093"/>
                      <w:lock w:val="sdtLocked"/>
                      <w:richText/>
                    </w:sdtPr>
                    <w:sdtContent>
                      <w:r>
                        <w:rPr>
                          <w:color w:val="000000"/>
                        </w:rPr>
                        <w:t>8</w:t>
                      </w:r>
                    </w:sdtContent>
                  </w:sdt>
                  <w:r>
                    <w:rPr>
                      <w:color w:val="000000"/>
                    </w:rPr>
                    <w:t>. Pakuotė, kurioje žaislai pateikiami mažmeninei prekybai, neturi kelti rizikos pasismaugti ar uždusti dėl viršutinių (burnos ir nosies ertmės) kvėpavimo takų užblokavimo.</w:t>
                  </w:r>
                </w:p>
              </w:sdtContent>
            </w:sdt>
            <w:sdt>
              <w:sdtPr>
                <w:alias w:val="2 pr. 9 p."/>
                <w:tag w:val="part_798c53e468ba4a9482cea8e1e70b16ef"/>
                <w:lock w:val="sdtLocked"/>
                <w:richText/>
              </w:sdtPr>
              <w:sdtContent>
                <w:p>
                  <w:pPr>
                    <w:widowControl w:val="0"/>
                    <w:suppressAutoHyphens/>
                    <w:ind w:firstLine="567"/>
                    <w:jc w:val="both"/>
                    <w:rPr>
                      <w:color w:val="000000"/>
                    </w:rPr>
                  </w:pPr>
                  <w:sdt>
                    <w:sdtPr>
                      <w:alias w:val="Numeris"/>
                      <w:tag w:val="nr_798c53e468ba4a9482cea8e1e70b16ef"/>
                      <w:lock w:val="sdtLocked"/>
                      <w:richText/>
                    </w:sdtPr>
                    <w:sdtContent>
                      <w:r>
                        <w:rPr>
                          <w:color w:val="000000"/>
                        </w:rPr>
                        <w:t>9</w:t>
                      </w:r>
                    </w:sdtContent>
                  </w:sdt>
                  <w:r>
                    <w:rPr>
                      <w:color w:val="000000"/>
                    </w:rPr>
                    <w:t xml:space="preserve">. Maiste esantys arba su maistu sumaišyti žaislai turi būti atskiroje pakuotėje. Ši pateikiama pakuotė turi būti tokių matmenų, kad jos nebūtų galima praryti (arba) ji negalėtų patekti į kvėpavimo takus. </w:t>
                  </w:r>
                </w:p>
              </w:sdtContent>
            </w:sdt>
            <w:sdt>
              <w:sdtPr>
                <w:alias w:val="2 pr. 10 p."/>
                <w:tag w:val="part_50c58feeff3947b2b5030233ad3c94e8"/>
                <w:lock w:val="sdtLocked"/>
                <w:richText/>
              </w:sdtPr>
              <w:sdtContent>
                <w:p>
                  <w:pPr>
                    <w:widowControl w:val="0"/>
                    <w:suppressAutoHyphens/>
                    <w:ind w:firstLine="567"/>
                    <w:jc w:val="both"/>
                    <w:rPr>
                      <w:color w:val="000000"/>
                      <w:spacing w:val="-2"/>
                    </w:rPr>
                  </w:pPr>
                  <w:sdt>
                    <w:sdtPr>
                      <w:alias w:val="Numeris"/>
                      <w:tag w:val="nr_50c58feeff3947b2b5030233ad3c94e8"/>
                      <w:lock w:val="sdtLocked"/>
                      <w:richText/>
                    </w:sdtPr>
                    <w:sdtContent>
                      <w:r>
                        <w:rPr>
                          <w:color w:val="000000"/>
                          <w:spacing w:val="-2"/>
                        </w:rPr>
                        <w:t>10</w:t>
                      </w:r>
                    </w:sdtContent>
                  </w:sdt>
                  <w:r>
                    <w:rPr>
                      <w:color w:val="000000"/>
                      <w:spacing w:val="-2"/>
                    </w:rPr>
                    <w:t xml:space="preserve">. Aprašo 8 ir 9 punktuose minima žaislų pakuotė, t. y. rutulio, kiaušinio ar elipsoido formos pakuotė, ir jos nuimamosios dalys arba cilindro pavidalo pakuotė suapvalintais galais turi būti tokių matmenų, kad negalėtų sukelti pavojaus uždusti, kai oro srautas užblokuojamas dėl burnoje ar ryklėje įstrigusių objektų arba dėl apatiniuose kvėpavimo takuose įstrigusių objektų. </w:t>
                  </w:r>
                </w:p>
              </w:sdtContent>
            </w:sdt>
            <w:sdt>
              <w:sdtPr>
                <w:alias w:val="2 pr. 11 p."/>
                <w:tag w:val="part_2ea5fce1bd9e4d14b85d1808005a4a26"/>
                <w:lock w:val="sdtLocked"/>
                <w:richText/>
              </w:sdtPr>
              <w:sdtContent>
                <w:p>
                  <w:pPr>
                    <w:widowControl w:val="0"/>
                    <w:suppressAutoHyphens/>
                    <w:ind w:firstLine="567"/>
                    <w:jc w:val="both"/>
                    <w:rPr>
                      <w:color w:val="000000"/>
                      <w:spacing w:val="-2"/>
                    </w:rPr>
                  </w:pPr>
                  <w:sdt>
                    <w:sdtPr>
                      <w:alias w:val="Numeris"/>
                      <w:tag w:val="nr_2ea5fce1bd9e4d14b85d1808005a4a26"/>
                      <w:lock w:val="sdtLocked"/>
                      <w:richText/>
                    </w:sdtPr>
                    <w:sdtContent>
                      <w:r>
                        <w:rPr>
                          <w:color w:val="000000"/>
                          <w:spacing w:val="-2"/>
                        </w:rPr>
                        <w:t>11</w:t>
                      </w:r>
                    </w:sdtContent>
                  </w:sdt>
                  <w:r>
                    <w:rPr>
                      <w:color w:val="000000"/>
                      <w:spacing w:val="-2"/>
                    </w:rPr>
                    <w:t>. Draudžiami žaislai, kurie įterpti į maisto gaminius taip, kad vartojimo metu norint tiesiogiai pasiekti žaislą pirmiausia reikia suvartoti maisto produktą. Žaislo dalys, kitaip tiesiogiai pritvirtintos prie maisto produkto, turi atitikti Aprašo 6 ir 7 punktus.</w:t>
                  </w:r>
                </w:p>
              </w:sdtContent>
            </w:sdt>
            <w:sdt>
              <w:sdtPr>
                <w:alias w:val="2 pr. 12 p."/>
                <w:tag w:val="part_44a79682ee4a4214a40d42285bab175a"/>
                <w:lock w:val="sdtLocked"/>
                <w:richText/>
              </w:sdtPr>
              <w:sdtContent>
                <w:p>
                  <w:pPr>
                    <w:widowControl w:val="0"/>
                    <w:suppressAutoHyphens/>
                    <w:ind w:firstLine="567"/>
                    <w:jc w:val="both"/>
                    <w:rPr>
                      <w:color w:val="000000"/>
                    </w:rPr>
                  </w:pPr>
                  <w:sdt>
                    <w:sdtPr>
                      <w:alias w:val="Numeris"/>
                      <w:tag w:val="nr_44a79682ee4a4214a40d42285bab175a"/>
                      <w:lock w:val="sdtLocked"/>
                      <w:richText/>
                    </w:sdtPr>
                    <w:sdtContent>
                      <w:r>
                        <w:rPr>
                          <w:color w:val="000000"/>
                        </w:rPr>
                        <w:t>12</w:t>
                      </w:r>
                    </w:sdtContent>
                  </w:sdt>
                  <w:r>
                    <w:rPr>
                      <w:color w:val="000000"/>
                    </w:rPr>
                    <w:t>. Vandenyje naudoti skirti žaislai turi būti suprojektuoti ir pagaminti taip, kad, atsižvelgiant į rekomenduojamą to žaislo naudojimo būdą, kiek įmanoma būtų sumažinta rizika tam žaislui prarasti plūdrumą ir vaikui teikiamą atramą.</w:t>
                  </w:r>
                </w:p>
              </w:sdtContent>
            </w:sdt>
            <w:sdt>
              <w:sdtPr>
                <w:alias w:val="2 pr. 13 p."/>
                <w:tag w:val="part_9f50a20bd8394dac8f727bae85d84723"/>
                <w:lock w:val="sdtLocked"/>
                <w:richText/>
              </w:sdtPr>
              <w:sdtContent>
                <w:p>
                  <w:pPr>
                    <w:widowControl w:val="0"/>
                    <w:suppressAutoHyphens/>
                    <w:ind w:firstLine="567"/>
                    <w:jc w:val="both"/>
                    <w:rPr>
                      <w:color w:val="000000"/>
                    </w:rPr>
                  </w:pPr>
                  <w:sdt>
                    <w:sdtPr>
                      <w:alias w:val="Numeris"/>
                      <w:tag w:val="nr_9f50a20bd8394dac8f727bae85d84723"/>
                      <w:lock w:val="sdtLocked"/>
                      <w:richText/>
                    </w:sdtPr>
                    <w:sdtContent>
                      <w:r>
                        <w:rPr>
                          <w:color w:val="000000"/>
                        </w:rPr>
                        <w:t>13</w:t>
                      </w:r>
                    </w:sdtContent>
                  </w:sdt>
                  <w:r>
                    <w:rPr>
                      <w:color w:val="000000"/>
                    </w:rPr>
                    <w:t>. Žaisluose, į kurių vidų galima patekti ir kurie patekusiam į vidų vaikui sudaro uždarą erdvę, turi būti išėjimo anga, kurią numanomas naudotojas galėtų lengvai atidaryti iš vidaus.</w:t>
                  </w:r>
                </w:p>
              </w:sdtContent>
            </w:sdt>
            <w:sdt>
              <w:sdtPr>
                <w:alias w:val="2 pr. 14 p."/>
                <w:tag w:val="part_a56e6b5371484b6cb2b44f63889b320c"/>
                <w:lock w:val="sdtLocked"/>
                <w:richText/>
              </w:sdtPr>
              <w:sdtContent>
                <w:p>
                  <w:pPr>
                    <w:widowControl w:val="0"/>
                    <w:suppressAutoHyphens/>
                    <w:ind w:firstLine="567"/>
                    <w:jc w:val="both"/>
                    <w:rPr>
                      <w:color w:val="000000"/>
                    </w:rPr>
                  </w:pPr>
                  <w:sdt>
                    <w:sdtPr>
                      <w:alias w:val="Numeris"/>
                      <w:tag w:val="nr_a56e6b5371484b6cb2b44f63889b320c"/>
                      <w:lock w:val="sdtLocked"/>
                      <w:richText/>
                    </w:sdtPr>
                    <w:sdtContent>
                      <w:r>
                        <w:rPr>
                          <w:color w:val="000000"/>
                        </w:rPr>
                        <w:t>14</w:t>
                      </w:r>
                    </w:sdtContent>
                  </w:sdt>
                  <w:r>
                    <w:rPr>
                      <w:color w:val="000000"/>
                    </w:rPr>
                    <w:t>. Žaislai, suteikiantys vartotojams mobilumo, turi, jei tik įmanoma, turėti įtaisytą stabdžių sistemą, kuri būtų pritaikyta to žaislo tipui ir proporcinga jo pasiekiamai kinetinei energijai. Tokia sistema privalo būti naudotojo lengvai valdoma, nerizikuojant iškristi, susižeisti ar sužeisti trečiuosius asmenis.</w:t>
                  </w:r>
                </w:p>
              </w:sdtContent>
            </w:sdt>
            <w:sdt>
              <w:sdtPr>
                <w:alias w:val="2 pr. 15 p."/>
                <w:tag w:val="part_069094ae34f74f79b5273afb5509e0ec"/>
                <w:lock w:val="sdtLocked"/>
                <w:richText/>
              </w:sdtPr>
              <w:sdtContent>
                <w:p>
                  <w:pPr>
                    <w:widowControl w:val="0"/>
                    <w:suppressAutoHyphens/>
                    <w:ind w:firstLine="567"/>
                    <w:jc w:val="both"/>
                    <w:rPr>
                      <w:color w:val="000000"/>
                    </w:rPr>
                  </w:pPr>
                  <w:sdt>
                    <w:sdtPr>
                      <w:alias w:val="Numeris"/>
                      <w:tag w:val="nr_069094ae34f74f79b5273afb5509e0ec"/>
                      <w:lock w:val="sdtLocked"/>
                      <w:richText/>
                    </w:sdtPr>
                    <w:sdtContent>
                      <w:r>
                        <w:rPr>
                          <w:color w:val="000000"/>
                        </w:rPr>
                        <w:t>15</w:t>
                      </w:r>
                    </w:sdtContent>
                  </w:sdt>
                  <w:r>
                    <w:rPr>
                      <w:color w:val="000000"/>
                    </w:rPr>
                    <w:t>. Maksimalus elektra varomų važinėti skirtų žaislų projektinis greitis turi būti apribotas tiek, kad būtų iki minimumo sumažinta rizika susižeisti.</w:t>
                  </w:r>
                </w:p>
              </w:sdtContent>
            </w:sdt>
            <w:sdt>
              <w:sdtPr>
                <w:alias w:val="2 pr. 16 p."/>
                <w:tag w:val="part_8e295571475c4c87b1a92cb2d6e4bcab"/>
                <w:lock w:val="sdtLocked"/>
                <w:richText/>
              </w:sdtPr>
              <w:sdtContent>
                <w:p>
                  <w:pPr>
                    <w:widowControl w:val="0"/>
                    <w:suppressAutoHyphens/>
                    <w:ind w:firstLine="567"/>
                    <w:jc w:val="both"/>
                    <w:rPr>
                      <w:color w:val="000000"/>
                    </w:rPr>
                  </w:pPr>
                  <w:sdt>
                    <w:sdtPr>
                      <w:alias w:val="Numeris"/>
                      <w:tag w:val="nr_8e295571475c4c87b1a92cb2d6e4bcab"/>
                      <w:lock w:val="sdtLocked"/>
                      <w:richText/>
                    </w:sdtPr>
                    <w:sdtContent>
                      <w:r>
                        <w:rPr>
                          <w:color w:val="000000"/>
                        </w:rPr>
                        <w:t>16</w:t>
                      </w:r>
                    </w:sdtContent>
                  </w:sdt>
                  <w:r>
                    <w:rPr>
                      <w:color w:val="000000"/>
                    </w:rPr>
                    <w:t>. Svaidinių forma bei sudėtis ir kinetinė energija, kurią jie gali išvystyti iššaunami iš tam tikslui skirto žaislo, turi būti tokios, kad, atsižvelgiant į to žaislo pobūdį, nekeltų rizikos naudotojui susižaloti ar sužaloti trečiuosius asmenis.</w:t>
                  </w:r>
                </w:p>
              </w:sdtContent>
            </w:sdt>
            <w:sdt>
              <w:sdtPr>
                <w:alias w:val="2 pr. 17 p."/>
                <w:tag w:val="part_f7b57d1c6af54b1e9148e1a991a169bf"/>
                <w:lock w:val="sdtLocked"/>
                <w:richText/>
              </w:sdtPr>
              <w:sdtContent>
                <w:p>
                  <w:pPr>
                    <w:widowControl w:val="0"/>
                    <w:suppressAutoHyphens/>
                    <w:ind w:firstLine="567"/>
                    <w:jc w:val="both"/>
                    <w:rPr>
                      <w:color w:val="000000"/>
                    </w:rPr>
                  </w:pPr>
                  <w:sdt>
                    <w:sdtPr>
                      <w:alias w:val="Numeris"/>
                      <w:tag w:val="nr_f7b57d1c6af54b1e9148e1a991a169bf"/>
                      <w:lock w:val="sdtLocked"/>
                      <w:richText/>
                    </w:sdtPr>
                    <w:sdtContent>
                      <w:r>
                        <w:rPr>
                          <w:color w:val="000000"/>
                        </w:rPr>
                        <w:t>17</w:t>
                      </w:r>
                    </w:sdtContent>
                  </w:sdt>
                  <w:r>
                    <w:rPr>
                      <w:color w:val="000000"/>
                    </w:rPr>
                    <w:t>. Žaislai turi būti pagaminti taip, kad būtų užtikrinta, jog:</w:t>
                  </w:r>
                </w:p>
                <w:sdt>
                  <w:sdtPr>
                    <w:alias w:val="2 pr. 17.1 p."/>
                    <w:tag w:val="part_d5834add2d3a4b8bb44aeb7b7fd19e35"/>
                    <w:lock w:val="sdtLocked"/>
                    <w:richText/>
                  </w:sdtPr>
                  <w:sdtContent>
                    <w:p>
                      <w:pPr>
                        <w:widowControl w:val="0"/>
                        <w:suppressAutoHyphens/>
                        <w:ind w:firstLine="567"/>
                        <w:jc w:val="both"/>
                        <w:rPr>
                          <w:color w:val="000000"/>
                        </w:rPr>
                      </w:pPr>
                      <w:sdt>
                        <w:sdtPr>
                          <w:alias w:val="Numeris"/>
                          <w:tag w:val="nr_d5834add2d3a4b8bb44aeb7b7fd19e35"/>
                          <w:lock w:val="sdtLocked"/>
                          <w:richText/>
                        </w:sdtPr>
                        <w:sdtContent>
                          <w:r>
                            <w:rPr>
                              <w:color w:val="000000"/>
                            </w:rPr>
                            <w:t>17.1</w:t>
                          </w:r>
                        </w:sdtContent>
                      </w:sdt>
                      <w:r>
                        <w:rPr>
                          <w:color w:val="000000"/>
                        </w:rPr>
                        <w:t>. asmuo, palietęs bet kokius atvirus maksimalios ir minimalios temperatūros paviršius, nesusižalotų;</w:t>
                      </w:r>
                    </w:p>
                  </w:sdtContent>
                </w:sdt>
                <w:sdt>
                  <w:sdtPr>
                    <w:alias w:val="2 pr. 17.2 p."/>
                    <w:tag w:val="part_f1dc55ede3404f7196f4b06327bb0421"/>
                    <w:lock w:val="sdtLocked"/>
                    <w:richText/>
                  </w:sdtPr>
                  <w:sdtContent>
                    <w:p>
                      <w:pPr>
                        <w:widowControl w:val="0"/>
                        <w:suppressAutoHyphens/>
                        <w:ind w:firstLine="567"/>
                        <w:jc w:val="both"/>
                        <w:rPr>
                          <w:color w:val="000000"/>
                        </w:rPr>
                      </w:pPr>
                      <w:sdt>
                        <w:sdtPr>
                          <w:alias w:val="Numeris"/>
                          <w:tag w:val="nr_f1dc55ede3404f7196f4b06327bb0421"/>
                          <w:lock w:val="sdtLocked"/>
                          <w:richText/>
                        </w:sdtPr>
                        <w:sdtContent>
                          <w:r>
                            <w:rPr>
                              <w:color w:val="000000"/>
                            </w:rPr>
                            <w:t>17.2</w:t>
                          </w:r>
                        </w:sdtContent>
                      </w:sdt>
                      <w:r>
                        <w:rPr>
                          <w:color w:val="000000"/>
                        </w:rPr>
                        <w:t>. žaisle esantys skysčiai ir dujos nepakiltų iki tokios temperatūros ar spaudimo, kad išsiverždami iš to žaislo dėl priežasčių, nesusijusių su tinkamu to žaislo funkcionavimu, neapdegintų ar kaip nors kitaip nesužalotų žmonių.</w:t>
                      </w:r>
                    </w:p>
                  </w:sdtContent>
                </w:sdt>
              </w:sdtContent>
            </w:sdt>
            <w:sdt>
              <w:sdtPr>
                <w:alias w:val="2 pr. 18 p."/>
                <w:tag w:val="part_863034b7cc04414785972c86f37590b1"/>
                <w:lock w:val="sdtLocked"/>
                <w:richText/>
              </w:sdtPr>
              <w:sdtContent>
                <w:p>
                  <w:pPr>
                    <w:widowControl w:val="0"/>
                    <w:suppressAutoHyphens/>
                    <w:ind w:firstLine="567"/>
                    <w:jc w:val="both"/>
                    <w:rPr>
                      <w:color w:val="000000"/>
                    </w:rPr>
                  </w:pPr>
                  <w:sdt>
                    <w:sdtPr>
                      <w:alias w:val="Numeris"/>
                      <w:tag w:val="nr_863034b7cc04414785972c86f37590b1"/>
                      <w:lock w:val="sdtLocked"/>
                      <w:richText/>
                    </w:sdtPr>
                    <w:sdtContent>
                      <w:r>
                        <w:rPr>
                          <w:color w:val="000000"/>
                        </w:rPr>
                        <w:t>18</w:t>
                      </w:r>
                    </w:sdtContent>
                  </w:sdt>
                  <w:r>
                    <w:rPr>
                      <w:color w:val="000000"/>
                    </w:rPr>
                    <w:t>. Žaislai, kurie suprojektuoti skleisti garsus, skleidžiamo impulsinio triukšmo ir trunkamojo triukšmo maksimalios vertės atžvilgiu turi būti suprojektuoti ir pagaminti taip, kad iš jų sklindantis garsas nepakenktų vaiko klausai.</w:t>
                  </w:r>
                </w:p>
              </w:sdtContent>
            </w:sdt>
            <w:sdt>
              <w:sdtPr>
                <w:alias w:val="2 pr. 19 p."/>
                <w:tag w:val="part_d6411991036d4b8fb3d1656be95fe626"/>
                <w:lock w:val="sdtLocked"/>
                <w:richText/>
              </w:sdtPr>
              <w:sdtContent>
                <w:p>
                  <w:pPr>
                    <w:widowControl w:val="0"/>
                    <w:suppressAutoHyphens/>
                    <w:ind w:firstLine="567"/>
                    <w:jc w:val="both"/>
                    <w:rPr>
                      <w:color w:val="000000"/>
                      <w:spacing w:val="-2"/>
                    </w:rPr>
                  </w:pPr>
                  <w:sdt>
                    <w:sdtPr>
                      <w:alias w:val="Numeris"/>
                      <w:tag w:val="nr_d6411991036d4b8fb3d1656be95fe626"/>
                      <w:lock w:val="sdtLocked"/>
                      <w:richText/>
                    </w:sdtPr>
                    <w:sdtContent>
                      <w:r>
                        <w:rPr>
                          <w:color w:val="000000"/>
                          <w:spacing w:val="-2"/>
                        </w:rPr>
                        <w:t>19</w:t>
                      </w:r>
                    </w:sdtContent>
                  </w:sdt>
                  <w:r>
                    <w:rPr>
                      <w:color w:val="000000"/>
                      <w:spacing w:val="-2"/>
                    </w:rPr>
                    <w:t xml:space="preserve">. Judrumo žaislai turi būti pagaminti taip, kad būtų kuo labiau sumažinta rizika kūno dalims būti sutraiškytoms ar įstrigti ar drabužiams įstrigti. Taip pat turi būti maksimaliai sumažinta rizika nukristi, susitrenkti ir nuskęsti. Visų pirma bet kuris šių žaislų paviršius, kurį žaisdami gali pasiekti vienas ar daugiau vaikų, turi būti projektuojamas taip, kad galėtų išlaikyti jų svorį. </w:t>
                  </w:r>
                </w:p>
                <w:p>
                  <w:pPr>
                    <w:widowControl w:val="0"/>
                    <w:suppressAutoHyphens/>
                    <w:ind w:firstLine="567"/>
                    <w:jc w:val="both"/>
                    <w:rPr>
                      <w:color w:val="000000"/>
                    </w:rPr>
                  </w:pPr>
                </w:p>
              </w:sdtContent>
            </w:sdt>
          </w:sdtContent>
        </w:sdt>
        <w:sdt>
          <w:sdtPr>
            <w:alias w:val="skyrius"/>
            <w:tag w:val="part_d7ac46a1764e4f998920740abbd41f56"/>
            <w:lock w:val="sdtLocked"/>
            <w:richText/>
          </w:sdtPr>
          <w:sdtContent>
            <w:p>
              <w:pPr>
                <w:keepLines/>
                <w:widowControl w:val="0"/>
                <w:suppressAutoHyphens/>
                <w:jc w:val="center"/>
                <w:rPr>
                  <w:b/>
                  <w:bCs/>
                  <w:caps/>
                  <w:color w:val="000000"/>
                </w:rPr>
              </w:pPr>
              <w:sdt>
                <w:sdtPr>
                  <w:alias w:val="Numeris"/>
                  <w:tag w:val="nr_d7ac46a1764e4f998920740abbd41f56"/>
                  <w:lock w:val="sdtLocked"/>
                  <w:richText/>
                </w:sdtPr>
                <w:sdtContent>
                  <w:r>
                    <w:rPr>
                      <w:b/>
                      <w:bCs/>
                      <w:caps/>
                      <w:color w:val="000000"/>
                    </w:rPr>
                    <w:t>III</w:t>
                  </w:r>
                </w:sdtContent>
              </w:sdt>
              <w:r>
                <w:rPr>
                  <w:b/>
                  <w:bCs/>
                  <w:caps/>
                  <w:color w:val="000000"/>
                </w:rPr>
                <w:t xml:space="preserve"> SKYRIUS</w:t>
              </w:r>
            </w:p>
            <w:p>
              <w:pPr>
                <w:keepLines/>
                <w:widowControl w:val="0"/>
                <w:suppressAutoHyphens/>
                <w:jc w:val="center"/>
                <w:rPr>
                  <w:b/>
                  <w:bCs/>
                  <w:caps/>
                  <w:color w:val="000000"/>
                </w:rPr>
              </w:pPr>
              <w:sdt>
                <w:sdtPr>
                  <w:alias w:val="Pavadinimas"/>
                  <w:tag w:val="title_d7ac46a1764e4f998920740abbd41f56"/>
                  <w:lock w:val="sdtLocked"/>
                  <w:richText/>
                </w:sdtPr>
                <w:sdtContent>
                  <w:r>
                    <w:rPr>
                      <w:b/>
                      <w:bCs/>
                      <w:caps/>
                      <w:color w:val="000000"/>
                    </w:rPr>
                    <w:t xml:space="preserve">DEGUMAS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8f9b708fdd11e8b93ad15b34c9248c">
                <w:r w:rsidRPr="00532B9F">
                  <w:rPr>
                    <w:rFonts w:ascii="Times New Roman" w:eastAsia="MS Mincho" w:hAnsi="Times New Roman"/>
                    <w:sz w:val="20"/>
                    <w:i/>
                    <w:iCs/>
                    <w:color w:val="0000FF" w:themeColor="hyperlink"/>
                    <w:u w:val="single"/>
                  </w:rPr>
                  <w:t>4-472</w:t>
                </w:r>
              </w:fldSimple>
              <w:r>
                <w:rPr>
                  <w:rFonts w:ascii="Times New Roman" w:eastAsia="MS Mincho" w:hAnsi="Times New Roman"/>
                  <w:sz w:val="20"/>
                  <w:i/>
                  <w:iCs/>
                </w:rPr>
                <w:t>,
2018-07-25,
paskelbta TAR 2018-07-25, i. k. 2018-12375        </w:t>
              </w:r>
            </w:p>
            <w:p/>
            <w:sdt>
              <w:sdtPr>
                <w:alias w:val="2 pr. 20 p."/>
                <w:tag w:val="part_7ef25cabaea84136b2e3b659518c004b"/>
                <w:lock w:val="sdtLocked"/>
                <w:richText/>
              </w:sdtPr>
              <w:sdtContent>
                <w:p>
                  <w:pPr>
                    <w:widowControl w:val="0"/>
                    <w:suppressAutoHyphens/>
                    <w:ind w:firstLine="567"/>
                    <w:jc w:val="both"/>
                    <w:rPr>
                      <w:color w:val="000000"/>
                    </w:rPr>
                  </w:pPr>
                  <w:sdt>
                    <w:sdtPr>
                      <w:alias w:val="Numeris"/>
                      <w:tag w:val="nr_7ef25cabaea84136b2e3b659518c004b"/>
                      <w:lock w:val="sdtLocked"/>
                      <w:richText/>
                    </w:sdtPr>
                    <w:sdtContent>
                      <w:r>
                        <w:rPr>
                          <w:color w:val="000000"/>
                        </w:rPr>
                        <w:t>20</w:t>
                      </w:r>
                    </w:sdtContent>
                  </w:sdt>
                  <w:r>
                    <w:rPr>
                      <w:color w:val="000000"/>
                    </w:rPr>
                    <w:t>. Žaislai vaiko aplinkoje neturi tapti pavojingais degiais daiktais. Todėl jie turi būti sudaryti iš medžiagų, kurios atitinka bent vieną iš šių reikalavimų:</w:t>
                  </w:r>
                </w:p>
                <w:sdt>
                  <w:sdtPr>
                    <w:alias w:val="2 pr. 20.1 p."/>
                    <w:tag w:val="part_94e032f019804e5b936f538212b60b17"/>
                    <w:lock w:val="sdtLocked"/>
                    <w:richText/>
                  </w:sdtPr>
                  <w:sdtContent>
                    <w:p>
                      <w:pPr>
                        <w:widowControl w:val="0"/>
                        <w:suppressAutoHyphens/>
                        <w:ind w:firstLine="567"/>
                        <w:jc w:val="both"/>
                        <w:rPr>
                          <w:color w:val="000000"/>
                        </w:rPr>
                      </w:pPr>
                      <w:sdt>
                        <w:sdtPr>
                          <w:alias w:val="Numeris"/>
                          <w:tag w:val="nr_94e032f019804e5b936f538212b60b17"/>
                          <w:lock w:val="sdtLocked"/>
                          <w:richText/>
                        </w:sdtPr>
                        <w:sdtContent>
                          <w:r>
                            <w:rPr>
                              <w:color w:val="000000"/>
                            </w:rPr>
                            <w:t>20.1</w:t>
                          </w:r>
                        </w:sdtContent>
                      </w:sdt>
                      <w:r>
                        <w:rPr>
                          <w:color w:val="000000"/>
                        </w:rPr>
                        <w:t>. tiesiogiai nuo liepsnos, kibirkšties ar kitokio ugnies židinio neužsidega;</w:t>
                      </w:r>
                    </w:p>
                  </w:sdtContent>
                </w:sdt>
                <w:sdt>
                  <w:sdtPr>
                    <w:alias w:val="2 pr. 20.2 p."/>
                    <w:tag w:val="part_9c4d1a26839440289003548a54e37aac"/>
                    <w:lock w:val="sdtLocked"/>
                    <w:richText/>
                  </w:sdtPr>
                  <w:sdtContent>
                    <w:p>
                      <w:pPr>
                        <w:widowControl w:val="0"/>
                        <w:suppressAutoHyphens/>
                        <w:ind w:firstLine="567"/>
                        <w:jc w:val="both"/>
                        <w:rPr>
                          <w:color w:val="000000"/>
                        </w:rPr>
                      </w:pPr>
                      <w:sdt>
                        <w:sdtPr>
                          <w:alias w:val="Numeris"/>
                          <w:tag w:val="nr_9c4d1a26839440289003548a54e37aac"/>
                          <w:lock w:val="sdtLocked"/>
                          <w:richText/>
                        </w:sdtPr>
                        <w:sdtContent>
                          <w:r>
                            <w:rPr>
                              <w:color w:val="000000"/>
                            </w:rPr>
                            <w:t>20.2</w:t>
                          </w:r>
                        </w:sdtContent>
                      </w:sdt>
                      <w:r>
                        <w:rPr>
                          <w:color w:val="000000"/>
                        </w:rPr>
                        <w:t>. nėra labai degios (ugnis užgęsta, išnykus liepsnos priežasčiai);</w:t>
                      </w:r>
                    </w:p>
                  </w:sdtContent>
                </w:sdt>
                <w:sdt>
                  <w:sdtPr>
                    <w:alias w:val="2 pr. 20.3 p."/>
                    <w:tag w:val="part_6c68d2c5be3747149979b56bd63b8200"/>
                    <w:lock w:val="sdtLocked"/>
                    <w:richText/>
                  </w:sdtPr>
                  <w:sdtContent>
                    <w:p>
                      <w:pPr>
                        <w:widowControl w:val="0"/>
                        <w:suppressAutoHyphens/>
                        <w:ind w:firstLine="567"/>
                        <w:jc w:val="both"/>
                        <w:rPr>
                          <w:color w:val="000000"/>
                        </w:rPr>
                      </w:pPr>
                      <w:sdt>
                        <w:sdtPr>
                          <w:alias w:val="Numeris"/>
                          <w:tag w:val="nr_6c68d2c5be3747149979b56bd63b8200"/>
                          <w:lock w:val="sdtLocked"/>
                          <w:richText/>
                        </w:sdtPr>
                        <w:sdtContent>
                          <w:r>
                            <w:rPr>
                              <w:color w:val="000000"/>
                            </w:rPr>
                            <w:t>20.3</w:t>
                          </w:r>
                        </w:sdtContent>
                      </w:sdt>
                      <w:r>
                        <w:rPr>
                          <w:color w:val="000000"/>
                        </w:rPr>
                        <w:t>. jei jos ir užsidega, tai dega lėtai ir liepsna sklinda nedideliu greičiu;</w:t>
                      </w:r>
                    </w:p>
                  </w:sdtContent>
                </w:sdt>
                <w:sdt>
                  <w:sdtPr>
                    <w:alias w:val="2 pr. 20.4 p."/>
                    <w:tag w:val="part_84da3245f24e4e1ea7702e35cee3ca71"/>
                    <w:lock w:val="sdtLocked"/>
                    <w:richText/>
                  </w:sdtPr>
                  <w:sdtContent>
                    <w:p>
                      <w:pPr>
                        <w:widowControl w:val="0"/>
                        <w:suppressAutoHyphens/>
                        <w:ind w:firstLine="567"/>
                        <w:jc w:val="both"/>
                        <w:rPr>
                          <w:color w:val="000000"/>
                        </w:rPr>
                      </w:pPr>
                      <w:sdt>
                        <w:sdtPr>
                          <w:alias w:val="Numeris"/>
                          <w:tag w:val="nr_84da3245f24e4e1ea7702e35cee3ca71"/>
                          <w:lock w:val="sdtLocked"/>
                          <w:richText/>
                        </w:sdtPr>
                        <w:sdtContent>
                          <w:r>
                            <w:rPr>
                              <w:color w:val="000000"/>
                            </w:rPr>
                            <w:t>20.4</w:t>
                          </w:r>
                        </w:sdtContent>
                      </w:sdt>
                      <w:r>
                        <w:rPr>
                          <w:color w:val="000000"/>
                        </w:rPr>
                        <w:t>. nepaisant žaislo cheminės sudėties, yra sukurtos taip, kad mechaniškai vėlintų degimo procesą.</w:t>
                      </w:r>
                    </w:p>
                    <w:p>
                      <w:pPr>
                        <w:widowControl w:val="0"/>
                        <w:suppressAutoHyphens/>
                        <w:ind w:firstLine="567"/>
                        <w:jc w:val="both"/>
                        <w:rPr>
                          <w:color w:val="000000"/>
                        </w:rPr>
                      </w:pPr>
                      <w:r>
                        <w:rPr>
                          <w:color w:val="000000"/>
                        </w:rPr>
                        <w:t>Tokios galinčios degti medžiagos neturi kelti rizikos, kad užsidegs kitos tam žaislui panaudotos medžiagos.</w:t>
                      </w:r>
                    </w:p>
                  </w:sdtContent>
                </w:sdt>
              </w:sdtContent>
            </w:sdt>
            <w:sdt>
              <w:sdtPr>
                <w:alias w:val="2 pr. 21 p."/>
                <w:tag w:val="part_4e4779aee1c0484fb1444a61c714bfe9"/>
                <w:lock w:val="sdtLocked"/>
                <w:richText/>
              </w:sdtPr>
              <w:sdtContent>
                <w:p>
                  <w:pPr>
                    <w:widowControl w:val="0"/>
                    <w:suppressAutoHyphens/>
                    <w:ind w:firstLine="567"/>
                    <w:jc w:val="both"/>
                    <w:rPr>
                      <w:color w:val="000000"/>
                    </w:rPr>
                  </w:pPr>
                  <w:sdt>
                    <w:sdtPr>
                      <w:alias w:val="Numeris"/>
                      <w:tag w:val="nr_4e4779aee1c0484fb1444a61c714bfe9"/>
                      <w:lock w:val="sdtLocked"/>
                      <w:richText/>
                    </w:sdtPr>
                    <w:sdtContent>
                      <w:r>
                        <w:rPr>
                          <w:color w:val="000000"/>
                        </w:rPr>
                        <w:t>21</w:t>
                      </w:r>
                    </w:sdtContent>
                  </w:sdt>
                  <w:r>
                    <w:rPr>
                      <w:color w:val="000000"/>
                    </w:rPr>
                    <w:t>. Žaisluose, kuriuose dėl jų funkcionavimui esminių priežasčių yra medžiagų ar mišinių, atitinkančių Žaislų saugos techninio reglamento (toliau – Reglamentas) 4 priedo 1 punkte nustatytus klasifikavimo kriterijus, ypač chemijos bandymams, modelių surinkimui, plastikinei ir keraminei lipdybai, emaliavimui, fotografijai ir panašių rūšių veiklai skirtuose reikmenyse ir įrenginiuose, neturi būti medžiagų ar mišinių, kurie gali tapti degūs netekę nedegių lakių komponentų.</w:t>
                  </w:r>
                </w:p>
              </w:sdtContent>
            </w:sdt>
            <w:sdt>
              <w:sdtPr>
                <w:alias w:val="2 pr. 22 p."/>
                <w:tag w:val="part_1fedcfe836a143fe9f96071cf018966b"/>
                <w:lock w:val="sdtLocked"/>
                <w:richText/>
              </w:sdtPr>
              <w:sdtContent>
                <w:p>
                  <w:pPr>
                    <w:ind w:firstLine="567"/>
                    <w:jc w:val="both"/>
                    <w:textAlignment w:val="baseline"/>
                    <w:rPr>
                      <w:color w:val="000000"/>
                    </w:rPr>
                  </w:pPr>
                  <w:sdt>
                    <w:sdtPr>
                      <w:alias w:val="Numeris"/>
                      <w:tag w:val="nr_1fedcfe836a143fe9f96071cf018966b"/>
                      <w:lock w:val="sdtLocked"/>
                      <w:richText/>
                    </w:sdtPr>
                    <w:sdtContent>
                      <w:r>
                        <w:rPr>
                          <w:color w:val="000000"/>
                          <w:sz w:val="23"/>
                          <w:szCs w:val="23"/>
                        </w:rPr>
                        <w:t>22</w:t>
                      </w:r>
                    </w:sdtContent>
                  </w:sdt>
                  <w:r>
                    <w:rPr>
                      <w:color w:val="000000"/>
                      <w:sz w:val="23"/>
                      <w:szCs w:val="23"/>
                    </w:rPr>
                    <w:t>. Žaislai, išskyrus žaislines sprogdinimo kapsules, neturi būti sprogstami arba juose neturi būti galinčių sprogti elementų ar medžiagų, juos naudojant, kaip nurodyta Reglamento 13.2 papunktyje.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8f9b708fdd11e8b93ad15b34c9248c">
                    <w:r w:rsidRPr="00532B9F">
                      <w:rPr>
                        <w:rFonts w:ascii="Times New Roman" w:eastAsia="MS Mincho" w:hAnsi="Times New Roman"/>
                        <w:sz w:val="20"/>
                        <w:i/>
                        <w:iCs/>
                        <w:color w:val="0000FF" w:themeColor="hyperlink"/>
                        <w:u w:val="single"/>
                      </w:rPr>
                      <w:t>4-472</w:t>
                    </w:r>
                  </w:fldSimple>
                  <w:r>
                    <w:rPr>
                      <w:rFonts w:ascii="Times New Roman" w:eastAsia="MS Mincho" w:hAnsi="Times New Roman"/>
                      <w:sz w:val="20"/>
                      <w:i/>
                      <w:iCs/>
                    </w:rPr>
                    <w:t>,
2018-07-25,
paskelbta TAR 2018-07-25, i. k. 2018-12375            </w:t>
                  </w:r>
                </w:p>
                <w:p/>
              </w:sdtContent>
            </w:sdt>
            <w:sdt>
              <w:sdtPr>
                <w:alias w:val="2 pr. 23 p."/>
                <w:tag w:val="part_41118f6d0cf44a5e896743423c66eda0"/>
                <w:lock w:val="sdtLocked"/>
                <w:richText/>
              </w:sdtPr>
              <w:sdtContent>
                <w:p>
                  <w:pPr>
                    <w:widowControl w:val="0"/>
                    <w:suppressAutoHyphens/>
                    <w:ind w:firstLine="567"/>
                    <w:jc w:val="both"/>
                    <w:rPr>
                      <w:color w:val="000000"/>
                    </w:rPr>
                  </w:pPr>
                  <w:sdt>
                    <w:sdtPr>
                      <w:alias w:val="Numeris"/>
                      <w:tag w:val="nr_41118f6d0cf44a5e896743423c66eda0"/>
                      <w:lock w:val="sdtLocked"/>
                      <w:richText/>
                    </w:sdtPr>
                    <w:sdtContent>
                      <w:r>
                        <w:rPr>
                          <w:color w:val="000000"/>
                        </w:rPr>
                        <w:t>23</w:t>
                      </w:r>
                    </w:sdtContent>
                  </w:sdt>
                  <w:r>
                    <w:rPr>
                      <w:color w:val="000000"/>
                    </w:rPr>
                    <w:t>. Žaisluose ir ypač chemijos žaidimuose bei žaisluose neturi būti medžiagų ar mišinių:</w:t>
                  </w:r>
                </w:p>
                <w:sdt>
                  <w:sdtPr>
                    <w:alias w:val="2 pr. 23.1 p."/>
                    <w:tag w:val="part_2c1a5f0715414ae4a8da2d11d4f32ed0"/>
                    <w:lock w:val="sdtLocked"/>
                    <w:richText/>
                  </w:sdtPr>
                  <w:sdtContent>
                    <w:p>
                      <w:pPr>
                        <w:widowControl w:val="0"/>
                        <w:suppressAutoHyphens/>
                        <w:ind w:firstLine="567"/>
                        <w:jc w:val="both"/>
                        <w:rPr>
                          <w:color w:val="000000"/>
                        </w:rPr>
                      </w:pPr>
                      <w:sdt>
                        <w:sdtPr>
                          <w:alias w:val="Numeris"/>
                          <w:tag w:val="nr_2c1a5f0715414ae4a8da2d11d4f32ed0"/>
                          <w:lock w:val="sdtLocked"/>
                          <w:richText/>
                        </w:sdtPr>
                        <w:sdtContent>
                          <w:r>
                            <w:rPr>
                              <w:color w:val="000000"/>
                            </w:rPr>
                            <w:t>23.1</w:t>
                          </w:r>
                        </w:sdtContent>
                      </w:sdt>
                      <w:r>
                        <w:rPr>
                          <w:color w:val="000000"/>
                        </w:rPr>
                        <w:t>. kurie, sumaišyti kartu, gali sprogti dėl cheminės reakcijos arba pakaitinus;</w:t>
                      </w:r>
                    </w:p>
                  </w:sdtContent>
                </w:sdt>
                <w:sdt>
                  <w:sdtPr>
                    <w:alias w:val="2 pr. 23.2 p."/>
                    <w:tag w:val="part_1c346b3b72ae43388a8140e246e5de71"/>
                    <w:lock w:val="sdtLocked"/>
                    <w:richText/>
                  </w:sdtPr>
                  <w:sdtContent>
                    <w:p>
                      <w:pPr>
                        <w:widowControl w:val="0"/>
                        <w:suppressAutoHyphens/>
                        <w:ind w:firstLine="567"/>
                        <w:jc w:val="both"/>
                        <w:rPr>
                          <w:color w:val="000000"/>
                        </w:rPr>
                      </w:pPr>
                      <w:sdt>
                        <w:sdtPr>
                          <w:alias w:val="Numeris"/>
                          <w:tag w:val="nr_1c346b3b72ae43388a8140e246e5de71"/>
                          <w:lock w:val="sdtLocked"/>
                          <w:richText/>
                        </w:sdtPr>
                        <w:sdtContent>
                          <w:r>
                            <w:rPr>
                              <w:color w:val="000000"/>
                            </w:rPr>
                            <w:t>23.2</w:t>
                          </w:r>
                        </w:sdtContent>
                      </w:sdt>
                      <w:r>
                        <w:rPr>
                          <w:color w:val="000000"/>
                        </w:rPr>
                        <w:t>. kurie gali sprogti, sumaišyti su oksiduojančiomis medžiagomis;</w:t>
                      </w:r>
                    </w:p>
                  </w:sdtContent>
                </w:sdt>
                <w:sdt>
                  <w:sdtPr>
                    <w:alias w:val="2 pr. 23.3 p."/>
                    <w:tag w:val="part_62080ec2bf434868a1856553622a3e61"/>
                    <w:lock w:val="sdtLocked"/>
                    <w:richText/>
                  </w:sdtPr>
                  <w:sdtContent>
                    <w:p>
                      <w:pPr>
                        <w:widowControl w:val="0"/>
                        <w:suppressAutoHyphens/>
                        <w:ind w:firstLine="567"/>
                        <w:jc w:val="both"/>
                        <w:rPr>
                          <w:color w:val="000000"/>
                        </w:rPr>
                      </w:pPr>
                      <w:sdt>
                        <w:sdtPr>
                          <w:alias w:val="Numeris"/>
                          <w:tag w:val="nr_62080ec2bf434868a1856553622a3e61"/>
                          <w:lock w:val="sdtLocked"/>
                          <w:richText/>
                        </w:sdtPr>
                        <w:sdtContent>
                          <w:r>
                            <w:rPr>
                              <w:color w:val="000000"/>
                            </w:rPr>
                            <w:t>23.3</w:t>
                          </w:r>
                        </w:sdtContent>
                      </w:sdt>
                      <w:r>
                        <w:rPr>
                          <w:color w:val="000000"/>
                        </w:rPr>
                        <w:t>. arba kurie turi lakiųjų komponentų, galinčių užsidegti ore ir sudaryti degų sprogstamą garo ar oro mišinį.</w:t>
                      </w:r>
                    </w:p>
                    <w:p>
                      <w:pPr>
                        <w:widowControl w:val="0"/>
                        <w:suppressAutoHyphens/>
                        <w:ind w:firstLine="567"/>
                        <w:jc w:val="both"/>
                        <w:rPr>
                          <w:color w:val="000000"/>
                        </w:rPr>
                      </w:pPr>
                    </w:p>
                  </w:sdtContent>
                </w:sdt>
              </w:sdtContent>
            </w:sdt>
          </w:sdtContent>
        </w:sdt>
        <w:sdt>
          <w:sdtPr>
            <w:alias w:val="skyrius"/>
            <w:tag w:val="part_47a71607d055490e95f0fc6db20af6cb"/>
            <w:lock w:val="sdtLocked"/>
            <w:richText/>
          </w:sdtPr>
          <w:sdtContent>
            <w:p>
              <w:pPr>
                <w:keepLines/>
                <w:widowControl w:val="0"/>
                <w:suppressAutoHyphens/>
                <w:jc w:val="center"/>
                <w:rPr>
                  <w:b/>
                  <w:bCs/>
                  <w:caps/>
                  <w:color w:val="000000"/>
                </w:rPr>
              </w:pPr>
              <w:sdt>
                <w:sdtPr>
                  <w:alias w:val="Numeris"/>
                  <w:tag w:val="nr_47a71607d055490e95f0fc6db20af6cb"/>
                  <w:lock w:val="sdtLocked"/>
                  <w:richText/>
                </w:sdtPr>
                <w:sdtContent>
                  <w:r>
                    <w:rPr>
                      <w:b/>
                      <w:bCs/>
                      <w:caps/>
                      <w:color w:val="000000"/>
                    </w:rPr>
                    <w:t>IV</w:t>
                  </w:r>
                </w:sdtContent>
              </w:sdt>
              <w:r>
                <w:rPr>
                  <w:b/>
                  <w:bCs/>
                  <w:caps/>
                  <w:color w:val="000000"/>
                </w:rPr>
                <w:t xml:space="preserve"> SKYRIUS</w:t>
              </w:r>
            </w:p>
            <w:p>
              <w:pPr>
                <w:keepLines/>
                <w:widowControl w:val="0"/>
                <w:suppressAutoHyphens/>
                <w:jc w:val="center"/>
                <w:rPr>
                  <w:b/>
                  <w:bCs/>
                  <w:caps/>
                  <w:color w:val="000000"/>
                </w:rPr>
              </w:pPr>
              <w:sdt>
                <w:sdtPr>
                  <w:alias w:val="Pavadinimas"/>
                  <w:tag w:val="title_47a71607d055490e95f0fc6db20af6cb"/>
                  <w:lock w:val="sdtLocked"/>
                  <w:richText/>
                </w:sdtPr>
                <w:sdtContent>
                  <w:r>
                    <w:rPr>
                      <w:b/>
                      <w:bCs/>
                      <w:caps/>
                      <w:color w:val="000000"/>
                    </w:rPr>
                    <w:t xml:space="preserve">CHEMINĖS SAVYBĖS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8f9b708fdd11e8b93ad15b34c9248c">
                <w:r w:rsidRPr="00532B9F">
                  <w:rPr>
                    <w:rFonts w:ascii="Times New Roman" w:eastAsia="MS Mincho" w:hAnsi="Times New Roman"/>
                    <w:sz w:val="20"/>
                    <w:i/>
                    <w:iCs/>
                    <w:color w:val="0000FF" w:themeColor="hyperlink"/>
                    <w:u w:val="single"/>
                  </w:rPr>
                  <w:t>4-472</w:t>
                </w:r>
              </w:fldSimple>
              <w:r>
                <w:rPr>
                  <w:rFonts w:ascii="Times New Roman" w:eastAsia="MS Mincho" w:hAnsi="Times New Roman"/>
                  <w:sz w:val="20"/>
                  <w:i/>
                  <w:iCs/>
                </w:rPr>
                <w:t>,
2018-07-25,
paskelbta TAR 2018-07-25, i. k. 2018-12375        </w:t>
              </w:r>
            </w:p>
            <w:p/>
            <w:sdt>
              <w:sdtPr>
                <w:alias w:val="2 pr. 24 p."/>
                <w:tag w:val="part_3fa16a87ed0b4451a9c8fc89c3738af9"/>
                <w:lock w:val="sdtLocked"/>
                <w:richText/>
              </w:sdtPr>
              <w:sdtContent>
                <w:p>
                  <w:pPr>
                    <w:widowControl w:val="0"/>
                    <w:suppressAutoHyphens/>
                    <w:ind w:firstLine="567"/>
                    <w:jc w:val="both"/>
                    <w:rPr>
                      <w:color w:val="000000"/>
                      <w:sz w:val="23"/>
                      <w:szCs w:val="23"/>
                    </w:rPr>
                  </w:pPr>
                  <w:sdt>
                    <w:sdtPr>
                      <w:alias w:val="Numeris"/>
                      <w:tag w:val="nr_3fa16a87ed0b4451a9c8fc89c3738af9"/>
                      <w:lock w:val="sdtLocked"/>
                      <w:richText/>
                    </w:sdtPr>
                    <w:sdtContent>
                      <w:r>
                        <w:rPr>
                          <w:color w:val="000000"/>
                          <w:sz w:val="23"/>
                          <w:szCs w:val="23"/>
                        </w:rPr>
                        <w:t>24</w:t>
                      </w:r>
                    </w:sdtContent>
                  </w:sdt>
                  <w:r>
                    <w:rPr>
                      <w:color w:val="000000"/>
                      <w:sz w:val="23"/>
                      <w:szCs w:val="23"/>
                    </w:rPr>
                    <w:t>. Žaislai turi būti suprojektuoti ir pagaminti taip, kad nekiltų rizika, jog bus pakenkta žmonių sveikatai dėl cheminių medžiagų ir mišinių, iš kurių žaislai sudaryti ar kurių yra žaislų sudėtyje, poveikio, jei žaislai naudojami, kaip nurodyta Reglamento 13.2 papunktyje.</w:t>
                  </w:r>
                </w:p>
                <w:p>
                  <w:pPr>
                    <w:widowControl w:val="0"/>
                    <w:suppressAutoHyphens/>
                    <w:ind w:firstLine="567"/>
                    <w:jc w:val="both"/>
                    <w:rPr>
                      <w:color w:val="000000"/>
                    </w:rPr>
                  </w:pPr>
                  <w:r>
                    <w:rPr>
                      <w:color w:val="000000"/>
                      <w:sz w:val="23"/>
                      <w:szCs w:val="23"/>
                    </w:rPr>
                    <w:t>Žaislai turi atitikti atitinkamus tiesiogiai taikomus Europos Sąjungos (toliau – Sąjunga) teisės aktus bei Sąjungos teisės aktus įgyvendinančius Lietuvos Respublikos teisės aktus, susijusius su tam tikrų kategorijų produktais arba tam tikrų medžiagų ar mišinių ribojimu.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8f9b708fdd11e8b93ad15b34c9248c">
                    <w:r w:rsidRPr="00532B9F">
                      <w:rPr>
                        <w:rFonts w:ascii="Times New Roman" w:eastAsia="MS Mincho" w:hAnsi="Times New Roman"/>
                        <w:sz w:val="20"/>
                        <w:i/>
                        <w:iCs/>
                        <w:color w:val="0000FF" w:themeColor="hyperlink"/>
                        <w:u w:val="single"/>
                      </w:rPr>
                      <w:t>4-472</w:t>
                    </w:r>
                  </w:fldSimple>
                  <w:r>
                    <w:rPr>
                      <w:rFonts w:ascii="Times New Roman" w:eastAsia="MS Mincho" w:hAnsi="Times New Roman"/>
                      <w:sz w:val="20"/>
                      <w:i/>
                      <w:iCs/>
                    </w:rPr>
                    <w:t>,
2018-07-25,
paskelbta TAR 2018-07-25, i. k. 2018-12375            </w:t>
                  </w:r>
                </w:p>
                <w:p/>
              </w:sdtContent>
            </w:sdt>
            <w:sdt>
              <w:sdtPr>
                <w:alias w:val="2 pr. 25 p."/>
                <w:tag w:val="part_01c1bc04c9be4763b3533c96cffcd922"/>
                <w:lock w:val="sdtLocked"/>
                <w:richText/>
              </w:sdtPr>
              <w:sdtContent>
                <w:p>
                  <w:pPr>
                    <w:ind w:firstLine="567"/>
                    <w:jc w:val="both"/>
                    <w:rPr>
                      <w:color w:val="000000"/>
                    </w:rPr>
                  </w:pPr>
                  <w:sdt>
                    <w:sdtPr>
                      <w:alias w:val="Numeris"/>
                      <w:tag w:val="nr_01c1bc04c9be4763b3533c96cffcd922"/>
                      <w:lock w:val="sdtLocked"/>
                      <w:richText/>
                    </w:sdtPr>
                    <w:sdtContent>
                      <w:r>
                        <w:rPr>
                          <w:szCs w:val="24"/>
                        </w:rPr>
                        <w:t>25</w:t>
                      </w:r>
                    </w:sdtContent>
                  </w:sdt>
                  <w:r>
                    <w:rPr>
                      <w:szCs w:val="24"/>
                    </w:rPr>
                    <w:t>. Žaislai, kurie patys yra medžiagos ar mišiniai, turi atitikti šį Reglamentą, 2008 m. gruodžio 16 d. Europos Parlamento ir Tarybos reglamentą (EB) Nr. 1272/2008 dėl cheminių medžiagų ir mišinių klasifikavimo, ženklinimo ir pakavimo, iš dalies keičiantį ir panaikinantį direktyvas 67/548/EEB bei 1999/45/EB ir iš dalies keičiantį Reglamentą (EB) Nr. 1907/2006 su paskutiniais pakeitimais, padarytais 2019 m. spalio 4 d. Komisijos deleguotuoju reglamentu (ES) 2020/217, ir reikalavimus, susijusius su cheminių medžiagų ir mišinių klasifikavimu, pakavimu ir ženklinimu.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54d0dc1b11e39a43a3f57c05722e">
                    <w:r w:rsidRPr="00532B9F">
                      <w:rPr>
                        <w:rFonts w:ascii="Times New Roman" w:eastAsia="MS Mincho" w:hAnsi="Times New Roman"/>
                        <w:sz w:val="20"/>
                        <w:i/>
                        <w:iCs/>
                        <w:color w:val="0000FF" w:themeColor="hyperlink"/>
                        <w:u w:val="single"/>
                      </w:rPr>
                      <w:t>4-274</w:t>
                    </w:r>
                  </w:fldSimple>
                  <w:r>
                    <w:rPr>
                      <w:rFonts w:ascii="Times New Roman" w:eastAsia="MS Mincho" w:hAnsi="Times New Roman"/>
                      <w:sz w:val="20"/>
                      <w:i/>
                      <w:iCs/>
                    </w:rPr>
                    <w:t>,
2014-05-14,
paskelbta TAR 2014-05-15, i. k. 2014-05439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8f9b708fdd11e8b93ad15b34c9248c">
                    <w:r w:rsidRPr="00532B9F">
                      <w:rPr>
                        <w:rFonts w:ascii="Times New Roman" w:eastAsia="MS Mincho" w:hAnsi="Times New Roman"/>
                        <w:sz w:val="20"/>
                        <w:i/>
                        <w:iCs/>
                        <w:color w:val="0000FF" w:themeColor="hyperlink"/>
                        <w:u w:val="single"/>
                      </w:rPr>
                      <w:t>4-472</w:t>
                    </w:r>
                  </w:fldSimple>
                  <w:r>
                    <w:rPr>
                      <w:rFonts w:ascii="Times New Roman" w:eastAsia="MS Mincho" w:hAnsi="Times New Roman"/>
                      <w:sz w:val="20"/>
                      <w:i/>
                      <w:iCs/>
                    </w:rPr>
                    <w:t>,
2018-07-25,
paskelbta TAR 2018-07-25, i. k. 2018-12375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0534e0f10b11eaa12ad7c04a383ca0">
                    <w:r w:rsidRPr="00532B9F">
                      <w:rPr>
                        <w:rFonts w:ascii="Times New Roman" w:eastAsia="MS Mincho" w:hAnsi="Times New Roman"/>
                        <w:sz w:val="20"/>
                        <w:i/>
                        <w:iCs/>
                        <w:color w:val="0000FF" w:themeColor="hyperlink"/>
                        <w:u w:val="single"/>
                      </w:rPr>
                      <w:t>4-756</w:t>
                    </w:r>
                  </w:fldSimple>
                  <w:r>
                    <w:rPr>
                      <w:rFonts w:ascii="Times New Roman" w:eastAsia="MS Mincho" w:hAnsi="Times New Roman"/>
                      <w:sz w:val="20"/>
                      <w:i/>
                      <w:iCs/>
                    </w:rPr>
                    <w:t>,
2020-09-07,
paskelbta TAR 2020-09-07, i. k. 2020-18852            </w:t>
                  </w:r>
                </w:p>
                <w:p/>
              </w:sdtContent>
            </w:sdt>
            <w:sdt>
              <w:sdtPr>
                <w:alias w:val="2 pr. 26 p."/>
                <w:tag w:val="part_513d24932bd840149a76f14bc73bc928"/>
                <w:lock w:val="sdtLocked"/>
                <w:richText/>
              </w:sdtPr>
              <w:sdtContent>
                <w:p>
                  <w:pPr>
                    <w:widowControl w:val="0"/>
                    <w:suppressAutoHyphens/>
                    <w:ind w:firstLine="567"/>
                    <w:jc w:val="both"/>
                    <w:rPr>
                      <w:color w:val="000000"/>
                    </w:rPr>
                  </w:pPr>
                  <w:sdt>
                    <w:sdtPr>
                      <w:alias w:val="Numeris"/>
                      <w:tag w:val="nr_513d24932bd840149a76f14bc73bc928"/>
                      <w:lock w:val="sdtLocked"/>
                      <w:richText/>
                    </w:sdtPr>
                    <w:sdtContent>
                      <w:r>
                        <w:rPr>
                          <w:color w:val="000000"/>
                          <w:sz w:val="23"/>
                          <w:szCs w:val="23"/>
                        </w:rPr>
                        <w:t>26</w:t>
                      </w:r>
                    </w:sdtContent>
                  </w:sdt>
                  <w:r>
                    <w:rPr>
                      <w:color w:val="000000"/>
                      <w:sz w:val="23"/>
                      <w:szCs w:val="23"/>
                    </w:rPr>
                    <w:t>. Nepažeidžiant Aprašo 24 punkto antrojoje pastraipoje nustatytų taikomų apribojimų, žaisluose, žaislų sudedamosiose dalyse arba mikrostruktūriškai atskirose žaislų dalyse nenaudojamos medžiagos, kurios remiantis Reglamentu 1272/2008 klasifikuojamos kaip kancerogeninės, mutageninės arba toksiškos reprodukcijai (CMR) pagal 1A, 1B arba 2 kategorijas.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8f9b708fdd11e8b93ad15b34c9248c">
                    <w:r w:rsidRPr="00532B9F">
                      <w:rPr>
                        <w:rFonts w:ascii="Times New Roman" w:eastAsia="MS Mincho" w:hAnsi="Times New Roman"/>
                        <w:sz w:val="20"/>
                        <w:i/>
                        <w:iCs/>
                        <w:color w:val="0000FF" w:themeColor="hyperlink"/>
                        <w:u w:val="single"/>
                      </w:rPr>
                      <w:t>4-472</w:t>
                    </w:r>
                  </w:fldSimple>
                  <w:r>
                    <w:rPr>
                      <w:rFonts w:ascii="Times New Roman" w:eastAsia="MS Mincho" w:hAnsi="Times New Roman"/>
                      <w:sz w:val="20"/>
                      <w:i/>
                      <w:iCs/>
                    </w:rPr>
                    <w:t>,
2018-07-25,
paskelbta TAR 2018-07-25, i. k. 2018-12375            </w:t>
                  </w:r>
                </w:p>
                <w:p/>
              </w:sdtContent>
            </w:sdt>
            <w:sdt>
              <w:sdtPr>
                <w:alias w:val="2 pr. 27 p."/>
                <w:tag w:val="part_370de254e24d48389b9483930cdd5f73"/>
                <w:lock w:val="sdtLocked"/>
                <w:richText/>
              </w:sdtPr>
              <w:sdtContent>
                <w:p>
                  <w:pPr>
                    <w:widowControl w:val="0"/>
                    <w:suppressAutoHyphens/>
                    <w:ind w:firstLine="567"/>
                    <w:jc w:val="both"/>
                    <w:rPr>
                      <w:color w:val="000000"/>
                    </w:rPr>
                  </w:pPr>
                  <w:sdt>
                    <w:sdtPr>
                      <w:alias w:val="Numeris"/>
                      <w:tag w:val="nr_370de254e24d48389b9483930cdd5f73"/>
                      <w:lock w:val="sdtLocked"/>
                      <w:richText/>
                    </w:sdtPr>
                    <w:sdtContent>
                      <w:r>
                        <w:rPr>
                          <w:color w:val="000000"/>
                        </w:rPr>
                        <w:t>27</w:t>
                      </w:r>
                    </w:sdtContent>
                  </w:sdt>
                  <w:r>
                    <w:rPr>
                      <w:color w:val="000000"/>
                    </w:rPr>
                    <w:t>. Nukrypstant nuo Aprašo 26 punkto nuostatų, medžiagas arba mišinius, kurie klasifikuojami kaip Reglamento 4 priedo 3 punkte išvardytų kategorijų CMR medžiagos, galima naudoti žaisluose, žaislų sudedamosiose dalyse arba mikrostruktūriškai atskirose žaislų dalyse, jeigu tenkinama viena ar daugiau šių sąlygų:</w:t>
                  </w:r>
                </w:p>
                <w:sdt>
                  <w:sdtPr>
                    <w:alias w:val="2 pr. 27.1 p."/>
                    <w:tag w:val="part_55c1ab60a5914135af327cb1f3f11c36"/>
                    <w:lock w:val="sdtLocked"/>
                    <w:richText/>
                  </w:sdtPr>
                  <w:sdtContent>
                    <w:p>
                      <w:pPr>
                        <w:widowControl w:val="0"/>
                        <w:suppressAutoHyphens/>
                        <w:ind w:firstLine="567"/>
                        <w:jc w:val="both"/>
                        <w:rPr>
                          <w:color w:val="000000"/>
                          <w:spacing w:val="-4"/>
                        </w:rPr>
                      </w:pPr>
                      <w:sdt>
                        <w:sdtPr>
                          <w:alias w:val="Numeris"/>
                          <w:tag w:val="nr_55c1ab60a5914135af327cb1f3f11c36"/>
                          <w:lock w:val="sdtLocked"/>
                          <w:richText/>
                        </w:sdtPr>
                        <w:sdtContent>
                          <w:r>
                            <w:rPr>
                              <w:color w:val="000000"/>
                              <w:spacing w:val="-4"/>
                            </w:rPr>
                            <w:t>27.1</w:t>
                          </w:r>
                        </w:sdtContent>
                      </w:sdt>
                      <w:r>
                        <w:rPr>
                          <w:color w:val="000000"/>
                          <w:spacing w:val="-4"/>
                        </w:rPr>
                        <w:t>. naudojamos medžiagos ir mišiniai, kurių individuali koncentracija prilygsta arba yra mažesnė negu atitinkama koncentracija, nustatyta Reglamento 4 priedo 2 punkte nurodytuose teisės aktuose dėl šių medžiagų turinčių mišinių klasifikavimo;</w:t>
                      </w:r>
                    </w:p>
                  </w:sdtContent>
                </w:sdt>
                <w:sdt>
                  <w:sdtPr>
                    <w:alias w:val="2 pr. 27.2 p."/>
                    <w:tag w:val="part_56462b0581964a39b4b9d07907a87ca6"/>
                    <w:lock w:val="sdtLocked"/>
                    <w:richText/>
                  </w:sdtPr>
                  <w:sdtContent>
                    <w:p>
                      <w:pPr>
                        <w:widowControl w:val="0"/>
                        <w:suppressAutoHyphens/>
                        <w:ind w:firstLine="567"/>
                        <w:jc w:val="both"/>
                        <w:rPr>
                          <w:color w:val="000000"/>
                        </w:rPr>
                      </w:pPr>
                      <w:sdt>
                        <w:sdtPr>
                          <w:alias w:val="Numeris"/>
                          <w:tag w:val="nr_56462b0581964a39b4b9d07907a87ca6"/>
                          <w:lock w:val="sdtLocked"/>
                          <w:richText/>
                        </w:sdtPr>
                        <w:sdtContent>
                          <w:r>
                            <w:rPr>
                              <w:color w:val="000000"/>
                              <w:sz w:val="23"/>
                              <w:szCs w:val="23"/>
                            </w:rPr>
                            <w:t>27.2</w:t>
                          </w:r>
                        </w:sdtContent>
                      </w:sdt>
                      <w:r>
                        <w:rPr>
                          <w:color w:val="000000"/>
                          <w:sz w:val="23"/>
                          <w:szCs w:val="23"/>
                        </w:rPr>
                        <w:t>. naudojant žaislą, kaip nurodyta Reglamento 13.2 papunktyje, šios medžiagos ar mišiniai negali būti prieinami vaikams, įskaitant tai, kad negali būti įmanoma jų įkvėpti;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8f9b708fdd11e8b93ad15b34c9248c">
                        <w:r w:rsidRPr="00532B9F">
                          <w:rPr>
                            <w:rFonts w:ascii="Times New Roman" w:eastAsia="MS Mincho" w:hAnsi="Times New Roman"/>
                            <w:sz w:val="20"/>
                            <w:i/>
                            <w:iCs/>
                            <w:color w:val="0000FF" w:themeColor="hyperlink"/>
                            <w:u w:val="single"/>
                          </w:rPr>
                          <w:t>4-472</w:t>
                        </w:r>
                      </w:fldSimple>
                      <w:r>
                        <w:rPr>
                          <w:rFonts w:ascii="Times New Roman" w:eastAsia="MS Mincho" w:hAnsi="Times New Roman"/>
                          <w:sz w:val="20"/>
                          <w:i/>
                          <w:iCs/>
                        </w:rPr>
                        <w:t>,
2018-07-25,
paskelbta TAR 2018-07-25, i. k. 2018-12375            </w:t>
                      </w:r>
                    </w:p>
                    <w:p/>
                  </w:sdtContent>
                </w:sdt>
                <w:sdt>
                  <w:sdtPr>
                    <w:alias w:val="2 pr. 27.3 p."/>
                    <w:tag w:val="part_b3128838835147a5a8935431329e7c2a"/>
                    <w:lock w:val="sdtLocked"/>
                    <w:richText/>
                  </w:sdtPr>
                  <w:sdtContent>
                    <w:p>
                      <w:pPr>
                        <w:widowControl w:val="0"/>
                        <w:suppressAutoHyphens/>
                        <w:ind w:firstLine="567"/>
                        <w:jc w:val="both"/>
                        <w:rPr>
                          <w:color w:val="000000"/>
                        </w:rPr>
                      </w:pPr>
                      <w:sdt>
                        <w:sdtPr>
                          <w:alias w:val="Numeris"/>
                          <w:tag w:val="nr_b3128838835147a5a8935431329e7c2a"/>
                          <w:lock w:val="sdtLocked"/>
                          <w:richText/>
                        </w:sdtPr>
                        <w:sdtContent>
                          <w:r>
                            <w:rPr>
                              <w:color w:val="000000"/>
                            </w:rPr>
                            <w:t>27.3</w:t>
                          </w:r>
                        </w:sdtContent>
                      </w:sdt>
                      <w:r>
                        <w:rPr>
                          <w:color w:val="000000"/>
                        </w:rPr>
                        <w:t xml:space="preserve">. kai medžiagą ar mišinį leista naudoti, o jų naudojimo būdai išvardyti Reglamento 3 priede. </w:t>
                      </w:r>
                    </w:p>
                  </w:sdtContent>
                </w:sdt>
              </w:sdtContent>
            </w:sdt>
            <w:sdt>
              <w:sdtPr>
                <w:alias w:val="2 pr. 28 p."/>
                <w:tag w:val="part_564826a30be54e87a1fe12102914ec4c"/>
                <w:lock w:val="sdtLocked"/>
                <w:richText/>
              </w:sdtPr>
              <w:sdtContent>
                <w:p>
                  <w:pPr>
                    <w:widowControl w:val="0"/>
                    <w:suppressAutoHyphens/>
                    <w:ind w:firstLine="567"/>
                    <w:jc w:val="both"/>
                    <w:rPr>
                      <w:color w:val="000000"/>
                    </w:rPr>
                  </w:pPr>
                  <w:sdt>
                    <w:sdtPr>
                      <w:alias w:val="Numeris"/>
                      <w:tag w:val="nr_564826a30be54e87a1fe12102914ec4c"/>
                      <w:lock w:val="sdtLocked"/>
                      <w:richText/>
                    </w:sdtPr>
                    <w:sdtContent>
                      <w:r>
                        <w:rPr>
                          <w:color w:val="000000"/>
                        </w:rPr>
                        <w:t>28</w:t>
                      </w:r>
                    </w:sdtContent>
                  </w:sdt>
                  <w:r>
                    <w:rPr>
                      <w:color w:val="000000"/>
                    </w:rPr>
                    <w:t>. Sprendimas leisti naudoti atitinkamų kategorijų CMR medžiagas gali būti priimtas, jeigu tenkinamos šios sąlygos:</w:t>
                  </w:r>
                </w:p>
                <w:sdt>
                  <w:sdtPr>
                    <w:alias w:val="2 pr. 28.1 p."/>
                    <w:tag w:val="part_dc08b4a5034041b38be6269bf98dd008"/>
                    <w:lock w:val="sdtLocked"/>
                    <w:richText/>
                  </w:sdtPr>
                  <w:sdtContent>
                    <w:p>
                      <w:pPr>
                        <w:widowControl w:val="0"/>
                        <w:suppressAutoHyphens/>
                        <w:ind w:firstLine="567"/>
                        <w:jc w:val="both"/>
                        <w:rPr>
                          <w:color w:val="000000"/>
                        </w:rPr>
                      </w:pPr>
                      <w:sdt>
                        <w:sdtPr>
                          <w:alias w:val="Numeris"/>
                          <w:tag w:val="nr_dc08b4a5034041b38be6269bf98dd008"/>
                          <w:lock w:val="sdtLocked"/>
                          <w:richText/>
                        </w:sdtPr>
                        <w:sdtContent>
                          <w:r>
                            <w:rPr>
                              <w:color w:val="000000"/>
                            </w:rPr>
                            <w:t>28.1</w:t>
                          </w:r>
                        </w:sdtContent>
                      </w:sdt>
                      <w:r>
                        <w:rPr>
                          <w:color w:val="000000"/>
                        </w:rPr>
                        <w:t>. mokslinis komitetas, vertinantis medžiagų ir mišinių naudojimą žaisluose, įvertina medžiagos ar mišinio naudojimą ir nustato, kad visų pirma, atsižvelgiant į poveikį, jos yra saugios;</w:t>
                      </w:r>
                    </w:p>
                  </w:sdtContent>
                </w:sdt>
                <w:sdt>
                  <w:sdtPr>
                    <w:alias w:val="2 pr. 28.2 p."/>
                    <w:tag w:val="part_83c63350a4b84fc7bca84ba83d87d1a3"/>
                    <w:lock w:val="sdtLocked"/>
                    <w:richText/>
                  </w:sdtPr>
                  <w:sdtContent>
                    <w:p>
                      <w:pPr>
                        <w:widowControl w:val="0"/>
                        <w:suppressAutoHyphens/>
                        <w:ind w:firstLine="567"/>
                        <w:jc w:val="both"/>
                        <w:rPr>
                          <w:color w:val="000000"/>
                        </w:rPr>
                      </w:pPr>
                      <w:sdt>
                        <w:sdtPr>
                          <w:alias w:val="Numeris"/>
                          <w:tag w:val="nr_83c63350a4b84fc7bca84ba83d87d1a3"/>
                          <w:lock w:val="sdtLocked"/>
                          <w:richText/>
                        </w:sdtPr>
                        <w:sdtContent>
                          <w:r>
                            <w:rPr>
                              <w:color w:val="000000"/>
                            </w:rPr>
                            <w:t>28.2</w:t>
                          </w:r>
                        </w:sdtContent>
                      </w:sdt>
                      <w:r>
                        <w:rPr>
                          <w:color w:val="000000"/>
                        </w:rPr>
                        <w:t>. alternatyvų analize patvirtinama, kad neturima tinkamų pakaitinių medžiagų ar mišinių;</w:t>
                      </w:r>
                    </w:p>
                  </w:sdtContent>
                </w:sdt>
                <w:sdt>
                  <w:sdtPr>
                    <w:alias w:val="2 pr. 28.3 p."/>
                    <w:tag w:val="part_93dd6237a9034c97a4e7991dcf8c321c"/>
                    <w:lock w:val="sdtLocked"/>
                    <w:richText/>
                  </w:sdtPr>
                  <w:sdtContent>
                    <w:p>
                      <w:pPr>
                        <w:ind w:firstLine="567"/>
                        <w:jc w:val="both"/>
                        <w:rPr>
                          <w:color w:val="000000"/>
                        </w:rPr>
                      </w:pPr>
                      <w:sdt>
                        <w:sdtPr>
                          <w:alias w:val="Numeris"/>
                          <w:tag w:val="nr_93dd6237a9034c97a4e7991dcf8c321c"/>
                          <w:lock w:val="sdtLocked"/>
                          <w:richText/>
                        </w:sdtPr>
                        <w:sdtContent>
                          <w:r>
                            <w:rPr>
                              <w:color w:val="000000"/>
                              <w:szCs w:val="24"/>
                            </w:rPr>
                            <w:t>28.3</w:t>
                          </w:r>
                        </w:sdtContent>
                      </w:sdt>
                      <w:r>
                        <w:rPr>
                          <w:color w:val="000000"/>
                          <w:szCs w:val="24"/>
                        </w:rPr>
                        <w:t xml:space="preserve">. medžiagos ar mišinio nedraudžiama naudoti vartojimo prekėse pagal Europos Parlamento ir Tarybos reglamento (EB) Nr. 1907/2006 2006 m. gruodžio 18 d. dėl cheminių medžiagų registracijos, įvertinimo, autorizacijos ir apribojimų (REACH), įsteigiančio Europos cheminių medžiagų agentūrą, iš dalies keičiančio Direktyvą 1999/45/EB bei panaikinančio Tarybos reglamentą (EEB) Nr. 793/93, Komisijos reglamentą (EB) Nr. 1488/94, Tarybos direktyvą 76/769/EEB ir Komisijos direktyvas 91/155/EEB, 93/67/EEB, 93/105/EB bei 2000/21/EB su paskutiniais pakeitimais, padarytais </w:t>
                      </w:r>
                      <w:r>
                        <w:rPr>
                          <w:szCs w:val="24"/>
                        </w:rPr>
                        <w:t>2020 m. vasario 6 d. Komisijos reglamentu (ES) 2020/171</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54d0dc1b11e39a43a3f57c05722e">
                        <w:r w:rsidRPr="00532B9F">
                          <w:rPr>
                            <w:rFonts w:ascii="Times New Roman" w:eastAsia="MS Mincho" w:hAnsi="Times New Roman"/>
                            <w:sz w:val="20"/>
                            <w:i/>
                            <w:iCs/>
                            <w:color w:val="0000FF" w:themeColor="hyperlink"/>
                            <w:u w:val="single"/>
                          </w:rPr>
                          <w:t>4-274</w:t>
                        </w:r>
                      </w:fldSimple>
                      <w:r>
                        <w:rPr>
                          <w:rFonts w:ascii="Times New Roman" w:eastAsia="MS Mincho" w:hAnsi="Times New Roman"/>
                          <w:sz w:val="20"/>
                          <w:i/>
                          <w:iCs/>
                        </w:rPr>
                        <w:t>,
2014-05-14,
paskelbta TAR 2014-05-15, i. k. 2014-05439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0534e0f10b11eaa12ad7c04a383ca0">
                        <w:r w:rsidRPr="00532B9F">
                          <w:rPr>
                            <w:rFonts w:ascii="Times New Roman" w:eastAsia="MS Mincho" w:hAnsi="Times New Roman"/>
                            <w:sz w:val="20"/>
                            <w:i/>
                            <w:iCs/>
                            <w:color w:val="0000FF" w:themeColor="hyperlink"/>
                            <w:u w:val="single"/>
                          </w:rPr>
                          <w:t>4-756</w:t>
                        </w:r>
                      </w:fldSimple>
                      <w:r>
                        <w:rPr>
                          <w:rFonts w:ascii="Times New Roman" w:eastAsia="MS Mincho" w:hAnsi="Times New Roman"/>
                          <w:sz w:val="20"/>
                          <w:i/>
                          <w:iCs/>
                        </w:rPr>
                        <w:t>,
2020-09-07,
paskelbta TAR 2020-09-07, i. k. 2020-18852            </w:t>
                      </w:r>
                    </w:p>
                    <w:p/>
                  </w:sdtContent>
                </w:sdt>
              </w:sdtContent>
            </w:sdt>
            <w:sdt>
              <w:sdtPr>
                <w:alias w:val="2 pr. 29 p."/>
                <w:tag w:val="part_24af35760b084058b10fca86158cb0e2"/>
                <w:lock w:val="sdtLocked"/>
                <w:richText/>
              </w:sdtPr>
              <w:sdtContent>
                <w:p>
                  <w:pPr>
                    <w:widowControl w:val="0"/>
                    <w:suppressAutoHyphens/>
                    <w:ind w:firstLine="567"/>
                    <w:jc w:val="both"/>
                    <w:rPr>
                      <w:color w:val="000000"/>
                    </w:rPr>
                  </w:pPr>
                  <w:sdt>
                    <w:sdtPr>
                      <w:alias w:val="Numeris"/>
                      <w:tag w:val="nr_24af35760b084058b10fca86158cb0e2"/>
                      <w:lock w:val="sdtLocked"/>
                      <w:richText/>
                    </w:sdtPr>
                    <w:sdtContent>
                      <w:r>
                        <w:rPr>
                          <w:color w:val="000000"/>
                        </w:rPr>
                        <w:t>29</w:t>
                      </w:r>
                    </w:sdtContent>
                  </w:sdt>
                  <w:r>
                    <w:rPr>
                      <w:color w:val="000000"/>
                    </w:rPr>
                    <w:t>. Nukrypstant nuo Aprašo 26 punkto nuostatų, medžiagas arba mišinius, kurie klasifikuojami kaip Reglamento 4 priedo 4 punkte išvardytų kategorijų CMR medžiagos, galima naudoti žaisluose, žaislų sudedamosiose dalyse arba mikrostruktūriškai atskirose žaislų dalyse, jeigu tenkinama viena ar daugiau šių sąlygų:</w:t>
                  </w:r>
                </w:p>
                <w:sdt>
                  <w:sdtPr>
                    <w:alias w:val="29.1 p."/>
                    <w:tag w:val="part_a7d9cbe200bc43679317e0d55a69b23f"/>
                    <w:lock w:val="sdtLocked"/>
                    <w:richText/>
                  </w:sdtPr>
                  <w:sdtContent>
                    <w:p>
                      <w:pPr>
                        <w:widowControl w:val="0"/>
                        <w:suppressAutoHyphens/>
                        <w:ind w:firstLine="567"/>
                        <w:jc w:val="both"/>
                        <w:rPr>
                          <w:color w:val="000000"/>
                        </w:rPr>
                      </w:pPr>
                      <w:sdt>
                        <w:sdtPr>
                          <w:alias w:val="Numeris"/>
                          <w:tag w:val="nr_a7d9cbe200bc43679317e0d55a69b23f"/>
                          <w:lock w:val="sdtLocked"/>
                          <w:richText/>
                        </w:sdtPr>
                        <w:sdtContent>
                          <w:r>
                            <w:rPr>
                              <w:color w:val="000000"/>
                            </w:rPr>
                            <w:t>29.1</w:t>
                          </w:r>
                        </w:sdtContent>
                      </w:sdt>
                      <w:r>
                        <w:rPr>
                          <w:color w:val="000000"/>
                        </w:rPr>
                        <w:t>. naudojamos medžiagos ar mišiniai, kurių individuali koncentracija prilygsta arba yra mažesnė negu atitinkama koncentracija, nustatyta Reglamento 4 priedo 2 punkte nurodytuose teisės aktuose dėl šių medžiagų turinčių mišinių klasifikavimo;</w:t>
                      </w:r>
                    </w:p>
                  </w:sdtContent>
                </w:sdt>
                <w:sdt>
                  <w:sdtPr>
                    <w:alias w:val="2 pr. 29.2 p."/>
                    <w:tag w:val="part_8a5dd6746c3a4b6cb4471513b8a12da3"/>
                    <w:lock w:val="sdtLocked"/>
                    <w:richText/>
                  </w:sdtPr>
                  <w:sdtContent>
                    <w:p>
                      <w:pPr>
                        <w:widowControl w:val="0"/>
                        <w:suppressAutoHyphens/>
                        <w:ind w:firstLine="567"/>
                        <w:jc w:val="both"/>
                        <w:rPr>
                          <w:color w:val="000000"/>
                        </w:rPr>
                      </w:pPr>
                      <w:sdt>
                        <w:sdtPr>
                          <w:alias w:val="Numeris"/>
                          <w:tag w:val="nr_8a5dd6746c3a4b6cb4471513b8a12da3"/>
                          <w:lock w:val="sdtLocked"/>
                          <w:richText/>
                        </w:sdtPr>
                        <w:sdtContent>
                          <w:r>
                            <w:rPr>
                              <w:color w:val="000000"/>
                              <w:sz w:val="23"/>
                              <w:szCs w:val="23"/>
                            </w:rPr>
                            <w:t>29.2</w:t>
                          </w:r>
                        </w:sdtContent>
                      </w:sdt>
                      <w:r>
                        <w:rPr>
                          <w:color w:val="000000"/>
                          <w:sz w:val="23"/>
                          <w:szCs w:val="23"/>
                        </w:rPr>
                        <w:t>. naudojant žaislą, kaip nurodyta Reglamento 13.2 papunktyje, medžiagos ar mišiniai negali būti prieinami vaikams, įskaitant tai, kad negali būti įmanoma jų įkvėpti;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8f9b708fdd11e8b93ad15b34c9248c">
                        <w:r w:rsidRPr="00532B9F">
                          <w:rPr>
                            <w:rFonts w:ascii="Times New Roman" w:eastAsia="MS Mincho" w:hAnsi="Times New Roman"/>
                            <w:sz w:val="20"/>
                            <w:i/>
                            <w:iCs/>
                            <w:color w:val="0000FF" w:themeColor="hyperlink"/>
                            <w:u w:val="single"/>
                          </w:rPr>
                          <w:t>4-472</w:t>
                        </w:r>
                      </w:fldSimple>
                      <w:r>
                        <w:rPr>
                          <w:rFonts w:ascii="Times New Roman" w:eastAsia="MS Mincho" w:hAnsi="Times New Roman"/>
                          <w:sz w:val="20"/>
                          <w:i/>
                          <w:iCs/>
                        </w:rPr>
                        <w:t>,
2018-07-25,
paskelbta TAR 2018-07-25, i. k. 2018-12375            </w:t>
                      </w:r>
                    </w:p>
                    <w:p/>
                  </w:sdtContent>
                </w:sdt>
                <w:sdt>
                  <w:sdtPr>
                    <w:alias w:val="29.3 p."/>
                    <w:tag w:val="part_058e17c439fa4534817c9fd92f37df42"/>
                    <w:lock w:val="sdtLocked"/>
                    <w:richText/>
                  </w:sdtPr>
                  <w:sdtContent>
                    <w:p>
                      <w:pPr>
                        <w:widowControl w:val="0"/>
                        <w:suppressAutoHyphens/>
                        <w:ind w:firstLine="567"/>
                        <w:jc w:val="both"/>
                        <w:rPr>
                          <w:color w:val="000000"/>
                        </w:rPr>
                      </w:pPr>
                      <w:sdt>
                        <w:sdtPr>
                          <w:alias w:val="Numeris"/>
                          <w:tag w:val="nr_058e17c439fa4534817c9fd92f37df42"/>
                          <w:lock w:val="sdtLocked"/>
                          <w:richText/>
                        </w:sdtPr>
                        <w:sdtContent>
                          <w:r>
                            <w:rPr>
                              <w:color w:val="000000"/>
                            </w:rPr>
                            <w:t>29.3</w:t>
                          </w:r>
                        </w:sdtContent>
                      </w:sdt>
                      <w:r>
                        <w:rPr>
                          <w:color w:val="000000"/>
                        </w:rPr>
                        <w:t>. kai medžiagą ar mišinį leista naudoti, o jų sunaudojimo būdai pateikti Reglamento 3 priede.</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54d0dc1b11e39a43a3f57c05722e">
                    <w:r w:rsidRPr="00532B9F">
                      <w:rPr>
                        <w:rFonts w:ascii="Times New Roman" w:eastAsia="MS Mincho" w:hAnsi="Times New Roman"/>
                        <w:sz w:val="20"/>
                        <w:i/>
                        <w:iCs/>
                        <w:color w:val="0000FF" w:themeColor="hyperlink"/>
                        <w:u w:val="single"/>
                      </w:rPr>
                      <w:t>4-274</w:t>
                    </w:r>
                  </w:fldSimple>
                  <w:r>
                    <w:rPr>
                      <w:rFonts w:ascii="Times New Roman" w:eastAsia="MS Mincho" w:hAnsi="Times New Roman"/>
                      <w:sz w:val="20"/>
                      <w:i/>
                      <w:iCs/>
                    </w:rPr>
                    <w:t>,
2014-05-14,
paskelbta TAR 2014-05-15, i. k. 2014-05439            </w:t>
                  </w:r>
                </w:p>
                <w:p/>
              </w:sdtContent>
            </w:sdt>
            <w:sdt>
              <w:sdtPr>
                <w:alias w:val="2 pr. 30 p."/>
                <w:tag w:val="part_5624735830cc42e3ab81854b9740fd23"/>
                <w:lock w:val="sdtLocked"/>
                <w:richText/>
              </w:sdtPr>
              <w:sdtContent>
                <w:p>
                  <w:pPr>
                    <w:widowControl w:val="0"/>
                    <w:suppressAutoHyphens/>
                    <w:ind w:firstLine="567"/>
                    <w:jc w:val="both"/>
                    <w:rPr>
                      <w:color w:val="000000"/>
                    </w:rPr>
                  </w:pPr>
                  <w:sdt>
                    <w:sdtPr>
                      <w:alias w:val="Numeris"/>
                      <w:tag w:val="nr_5624735830cc42e3ab81854b9740fd23"/>
                      <w:lock w:val="sdtLocked"/>
                      <w:richText/>
                    </w:sdtPr>
                    <w:sdtContent>
                      <w:r>
                        <w:rPr>
                          <w:color w:val="000000"/>
                        </w:rPr>
                        <w:t>30</w:t>
                      </w:r>
                    </w:sdtContent>
                  </w:sdt>
                  <w:r>
                    <w:rPr>
                      <w:color w:val="000000"/>
                    </w:rPr>
                    <w:t>. Sprendimas leisti naudoti atitinkamų kategorijų CMR medžiagas gali būti priimtas, jeigu tenkinamos šios sąlygos:</w:t>
                  </w:r>
                </w:p>
                <w:sdt>
                  <w:sdtPr>
                    <w:alias w:val="2 pr. 30.1 p."/>
                    <w:tag w:val="part_536173038240477b9317b50dbadd6fcf"/>
                    <w:lock w:val="sdtLocked"/>
                    <w:richText/>
                  </w:sdtPr>
                  <w:sdtContent>
                    <w:p>
                      <w:pPr>
                        <w:widowControl w:val="0"/>
                        <w:suppressAutoHyphens/>
                        <w:ind w:firstLine="567"/>
                        <w:jc w:val="both"/>
                        <w:rPr>
                          <w:color w:val="000000"/>
                        </w:rPr>
                      </w:pPr>
                      <w:sdt>
                        <w:sdtPr>
                          <w:alias w:val="Numeris"/>
                          <w:tag w:val="nr_536173038240477b9317b50dbadd6fcf"/>
                          <w:lock w:val="sdtLocked"/>
                          <w:richText/>
                        </w:sdtPr>
                        <w:sdtContent>
                          <w:r>
                            <w:rPr>
                              <w:color w:val="000000"/>
                            </w:rPr>
                            <w:t>30.1</w:t>
                          </w:r>
                        </w:sdtContent>
                      </w:sdt>
                      <w:r>
                        <w:rPr>
                          <w:color w:val="000000"/>
                        </w:rPr>
                        <w:t>. mokslinis komitetas, vertinantis medžiagų ir mišinių naudojimą žaisluose, įvertina medžiagos ar mišinio naudojimą ir nustato, kad visų pirma, atsižvelgiant į poveikį, jos yra saugios;</w:t>
                      </w:r>
                    </w:p>
                  </w:sdtContent>
                </w:sdt>
                <w:sdt>
                  <w:sdtPr>
                    <w:alias w:val="2 pr. 30.2 p."/>
                    <w:tag w:val="part_653222a560134c91b56c6830d84ea8ad"/>
                    <w:lock w:val="sdtLocked"/>
                    <w:richText/>
                  </w:sdtPr>
                  <w:sdtContent>
                    <w:p>
                      <w:pPr>
                        <w:widowControl w:val="0"/>
                        <w:suppressAutoHyphens/>
                        <w:ind w:firstLine="567"/>
                        <w:jc w:val="both"/>
                        <w:rPr>
                          <w:color w:val="000000"/>
                        </w:rPr>
                      </w:pPr>
                      <w:sdt>
                        <w:sdtPr>
                          <w:alias w:val="Numeris"/>
                          <w:tag w:val="nr_653222a560134c91b56c6830d84ea8ad"/>
                          <w:lock w:val="sdtLocked"/>
                          <w:richText/>
                        </w:sdtPr>
                        <w:sdtContent>
                          <w:r>
                            <w:rPr>
                              <w:color w:val="000000"/>
                            </w:rPr>
                            <w:t>30.2</w:t>
                          </w:r>
                        </w:sdtContent>
                      </w:sdt>
                      <w:r>
                        <w:rPr>
                          <w:color w:val="000000"/>
                        </w:rPr>
                        <w:t>. medžiagos ar mišinio nedraudžiama naudoti vartojimo prekėms gaminti pagal Reglamentą 1907/2006.</w:t>
                      </w:r>
                    </w:p>
                  </w:sdtContent>
                </w:sdt>
              </w:sdtContent>
            </w:sdt>
            <w:sdt>
              <w:sdtPr>
                <w:alias w:val="2 pr. 31 p."/>
                <w:tag w:val="part_646d744e0643438c93f10c2c92ddc327"/>
                <w:lock w:val="sdtLocked"/>
                <w:richText/>
              </w:sdtPr>
              <w:sdtContent>
                <w:p>
                  <w:pPr>
                    <w:widowControl w:val="0"/>
                    <w:suppressAutoHyphens/>
                    <w:ind w:firstLine="567"/>
                    <w:jc w:val="both"/>
                    <w:rPr>
                      <w:color w:val="000000"/>
                    </w:rPr>
                  </w:pPr>
                  <w:sdt>
                    <w:sdtPr>
                      <w:alias w:val="Numeris"/>
                      <w:tag w:val="nr_646d744e0643438c93f10c2c92ddc327"/>
                      <w:lock w:val="sdtLocked"/>
                      <w:richText/>
                    </w:sdtPr>
                    <w:sdtContent>
                      <w:r>
                        <w:rPr>
                          <w:color w:val="000000"/>
                        </w:rPr>
                        <w:t>31</w:t>
                      </w:r>
                    </w:sdtContent>
                  </w:sdt>
                  <w:r>
                    <w:rPr>
                      <w:color w:val="000000"/>
                    </w:rPr>
                    <w:t>. Aprašo 26, 27, 28, 29 ir 30 punktai netaikomi nikeliui ir nerūdijančiam plienui.</w:t>
                  </w:r>
                </w:p>
              </w:sdtContent>
            </w:sdt>
            <w:sdt>
              <w:sdtPr>
                <w:alias w:val="2 pr. 32 p."/>
                <w:tag w:val="part_df153c353d624dec99257e8bba58772f"/>
                <w:lock w:val="sdtLocked"/>
                <w:richText/>
              </w:sdtPr>
              <w:sdtContent>
                <w:p>
                  <w:pPr>
                    <w:widowControl w:val="0"/>
                    <w:suppressAutoHyphens/>
                    <w:ind w:firstLine="567"/>
                    <w:jc w:val="both"/>
                    <w:rPr>
                      <w:color w:val="000000"/>
                    </w:rPr>
                  </w:pPr>
                  <w:sdt>
                    <w:sdtPr>
                      <w:alias w:val="Numeris"/>
                      <w:tag w:val="nr_df153c353d624dec99257e8bba58772f"/>
                      <w:lock w:val="sdtLocked"/>
                      <w:richText/>
                    </w:sdtPr>
                    <w:sdtContent>
                      <w:r>
                        <w:rPr>
                          <w:color w:val="000000"/>
                        </w:rPr>
                        <w:t>32</w:t>
                      </w:r>
                    </w:sdtContent>
                  </w:sdt>
                  <w:r>
                    <w:rPr>
                      <w:color w:val="000000"/>
                    </w:rPr>
                    <w:t>. Aprašo 26, 27, 28, 29 ir 30 punktai netaikomi medžiagoms šiais atvejais:</w:t>
                  </w:r>
                </w:p>
                <w:sdt>
                  <w:sdtPr>
                    <w:alias w:val="2 pr. 32.1 p."/>
                    <w:tag w:val="part_dc7e3d77264f4a50839dfde9ad807e64"/>
                    <w:lock w:val="sdtLocked"/>
                    <w:richText/>
                  </w:sdtPr>
                  <w:sdtContent>
                    <w:p>
                      <w:pPr>
                        <w:widowControl w:val="0"/>
                        <w:suppressAutoHyphens/>
                        <w:ind w:firstLine="567"/>
                        <w:jc w:val="both"/>
                        <w:rPr>
                          <w:color w:val="000000"/>
                        </w:rPr>
                      </w:pPr>
                      <w:sdt>
                        <w:sdtPr>
                          <w:alias w:val="Numeris"/>
                          <w:tag w:val="nr_dc7e3d77264f4a50839dfde9ad807e64"/>
                          <w:lock w:val="sdtLocked"/>
                          <w:richText/>
                        </w:sdtPr>
                        <w:sdtContent>
                          <w:r>
                            <w:rPr>
                              <w:color w:val="000000"/>
                            </w:rPr>
                            <w:t>32.1</w:t>
                          </w:r>
                        </w:sdtContent>
                      </w:sdt>
                      <w:r>
                        <w:rPr>
                          <w:color w:val="000000"/>
                        </w:rPr>
                        <w:t>. kai medžiagos atitinka specialias Reglamento 5 priede nustatytas ribines vertes;</w:t>
                      </w:r>
                    </w:p>
                  </w:sdtContent>
                </w:sdt>
                <w:sdt>
                  <w:sdtPr>
                    <w:alias w:val="2 pr. 32.2 p."/>
                    <w:tag w:val="part_092a5fe61aa94870830890812e10a66b"/>
                    <w:lock w:val="sdtLocked"/>
                    <w:richText/>
                  </w:sdtPr>
                  <w:sdtContent>
                    <w:p>
                      <w:pPr>
                        <w:widowControl w:val="0"/>
                        <w:suppressAutoHyphens/>
                        <w:ind w:firstLine="567"/>
                        <w:jc w:val="both"/>
                        <w:rPr>
                          <w:color w:val="000000"/>
                        </w:rPr>
                      </w:pPr>
                      <w:sdt>
                        <w:sdtPr>
                          <w:alias w:val="Numeris"/>
                          <w:tag w:val="nr_092a5fe61aa94870830890812e10a66b"/>
                          <w:lock w:val="sdtLocked"/>
                          <w:richText/>
                        </w:sdtPr>
                        <w:sdtContent>
                          <w:r>
                            <w:rPr>
                              <w:color w:val="000000"/>
                            </w:rPr>
                            <w:t>32.2</w:t>
                          </w:r>
                        </w:sdtContent>
                      </w:sdt>
                      <w:r>
                        <w:rPr>
                          <w:color w:val="000000"/>
                        </w:rPr>
                        <w:t>. iki tol, kai Reglamento 5 priede bus nustatytos ribinės vertės, bet ne vėliau nei 2017 m. liepos 20 d.;</w:t>
                      </w:r>
                    </w:p>
                  </w:sdtContent>
                </w:sdt>
                <w:sdt>
                  <w:sdtPr>
                    <w:alias w:val="2 pr. 32.3 p."/>
                    <w:tag w:val="part_2d3815e01bd64d02b462119b8f5f7548"/>
                    <w:lock w:val="sdtLocked"/>
                    <w:richText/>
                  </w:sdtPr>
                  <w:sdtContent>
                    <w:p>
                      <w:pPr>
                        <w:ind w:firstLine="567"/>
                        <w:jc w:val="both"/>
                        <w:rPr>
                          <w:color w:val="000000"/>
                        </w:rPr>
                      </w:pPr>
                      <w:sdt>
                        <w:sdtPr>
                          <w:alias w:val="Numeris"/>
                          <w:tag w:val="nr_2d3815e01bd64d02b462119b8f5f7548"/>
                          <w:lock w:val="sdtLocked"/>
                          <w:richText/>
                        </w:sdtPr>
                        <w:sdtContent>
                          <w:r>
                            <w:rPr>
                              <w:szCs w:val="24"/>
                            </w:rPr>
                            <w:t>32.3</w:t>
                          </w:r>
                        </w:sdtContent>
                      </w:sdt>
                      <w:r>
                        <w:rPr>
                          <w:szCs w:val="24"/>
                        </w:rPr>
                        <w:t xml:space="preserve">. </w:t>
                      </w:r>
                      <w:r>
                        <w:rPr>
                          <w:color w:val="000000"/>
                          <w:szCs w:val="24"/>
                        </w:rPr>
                        <w:t>medžiagoms, kurioms taikomos ir kurios atitinka 2004 m. spalio 27 d. Europos Parlamento ir Tarybos reglamento (EB) Nr. 1935/2004 dėl žaliavų ir gaminių, skirtų liestis su maistu, ir panaikinančio Direktyvas 80/590/EEB ir 89/109/EEB su paskutiniais pakeitimais, padarytais 2019 m. birželio 20 d. Europos Parlamento ir Tarybos reglamentu (ES) Nr. 2019/1381 ir su juo susijusias specialias priemones, taikomas konkrečioms medžiagoms, nuostatas dėl medžiagų, kurios liečiasi su maistu.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0534e0f10b11eaa12ad7c04a383ca0">
                        <w:r w:rsidRPr="00532B9F">
                          <w:rPr>
                            <w:rFonts w:ascii="Times New Roman" w:eastAsia="MS Mincho" w:hAnsi="Times New Roman"/>
                            <w:sz w:val="20"/>
                            <w:i/>
                            <w:iCs/>
                            <w:color w:val="0000FF" w:themeColor="hyperlink"/>
                            <w:u w:val="single"/>
                          </w:rPr>
                          <w:t>4-756</w:t>
                        </w:r>
                      </w:fldSimple>
                      <w:r>
                        <w:rPr>
                          <w:rFonts w:ascii="Times New Roman" w:eastAsia="MS Mincho" w:hAnsi="Times New Roman"/>
                          <w:sz w:val="20"/>
                          <w:i/>
                          <w:iCs/>
                        </w:rPr>
                        <w:t>,
2020-09-07,
paskelbta TAR 2020-09-07, i. k. 2020-18852            </w:t>
                      </w:r>
                    </w:p>
                    <w:p/>
                  </w:sdtContent>
                </w:sdt>
              </w:sdtContent>
            </w:sdt>
            <w:sdt>
              <w:sdtPr>
                <w:alias w:val="2 pr. 33 p."/>
                <w:tag w:val="part_0a5c84a2f4cc492494dc74745a31420e"/>
                <w:lock w:val="sdtLocked"/>
                <w:richText/>
              </w:sdtPr>
              <w:sdtContent>
                <w:p>
                  <w:pPr>
                    <w:widowControl w:val="0"/>
                    <w:suppressAutoHyphens/>
                    <w:ind w:firstLine="567"/>
                    <w:jc w:val="both"/>
                    <w:rPr>
                      <w:color w:val="000000"/>
                    </w:rPr>
                  </w:pPr>
                  <w:sdt>
                    <w:sdtPr>
                      <w:alias w:val="Numeris"/>
                      <w:tag w:val="nr_0a5c84a2f4cc492494dc74745a31420e"/>
                      <w:lock w:val="sdtLocked"/>
                      <w:richText/>
                    </w:sdtPr>
                    <w:sdtContent>
                      <w:r>
                        <w:rPr>
                          <w:color w:val="000000"/>
                        </w:rPr>
                        <w:t>33</w:t>
                      </w:r>
                    </w:sdtContent>
                  </w:sdt>
                  <w:r>
                    <w:rPr>
                      <w:color w:val="000000"/>
                    </w:rPr>
                    <w:t>. Nepažeidžiant Aprašo 26, 27 ir 28 punkto taikymo, draudžiama žaisluose, skirtuose jaunesniems negu 36 mėnesių amžiaus vaikams, arba žaisluose, skirtuose dėti į burną, naudoti nitrozoaminus ir nitrojunginius, jei medžiagų išsiskyrimas nitrozoaminų atveju yra lygus arba didesnis nei 0,05 mg/kg ir nitrojunginių atveju – lygus arba didesnis nei 1 mg/kg.</w:t>
                  </w:r>
                </w:p>
              </w:sdtContent>
            </w:sdt>
            <w:sdt>
              <w:sdtPr>
                <w:alias w:val="2 pr. 34 p."/>
                <w:tag w:val="part_48e231523c554695a4b9d8b1d5940931"/>
                <w:lock w:val="sdtLocked"/>
                <w:richText/>
              </w:sdtPr>
              <w:sdtContent>
                <w:p>
                  <w:pPr>
                    <w:ind w:firstLine="567"/>
                    <w:jc w:val="both"/>
                    <w:rPr>
                      <w:color w:val="000000"/>
                    </w:rPr>
                  </w:pPr>
                  <w:sdt>
                    <w:sdtPr>
                      <w:alias w:val="Numeris"/>
                      <w:tag w:val="nr_48e231523c554695a4b9d8b1d5940931"/>
                      <w:lock w:val="sdtLocked"/>
                      <w:richText/>
                    </w:sdtPr>
                    <w:sdtContent>
                      <w:r>
                        <w:rPr>
                          <w:color w:val="000000"/>
                          <w:szCs w:val="24"/>
                        </w:rPr>
                        <w:t>34</w:t>
                      </w:r>
                    </w:sdtContent>
                  </w:sdt>
                  <w:r>
                    <w:rPr>
                      <w:color w:val="000000"/>
                      <w:szCs w:val="24"/>
                    </w:rPr>
                    <w:t xml:space="preserve">. Kosmetikos žaislai, pavyzdžiui, žaislinė kosmetika lėlėms, turi atitikti 2009 m. lapkričio 30 d. Europos Parlamento ir Tarybos reglamente (EB) Nr. 1223/2009 dėl kosmetikos gaminių, su paskutiniais pakeitimais, padarytais </w:t>
                  </w:r>
                  <w:r>
                    <w:rPr>
                      <w:szCs w:val="24"/>
                    </w:rPr>
                    <w:t>2019 m. lapkričio 27 d. Komisijos reglamentu (ES) 2019/1966</w:t>
                  </w:r>
                  <w:r>
                    <w:rPr>
                      <w:color w:val="000000"/>
                      <w:szCs w:val="24"/>
                    </w:rPr>
                    <w:t>, nustatytus sudėties ir ženklinimo etiketėmis reikalavimus.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54d0dc1b11e39a43a3f57c05722e">
                    <w:r w:rsidRPr="00532B9F">
                      <w:rPr>
                        <w:rFonts w:ascii="Times New Roman" w:eastAsia="MS Mincho" w:hAnsi="Times New Roman"/>
                        <w:sz w:val="20"/>
                        <w:i/>
                        <w:iCs/>
                        <w:color w:val="0000FF" w:themeColor="hyperlink"/>
                        <w:u w:val="single"/>
                      </w:rPr>
                      <w:t>4-274</w:t>
                    </w:r>
                  </w:fldSimple>
                  <w:r>
                    <w:rPr>
                      <w:rFonts w:ascii="Times New Roman" w:eastAsia="MS Mincho" w:hAnsi="Times New Roman"/>
                      <w:sz w:val="20"/>
                      <w:i/>
                      <w:iCs/>
                    </w:rPr>
                    <w:t>,
2014-05-14,
paskelbta TAR 2014-05-15, i. k. 2014-05439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0534e0f10b11eaa12ad7c04a383ca0">
                    <w:r w:rsidRPr="00532B9F">
                      <w:rPr>
                        <w:rFonts w:ascii="Times New Roman" w:eastAsia="MS Mincho" w:hAnsi="Times New Roman"/>
                        <w:sz w:val="20"/>
                        <w:i/>
                        <w:iCs/>
                        <w:color w:val="0000FF" w:themeColor="hyperlink"/>
                        <w:u w:val="single"/>
                      </w:rPr>
                      <w:t>4-756</w:t>
                    </w:r>
                  </w:fldSimple>
                  <w:r>
                    <w:rPr>
                      <w:rFonts w:ascii="Times New Roman" w:eastAsia="MS Mincho" w:hAnsi="Times New Roman"/>
                      <w:sz w:val="20"/>
                      <w:i/>
                      <w:iCs/>
                    </w:rPr>
                    <w:t>,
2020-09-07,
paskelbta TAR 2020-09-07, i. k. 2020-18852            </w:t>
                  </w:r>
                </w:p>
                <w:p/>
              </w:sdtContent>
            </w:sdt>
            <w:sdt>
              <w:sdtPr>
                <w:alias w:val="2 pr. 35 p."/>
                <w:tag w:val="part_adfe9425ea914e79abde22f094cf37bd"/>
                <w:lock w:val="sdtLocked"/>
                <w:richText/>
              </w:sdtPr>
              <w:sdtContent>
                <w:p>
                  <w:pPr>
                    <w:widowControl w:val="0"/>
                    <w:suppressAutoHyphens/>
                    <w:ind w:firstLine="567"/>
                    <w:jc w:val="both"/>
                    <w:rPr>
                      <w:color w:val="000000"/>
                    </w:rPr>
                  </w:pPr>
                  <w:sdt>
                    <w:sdtPr>
                      <w:alias w:val="Numeris"/>
                      <w:tag w:val="nr_adfe9425ea914e79abde22f094cf37bd"/>
                      <w:lock w:val="sdtLocked"/>
                      <w:richText/>
                    </w:sdtPr>
                    <w:sdtContent>
                      <w:r>
                        <w:rPr>
                          <w:color w:val="000000"/>
                        </w:rPr>
                        <w:t>35</w:t>
                      </w:r>
                    </w:sdtContent>
                  </w:sdt>
                  <w:r>
                    <w:rPr>
                      <w:color w:val="000000"/>
                    </w:rPr>
                    <w:t>. Žaisluose neturi būti alerginių kvapiųjų medžiagų, nurodytų Aprašo 1 lentelėje, tačiau leidžiami šių medžiagų likučiai, jei jie yra techniškai neišvengiami, laikantis gerosios gamybos praktikos, ir jų kiekis neviršija 100 mg/kg.</w:t>
                  </w:r>
                </w:p>
                <w:p>
                  <w:pPr>
                    <w:widowControl w:val="0"/>
                    <w:suppressAutoHyphens/>
                    <w:ind w:firstLine="567"/>
                    <w:jc w:val="both"/>
                    <w:rPr>
                      <w:color w:val="000000"/>
                    </w:rPr>
                  </w:pPr>
                </w:p>
                <w:p>
                  <w:pPr>
                    <w:widowControl w:val="0"/>
                    <w:suppressAutoHyphens/>
                    <w:ind w:firstLine="567"/>
                    <w:jc w:val="both"/>
                    <w:rPr>
                      <w:b/>
                      <w:bCs/>
                      <w:i/>
                      <w:iCs/>
                      <w:color w:val="000000"/>
                    </w:rPr>
                  </w:pPr>
                  <w:r>
                    <w:rPr>
                      <w:b/>
                      <w:bCs/>
                      <w:i/>
                      <w:iCs/>
                      <w:color w:val="000000"/>
                    </w:rPr>
                    <w:t>1 lentelė</w:t>
                  </w:r>
                </w:p>
                <w:sdt>
                  <w:sdtPr>
                    <w:alias w:val="lentele"/>
                    <w:tag w:val="part_c0235ac94dbe46828cfbaccb81ddc682"/>
                    <w:lock w:val="sdtLocked"/>
                    <w:richText/>
                  </w:sdtPr>
                  <w:sdtContent>
                    <w:p>
                      <w:pPr>
                        <w:widowControl w:val="0"/>
                        <w:suppressAutoHyphens/>
                        <w:ind w:firstLine="567"/>
                        <w:jc w:val="both"/>
                        <w:rPr>
                          <w:b/>
                          <w:bCs/>
                          <w:i/>
                          <w:iCs/>
                          <w:color w:val="000000"/>
                          <w:sz w:val="2"/>
                          <w:szCs w:val="2"/>
                        </w:rPr>
                      </w:pPr>
                    </w:p>
                    <w:tbl>
                      <w:tblPr>
                        <w:tblW w:w="9070" w:type="dxa"/>
                        <w:tblLayout w:type="fixed"/>
                        <w:tblCellMar>
                          <w:left w:w="0" w:type="dxa"/>
                          <w:right w:w="0" w:type="dxa"/>
                        </w:tblCellMar>
                        <w:tblLook w:val="0000" w:firstRow="0" w:lastRow="0" w:firstColumn="0" w:lastColumn="0" w:noHBand="0" w:noVBand="0"/>
                      </w:tblPr>
                      <w:tblGrid>
                        <w:gridCol w:w="708"/>
                        <w:gridCol w:w="6164"/>
                        <w:gridCol w:w="2198"/>
                      </w:tblGrid>
                      <w:tr>
                        <w:trPr>
                          <w:trHeight w:val="60"/>
                          <w:tblHeader/>
                        </w:trPr>
                        <w:tc>
                          <w:tcPr>
                            <w:tcW w:w="70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center"/>
                              <w:rPr>
                                <w:color w:val="000000"/>
                                <w:sz w:val="22"/>
                              </w:rPr>
                            </w:pPr>
                            <w:r>
                              <w:rPr>
                                <w:b/>
                                <w:bCs/>
                                <w:color w:val="000000"/>
                                <w:sz w:val="22"/>
                              </w:rPr>
                              <w:t>Nr.</w:t>
                            </w:r>
                          </w:p>
                        </w:tc>
                        <w:tc>
                          <w:tcPr>
                            <w:tcW w:w="616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center"/>
                              <w:rPr>
                                <w:color w:val="000000"/>
                                <w:sz w:val="22"/>
                              </w:rPr>
                            </w:pPr>
                            <w:r>
                              <w:rPr>
                                <w:b/>
                                <w:bCs/>
                                <w:color w:val="000000"/>
                                <w:sz w:val="22"/>
                              </w:rPr>
                              <w:t>Alerginės kvapiosios medžiagos pavadinimas</w:t>
                            </w:r>
                          </w:p>
                        </w:tc>
                        <w:tc>
                          <w:tcPr>
                            <w:tcW w:w="219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center"/>
                              <w:rPr>
                                <w:color w:val="000000"/>
                                <w:sz w:val="22"/>
                              </w:rPr>
                            </w:pPr>
                            <w:r>
                              <w:rPr>
                                <w:b/>
                                <w:bCs/>
                                <w:color w:val="000000"/>
                                <w:sz w:val="22"/>
                              </w:rPr>
                              <w:t>CAS Nr.</w:t>
                            </w:r>
                          </w:p>
                        </w:tc>
                      </w:tr>
                      <w:tr>
                        <w:trPr>
                          <w:trHeight w:val="60"/>
                        </w:trPr>
                        <w:tc>
                          <w:tcPr>
                            <w:tcW w:w="70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 xml:space="preserve">1. </w:t>
                            </w:r>
                          </w:p>
                        </w:tc>
                        <w:tc>
                          <w:tcPr>
                            <w:tcW w:w="616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Didžiojo debesylo aliejaus (</w:t>
                            </w:r>
                            <w:r>
                              <w:rPr>
                                <w:i/>
                                <w:iCs/>
                                <w:color w:val="000000"/>
                                <w:sz w:val="22"/>
                              </w:rPr>
                              <w:t>Inula helenium</w:t>
                            </w:r>
                            <w:r>
                              <w:rPr>
                                <w:color w:val="000000"/>
                                <w:sz w:val="22"/>
                              </w:rPr>
                              <w:t>)</w:t>
                            </w:r>
                          </w:p>
                        </w:tc>
                        <w:tc>
                          <w:tcPr>
                            <w:tcW w:w="219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97676-35-2</w:t>
                            </w:r>
                          </w:p>
                        </w:tc>
                      </w:tr>
                      <w:tr>
                        <w:trPr>
                          <w:trHeight w:val="60"/>
                        </w:trPr>
                        <w:tc>
                          <w:tcPr>
                            <w:tcW w:w="70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 xml:space="preserve">2. </w:t>
                            </w:r>
                          </w:p>
                        </w:tc>
                        <w:tc>
                          <w:tcPr>
                            <w:tcW w:w="616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Alilizoticionato</w:t>
                            </w:r>
                          </w:p>
                        </w:tc>
                        <w:tc>
                          <w:tcPr>
                            <w:tcW w:w="219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57-06-7</w:t>
                            </w:r>
                          </w:p>
                        </w:tc>
                      </w:tr>
                      <w:tr>
                        <w:trPr>
                          <w:trHeight w:val="60"/>
                        </w:trPr>
                        <w:tc>
                          <w:tcPr>
                            <w:tcW w:w="70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3.</w:t>
                            </w:r>
                          </w:p>
                        </w:tc>
                        <w:tc>
                          <w:tcPr>
                            <w:tcW w:w="616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Benzilcianido</w:t>
                            </w:r>
                          </w:p>
                        </w:tc>
                        <w:tc>
                          <w:tcPr>
                            <w:tcW w:w="219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140-29-4</w:t>
                            </w:r>
                          </w:p>
                        </w:tc>
                      </w:tr>
                      <w:tr>
                        <w:trPr>
                          <w:trHeight w:val="60"/>
                        </w:trPr>
                        <w:tc>
                          <w:tcPr>
                            <w:tcW w:w="70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4.</w:t>
                            </w:r>
                          </w:p>
                        </w:tc>
                        <w:tc>
                          <w:tcPr>
                            <w:tcW w:w="616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4-tret-butilfenolio</w:t>
                            </w:r>
                          </w:p>
                        </w:tc>
                        <w:tc>
                          <w:tcPr>
                            <w:tcW w:w="219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98-54-4</w:t>
                            </w:r>
                          </w:p>
                        </w:tc>
                      </w:tr>
                      <w:tr>
                        <w:trPr>
                          <w:trHeight w:val="60"/>
                        </w:trPr>
                        <w:tc>
                          <w:tcPr>
                            <w:tcW w:w="70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5.</w:t>
                            </w:r>
                          </w:p>
                        </w:tc>
                        <w:tc>
                          <w:tcPr>
                            <w:tcW w:w="616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Vaistinių balandų aliejaus</w:t>
                            </w:r>
                          </w:p>
                        </w:tc>
                        <w:tc>
                          <w:tcPr>
                            <w:tcW w:w="219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8006-99-3</w:t>
                            </w:r>
                          </w:p>
                        </w:tc>
                      </w:tr>
                      <w:tr>
                        <w:trPr>
                          <w:trHeight w:val="60"/>
                        </w:trPr>
                        <w:tc>
                          <w:tcPr>
                            <w:tcW w:w="70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6.</w:t>
                            </w:r>
                          </w:p>
                        </w:tc>
                        <w:tc>
                          <w:tcPr>
                            <w:tcW w:w="616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Ciklamenų alkoholio</w:t>
                            </w:r>
                          </w:p>
                        </w:tc>
                        <w:tc>
                          <w:tcPr>
                            <w:tcW w:w="219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4756-19-8</w:t>
                            </w:r>
                          </w:p>
                        </w:tc>
                      </w:tr>
                      <w:tr>
                        <w:trPr>
                          <w:trHeight w:val="60"/>
                        </w:trPr>
                        <w:tc>
                          <w:tcPr>
                            <w:tcW w:w="70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7.</w:t>
                            </w:r>
                          </w:p>
                        </w:tc>
                        <w:tc>
                          <w:tcPr>
                            <w:tcW w:w="616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Dietilmaleato</w:t>
                            </w:r>
                          </w:p>
                        </w:tc>
                        <w:tc>
                          <w:tcPr>
                            <w:tcW w:w="219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141-05-09</w:t>
                            </w:r>
                          </w:p>
                        </w:tc>
                      </w:tr>
                      <w:tr>
                        <w:trPr>
                          <w:trHeight w:val="60"/>
                        </w:trPr>
                        <w:tc>
                          <w:tcPr>
                            <w:tcW w:w="70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8.</w:t>
                            </w:r>
                          </w:p>
                        </w:tc>
                        <w:tc>
                          <w:tcPr>
                            <w:tcW w:w="616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Dihidrokumarino</w:t>
                            </w:r>
                          </w:p>
                        </w:tc>
                        <w:tc>
                          <w:tcPr>
                            <w:tcW w:w="219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119-84-6</w:t>
                            </w:r>
                          </w:p>
                        </w:tc>
                      </w:tr>
                      <w:tr>
                        <w:trPr>
                          <w:trHeight w:val="60"/>
                        </w:trPr>
                        <w:tc>
                          <w:tcPr>
                            <w:tcW w:w="70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9.</w:t>
                            </w:r>
                          </w:p>
                        </w:tc>
                        <w:tc>
                          <w:tcPr>
                            <w:tcW w:w="616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2,4-dihidrosi-3-metilbenzaldehido</w:t>
                            </w:r>
                          </w:p>
                        </w:tc>
                        <w:tc>
                          <w:tcPr>
                            <w:tcW w:w="219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6248-20-0</w:t>
                            </w:r>
                          </w:p>
                        </w:tc>
                      </w:tr>
                      <w:tr>
                        <w:trPr>
                          <w:trHeight w:val="60"/>
                        </w:trPr>
                        <w:tc>
                          <w:tcPr>
                            <w:tcW w:w="70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10.</w:t>
                            </w:r>
                          </w:p>
                        </w:tc>
                        <w:tc>
                          <w:tcPr>
                            <w:tcW w:w="616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3,7-dimetil-2-okten-1-ol (6,7-dihidrogeraniolio)</w:t>
                            </w:r>
                          </w:p>
                        </w:tc>
                        <w:tc>
                          <w:tcPr>
                            <w:tcW w:w="219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40607-48-5</w:t>
                            </w:r>
                          </w:p>
                        </w:tc>
                      </w:tr>
                      <w:tr>
                        <w:trPr>
                          <w:trHeight w:val="60"/>
                        </w:trPr>
                        <w:tc>
                          <w:tcPr>
                            <w:tcW w:w="70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11.</w:t>
                            </w:r>
                          </w:p>
                        </w:tc>
                        <w:tc>
                          <w:tcPr>
                            <w:tcW w:w="616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4,6-dimetil-8-tret-butilkumarino</w:t>
                            </w:r>
                          </w:p>
                        </w:tc>
                        <w:tc>
                          <w:tcPr>
                            <w:tcW w:w="219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17874-34-9</w:t>
                            </w:r>
                          </w:p>
                        </w:tc>
                      </w:tr>
                      <w:tr>
                        <w:trPr>
                          <w:trHeight w:val="60"/>
                        </w:trPr>
                        <w:tc>
                          <w:tcPr>
                            <w:tcW w:w="70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12.</w:t>
                            </w:r>
                          </w:p>
                        </w:tc>
                        <w:tc>
                          <w:tcPr>
                            <w:tcW w:w="616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Dimetilcitrakonato</w:t>
                            </w:r>
                          </w:p>
                        </w:tc>
                        <w:tc>
                          <w:tcPr>
                            <w:tcW w:w="219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617-54-9</w:t>
                            </w:r>
                          </w:p>
                        </w:tc>
                      </w:tr>
                      <w:tr>
                        <w:trPr>
                          <w:trHeight w:val="60"/>
                        </w:trPr>
                        <w:tc>
                          <w:tcPr>
                            <w:tcW w:w="70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13.</w:t>
                            </w:r>
                          </w:p>
                        </w:tc>
                        <w:tc>
                          <w:tcPr>
                            <w:tcW w:w="616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7,11-dimetil-4,6,10-dodekatrien-3-ono</w:t>
                            </w:r>
                          </w:p>
                        </w:tc>
                        <w:tc>
                          <w:tcPr>
                            <w:tcW w:w="219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26651-96-7</w:t>
                            </w:r>
                          </w:p>
                        </w:tc>
                      </w:tr>
                      <w:tr>
                        <w:trPr>
                          <w:trHeight w:val="60"/>
                        </w:trPr>
                        <w:tc>
                          <w:tcPr>
                            <w:tcW w:w="70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14.</w:t>
                            </w:r>
                          </w:p>
                        </w:tc>
                        <w:tc>
                          <w:tcPr>
                            <w:tcW w:w="616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6,10-dimetil-3,5,9-undekatrien-2-ono</w:t>
                            </w:r>
                          </w:p>
                        </w:tc>
                        <w:tc>
                          <w:tcPr>
                            <w:tcW w:w="219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141-10-6</w:t>
                            </w:r>
                          </w:p>
                        </w:tc>
                      </w:tr>
                      <w:tr>
                        <w:trPr>
                          <w:trHeight w:val="60"/>
                        </w:trPr>
                        <w:tc>
                          <w:tcPr>
                            <w:tcW w:w="70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15.</w:t>
                            </w:r>
                          </w:p>
                        </w:tc>
                        <w:tc>
                          <w:tcPr>
                            <w:tcW w:w="616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Difenilamino</w:t>
                            </w:r>
                          </w:p>
                        </w:tc>
                        <w:tc>
                          <w:tcPr>
                            <w:tcW w:w="219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122-39-4</w:t>
                            </w:r>
                          </w:p>
                        </w:tc>
                      </w:tr>
                      <w:tr>
                        <w:trPr>
                          <w:trHeight w:val="60"/>
                        </w:trPr>
                        <w:tc>
                          <w:tcPr>
                            <w:tcW w:w="70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16.</w:t>
                            </w:r>
                          </w:p>
                        </w:tc>
                        <w:tc>
                          <w:tcPr>
                            <w:tcW w:w="616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Etilakrilato</w:t>
                            </w:r>
                          </w:p>
                        </w:tc>
                        <w:tc>
                          <w:tcPr>
                            <w:tcW w:w="219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140-88-5</w:t>
                            </w:r>
                          </w:p>
                        </w:tc>
                      </w:tr>
                      <w:tr>
                        <w:trPr>
                          <w:trHeight w:val="60"/>
                        </w:trPr>
                        <w:tc>
                          <w:tcPr>
                            <w:tcW w:w="70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17.</w:t>
                            </w:r>
                          </w:p>
                        </w:tc>
                        <w:tc>
                          <w:tcPr>
                            <w:tcW w:w="616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Figų lapų, šviežių ir preparatų</w:t>
                            </w:r>
                          </w:p>
                        </w:tc>
                        <w:tc>
                          <w:tcPr>
                            <w:tcW w:w="219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68916-52-9</w:t>
                            </w:r>
                          </w:p>
                        </w:tc>
                      </w:tr>
                      <w:tr>
                        <w:trPr>
                          <w:trHeight w:val="60"/>
                        </w:trPr>
                        <w:tc>
                          <w:tcPr>
                            <w:tcW w:w="70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18.</w:t>
                            </w:r>
                          </w:p>
                        </w:tc>
                        <w:tc>
                          <w:tcPr>
                            <w:tcW w:w="616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Trans-2-heptenalio</w:t>
                            </w:r>
                          </w:p>
                        </w:tc>
                        <w:tc>
                          <w:tcPr>
                            <w:tcW w:w="219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18829-55-5</w:t>
                            </w:r>
                          </w:p>
                        </w:tc>
                      </w:tr>
                      <w:tr>
                        <w:trPr>
                          <w:trHeight w:val="60"/>
                        </w:trPr>
                        <w:tc>
                          <w:tcPr>
                            <w:tcW w:w="70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19.</w:t>
                            </w:r>
                          </w:p>
                        </w:tc>
                        <w:tc>
                          <w:tcPr>
                            <w:tcW w:w="616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Trans-2-heksenalio dietilacetalio</w:t>
                            </w:r>
                          </w:p>
                        </w:tc>
                        <w:tc>
                          <w:tcPr>
                            <w:tcW w:w="219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67746-30-9</w:t>
                            </w:r>
                          </w:p>
                        </w:tc>
                      </w:tr>
                      <w:tr>
                        <w:trPr>
                          <w:trHeight w:val="60"/>
                        </w:trPr>
                        <w:tc>
                          <w:tcPr>
                            <w:tcW w:w="70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20.</w:t>
                            </w:r>
                          </w:p>
                        </w:tc>
                        <w:tc>
                          <w:tcPr>
                            <w:tcW w:w="616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Trans-2-heksenalio dimetilacetalio</w:t>
                            </w:r>
                          </w:p>
                        </w:tc>
                        <w:tc>
                          <w:tcPr>
                            <w:tcW w:w="219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18318-83-7</w:t>
                            </w:r>
                          </w:p>
                        </w:tc>
                      </w:tr>
                      <w:tr>
                        <w:trPr>
                          <w:trHeight w:val="60"/>
                        </w:trPr>
                        <w:tc>
                          <w:tcPr>
                            <w:tcW w:w="70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 xml:space="preserve">21. </w:t>
                            </w:r>
                          </w:p>
                        </w:tc>
                        <w:tc>
                          <w:tcPr>
                            <w:tcW w:w="616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Hidroabietilo alkoholio</w:t>
                            </w:r>
                          </w:p>
                        </w:tc>
                        <w:tc>
                          <w:tcPr>
                            <w:tcW w:w="219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13393-93-6</w:t>
                            </w:r>
                          </w:p>
                        </w:tc>
                      </w:tr>
                      <w:tr>
                        <w:trPr>
                          <w:trHeight w:val="60"/>
                        </w:trPr>
                        <w:tc>
                          <w:tcPr>
                            <w:tcW w:w="70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22.</w:t>
                            </w:r>
                          </w:p>
                        </w:tc>
                        <w:tc>
                          <w:tcPr>
                            <w:tcW w:w="616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4-etoksi-fenolio</w:t>
                            </w:r>
                          </w:p>
                        </w:tc>
                        <w:tc>
                          <w:tcPr>
                            <w:tcW w:w="219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622-62-8</w:t>
                            </w:r>
                          </w:p>
                        </w:tc>
                      </w:tr>
                      <w:tr>
                        <w:trPr>
                          <w:trHeight w:val="60"/>
                        </w:trPr>
                        <w:tc>
                          <w:tcPr>
                            <w:tcW w:w="70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23.</w:t>
                            </w:r>
                          </w:p>
                        </w:tc>
                        <w:tc>
                          <w:tcPr>
                            <w:tcW w:w="616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6-izopropil-2-dekahidronaftalenolio</w:t>
                            </w:r>
                          </w:p>
                        </w:tc>
                        <w:tc>
                          <w:tcPr>
                            <w:tcW w:w="219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34131-99-2</w:t>
                            </w:r>
                          </w:p>
                        </w:tc>
                      </w:tr>
                      <w:tr>
                        <w:trPr>
                          <w:trHeight w:val="60"/>
                        </w:trPr>
                        <w:tc>
                          <w:tcPr>
                            <w:tcW w:w="70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24.</w:t>
                            </w:r>
                          </w:p>
                        </w:tc>
                        <w:tc>
                          <w:tcPr>
                            <w:tcW w:w="616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7-metoksikumarino</w:t>
                            </w:r>
                          </w:p>
                        </w:tc>
                        <w:tc>
                          <w:tcPr>
                            <w:tcW w:w="219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531-59-9</w:t>
                            </w:r>
                          </w:p>
                        </w:tc>
                      </w:tr>
                      <w:tr>
                        <w:trPr>
                          <w:trHeight w:val="60"/>
                        </w:trPr>
                        <w:tc>
                          <w:tcPr>
                            <w:tcW w:w="70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25.</w:t>
                            </w:r>
                          </w:p>
                        </w:tc>
                        <w:tc>
                          <w:tcPr>
                            <w:tcW w:w="616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4-metoksifenolio</w:t>
                            </w:r>
                          </w:p>
                        </w:tc>
                        <w:tc>
                          <w:tcPr>
                            <w:tcW w:w="219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150-76-5</w:t>
                            </w:r>
                          </w:p>
                        </w:tc>
                      </w:tr>
                      <w:tr>
                        <w:trPr>
                          <w:trHeight w:val="60"/>
                        </w:trPr>
                        <w:tc>
                          <w:tcPr>
                            <w:tcW w:w="70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26.</w:t>
                            </w:r>
                          </w:p>
                        </w:tc>
                        <w:tc>
                          <w:tcPr>
                            <w:tcW w:w="616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4-(p-metoksifenil)-3-buten-2-ono</w:t>
                            </w:r>
                          </w:p>
                        </w:tc>
                        <w:tc>
                          <w:tcPr>
                            <w:tcW w:w="219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943-88-4</w:t>
                            </w:r>
                          </w:p>
                        </w:tc>
                      </w:tr>
                      <w:tr>
                        <w:trPr>
                          <w:trHeight w:val="60"/>
                        </w:trPr>
                        <w:tc>
                          <w:tcPr>
                            <w:tcW w:w="70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 xml:space="preserve">27. </w:t>
                            </w:r>
                          </w:p>
                        </w:tc>
                        <w:tc>
                          <w:tcPr>
                            <w:tcW w:w="616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1-(p-metoksifenil)-3-penten-1-ono</w:t>
                            </w:r>
                          </w:p>
                        </w:tc>
                        <w:tc>
                          <w:tcPr>
                            <w:tcW w:w="219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104-27-8</w:t>
                            </w:r>
                          </w:p>
                        </w:tc>
                      </w:tr>
                      <w:tr>
                        <w:trPr>
                          <w:trHeight w:val="60"/>
                        </w:trPr>
                        <w:tc>
                          <w:tcPr>
                            <w:tcW w:w="70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28.</w:t>
                            </w:r>
                          </w:p>
                        </w:tc>
                        <w:tc>
                          <w:tcPr>
                            <w:tcW w:w="616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Metil-trans-2-butenoato</w:t>
                            </w:r>
                          </w:p>
                        </w:tc>
                        <w:tc>
                          <w:tcPr>
                            <w:tcW w:w="219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623-43-8</w:t>
                            </w:r>
                          </w:p>
                        </w:tc>
                      </w:tr>
                      <w:tr>
                        <w:trPr>
                          <w:trHeight w:val="60"/>
                        </w:trPr>
                        <w:tc>
                          <w:tcPr>
                            <w:tcW w:w="70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29.</w:t>
                            </w:r>
                          </w:p>
                        </w:tc>
                        <w:tc>
                          <w:tcPr>
                            <w:tcW w:w="616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6-metilkumarino</w:t>
                            </w:r>
                          </w:p>
                        </w:tc>
                        <w:tc>
                          <w:tcPr>
                            <w:tcW w:w="219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92-48-8</w:t>
                            </w:r>
                          </w:p>
                        </w:tc>
                      </w:tr>
                      <w:tr>
                        <w:trPr>
                          <w:trHeight w:val="60"/>
                        </w:trPr>
                        <w:tc>
                          <w:tcPr>
                            <w:tcW w:w="70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30.</w:t>
                            </w:r>
                          </w:p>
                        </w:tc>
                        <w:tc>
                          <w:tcPr>
                            <w:tcW w:w="616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7-metilkumarino</w:t>
                            </w:r>
                          </w:p>
                        </w:tc>
                        <w:tc>
                          <w:tcPr>
                            <w:tcW w:w="219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2445-83-2</w:t>
                            </w:r>
                          </w:p>
                        </w:tc>
                      </w:tr>
                      <w:tr>
                        <w:trPr>
                          <w:trHeight w:val="60"/>
                        </w:trPr>
                        <w:tc>
                          <w:tcPr>
                            <w:tcW w:w="70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31.</w:t>
                            </w:r>
                          </w:p>
                        </w:tc>
                        <w:tc>
                          <w:tcPr>
                            <w:tcW w:w="616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5-metil-2,3-heksandiono</w:t>
                            </w:r>
                          </w:p>
                        </w:tc>
                        <w:tc>
                          <w:tcPr>
                            <w:tcW w:w="219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13706-86-0</w:t>
                            </w:r>
                          </w:p>
                        </w:tc>
                      </w:tr>
                      <w:tr>
                        <w:trPr>
                          <w:trHeight w:val="60"/>
                        </w:trPr>
                        <w:tc>
                          <w:tcPr>
                            <w:tcW w:w="70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32.</w:t>
                            </w:r>
                          </w:p>
                        </w:tc>
                        <w:tc>
                          <w:tcPr>
                            <w:tcW w:w="616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Kvapiųjų sosiūrijų šaknų aliejaus (</w:t>
                            </w:r>
                            <w:r>
                              <w:rPr>
                                <w:i/>
                                <w:iCs/>
                                <w:color w:val="000000"/>
                                <w:sz w:val="22"/>
                              </w:rPr>
                              <w:t>Saussurea lappa Clarke</w:t>
                            </w:r>
                            <w:r>
                              <w:rPr>
                                <w:color w:val="000000"/>
                                <w:sz w:val="22"/>
                              </w:rPr>
                              <w:t>)</w:t>
                            </w:r>
                          </w:p>
                        </w:tc>
                        <w:tc>
                          <w:tcPr>
                            <w:tcW w:w="219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8023-88-9</w:t>
                            </w:r>
                          </w:p>
                        </w:tc>
                      </w:tr>
                      <w:tr>
                        <w:trPr>
                          <w:trHeight w:val="60"/>
                        </w:trPr>
                        <w:tc>
                          <w:tcPr>
                            <w:tcW w:w="70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33.</w:t>
                            </w:r>
                          </w:p>
                        </w:tc>
                        <w:tc>
                          <w:tcPr>
                            <w:tcW w:w="616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7-etoksi-4-metilkumarino</w:t>
                            </w:r>
                          </w:p>
                        </w:tc>
                        <w:tc>
                          <w:tcPr>
                            <w:tcW w:w="219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87-05-8</w:t>
                            </w:r>
                          </w:p>
                        </w:tc>
                      </w:tr>
                      <w:tr>
                        <w:trPr>
                          <w:trHeight w:val="60"/>
                        </w:trPr>
                        <w:tc>
                          <w:tcPr>
                            <w:tcW w:w="70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34.</w:t>
                            </w:r>
                          </w:p>
                        </w:tc>
                        <w:tc>
                          <w:tcPr>
                            <w:tcW w:w="616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Heksahidrokumarino</w:t>
                            </w:r>
                          </w:p>
                        </w:tc>
                        <w:tc>
                          <w:tcPr>
                            <w:tcW w:w="219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700-82-3</w:t>
                            </w:r>
                          </w:p>
                        </w:tc>
                      </w:tr>
                      <w:tr>
                        <w:trPr>
                          <w:trHeight w:val="60"/>
                        </w:trPr>
                        <w:tc>
                          <w:tcPr>
                            <w:tcW w:w="70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35.</w:t>
                            </w:r>
                          </w:p>
                        </w:tc>
                        <w:tc>
                          <w:tcPr>
                            <w:tcW w:w="616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Peru balzamo (</w:t>
                            </w:r>
                            <w:r>
                              <w:rPr>
                                <w:i/>
                                <w:iCs/>
                                <w:color w:val="000000"/>
                                <w:sz w:val="22"/>
                              </w:rPr>
                              <w:t>Myroxylonpereirae Klotzsch</w:t>
                            </w:r>
                            <w:r>
                              <w:rPr>
                                <w:color w:val="000000"/>
                                <w:sz w:val="22"/>
                              </w:rPr>
                              <w:t>)</w:t>
                            </w:r>
                          </w:p>
                        </w:tc>
                        <w:tc>
                          <w:tcPr>
                            <w:tcW w:w="219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8007-00-9</w:t>
                            </w:r>
                          </w:p>
                        </w:tc>
                      </w:tr>
                      <w:tr>
                        <w:trPr>
                          <w:trHeight w:val="60"/>
                        </w:trPr>
                        <w:tc>
                          <w:tcPr>
                            <w:tcW w:w="70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36.</w:t>
                            </w:r>
                          </w:p>
                        </w:tc>
                        <w:tc>
                          <w:tcPr>
                            <w:tcW w:w="616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2-pentiliden-cikloheksanono</w:t>
                            </w:r>
                          </w:p>
                        </w:tc>
                        <w:tc>
                          <w:tcPr>
                            <w:tcW w:w="219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25677-40-1</w:t>
                            </w:r>
                          </w:p>
                        </w:tc>
                      </w:tr>
                      <w:tr>
                        <w:trPr>
                          <w:trHeight w:val="60"/>
                        </w:trPr>
                        <w:tc>
                          <w:tcPr>
                            <w:tcW w:w="70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37.</w:t>
                            </w:r>
                          </w:p>
                        </w:tc>
                        <w:tc>
                          <w:tcPr>
                            <w:tcW w:w="616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3,6,10-trimetil-3,5,9-undekatrien-2-ono</w:t>
                            </w:r>
                          </w:p>
                        </w:tc>
                        <w:tc>
                          <w:tcPr>
                            <w:tcW w:w="219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1117-41-5</w:t>
                            </w:r>
                          </w:p>
                        </w:tc>
                      </w:tr>
                      <w:tr>
                        <w:trPr>
                          <w:trHeight w:val="60"/>
                        </w:trPr>
                        <w:tc>
                          <w:tcPr>
                            <w:tcW w:w="70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38.</w:t>
                            </w:r>
                          </w:p>
                        </w:tc>
                        <w:tc>
                          <w:tcPr>
                            <w:tcW w:w="616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Verbenų aliejaus (</w:t>
                            </w:r>
                            <w:r>
                              <w:rPr>
                                <w:i/>
                                <w:iCs/>
                                <w:color w:val="000000"/>
                                <w:sz w:val="22"/>
                              </w:rPr>
                              <w:t>Lippia citriodora Kunth</w:t>
                            </w:r>
                            <w:r>
                              <w:rPr>
                                <w:color w:val="000000"/>
                                <w:sz w:val="22"/>
                              </w:rPr>
                              <w:t>)</w:t>
                            </w:r>
                          </w:p>
                        </w:tc>
                        <w:tc>
                          <w:tcPr>
                            <w:tcW w:w="219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8024-12-2</w:t>
                            </w:r>
                          </w:p>
                        </w:tc>
                      </w:tr>
                      <w:tr>
                        <w:trPr>
                          <w:trHeight w:val="60"/>
                        </w:trPr>
                        <w:tc>
                          <w:tcPr>
                            <w:tcW w:w="70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 xml:space="preserve">39. </w:t>
                            </w:r>
                          </w:p>
                        </w:tc>
                        <w:tc>
                          <w:tcPr>
                            <w:tcW w:w="616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Ambreto muskuso (4-tert-butil-3-metoksi-2,6-dinitrotolueno)</w:t>
                            </w:r>
                          </w:p>
                        </w:tc>
                        <w:tc>
                          <w:tcPr>
                            <w:tcW w:w="219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83-66-9</w:t>
                            </w:r>
                          </w:p>
                        </w:tc>
                      </w:tr>
                      <w:tr>
                        <w:trPr>
                          <w:trHeight w:val="60"/>
                        </w:trPr>
                        <w:tc>
                          <w:tcPr>
                            <w:tcW w:w="70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40.</w:t>
                            </w:r>
                          </w:p>
                        </w:tc>
                        <w:tc>
                          <w:tcPr>
                            <w:tcW w:w="616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4-fenil-3-buten-2-ono</w:t>
                            </w:r>
                          </w:p>
                        </w:tc>
                        <w:tc>
                          <w:tcPr>
                            <w:tcW w:w="219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122-57-6</w:t>
                            </w:r>
                          </w:p>
                        </w:tc>
                      </w:tr>
                      <w:tr>
                        <w:trPr>
                          <w:trHeight w:val="60"/>
                        </w:trPr>
                        <w:tc>
                          <w:tcPr>
                            <w:tcW w:w="70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41.</w:t>
                            </w:r>
                          </w:p>
                        </w:tc>
                        <w:tc>
                          <w:tcPr>
                            <w:tcW w:w="616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Amilcinamalio</w:t>
                            </w:r>
                          </w:p>
                        </w:tc>
                        <w:tc>
                          <w:tcPr>
                            <w:tcW w:w="219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122-40-7</w:t>
                            </w:r>
                          </w:p>
                        </w:tc>
                      </w:tr>
                      <w:tr>
                        <w:trPr>
                          <w:trHeight w:val="60"/>
                        </w:trPr>
                        <w:tc>
                          <w:tcPr>
                            <w:tcW w:w="70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42.</w:t>
                            </w:r>
                          </w:p>
                        </w:tc>
                        <w:tc>
                          <w:tcPr>
                            <w:tcW w:w="616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Amilcinamalio alkoholio</w:t>
                            </w:r>
                          </w:p>
                        </w:tc>
                        <w:tc>
                          <w:tcPr>
                            <w:tcW w:w="219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101-85-9</w:t>
                            </w:r>
                          </w:p>
                        </w:tc>
                      </w:tr>
                      <w:tr>
                        <w:trPr>
                          <w:trHeight w:val="60"/>
                        </w:trPr>
                        <w:tc>
                          <w:tcPr>
                            <w:tcW w:w="70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43.</w:t>
                            </w:r>
                          </w:p>
                        </w:tc>
                        <w:tc>
                          <w:tcPr>
                            <w:tcW w:w="616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Benzilo alkoholio</w:t>
                            </w:r>
                          </w:p>
                        </w:tc>
                        <w:tc>
                          <w:tcPr>
                            <w:tcW w:w="219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100-51-6</w:t>
                            </w:r>
                          </w:p>
                        </w:tc>
                      </w:tr>
                      <w:tr>
                        <w:trPr>
                          <w:trHeight w:val="60"/>
                        </w:trPr>
                        <w:tc>
                          <w:tcPr>
                            <w:tcW w:w="70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44.</w:t>
                            </w:r>
                          </w:p>
                        </w:tc>
                        <w:tc>
                          <w:tcPr>
                            <w:tcW w:w="616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Benzilsalicilato</w:t>
                            </w:r>
                          </w:p>
                        </w:tc>
                        <w:tc>
                          <w:tcPr>
                            <w:tcW w:w="219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118-58-1</w:t>
                            </w:r>
                          </w:p>
                        </w:tc>
                      </w:tr>
                      <w:tr>
                        <w:trPr>
                          <w:trHeight w:val="60"/>
                        </w:trPr>
                        <w:tc>
                          <w:tcPr>
                            <w:tcW w:w="70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45.</w:t>
                            </w:r>
                          </w:p>
                        </w:tc>
                        <w:tc>
                          <w:tcPr>
                            <w:tcW w:w="616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Cinamilo alkoholio</w:t>
                            </w:r>
                          </w:p>
                        </w:tc>
                        <w:tc>
                          <w:tcPr>
                            <w:tcW w:w="219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104-54-1</w:t>
                            </w:r>
                          </w:p>
                        </w:tc>
                      </w:tr>
                      <w:tr>
                        <w:trPr>
                          <w:trHeight w:val="60"/>
                        </w:trPr>
                        <w:tc>
                          <w:tcPr>
                            <w:tcW w:w="70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46.</w:t>
                            </w:r>
                          </w:p>
                        </w:tc>
                        <w:tc>
                          <w:tcPr>
                            <w:tcW w:w="616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Cinamalio</w:t>
                            </w:r>
                          </w:p>
                        </w:tc>
                        <w:tc>
                          <w:tcPr>
                            <w:tcW w:w="219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104-55-2</w:t>
                            </w:r>
                          </w:p>
                        </w:tc>
                      </w:tr>
                      <w:tr>
                        <w:trPr>
                          <w:trHeight w:val="60"/>
                        </w:trPr>
                        <w:tc>
                          <w:tcPr>
                            <w:tcW w:w="70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47.</w:t>
                            </w:r>
                          </w:p>
                        </w:tc>
                        <w:tc>
                          <w:tcPr>
                            <w:tcW w:w="616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Citralio</w:t>
                            </w:r>
                          </w:p>
                        </w:tc>
                        <w:tc>
                          <w:tcPr>
                            <w:tcW w:w="219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5392-40-5</w:t>
                            </w:r>
                          </w:p>
                        </w:tc>
                      </w:tr>
                      <w:tr>
                        <w:trPr>
                          <w:trHeight w:val="60"/>
                        </w:trPr>
                        <w:tc>
                          <w:tcPr>
                            <w:tcW w:w="70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48.</w:t>
                            </w:r>
                          </w:p>
                        </w:tc>
                        <w:tc>
                          <w:tcPr>
                            <w:tcW w:w="616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Kumarino</w:t>
                            </w:r>
                          </w:p>
                        </w:tc>
                        <w:tc>
                          <w:tcPr>
                            <w:tcW w:w="219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91-64-5</w:t>
                            </w:r>
                          </w:p>
                        </w:tc>
                      </w:tr>
                      <w:tr>
                        <w:trPr>
                          <w:trHeight w:val="60"/>
                        </w:trPr>
                        <w:tc>
                          <w:tcPr>
                            <w:tcW w:w="70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49.</w:t>
                            </w:r>
                          </w:p>
                        </w:tc>
                        <w:tc>
                          <w:tcPr>
                            <w:tcW w:w="616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Eugenolio</w:t>
                            </w:r>
                          </w:p>
                        </w:tc>
                        <w:tc>
                          <w:tcPr>
                            <w:tcW w:w="219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97-53-0</w:t>
                            </w:r>
                          </w:p>
                        </w:tc>
                      </w:tr>
                      <w:tr>
                        <w:trPr>
                          <w:trHeight w:val="60"/>
                        </w:trPr>
                        <w:tc>
                          <w:tcPr>
                            <w:tcW w:w="70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50.</w:t>
                            </w:r>
                          </w:p>
                        </w:tc>
                        <w:tc>
                          <w:tcPr>
                            <w:tcW w:w="616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Geraniolio</w:t>
                            </w:r>
                          </w:p>
                        </w:tc>
                        <w:tc>
                          <w:tcPr>
                            <w:tcW w:w="219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106-24-1</w:t>
                            </w:r>
                          </w:p>
                        </w:tc>
                      </w:tr>
                      <w:tr>
                        <w:trPr>
                          <w:trHeight w:val="60"/>
                        </w:trPr>
                        <w:tc>
                          <w:tcPr>
                            <w:tcW w:w="70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51.</w:t>
                            </w:r>
                          </w:p>
                        </w:tc>
                        <w:tc>
                          <w:tcPr>
                            <w:tcW w:w="616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Hidroksicitronelalio</w:t>
                            </w:r>
                          </w:p>
                        </w:tc>
                        <w:tc>
                          <w:tcPr>
                            <w:tcW w:w="219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107-75-5</w:t>
                            </w:r>
                          </w:p>
                        </w:tc>
                      </w:tr>
                      <w:tr>
                        <w:trPr>
                          <w:trHeight w:val="60"/>
                        </w:trPr>
                        <w:tc>
                          <w:tcPr>
                            <w:tcW w:w="70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52.</w:t>
                            </w:r>
                          </w:p>
                        </w:tc>
                        <w:tc>
                          <w:tcPr>
                            <w:tcW w:w="616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Hidroksi-metilpentilcikloheksenkarboksaldehido</w:t>
                            </w:r>
                          </w:p>
                        </w:tc>
                        <w:tc>
                          <w:tcPr>
                            <w:tcW w:w="219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31906-04-4</w:t>
                            </w:r>
                          </w:p>
                        </w:tc>
                      </w:tr>
                      <w:tr>
                        <w:trPr>
                          <w:trHeight w:val="60"/>
                        </w:trPr>
                        <w:tc>
                          <w:tcPr>
                            <w:tcW w:w="70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53.</w:t>
                            </w:r>
                          </w:p>
                        </w:tc>
                        <w:tc>
                          <w:tcPr>
                            <w:tcW w:w="616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Izoeugenolio</w:t>
                            </w:r>
                          </w:p>
                        </w:tc>
                        <w:tc>
                          <w:tcPr>
                            <w:tcW w:w="219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97-54-1</w:t>
                            </w:r>
                          </w:p>
                        </w:tc>
                      </w:tr>
                      <w:tr>
                        <w:trPr>
                          <w:trHeight w:val="60"/>
                        </w:trPr>
                        <w:tc>
                          <w:tcPr>
                            <w:tcW w:w="70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54.</w:t>
                            </w:r>
                          </w:p>
                        </w:tc>
                        <w:tc>
                          <w:tcPr>
                            <w:tcW w:w="616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Sodinių briedragių ekstraktų</w:t>
                            </w:r>
                          </w:p>
                        </w:tc>
                        <w:tc>
                          <w:tcPr>
                            <w:tcW w:w="219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90028-68-5</w:t>
                            </w:r>
                          </w:p>
                        </w:tc>
                      </w:tr>
                      <w:tr>
                        <w:trPr>
                          <w:trHeight w:val="60"/>
                        </w:trPr>
                        <w:tc>
                          <w:tcPr>
                            <w:tcW w:w="70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55.</w:t>
                            </w:r>
                          </w:p>
                        </w:tc>
                        <w:tc>
                          <w:tcPr>
                            <w:tcW w:w="616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Sėleninių briedragių ekstraktų</w:t>
                            </w:r>
                          </w:p>
                        </w:tc>
                        <w:tc>
                          <w:tcPr>
                            <w:tcW w:w="219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90028-67-4</w:t>
                            </w:r>
                          </w:p>
                        </w:tc>
                      </w:tr>
                      <w:tr>
                        <w:trPr>
                          <w:trHeight w:val="60"/>
                        </w:trPr>
                        <w:tc>
                          <w:tcPr>
                            <w:tcW w:w="70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56.</w:t>
                            </w:r>
                          </w:p>
                        </w:tc>
                        <w:tc>
                          <w:tcPr>
                            <w:tcW w:w="616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Atranol (2,6-dihidroksi-4-metilbenzaldehido)</w:t>
                            </w:r>
                          </w:p>
                        </w:tc>
                        <w:tc>
                          <w:tcPr>
                            <w:tcW w:w="219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526-37-4</w:t>
                            </w:r>
                          </w:p>
                        </w:tc>
                      </w:tr>
                      <w:tr>
                        <w:trPr>
                          <w:trHeight w:val="60"/>
                        </w:trPr>
                        <w:tc>
                          <w:tcPr>
                            <w:tcW w:w="70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57.</w:t>
                            </w:r>
                          </w:p>
                        </w:tc>
                        <w:tc>
                          <w:tcPr>
                            <w:tcW w:w="616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Chloratranol (3-chlor-2,6-dihidroksi-4-metilbenzaldehido)</w:t>
                            </w:r>
                          </w:p>
                        </w:tc>
                        <w:tc>
                          <w:tcPr>
                            <w:tcW w:w="219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57074-21-2</w:t>
                            </w:r>
                          </w:p>
                        </w:tc>
                      </w:tr>
                      <w:tr>
                        <w:trPr>
                          <w:trHeight w:val="60"/>
                        </w:trPr>
                        <w:tc>
                          <w:tcPr>
                            <w:tcW w:w="70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58.</w:t>
                            </w:r>
                          </w:p>
                        </w:tc>
                        <w:tc>
                          <w:tcPr>
                            <w:tcW w:w="616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Metilheptinkarbonato</w:t>
                            </w:r>
                          </w:p>
                        </w:tc>
                        <w:tc>
                          <w:tcPr>
                            <w:tcW w:w="219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2"/>
                              </w:rPr>
                            </w:pPr>
                            <w:r>
                              <w:rPr>
                                <w:color w:val="000000"/>
                                <w:sz w:val="22"/>
                              </w:rPr>
                              <w:t>111-12-6</w:t>
                            </w:r>
                          </w:p>
                        </w:tc>
                      </w:tr>
                    </w:tbl>
                    <w:p>
                      <w:pPr>
                        <w:widowControl w:val="0"/>
                        <w:suppressAutoHyphens/>
                        <w:ind w:firstLine="567"/>
                        <w:jc w:val="both"/>
                        <w:rPr>
                          <w:color w:val="000000"/>
                        </w:rPr>
                      </w:pP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2e26a01ac611ec93af8a5fb475d9bd">
                    <w:r w:rsidRPr="00532B9F">
                      <w:rPr>
                        <w:rFonts w:ascii="Times New Roman" w:eastAsia="MS Mincho" w:hAnsi="Times New Roman"/>
                        <w:sz w:val="20"/>
                        <w:i/>
                        <w:iCs/>
                        <w:color w:val="0000FF" w:themeColor="hyperlink"/>
                        <w:u w:val="single"/>
                      </w:rPr>
                      <w:t>4-994</w:t>
                    </w:r>
                  </w:fldSimple>
                  <w:r>
                    <w:rPr>
                      <w:rFonts w:ascii="Times New Roman" w:eastAsia="MS Mincho" w:hAnsi="Times New Roman"/>
                      <w:sz w:val="20"/>
                      <w:i/>
                      <w:iCs/>
                    </w:rPr>
                    <w:t>,
2021-09-21,
paskelbta TAR 2021-09-21, i. k. 2021-19774            </w:t>
                  </w:r>
                </w:p>
                <w:p/>
              </w:sdtContent>
            </w:sdt>
            <w:sdt>
              <w:sdtPr>
                <w:alias w:val="2 pr. 36 p."/>
                <w:tag w:val="part_2219f08818e1498a97289b9c4c59fdb2"/>
                <w:lock w:val="sdtLocked"/>
                <w:richText/>
              </w:sdtPr>
              <w:sdtContent>
                <w:p>
                  <w:pPr>
                    <w:widowControl w:val="0"/>
                    <w:suppressAutoHyphens/>
                    <w:ind w:firstLine="567"/>
                    <w:jc w:val="both"/>
                    <w:rPr>
                      <w:color w:val="000000"/>
                    </w:rPr>
                  </w:pPr>
                  <w:sdt>
                    <w:sdtPr>
                      <w:alias w:val="Numeris"/>
                      <w:tag w:val="nr_2219f08818e1498a97289b9c4c59fdb2"/>
                      <w:lock w:val="sdtLocked"/>
                      <w:richText/>
                    </w:sdtPr>
                    <w:sdtContent>
                      <w:r>
                        <w:rPr>
                          <w:color w:val="000000"/>
                        </w:rPr>
                        <w:t>36</w:t>
                      </w:r>
                    </w:sdtContent>
                  </w:sdt>
                  <w:r>
                    <w:rPr>
                      <w:color w:val="000000"/>
                    </w:rPr>
                    <w:t>. Ant žaislo tvirtinamoje etiketėje, ant pakuotės arba pridedame informaciniame lapelyje turi būti nurodyti Aprašo 2 lentelėje išvardytų alerginių kvapiųjų medžiagų, jeigu jų dedama į žaislus ir jeigu koncentracija viršija 100 mg/kg žaislo ar jo sudedamųjų dalių masės, pavadinimai.</w:t>
                  </w:r>
                </w:p>
                <w:p>
                  <w:pPr>
                    <w:widowControl w:val="0"/>
                    <w:suppressAutoHyphens/>
                    <w:ind w:firstLine="567"/>
                    <w:jc w:val="both"/>
                    <w:rPr>
                      <w:color w:val="000000"/>
                    </w:rPr>
                  </w:pPr>
                </w:p>
                <w:p>
                  <w:pPr>
                    <w:widowControl w:val="0"/>
                    <w:suppressAutoHyphens/>
                    <w:ind w:firstLine="567"/>
                    <w:jc w:val="both"/>
                    <w:rPr>
                      <w:b/>
                      <w:bCs/>
                      <w:i/>
                      <w:iCs/>
                      <w:color w:val="000000"/>
                    </w:rPr>
                  </w:pPr>
                  <w:r>
                    <w:rPr>
                      <w:b/>
                      <w:bCs/>
                      <w:i/>
                      <w:iCs/>
                      <w:color w:val="000000"/>
                    </w:rPr>
                    <w:t>2 lentelė</w:t>
                  </w:r>
                </w:p>
                <w:p>
                  <w:pPr>
                    <w:widowControl w:val="0"/>
                    <w:suppressAutoHyphens/>
                    <w:ind w:firstLine="567"/>
                    <w:jc w:val="both"/>
                    <w:rPr>
                      <w:b/>
                      <w:bCs/>
                      <w:i/>
                      <w:iCs/>
                      <w:color w:val="000000"/>
                    </w:rPr>
                  </w:pPr>
                </w:p>
                <w:tbl>
                  <w:tblPr>
                    <w:tblW w:w="9634" w:type="dxa"/>
                    <w:tblInd w:w="-5" w:type="dxa"/>
                    <w:tblCellMar>
                      <w:left w:w="0" w:type="dxa"/>
                      <w:right w:w="0" w:type="dxa"/>
                    </w:tblCellMar>
                    <w:tblLook w:val="04A0" w:firstRow="1" w:lastRow="0" w:firstColumn="1" w:lastColumn="0" w:noHBand="0" w:noVBand="1"/>
                  </w:tblPr>
                  <w:tblGrid>
                    <w:gridCol w:w="637"/>
                    <w:gridCol w:w="4605"/>
                    <w:gridCol w:w="4392"/>
                  </w:tblGrid>
                  <w:tr>
                    <w:trPr>
                      <w:cantSplit/>
                      <w:trHeight w:val="60"/>
                    </w:trPr>
                    <w:tc>
                      <w:tcPr>
                        <w:tcW w:w="637"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hideMark/>
                      </w:tcPr>
                      <w:p>
                        <w:pPr>
                          <w:jc w:val="center"/>
                          <w:rPr>
                            <w:szCs w:val="24"/>
                            <w:lang w:eastAsia="lt-LT"/>
                          </w:rPr>
                        </w:pPr>
                        <w:r>
                          <w:rPr>
                            <w:b/>
                            <w:bCs/>
                            <w:szCs w:val="24"/>
                            <w:lang w:eastAsia="lt-LT"/>
                          </w:rPr>
                          <w:t>Nr.</w:t>
                        </w:r>
                      </w:p>
                    </w:tc>
                    <w:tc>
                      <w:tcPr>
                        <w:tcW w:w="4605"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hideMark/>
                      </w:tcPr>
                      <w:p>
                        <w:pPr>
                          <w:jc w:val="center"/>
                          <w:rPr>
                            <w:szCs w:val="24"/>
                            <w:lang w:eastAsia="lt-LT"/>
                          </w:rPr>
                        </w:pPr>
                        <w:r>
                          <w:rPr>
                            <w:b/>
                            <w:bCs/>
                            <w:szCs w:val="24"/>
                            <w:lang w:eastAsia="lt-LT"/>
                          </w:rPr>
                          <w:t>Alerginės kvapiosios medžiagos pavadinimas</w:t>
                        </w:r>
                      </w:p>
                    </w:tc>
                    <w:tc>
                      <w:tcPr>
                        <w:tcW w:w="4392"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hideMark/>
                      </w:tcPr>
                      <w:p>
                        <w:pPr>
                          <w:jc w:val="center"/>
                          <w:rPr>
                            <w:szCs w:val="24"/>
                            <w:lang w:eastAsia="lt-LT"/>
                          </w:rPr>
                        </w:pPr>
                        <w:r>
                          <w:rPr>
                            <w:b/>
                            <w:bCs/>
                            <w:szCs w:val="24"/>
                            <w:lang w:eastAsia="lt-LT"/>
                          </w:rPr>
                          <w:t>CAS Nr.</w:t>
                        </w:r>
                      </w:p>
                    </w:tc>
                  </w:tr>
                  <w:tr>
                    <w:trPr>
                      <w:trHeight w:val="60"/>
                    </w:trPr>
                    <w:tc>
                      <w:tcPr>
                        <w:tcW w:w="637"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hideMark/>
                      </w:tcPr>
                      <w:p>
                        <w:pPr>
                          <w:rPr>
                            <w:szCs w:val="24"/>
                            <w:lang w:eastAsia="lt-LT"/>
                          </w:rPr>
                        </w:pPr>
                        <w:r>
                          <w:rPr>
                            <w:szCs w:val="24"/>
                            <w:lang w:eastAsia="lt-LT"/>
                          </w:rPr>
                          <w:t>1.</w:t>
                        </w:r>
                      </w:p>
                    </w:tc>
                    <w:tc>
                      <w:tcPr>
                        <w:tcW w:w="4605"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hideMark/>
                      </w:tcPr>
                      <w:p>
                        <w:pPr>
                          <w:rPr>
                            <w:szCs w:val="24"/>
                            <w:lang w:eastAsia="lt-LT"/>
                          </w:rPr>
                        </w:pPr>
                        <w:r>
                          <w:rPr>
                            <w:szCs w:val="24"/>
                            <w:lang w:eastAsia="lt-LT"/>
                          </w:rPr>
                          <w:t>Anizilo alkoholis</w:t>
                        </w:r>
                      </w:p>
                    </w:tc>
                    <w:tc>
                      <w:tcPr>
                        <w:tcW w:w="4392"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hideMark/>
                      </w:tcPr>
                      <w:p>
                        <w:pPr>
                          <w:rPr>
                            <w:szCs w:val="24"/>
                            <w:lang w:eastAsia="lt-LT"/>
                          </w:rPr>
                        </w:pPr>
                        <w:r>
                          <w:rPr>
                            <w:szCs w:val="24"/>
                            <w:lang w:eastAsia="lt-LT"/>
                          </w:rPr>
                          <w:t>105-13-5</w:t>
                        </w:r>
                      </w:p>
                    </w:tc>
                  </w:tr>
                  <w:tr>
                    <w:trPr>
                      <w:trHeight w:val="60"/>
                    </w:trPr>
                    <w:tc>
                      <w:tcPr>
                        <w:tcW w:w="637"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hideMark/>
                      </w:tcPr>
                      <w:p>
                        <w:pPr>
                          <w:rPr>
                            <w:szCs w:val="24"/>
                            <w:lang w:eastAsia="lt-LT"/>
                          </w:rPr>
                        </w:pPr>
                        <w:r>
                          <w:rPr>
                            <w:szCs w:val="24"/>
                            <w:lang w:eastAsia="lt-LT"/>
                          </w:rPr>
                          <w:t>2.</w:t>
                        </w:r>
                      </w:p>
                    </w:tc>
                    <w:tc>
                      <w:tcPr>
                        <w:tcW w:w="4605"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hideMark/>
                      </w:tcPr>
                      <w:p>
                        <w:pPr>
                          <w:rPr>
                            <w:szCs w:val="24"/>
                            <w:lang w:eastAsia="lt-LT"/>
                          </w:rPr>
                        </w:pPr>
                        <w:r>
                          <w:rPr>
                            <w:szCs w:val="24"/>
                            <w:lang w:eastAsia="lt-LT"/>
                          </w:rPr>
                          <w:t>Benzilbenzoatas</w:t>
                        </w:r>
                      </w:p>
                    </w:tc>
                    <w:tc>
                      <w:tcPr>
                        <w:tcW w:w="4392"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hideMark/>
                      </w:tcPr>
                      <w:p>
                        <w:pPr>
                          <w:rPr>
                            <w:szCs w:val="24"/>
                            <w:lang w:eastAsia="lt-LT"/>
                          </w:rPr>
                        </w:pPr>
                        <w:r>
                          <w:rPr>
                            <w:szCs w:val="24"/>
                            <w:lang w:eastAsia="lt-LT"/>
                          </w:rPr>
                          <w:t>120-51-4</w:t>
                        </w:r>
                      </w:p>
                    </w:tc>
                  </w:tr>
                  <w:tr>
                    <w:trPr>
                      <w:trHeight w:val="60"/>
                    </w:trPr>
                    <w:tc>
                      <w:tcPr>
                        <w:tcW w:w="637"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hideMark/>
                      </w:tcPr>
                      <w:p>
                        <w:pPr>
                          <w:rPr>
                            <w:szCs w:val="24"/>
                            <w:lang w:eastAsia="lt-LT"/>
                          </w:rPr>
                        </w:pPr>
                        <w:r>
                          <w:rPr>
                            <w:szCs w:val="24"/>
                            <w:lang w:eastAsia="lt-LT"/>
                          </w:rPr>
                          <w:t>3.</w:t>
                        </w:r>
                      </w:p>
                    </w:tc>
                    <w:tc>
                      <w:tcPr>
                        <w:tcW w:w="4605"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hideMark/>
                      </w:tcPr>
                      <w:p>
                        <w:pPr>
                          <w:rPr>
                            <w:szCs w:val="24"/>
                            <w:lang w:eastAsia="lt-LT"/>
                          </w:rPr>
                        </w:pPr>
                        <w:r>
                          <w:rPr>
                            <w:szCs w:val="24"/>
                            <w:lang w:eastAsia="lt-LT"/>
                          </w:rPr>
                          <w:t>Benzilcinamatas</w:t>
                        </w:r>
                      </w:p>
                    </w:tc>
                    <w:tc>
                      <w:tcPr>
                        <w:tcW w:w="4392"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hideMark/>
                      </w:tcPr>
                      <w:p>
                        <w:pPr>
                          <w:rPr>
                            <w:szCs w:val="24"/>
                            <w:lang w:eastAsia="lt-LT"/>
                          </w:rPr>
                        </w:pPr>
                        <w:r>
                          <w:rPr>
                            <w:szCs w:val="24"/>
                            <w:lang w:eastAsia="lt-LT"/>
                          </w:rPr>
                          <w:t>103-41-3</w:t>
                        </w:r>
                      </w:p>
                    </w:tc>
                  </w:tr>
                  <w:tr>
                    <w:trPr>
                      <w:trHeight w:val="60"/>
                    </w:trPr>
                    <w:tc>
                      <w:tcPr>
                        <w:tcW w:w="637"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hideMark/>
                      </w:tcPr>
                      <w:p>
                        <w:pPr>
                          <w:rPr>
                            <w:szCs w:val="24"/>
                            <w:lang w:eastAsia="lt-LT"/>
                          </w:rPr>
                        </w:pPr>
                        <w:r>
                          <w:rPr>
                            <w:szCs w:val="24"/>
                            <w:lang w:eastAsia="lt-LT"/>
                          </w:rPr>
                          <w:t>4.</w:t>
                        </w:r>
                      </w:p>
                    </w:tc>
                    <w:tc>
                      <w:tcPr>
                        <w:tcW w:w="4605"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hideMark/>
                      </w:tcPr>
                      <w:p>
                        <w:pPr>
                          <w:rPr>
                            <w:szCs w:val="24"/>
                            <w:lang w:eastAsia="lt-LT"/>
                          </w:rPr>
                        </w:pPr>
                        <w:r>
                          <w:rPr>
                            <w:szCs w:val="24"/>
                            <w:lang w:eastAsia="lt-LT"/>
                          </w:rPr>
                          <w:t>Citronelolis</w:t>
                        </w:r>
                      </w:p>
                    </w:tc>
                    <w:tc>
                      <w:tcPr>
                        <w:tcW w:w="4392"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hideMark/>
                      </w:tcPr>
                      <w:p>
                        <w:pPr>
                          <w:rPr>
                            <w:szCs w:val="24"/>
                            <w:lang w:eastAsia="lt-LT"/>
                          </w:rPr>
                        </w:pPr>
                        <w:r>
                          <w:rPr>
                            <w:szCs w:val="24"/>
                            <w:lang w:eastAsia="lt-LT"/>
                          </w:rPr>
                          <w:t>106-22-9; 1117-61-9; 7540-51-4</w:t>
                        </w:r>
                      </w:p>
                    </w:tc>
                  </w:tr>
                  <w:tr>
                    <w:trPr>
                      <w:trHeight w:val="60"/>
                    </w:trPr>
                    <w:tc>
                      <w:tcPr>
                        <w:tcW w:w="637"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hideMark/>
                      </w:tcPr>
                      <w:p>
                        <w:pPr>
                          <w:rPr>
                            <w:szCs w:val="24"/>
                            <w:lang w:eastAsia="lt-LT"/>
                          </w:rPr>
                        </w:pPr>
                        <w:r>
                          <w:rPr>
                            <w:szCs w:val="24"/>
                            <w:lang w:eastAsia="lt-LT"/>
                          </w:rPr>
                          <w:t>5.</w:t>
                        </w:r>
                      </w:p>
                    </w:tc>
                    <w:tc>
                      <w:tcPr>
                        <w:tcW w:w="4605"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hideMark/>
                      </w:tcPr>
                      <w:p>
                        <w:pPr>
                          <w:rPr>
                            <w:szCs w:val="24"/>
                            <w:lang w:eastAsia="lt-LT"/>
                          </w:rPr>
                        </w:pPr>
                        <w:r>
                          <w:rPr>
                            <w:szCs w:val="24"/>
                            <w:lang w:eastAsia="lt-LT"/>
                          </w:rPr>
                          <w:t>Farnezolis</w:t>
                        </w:r>
                      </w:p>
                    </w:tc>
                    <w:tc>
                      <w:tcPr>
                        <w:tcW w:w="4392"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hideMark/>
                      </w:tcPr>
                      <w:p>
                        <w:pPr>
                          <w:rPr>
                            <w:szCs w:val="24"/>
                            <w:lang w:eastAsia="lt-LT"/>
                          </w:rPr>
                        </w:pPr>
                        <w:r>
                          <w:rPr>
                            <w:szCs w:val="24"/>
                            <w:lang w:eastAsia="lt-LT"/>
                          </w:rPr>
                          <w:t>4602-84-0</w:t>
                        </w:r>
                      </w:p>
                    </w:tc>
                  </w:tr>
                  <w:tr>
                    <w:trPr>
                      <w:trHeight w:val="60"/>
                    </w:trPr>
                    <w:tc>
                      <w:tcPr>
                        <w:tcW w:w="637"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hideMark/>
                      </w:tcPr>
                      <w:p>
                        <w:pPr>
                          <w:rPr>
                            <w:szCs w:val="24"/>
                            <w:lang w:eastAsia="lt-LT"/>
                          </w:rPr>
                        </w:pPr>
                        <w:r>
                          <w:rPr>
                            <w:szCs w:val="24"/>
                            <w:lang w:eastAsia="lt-LT"/>
                          </w:rPr>
                          <w:t>6.</w:t>
                        </w:r>
                      </w:p>
                    </w:tc>
                    <w:tc>
                      <w:tcPr>
                        <w:tcW w:w="4605"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hideMark/>
                      </w:tcPr>
                      <w:p>
                        <w:pPr>
                          <w:rPr>
                            <w:szCs w:val="24"/>
                            <w:lang w:eastAsia="lt-LT"/>
                          </w:rPr>
                        </w:pPr>
                        <w:r>
                          <w:rPr>
                            <w:szCs w:val="24"/>
                            <w:lang w:eastAsia="lt-LT"/>
                          </w:rPr>
                          <w:t>Heksilcinamono aldehidas</w:t>
                        </w:r>
                      </w:p>
                    </w:tc>
                    <w:tc>
                      <w:tcPr>
                        <w:tcW w:w="4392"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hideMark/>
                      </w:tcPr>
                      <w:p>
                        <w:pPr>
                          <w:rPr>
                            <w:szCs w:val="24"/>
                            <w:lang w:eastAsia="lt-LT"/>
                          </w:rPr>
                        </w:pPr>
                        <w:r>
                          <w:rPr>
                            <w:szCs w:val="24"/>
                            <w:lang w:eastAsia="lt-LT"/>
                          </w:rPr>
                          <w:t>101-86-0</w:t>
                        </w:r>
                      </w:p>
                    </w:tc>
                  </w:tr>
                  <w:tr>
                    <w:trPr>
                      <w:trHeight w:val="60"/>
                    </w:trPr>
                    <w:tc>
                      <w:tcPr>
                        <w:tcW w:w="637"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hideMark/>
                      </w:tcPr>
                      <w:p>
                        <w:pPr>
                          <w:rPr>
                            <w:szCs w:val="24"/>
                            <w:lang w:eastAsia="lt-LT"/>
                          </w:rPr>
                        </w:pPr>
                        <w:r>
                          <w:rPr>
                            <w:szCs w:val="24"/>
                            <w:lang w:eastAsia="lt-LT"/>
                          </w:rPr>
                          <w:t>7.</w:t>
                        </w:r>
                      </w:p>
                    </w:tc>
                    <w:tc>
                      <w:tcPr>
                        <w:tcW w:w="4605"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hideMark/>
                      </w:tcPr>
                      <w:p>
                        <w:pPr>
                          <w:rPr>
                            <w:szCs w:val="24"/>
                            <w:lang w:eastAsia="lt-LT"/>
                          </w:rPr>
                        </w:pPr>
                        <w:r>
                          <w:rPr>
                            <w:szCs w:val="24"/>
                            <w:lang w:eastAsia="lt-LT"/>
                          </w:rPr>
                          <w:t>Lilial</w:t>
                        </w:r>
                      </w:p>
                    </w:tc>
                    <w:tc>
                      <w:tcPr>
                        <w:tcW w:w="4392"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hideMark/>
                      </w:tcPr>
                      <w:p>
                        <w:pPr>
                          <w:rPr>
                            <w:szCs w:val="24"/>
                            <w:lang w:eastAsia="lt-LT"/>
                          </w:rPr>
                        </w:pPr>
                        <w:r>
                          <w:rPr>
                            <w:szCs w:val="24"/>
                            <w:lang w:eastAsia="lt-LT"/>
                          </w:rPr>
                          <w:t>80-54-6</w:t>
                        </w:r>
                      </w:p>
                    </w:tc>
                  </w:tr>
                  <w:tr>
                    <w:trPr>
                      <w:trHeight w:val="60"/>
                    </w:trPr>
                    <w:tc>
                      <w:tcPr>
                        <w:tcW w:w="637"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hideMark/>
                      </w:tcPr>
                      <w:p>
                        <w:pPr>
                          <w:rPr>
                            <w:szCs w:val="24"/>
                            <w:lang w:eastAsia="lt-LT"/>
                          </w:rPr>
                        </w:pPr>
                        <w:r>
                          <w:rPr>
                            <w:szCs w:val="24"/>
                            <w:lang w:eastAsia="lt-LT"/>
                          </w:rPr>
                          <w:t>8.</w:t>
                        </w:r>
                      </w:p>
                    </w:tc>
                    <w:tc>
                      <w:tcPr>
                        <w:tcW w:w="4605"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hideMark/>
                      </w:tcPr>
                      <w:p>
                        <w:pPr>
                          <w:rPr>
                            <w:szCs w:val="24"/>
                            <w:lang w:eastAsia="lt-LT"/>
                          </w:rPr>
                        </w:pPr>
                        <w:r>
                          <w:rPr>
                            <w:szCs w:val="24"/>
                            <w:lang w:eastAsia="lt-LT"/>
                          </w:rPr>
                          <w:t>D-limonenas</w:t>
                        </w:r>
                      </w:p>
                    </w:tc>
                    <w:tc>
                      <w:tcPr>
                        <w:tcW w:w="4392"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hideMark/>
                      </w:tcPr>
                      <w:p>
                        <w:pPr>
                          <w:rPr>
                            <w:szCs w:val="24"/>
                            <w:lang w:eastAsia="lt-LT"/>
                          </w:rPr>
                        </w:pPr>
                        <w:r>
                          <w:rPr>
                            <w:szCs w:val="24"/>
                            <w:lang w:eastAsia="lt-LT"/>
                          </w:rPr>
                          <w:t>5989-27-5</w:t>
                        </w:r>
                      </w:p>
                    </w:tc>
                  </w:tr>
                  <w:tr>
                    <w:trPr>
                      <w:trHeight w:val="60"/>
                    </w:trPr>
                    <w:tc>
                      <w:tcPr>
                        <w:tcW w:w="637"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hideMark/>
                      </w:tcPr>
                      <w:p>
                        <w:pPr>
                          <w:rPr>
                            <w:szCs w:val="24"/>
                            <w:lang w:eastAsia="lt-LT"/>
                          </w:rPr>
                        </w:pPr>
                        <w:r>
                          <w:rPr>
                            <w:szCs w:val="24"/>
                            <w:lang w:eastAsia="lt-LT"/>
                          </w:rPr>
                          <w:t>9.</w:t>
                        </w:r>
                      </w:p>
                    </w:tc>
                    <w:tc>
                      <w:tcPr>
                        <w:tcW w:w="4605"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hideMark/>
                      </w:tcPr>
                      <w:p>
                        <w:pPr>
                          <w:rPr>
                            <w:szCs w:val="24"/>
                            <w:lang w:eastAsia="lt-LT"/>
                          </w:rPr>
                        </w:pPr>
                        <w:r>
                          <w:rPr>
                            <w:szCs w:val="24"/>
                            <w:lang w:eastAsia="lt-LT"/>
                          </w:rPr>
                          <w:t>Linalolis</w:t>
                        </w:r>
                      </w:p>
                    </w:tc>
                    <w:tc>
                      <w:tcPr>
                        <w:tcW w:w="4392"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hideMark/>
                      </w:tcPr>
                      <w:p>
                        <w:pPr>
                          <w:rPr>
                            <w:szCs w:val="24"/>
                            <w:lang w:eastAsia="lt-LT"/>
                          </w:rPr>
                        </w:pPr>
                        <w:r>
                          <w:rPr>
                            <w:szCs w:val="24"/>
                            <w:lang w:eastAsia="lt-LT"/>
                          </w:rPr>
                          <w:t>78-70-6</w:t>
                        </w:r>
                      </w:p>
                    </w:tc>
                  </w:tr>
                  <w:tr>
                    <w:trPr>
                      <w:trHeight w:val="60"/>
                    </w:trPr>
                    <w:tc>
                      <w:tcPr>
                        <w:tcW w:w="637"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hideMark/>
                      </w:tcPr>
                      <w:p>
                        <w:pPr>
                          <w:rPr>
                            <w:szCs w:val="24"/>
                            <w:lang w:eastAsia="lt-LT"/>
                          </w:rPr>
                        </w:pPr>
                        <w:r>
                          <w:rPr>
                            <w:szCs w:val="24"/>
                            <w:lang w:eastAsia="lt-LT"/>
                          </w:rPr>
                          <w:t>10.</w:t>
                        </w:r>
                      </w:p>
                    </w:tc>
                    <w:tc>
                      <w:tcPr>
                        <w:tcW w:w="4605"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tcPr>
                      <w:p>
                        <w:pPr>
                          <w:rPr>
                            <w:strike/>
                            <w:szCs w:val="24"/>
                            <w:lang w:eastAsia="lt-LT"/>
                          </w:rPr>
                        </w:pPr>
                      </w:p>
                    </w:tc>
                    <w:tc>
                      <w:tcPr>
                        <w:tcW w:w="4392"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hideMark/>
                      </w:tcPr>
                      <w:p>
                        <w:pPr>
                          <w:rPr>
                            <w:strike/>
                            <w:szCs w:val="24"/>
                            <w:lang w:eastAsia="lt-LT"/>
                          </w:rPr>
                        </w:pPr>
                      </w:p>
                    </w:tc>
                  </w:tr>
                  <w:tr>
                    <w:trPr>
                      <w:trHeight w:val="60"/>
                    </w:trPr>
                    <w:tc>
                      <w:tcPr>
                        <w:tcW w:w="637"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hideMark/>
                      </w:tcPr>
                      <w:p>
                        <w:pPr>
                          <w:rPr>
                            <w:szCs w:val="24"/>
                            <w:lang w:eastAsia="lt-LT"/>
                          </w:rPr>
                        </w:pPr>
                        <w:r>
                          <w:rPr>
                            <w:szCs w:val="24"/>
                            <w:lang w:eastAsia="lt-LT"/>
                          </w:rPr>
                          <w:t>11.</w:t>
                        </w:r>
                      </w:p>
                    </w:tc>
                    <w:tc>
                      <w:tcPr>
                        <w:tcW w:w="4605"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hideMark/>
                      </w:tcPr>
                      <w:p>
                        <w:pPr>
                          <w:rPr>
                            <w:szCs w:val="24"/>
                            <w:lang w:eastAsia="lt-LT"/>
                          </w:rPr>
                        </w:pPr>
                        <w:r>
                          <w:rPr>
                            <w:szCs w:val="24"/>
                            <w:lang w:eastAsia="lt-LT"/>
                          </w:rPr>
                          <w:t>3-metil-4-(2,6,6-trimetil-2-cikloheksen-1-il)-3-buten-2-onas</w:t>
                        </w:r>
                      </w:p>
                    </w:tc>
                    <w:tc>
                      <w:tcPr>
                        <w:tcW w:w="4392"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hideMark/>
                      </w:tcPr>
                      <w:p>
                        <w:pPr>
                          <w:rPr>
                            <w:szCs w:val="24"/>
                            <w:lang w:eastAsia="lt-LT"/>
                          </w:rPr>
                        </w:pPr>
                        <w:r>
                          <w:rPr>
                            <w:szCs w:val="24"/>
                            <w:lang w:eastAsia="lt-LT"/>
                          </w:rPr>
                          <w:t>127-51-5</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0"/>
                    </w:trPr>
                    <w:tc>
                      <w:tcPr>
                        <w:tcW w:w="637"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hideMark/>
                      </w:tcPr>
                      <w:p>
                        <w:pPr>
                          <w:rPr>
                            <w:szCs w:val="24"/>
                            <w:lang w:eastAsia="lt-LT"/>
                          </w:rPr>
                        </w:pPr>
                        <w:r>
                          <w:rPr>
                            <w:szCs w:val="24"/>
                            <w:lang w:eastAsia="lt-LT"/>
                          </w:rPr>
                          <w:t>12.</w:t>
                        </w:r>
                      </w:p>
                    </w:tc>
                    <w:tc>
                      <w:tcPr>
                        <w:tcW w:w="4605"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hideMark/>
                      </w:tcPr>
                      <w:p>
                        <w:pPr>
                          <w:rPr>
                            <w:szCs w:val="24"/>
                            <w:lang w:eastAsia="lt-LT"/>
                          </w:rPr>
                        </w:pPr>
                        <w:r>
                          <w:rPr>
                            <w:szCs w:val="24"/>
                            <w:lang w:eastAsia="lt-LT"/>
                          </w:rPr>
                          <w:t>Acetilcedrenas</w:t>
                        </w:r>
                      </w:p>
                    </w:tc>
                    <w:tc>
                      <w:tcPr>
                        <w:tcW w:w="4392"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hideMark/>
                      </w:tcPr>
                      <w:p>
                        <w:pPr>
                          <w:rPr>
                            <w:szCs w:val="24"/>
                            <w:lang w:eastAsia="lt-LT"/>
                          </w:rPr>
                        </w:pPr>
                        <w:r>
                          <w:rPr>
                            <w:szCs w:val="24"/>
                            <w:lang w:eastAsia="lt-LT"/>
                          </w:rPr>
                          <w:t>32388-55-9</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0"/>
                    </w:trPr>
                    <w:tc>
                      <w:tcPr>
                        <w:tcW w:w="637"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hideMark/>
                      </w:tcPr>
                      <w:p>
                        <w:pPr>
                          <w:rPr>
                            <w:szCs w:val="24"/>
                            <w:lang w:eastAsia="lt-LT"/>
                          </w:rPr>
                        </w:pPr>
                        <w:r>
                          <w:rPr>
                            <w:szCs w:val="24"/>
                            <w:lang w:eastAsia="lt-LT"/>
                          </w:rPr>
                          <w:t>13.</w:t>
                        </w:r>
                      </w:p>
                    </w:tc>
                    <w:tc>
                      <w:tcPr>
                        <w:tcW w:w="4605"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hideMark/>
                      </w:tcPr>
                      <w:p>
                        <w:pPr>
                          <w:rPr>
                            <w:szCs w:val="24"/>
                            <w:lang w:eastAsia="lt-LT"/>
                          </w:rPr>
                        </w:pPr>
                        <w:r>
                          <w:rPr>
                            <w:szCs w:val="24"/>
                            <w:lang w:eastAsia="lt-LT"/>
                          </w:rPr>
                          <w:t>Amilsalicilatas</w:t>
                        </w:r>
                      </w:p>
                    </w:tc>
                    <w:tc>
                      <w:tcPr>
                        <w:tcW w:w="4392"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hideMark/>
                      </w:tcPr>
                      <w:p>
                        <w:pPr>
                          <w:rPr>
                            <w:szCs w:val="24"/>
                            <w:lang w:eastAsia="lt-LT"/>
                          </w:rPr>
                        </w:pPr>
                        <w:r>
                          <w:rPr>
                            <w:szCs w:val="24"/>
                            <w:lang w:eastAsia="lt-LT"/>
                          </w:rPr>
                          <w:t>2050-08-0</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0"/>
                    </w:trPr>
                    <w:tc>
                      <w:tcPr>
                        <w:tcW w:w="637"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14.</w:t>
                        </w:r>
                      </w:p>
                    </w:tc>
                    <w:tc>
                      <w:tcPr>
                        <w:tcW w:w="4605"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Trans-anetolis</w:t>
                        </w:r>
                      </w:p>
                    </w:tc>
                    <w:tc>
                      <w:tcPr>
                        <w:tcW w:w="4392"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4180-23-8</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0"/>
                    </w:trPr>
                    <w:tc>
                      <w:tcPr>
                        <w:tcW w:w="637"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15.</w:t>
                        </w:r>
                      </w:p>
                    </w:tc>
                    <w:tc>
                      <w:tcPr>
                        <w:tcW w:w="4605"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Benzaldehidas</w:t>
                        </w:r>
                      </w:p>
                    </w:tc>
                    <w:tc>
                      <w:tcPr>
                        <w:tcW w:w="4392"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100-52-7</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0"/>
                    </w:trPr>
                    <w:tc>
                      <w:tcPr>
                        <w:tcW w:w="637"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16.</w:t>
                        </w:r>
                      </w:p>
                    </w:tc>
                    <w:tc>
                      <w:tcPr>
                        <w:tcW w:w="4605"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Kamparas</w:t>
                        </w:r>
                      </w:p>
                    </w:tc>
                    <w:tc>
                      <w:tcPr>
                        <w:tcW w:w="4392"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76-22-2; 464-49-3</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0"/>
                    </w:trPr>
                    <w:tc>
                      <w:tcPr>
                        <w:tcW w:w="637"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17.</w:t>
                        </w:r>
                      </w:p>
                    </w:tc>
                    <w:tc>
                      <w:tcPr>
                        <w:tcW w:w="4605"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Karvonas</w:t>
                        </w:r>
                      </w:p>
                    </w:tc>
                    <w:tc>
                      <w:tcPr>
                        <w:tcW w:w="4392"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99-49-0; 6485-40-1; 2244-16-8</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0"/>
                    </w:trPr>
                    <w:tc>
                      <w:tcPr>
                        <w:tcW w:w="637"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18.</w:t>
                        </w:r>
                      </w:p>
                    </w:tc>
                    <w:tc>
                      <w:tcPr>
                        <w:tcW w:w="4605"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Beta-kariofilenas (oks.)</w:t>
                        </w:r>
                      </w:p>
                    </w:tc>
                    <w:tc>
                      <w:tcPr>
                        <w:tcW w:w="4392"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87-44-5</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0"/>
                    </w:trPr>
                    <w:tc>
                      <w:tcPr>
                        <w:tcW w:w="637"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19.</w:t>
                        </w:r>
                      </w:p>
                    </w:tc>
                    <w:tc>
                      <w:tcPr>
                        <w:tcW w:w="4605"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Rožinis ketonas-4 (damascenonas)</w:t>
                        </w:r>
                      </w:p>
                    </w:tc>
                    <w:tc>
                      <w:tcPr>
                        <w:tcW w:w="4392"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23696-85-7</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0"/>
                    </w:trPr>
                    <w:tc>
                      <w:tcPr>
                        <w:tcW w:w="637"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20.</w:t>
                        </w:r>
                      </w:p>
                    </w:tc>
                    <w:tc>
                      <w:tcPr>
                        <w:tcW w:w="4605"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ALFA-damaskonas (TMCHB)</w:t>
                        </w:r>
                      </w:p>
                    </w:tc>
                    <w:tc>
                      <w:tcPr>
                        <w:tcW w:w="4392"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43052-87-5; 23726-94-5</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0"/>
                    </w:trPr>
                    <w:tc>
                      <w:tcPr>
                        <w:tcW w:w="637"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21.</w:t>
                        </w:r>
                      </w:p>
                    </w:tc>
                    <w:tc>
                      <w:tcPr>
                        <w:tcW w:w="4605"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Cis-beta-damaskonas</w:t>
                        </w:r>
                      </w:p>
                    </w:tc>
                    <w:tc>
                      <w:tcPr>
                        <w:tcW w:w="4392"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23726-92-3</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0"/>
                    </w:trPr>
                    <w:tc>
                      <w:tcPr>
                        <w:tcW w:w="637"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22.</w:t>
                        </w:r>
                      </w:p>
                    </w:tc>
                    <w:tc>
                      <w:tcPr>
                        <w:tcW w:w="4605"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Delta-damaskonas</w:t>
                        </w:r>
                      </w:p>
                    </w:tc>
                    <w:tc>
                      <w:tcPr>
                        <w:tcW w:w="4392"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57378-68-4</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0"/>
                    </w:trPr>
                    <w:tc>
                      <w:tcPr>
                        <w:tcW w:w="637"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23.</w:t>
                        </w:r>
                      </w:p>
                    </w:tc>
                    <w:tc>
                      <w:tcPr>
                        <w:tcW w:w="4605"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Dimetilbenzilkarbinilacetatas (DMBCA)</w:t>
                        </w:r>
                      </w:p>
                    </w:tc>
                    <w:tc>
                      <w:tcPr>
                        <w:tcW w:w="4392"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151-05-3</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0"/>
                    </w:trPr>
                    <w:tc>
                      <w:tcPr>
                        <w:tcW w:w="637"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24.</w:t>
                        </w:r>
                      </w:p>
                    </w:tc>
                    <w:tc>
                      <w:tcPr>
                        <w:tcW w:w="4605"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Heksadekanolaktonas</w:t>
                        </w:r>
                      </w:p>
                    </w:tc>
                    <w:tc>
                      <w:tcPr>
                        <w:tcW w:w="4392"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109-29-5</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0"/>
                    </w:trPr>
                    <w:tc>
                      <w:tcPr>
                        <w:tcW w:w="637"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25.</w:t>
                        </w:r>
                      </w:p>
                    </w:tc>
                    <w:tc>
                      <w:tcPr>
                        <w:tcW w:w="4605"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Heksametilindanopiranas</w:t>
                        </w:r>
                      </w:p>
                    </w:tc>
                    <w:tc>
                      <w:tcPr>
                        <w:tcW w:w="4392"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1222-05-5</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0"/>
                    </w:trPr>
                    <w:tc>
                      <w:tcPr>
                        <w:tcW w:w="637"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26.</w:t>
                        </w:r>
                      </w:p>
                    </w:tc>
                    <w:tc>
                      <w:tcPr>
                        <w:tcW w:w="4605"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(DL)-limonenas</w:t>
                        </w:r>
                      </w:p>
                    </w:tc>
                    <w:tc>
                      <w:tcPr>
                        <w:tcW w:w="4392"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138-86-3</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0"/>
                    </w:trPr>
                    <w:tc>
                      <w:tcPr>
                        <w:tcW w:w="637"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27.</w:t>
                        </w:r>
                      </w:p>
                    </w:tc>
                    <w:tc>
                      <w:tcPr>
                        <w:tcW w:w="4605"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Linalilacetatas</w:t>
                        </w:r>
                      </w:p>
                    </w:tc>
                    <w:tc>
                      <w:tcPr>
                        <w:tcW w:w="4392"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115-95-7</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0"/>
                    </w:trPr>
                    <w:tc>
                      <w:tcPr>
                        <w:tcW w:w="637"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28.</w:t>
                        </w:r>
                      </w:p>
                    </w:tc>
                    <w:tc>
                      <w:tcPr>
                        <w:tcW w:w="4605"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Mentolis</w:t>
                        </w:r>
                      </w:p>
                    </w:tc>
                    <w:tc>
                      <w:tcPr>
                        <w:tcW w:w="4392"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1490-04-6; 89-78-1; 2216-51-5</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0"/>
                    </w:trPr>
                    <w:tc>
                      <w:tcPr>
                        <w:tcW w:w="637"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29.</w:t>
                        </w:r>
                      </w:p>
                    </w:tc>
                    <w:tc>
                      <w:tcPr>
                        <w:tcW w:w="4605"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Metilsalicilatas</w:t>
                        </w:r>
                      </w:p>
                    </w:tc>
                    <w:tc>
                      <w:tcPr>
                        <w:tcW w:w="4392"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119-36-8</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0"/>
                    </w:trPr>
                    <w:tc>
                      <w:tcPr>
                        <w:tcW w:w="637"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30.</w:t>
                        </w:r>
                      </w:p>
                    </w:tc>
                    <w:tc>
                      <w:tcPr>
                        <w:tcW w:w="4605"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3-metil-5-(2,2,3-trimetil-3-ciklopenten-1-il)pent-4-en-2-olis</w:t>
                        </w:r>
                      </w:p>
                    </w:tc>
                    <w:tc>
                      <w:tcPr>
                        <w:tcW w:w="4392"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67801-20-1</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0"/>
                    </w:trPr>
                    <w:tc>
                      <w:tcPr>
                        <w:tcW w:w="637"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31.</w:t>
                        </w:r>
                      </w:p>
                    </w:tc>
                    <w:tc>
                      <w:tcPr>
                        <w:tcW w:w="4605"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ALFA-pinenas</w:t>
                        </w:r>
                      </w:p>
                    </w:tc>
                    <w:tc>
                      <w:tcPr>
                        <w:tcW w:w="4392"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80-56-8</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0"/>
                    </w:trPr>
                    <w:tc>
                      <w:tcPr>
                        <w:tcW w:w="637"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32.</w:t>
                        </w:r>
                      </w:p>
                    </w:tc>
                    <w:tc>
                      <w:tcPr>
                        <w:tcW w:w="4605"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Beta-pinenas</w:t>
                        </w:r>
                      </w:p>
                    </w:tc>
                    <w:tc>
                      <w:tcPr>
                        <w:tcW w:w="4392"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127-91-3</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0"/>
                    </w:trPr>
                    <w:tc>
                      <w:tcPr>
                        <w:tcW w:w="637"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33.</w:t>
                        </w:r>
                      </w:p>
                    </w:tc>
                    <w:tc>
                      <w:tcPr>
                        <w:tcW w:w="4605"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Propilidenftalidas</w:t>
                        </w:r>
                      </w:p>
                    </w:tc>
                    <w:tc>
                      <w:tcPr>
                        <w:tcW w:w="4392"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17369-59-4</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0"/>
                    </w:trPr>
                    <w:tc>
                      <w:tcPr>
                        <w:tcW w:w="637"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34.</w:t>
                        </w:r>
                      </w:p>
                    </w:tc>
                    <w:tc>
                      <w:tcPr>
                        <w:tcW w:w="4605"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Salicilo aldehidas</w:t>
                        </w:r>
                      </w:p>
                    </w:tc>
                    <w:tc>
                      <w:tcPr>
                        <w:tcW w:w="4392"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90-02-8</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0"/>
                    </w:trPr>
                    <w:tc>
                      <w:tcPr>
                        <w:tcW w:w="637"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35.</w:t>
                        </w:r>
                      </w:p>
                    </w:tc>
                    <w:tc>
                      <w:tcPr>
                        <w:tcW w:w="4605"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ALFA-santalolis</w:t>
                        </w:r>
                      </w:p>
                    </w:tc>
                    <w:tc>
                      <w:tcPr>
                        <w:tcW w:w="4392"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115-71-9</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0"/>
                    </w:trPr>
                    <w:tc>
                      <w:tcPr>
                        <w:tcW w:w="637"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36.</w:t>
                        </w:r>
                      </w:p>
                    </w:tc>
                    <w:tc>
                      <w:tcPr>
                        <w:tcW w:w="4605"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Beta-santalolis</w:t>
                        </w:r>
                      </w:p>
                    </w:tc>
                    <w:tc>
                      <w:tcPr>
                        <w:tcW w:w="4392"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77-42-9</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0"/>
                    </w:trPr>
                    <w:tc>
                      <w:tcPr>
                        <w:tcW w:w="637"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37.</w:t>
                        </w:r>
                      </w:p>
                    </w:tc>
                    <w:tc>
                      <w:tcPr>
                        <w:tcW w:w="4605"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Sklareolis</w:t>
                        </w:r>
                      </w:p>
                    </w:tc>
                    <w:tc>
                      <w:tcPr>
                        <w:tcW w:w="4392"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515-03-7</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0"/>
                    </w:trPr>
                    <w:tc>
                      <w:tcPr>
                        <w:tcW w:w="637"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38.</w:t>
                        </w:r>
                      </w:p>
                    </w:tc>
                    <w:tc>
                      <w:tcPr>
                        <w:tcW w:w="4605"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ALFA-terpineolis</w:t>
                        </w:r>
                      </w:p>
                    </w:tc>
                    <w:tc>
                      <w:tcPr>
                        <w:tcW w:w="4392"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10482-56-1; 98-55-5</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0"/>
                    </w:trPr>
                    <w:tc>
                      <w:tcPr>
                        <w:tcW w:w="637"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39.</w:t>
                        </w:r>
                      </w:p>
                    </w:tc>
                    <w:tc>
                      <w:tcPr>
                        <w:tcW w:w="4605"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Terpineolis (izomerų mišinys)</w:t>
                        </w:r>
                      </w:p>
                    </w:tc>
                    <w:tc>
                      <w:tcPr>
                        <w:tcW w:w="4392"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8000-41-7</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0"/>
                    </w:trPr>
                    <w:tc>
                      <w:tcPr>
                        <w:tcW w:w="637"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40.</w:t>
                        </w:r>
                      </w:p>
                    </w:tc>
                    <w:tc>
                      <w:tcPr>
                        <w:tcW w:w="4605"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Terpinolenas</w:t>
                        </w:r>
                      </w:p>
                    </w:tc>
                    <w:tc>
                      <w:tcPr>
                        <w:tcW w:w="4392"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586-62-9</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0"/>
                    </w:trPr>
                    <w:tc>
                      <w:tcPr>
                        <w:tcW w:w="637"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41.</w:t>
                        </w:r>
                      </w:p>
                    </w:tc>
                    <w:tc>
                      <w:tcPr>
                        <w:tcW w:w="4605"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Tetrametilacetiloktahidronaftalenai</w:t>
                        </w:r>
                      </w:p>
                    </w:tc>
                    <w:tc>
                      <w:tcPr>
                        <w:tcW w:w="4392"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54464-57-2; 54464-59-4; 68155-66-8; 68155-67-9</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0"/>
                    </w:trPr>
                    <w:tc>
                      <w:tcPr>
                        <w:tcW w:w="637"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42.</w:t>
                        </w:r>
                      </w:p>
                    </w:tc>
                    <w:tc>
                      <w:tcPr>
                        <w:tcW w:w="4605"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Trimetilbenzenpropanolis (majantolis)</w:t>
                        </w:r>
                      </w:p>
                    </w:tc>
                    <w:tc>
                      <w:tcPr>
                        <w:tcW w:w="4392"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103694-68-4</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0"/>
                    </w:trPr>
                    <w:tc>
                      <w:tcPr>
                        <w:tcW w:w="637"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43.</w:t>
                        </w:r>
                      </w:p>
                    </w:tc>
                    <w:tc>
                      <w:tcPr>
                        <w:tcW w:w="4605"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Vanilinas</w:t>
                        </w:r>
                      </w:p>
                    </w:tc>
                    <w:tc>
                      <w:tcPr>
                        <w:tcW w:w="4392"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121-33-5</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0"/>
                    </w:trPr>
                    <w:tc>
                      <w:tcPr>
                        <w:tcW w:w="637"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44.</w:t>
                        </w:r>
                      </w:p>
                    </w:tc>
                    <w:tc>
                      <w:tcPr>
                        <w:tcW w:w="4605"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Kvapiosios kanangos (</w:t>
                        </w:r>
                        <w:r>
                          <w:rPr>
                            <w:i/>
                            <w:iCs/>
                            <w:szCs w:val="24"/>
                            <w:lang w:eastAsia="lt-LT"/>
                          </w:rPr>
                          <w:t>Cananga odorata</w:t>
                        </w:r>
                        <w:r>
                          <w:rPr>
                            <w:szCs w:val="24"/>
                            <w:lang w:eastAsia="lt-LT"/>
                          </w:rPr>
                          <w:t>) ir kanangų aliejus</w:t>
                        </w:r>
                      </w:p>
                    </w:tc>
                    <w:tc>
                      <w:tcPr>
                        <w:tcW w:w="4392"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83863-30-3; 8006-81-3</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0"/>
                    </w:trPr>
                    <w:tc>
                      <w:tcPr>
                        <w:tcW w:w="637"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45.</w:t>
                        </w:r>
                      </w:p>
                    </w:tc>
                    <w:tc>
                      <w:tcPr>
                        <w:tcW w:w="4605"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Atlasinių kedrų (</w:t>
                        </w:r>
                        <w:r>
                          <w:rPr>
                            <w:i/>
                            <w:iCs/>
                            <w:szCs w:val="24"/>
                            <w:lang w:eastAsia="lt-LT"/>
                          </w:rPr>
                          <w:t>Cedrus atlantica</w:t>
                        </w:r>
                        <w:r>
                          <w:rPr>
                            <w:szCs w:val="24"/>
                            <w:lang w:eastAsia="lt-LT"/>
                          </w:rPr>
                          <w:t>) žievės aliejus</w:t>
                        </w:r>
                      </w:p>
                    </w:tc>
                    <w:tc>
                      <w:tcPr>
                        <w:tcW w:w="4392"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92201-55-3; 8000-27-9</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0"/>
                    </w:trPr>
                    <w:tc>
                      <w:tcPr>
                        <w:tcW w:w="637"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46.</w:t>
                        </w:r>
                      </w:p>
                    </w:tc>
                    <w:tc>
                      <w:tcPr>
                        <w:tcW w:w="4605"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i/>
                            <w:iCs/>
                            <w:szCs w:val="24"/>
                            <w:lang w:eastAsia="lt-LT"/>
                          </w:rPr>
                          <w:t>Cinnamomum cassia</w:t>
                        </w:r>
                        <w:r>
                          <w:rPr>
                            <w:szCs w:val="24"/>
                            <w:lang w:eastAsia="lt-LT"/>
                          </w:rPr>
                          <w:t> lapų aliejus</w:t>
                        </w:r>
                      </w:p>
                    </w:tc>
                    <w:tc>
                      <w:tcPr>
                        <w:tcW w:w="4392"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8007-80-5</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0"/>
                    </w:trPr>
                    <w:tc>
                      <w:tcPr>
                        <w:tcW w:w="637"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47.</w:t>
                        </w:r>
                      </w:p>
                    </w:tc>
                    <w:tc>
                      <w:tcPr>
                        <w:tcW w:w="4605"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i/>
                            <w:iCs/>
                            <w:szCs w:val="24"/>
                            <w:lang w:eastAsia="lt-LT"/>
                          </w:rPr>
                          <w:t>Cinnamomum zeylanicum</w:t>
                        </w:r>
                        <w:r>
                          <w:rPr>
                            <w:szCs w:val="24"/>
                            <w:lang w:eastAsia="lt-LT"/>
                          </w:rPr>
                          <w:t> žievės aliejus</w:t>
                        </w:r>
                      </w:p>
                    </w:tc>
                    <w:tc>
                      <w:tcPr>
                        <w:tcW w:w="4392"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84649-98-9</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0"/>
                    </w:trPr>
                    <w:tc>
                      <w:tcPr>
                        <w:tcW w:w="637"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48.</w:t>
                        </w:r>
                      </w:p>
                    </w:tc>
                    <w:tc>
                      <w:tcPr>
                        <w:tcW w:w="4605"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Karčiavaisių citrinmedžių (</w:t>
                        </w:r>
                        <w:r>
                          <w:rPr>
                            <w:i/>
                            <w:iCs/>
                            <w:szCs w:val="24"/>
                            <w:lang w:eastAsia="lt-LT"/>
                          </w:rPr>
                          <w:t>Citrus aurantium amara</w:t>
                        </w:r>
                        <w:r>
                          <w:rPr>
                            <w:szCs w:val="24"/>
                            <w:lang w:eastAsia="lt-LT"/>
                          </w:rPr>
                          <w:t>) žiedų aliejus</w:t>
                        </w:r>
                      </w:p>
                    </w:tc>
                    <w:tc>
                      <w:tcPr>
                        <w:tcW w:w="4392"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8016-38-4</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0"/>
                    </w:trPr>
                    <w:tc>
                      <w:tcPr>
                        <w:tcW w:w="637"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49.</w:t>
                        </w:r>
                      </w:p>
                    </w:tc>
                    <w:tc>
                      <w:tcPr>
                        <w:tcW w:w="4605"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Karčiavaisių citrinmedžių (</w:t>
                        </w:r>
                        <w:r>
                          <w:rPr>
                            <w:i/>
                            <w:iCs/>
                            <w:szCs w:val="24"/>
                            <w:lang w:eastAsia="lt-LT"/>
                          </w:rPr>
                          <w:t>Citrus aurantium amara</w:t>
                        </w:r>
                        <w:r>
                          <w:rPr>
                            <w:szCs w:val="24"/>
                            <w:lang w:eastAsia="lt-LT"/>
                          </w:rPr>
                          <w:t>) žievės aliejus</w:t>
                        </w:r>
                      </w:p>
                    </w:tc>
                    <w:tc>
                      <w:tcPr>
                        <w:tcW w:w="4392"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72968-50-4</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0"/>
                    </w:trPr>
                    <w:tc>
                      <w:tcPr>
                        <w:tcW w:w="637"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50.</w:t>
                        </w:r>
                      </w:p>
                    </w:tc>
                    <w:tc>
                      <w:tcPr>
                        <w:tcW w:w="4605"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Bergaminių citrinmedžių (</w:t>
                        </w:r>
                        <w:r>
                          <w:rPr>
                            <w:i/>
                            <w:iCs/>
                            <w:szCs w:val="24"/>
                            <w:lang w:eastAsia="lt-LT"/>
                          </w:rPr>
                          <w:t>Citrus bergamia</w:t>
                        </w:r>
                        <w:r>
                          <w:rPr>
                            <w:szCs w:val="24"/>
                            <w:lang w:eastAsia="lt-LT"/>
                          </w:rPr>
                          <w:t>) žievės išspaustas aliejus</w:t>
                        </w:r>
                      </w:p>
                    </w:tc>
                    <w:tc>
                      <w:tcPr>
                        <w:tcW w:w="4392"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89957-91-5</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0"/>
                    </w:trPr>
                    <w:tc>
                      <w:tcPr>
                        <w:tcW w:w="637"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51.</w:t>
                        </w:r>
                      </w:p>
                    </w:tc>
                    <w:tc>
                      <w:tcPr>
                        <w:tcW w:w="4605"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Tikrųjų citrinmedžių (</w:t>
                        </w:r>
                        <w:r>
                          <w:rPr>
                            <w:i/>
                            <w:iCs/>
                            <w:szCs w:val="24"/>
                            <w:lang w:eastAsia="lt-LT"/>
                          </w:rPr>
                          <w:t>Citrus limonum</w:t>
                        </w:r>
                        <w:r>
                          <w:rPr>
                            <w:szCs w:val="24"/>
                            <w:lang w:eastAsia="lt-LT"/>
                          </w:rPr>
                          <w:t>) žievės išspaustas aliejus</w:t>
                        </w:r>
                      </w:p>
                    </w:tc>
                    <w:tc>
                      <w:tcPr>
                        <w:tcW w:w="4392"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84929-31-7</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0"/>
                    </w:trPr>
                    <w:tc>
                      <w:tcPr>
                        <w:tcW w:w="637"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52.</w:t>
                        </w:r>
                      </w:p>
                    </w:tc>
                    <w:tc>
                      <w:tcPr>
                        <w:tcW w:w="4605"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Apelsininių citrinmedžių (</w:t>
                        </w:r>
                        <w:r>
                          <w:rPr>
                            <w:i/>
                            <w:iCs/>
                            <w:szCs w:val="24"/>
                            <w:lang w:eastAsia="lt-LT"/>
                          </w:rPr>
                          <w:t>Citrus sinensis</w:t>
                        </w:r>
                        <w:r>
                          <w:rPr>
                            <w:szCs w:val="24"/>
                            <w:lang w:eastAsia="lt-LT"/>
                          </w:rPr>
                          <w:t> (</w:t>
                        </w:r>
                        <w:r>
                          <w:rPr>
                            <w:i/>
                            <w:iCs/>
                            <w:szCs w:val="24"/>
                            <w:lang w:eastAsia="lt-LT"/>
                          </w:rPr>
                          <w:t>sin. Aurantium dulcis</w:t>
                        </w:r>
                        <w:r>
                          <w:rPr>
                            <w:szCs w:val="24"/>
                            <w:lang w:eastAsia="lt-LT"/>
                          </w:rPr>
                          <w:t>) žievės išspaustas aliejus</w:t>
                        </w:r>
                      </w:p>
                    </w:tc>
                    <w:tc>
                      <w:tcPr>
                        <w:tcW w:w="4392"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97766-30-8; 8028-48-6</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0"/>
                    </w:trPr>
                    <w:tc>
                      <w:tcPr>
                        <w:tcW w:w="637"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53.</w:t>
                        </w:r>
                      </w:p>
                    </w:tc>
                    <w:tc>
                      <w:tcPr>
                        <w:tcW w:w="4605"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Citrinžolių (</w:t>
                        </w:r>
                        <w:r>
                          <w:rPr>
                            <w:i/>
                            <w:iCs/>
                            <w:szCs w:val="24"/>
                            <w:lang w:eastAsia="lt-LT"/>
                          </w:rPr>
                          <w:t>Cymbopogon citratus</w:t>
                        </w:r>
                        <w:r>
                          <w:rPr>
                            <w:szCs w:val="24"/>
                            <w:lang w:eastAsia="lt-LT"/>
                          </w:rPr>
                          <w:t xml:space="preserve"> / </w:t>
                        </w:r>
                        <w:r>
                          <w:rPr>
                            <w:i/>
                            <w:iCs/>
                            <w:szCs w:val="24"/>
                            <w:lang w:eastAsia="lt-LT"/>
                          </w:rPr>
                          <w:t>schoenanthus</w:t>
                        </w:r>
                        <w:r>
                          <w:rPr>
                            <w:szCs w:val="24"/>
                            <w:lang w:eastAsia="lt-LT"/>
                          </w:rPr>
                          <w:t>) aliejai</w:t>
                        </w:r>
                      </w:p>
                    </w:tc>
                    <w:tc>
                      <w:tcPr>
                        <w:tcW w:w="4392"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89998-14-1; 8007-02-01; 89998-16-3</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0"/>
                    </w:trPr>
                    <w:tc>
                      <w:tcPr>
                        <w:tcW w:w="637"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54.</w:t>
                        </w:r>
                      </w:p>
                    </w:tc>
                    <w:tc>
                      <w:tcPr>
                        <w:tcW w:w="4605"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Eukaliptų lapų aliejus</w:t>
                        </w:r>
                      </w:p>
                    </w:tc>
                    <w:tc>
                      <w:tcPr>
                        <w:tcW w:w="4392"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92502-70-0; 8000-48-4</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0"/>
                    </w:trPr>
                    <w:tc>
                      <w:tcPr>
                        <w:tcW w:w="637"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55.</w:t>
                        </w:r>
                      </w:p>
                    </w:tc>
                    <w:tc>
                      <w:tcPr>
                        <w:tcW w:w="4605"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Gvazdikėlių (</w:t>
                        </w:r>
                        <w:r>
                          <w:rPr>
                            <w:i/>
                            <w:iCs/>
                            <w:szCs w:val="24"/>
                            <w:lang w:eastAsia="lt-LT"/>
                          </w:rPr>
                          <w:t>Eugenia caryophyllus</w:t>
                        </w:r>
                        <w:r>
                          <w:rPr>
                            <w:szCs w:val="24"/>
                            <w:lang w:eastAsia="lt-LT"/>
                          </w:rPr>
                          <w:t>) lapų / žiedų aliejus</w:t>
                        </w:r>
                      </w:p>
                    </w:tc>
                    <w:tc>
                      <w:tcPr>
                        <w:tcW w:w="4392"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8000-34-8</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0"/>
                    </w:trPr>
                    <w:tc>
                      <w:tcPr>
                        <w:tcW w:w="637"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56.</w:t>
                        </w:r>
                      </w:p>
                    </w:tc>
                    <w:tc>
                      <w:tcPr>
                        <w:tcW w:w="4605"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Stambiažiedžiai / vaistiniai jazminaičiai (</w:t>
                        </w:r>
                        <w:r>
                          <w:rPr>
                            <w:i/>
                            <w:iCs/>
                            <w:szCs w:val="24"/>
                            <w:lang w:eastAsia="lt-LT"/>
                          </w:rPr>
                          <w:t>Jasminum grandiflorum</w:t>
                        </w:r>
                        <w:r>
                          <w:rPr>
                            <w:szCs w:val="24"/>
                            <w:lang w:eastAsia="lt-LT"/>
                          </w:rPr>
                          <w:t xml:space="preserve"> / </w:t>
                        </w:r>
                        <w:r>
                          <w:rPr>
                            <w:i/>
                            <w:iCs/>
                            <w:szCs w:val="24"/>
                            <w:lang w:eastAsia="lt-LT"/>
                          </w:rPr>
                          <w:t>officinale</w:t>
                        </w:r>
                        <w:r>
                          <w:rPr>
                            <w:szCs w:val="24"/>
                            <w:lang w:eastAsia="lt-LT"/>
                          </w:rPr>
                          <w:t>)</w:t>
                        </w:r>
                      </w:p>
                    </w:tc>
                    <w:tc>
                      <w:tcPr>
                        <w:tcW w:w="4392"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84776-64-7; 90045-94-6; 8022-96-6</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0"/>
                    </w:trPr>
                    <w:tc>
                      <w:tcPr>
                        <w:tcW w:w="637"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57.</w:t>
                        </w:r>
                      </w:p>
                    </w:tc>
                    <w:tc>
                      <w:tcPr>
                        <w:tcW w:w="4605"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Virgininiai kadagiai (</w:t>
                        </w:r>
                        <w:r>
                          <w:rPr>
                            <w:i/>
                            <w:iCs/>
                            <w:szCs w:val="24"/>
                            <w:lang w:eastAsia="lt-LT"/>
                          </w:rPr>
                          <w:t>Juniperus virginiana</w:t>
                        </w:r>
                        <w:r>
                          <w:rPr>
                            <w:szCs w:val="24"/>
                            <w:lang w:eastAsia="lt-LT"/>
                          </w:rPr>
                          <w:t>)</w:t>
                        </w:r>
                      </w:p>
                    </w:tc>
                    <w:tc>
                      <w:tcPr>
                        <w:tcW w:w="4392"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8000-27-9; 85085-41-2</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0"/>
                    </w:trPr>
                    <w:tc>
                      <w:tcPr>
                        <w:tcW w:w="637"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58.</w:t>
                        </w:r>
                      </w:p>
                    </w:tc>
                    <w:tc>
                      <w:tcPr>
                        <w:tcW w:w="4605"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Lauramedžių (</w:t>
                        </w:r>
                        <w:r>
                          <w:rPr>
                            <w:i/>
                            <w:iCs/>
                            <w:szCs w:val="24"/>
                            <w:lang w:eastAsia="lt-LT"/>
                          </w:rPr>
                          <w:t>Laurus nobilis</w:t>
                        </w:r>
                        <w:r>
                          <w:rPr>
                            <w:szCs w:val="24"/>
                            <w:lang w:eastAsia="lt-LT"/>
                          </w:rPr>
                          <w:t>) vaisų aliejus</w:t>
                        </w:r>
                      </w:p>
                    </w:tc>
                    <w:tc>
                      <w:tcPr>
                        <w:tcW w:w="4392"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8007-48-5</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0"/>
                    </w:trPr>
                    <w:tc>
                      <w:tcPr>
                        <w:tcW w:w="637"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59.</w:t>
                        </w:r>
                      </w:p>
                    </w:tc>
                    <w:tc>
                      <w:tcPr>
                        <w:tcW w:w="4605"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Lauramedžių lapų aliejus</w:t>
                        </w:r>
                      </w:p>
                    </w:tc>
                    <w:tc>
                      <w:tcPr>
                        <w:tcW w:w="4392"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8002-41-3</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0"/>
                    </w:trPr>
                    <w:tc>
                      <w:tcPr>
                        <w:tcW w:w="637"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60.</w:t>
                        </w:r>
                      </w:p>
                    </w:tc>
                    <w:tc>
                      <w:tcPr>
                        <w:tcW w:w="4605"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Lauramedžių sėklų aliejus</w:t>
                        </w:r>
                      </w:p>
                    </w:tc>
                    <w:tc>
                      <w:tcPr>
                        <w:tcW w:w="4392"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84603-73-6</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0"/>
                    </w:trPr>
                    <w:tc>
                      <w:tcPr>
                        <w:tcW w:w="637"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61.</w:t>
                        </w:r>
                      </w:p>
                    </w:tc>
                    <w:tc>
                      <w:tcPr>
                        <w:tcW w:w="4605"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Levandinos (</w:t>
                        </w:r>
                        <w:r>
                          <w:rPr>
                            <w:i/>
                            <w:iCs/>
                            <w:szCs w:val="24"/>
                            <w:lang w:eastAsia="lt-LT"/>
                          </w:rPr>
                          <w:t>Lavandula hybrida</w:t>
                        </w:r>
                        <w:r>
                          <w:rPr>
                            <w:szCs w:val="24"/>
                            <w:lang w:eastAsia="lt-LT"/>
                          </w:rPr>
                          <w:t>)</w:t>
                        </w:r>
                      </w:p>
                    </w:tc>
                    <w:tc>
                      <w:tcPr>
                        <w:tcW w:w="4392"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91722-69-9</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0"/>
                    </w:trPr>
                    <w:tc>
                      <w:tcPr>
                        <w:tcW w:w="637"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62.</w:t>
                        </w:r>
                      </w:p>
                    </w:tc>
                    <w:tc>
                      <w:tcPr>
                        <w:tcW w:w="4605"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Tikrosios levandos (</w:t>
                        </w:r>
                        <w:r>
                          <w:rPr>
                            <w:i/>
                            <w:iCs/>
                            <w:szCs w:val="24"/>
                            <w:lang w:eastAsia="lt-LT"/>
                          </w:rPr>
                          <w:t>Lavandula officinalis</w:t>
                        </w:r>
                        <w:r>
                          <w:rPr>
                            <w:szCs w:val="24"/>
                            <w:lang w:eastAsia="lt-LT"/>
                          </w:rPr>
                          <w:t>)</w:t>
                        </w:r>
                      </w:p>
                    </w:tc>
                    <w:tc>
                      <w:tcPr>
                        <w:tcW w:w="4392"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84776-65-8</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0"/>
                    </w:trPr>
                    <w:tc>
                      <w:tcPr>
                        <w:tcW w:w="637"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63.</w:t>
                        </w:r>
                      </w:p>
                    </w:tc>
                    <w:tc>
                      <w:tcPr>
                        <w:tcW w:w="4605"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Pipirmėtės (</w:t>
                        </w:r>
                        <w:r>
                          <w:rPr>
                            <w:i/>
                            <w:iCs/>
                            <w:szCs w:val="24"/>
                            <w:lang w:eastAsia="lt-LT"/>
                          </w:rPr>
                          <w:t>Mentha piperita</w:t>
                        </w:r>
                        <w:r>
                          <w:rPr>
                            <w:szCs w:val="24"/>
                            <w:lang w:eastAsia="lt-LT"/>
                          </w:rPr>
                          <w:t>)</w:t>
                        </w:r>
                      </w:p>
                    </w:tc>
                    <w:tc>
                      <w:tcPr>
                        <w:tcW w:w="4392"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8006-90-4; 84082-70-2</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0"/>
                    </w:trPr>
                    <w:tc>
                      <w:tcPr>
                        <w:tcW w:w="637"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64.</w:t>
                        </w:r>
                      </w:p>
                    </w:tc>
                    <w:tc>
                      <w:tcPr>
                        <w:tcW w:w="4605"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Šaltmėtės (</w:t>
                        </w:r>
                        <w:r>
                          <w:rPr>
                            <w:i/>
                            <w:iCs/>
                            <w:szCs w:val="24"/>
                            <w:lang w:eastAsia="lt-LT"/>
                          </w:rPr>
                          <w:t>Mentha spicata</w:t>
                        </w:r>
                        <w:r>
                          <w:rPr>
                            <w:szCs w:val="24"/>
                            <w:lang w:eastAsia="lt-LT"/>
                          </w:rPr>
                          <w:t>)</w:t>
                        </w:r>
                      </w:p>
                    </w:tc>
                    <w:tc>
                      <w:tcPr>
                        <w:tcW w:w="4392"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84696-51-5</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0"/>
                    </w:trPr>
                    <w:tc>
                      <w:tcPr>
                        <w:tcW w:w="637"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65.</w:t>
                        </w:r>
                      </w:p>
                    </w:tc>
                    <w:tc>
                      <w:tcPr>
                        <w:tcW w:w="4605"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Narcizai</w:t>
                        </w:r>
                      </w:p>
                    </w:tc>
                    <w:tc>
                      <w:tcPr>
                        <w:tcW w:w="4392"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Įvairūs, įskaitant 90064-25-8</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0"/>
                    </w:trPr>
                    <w:tc>
                      <w:tcPr>
                        <w:tcW w:w="637"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66.</w:t>
                        </w:r>
                      </w:p>
                    </w:tc>
                    <w:tc>
                      <w:tcPr>
                        <w:tcW w:w="4605"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Burboniškosios perlargonijos (</w:t>
                        </w:r>
                        <w:r>
                          <w:rPr>
                            <w:i/>
                            <w:iCs/>
                            <w:szCs w:val="24"/>
                            <w:lang w:eastAsia="lt-LT"/>
                          </w:rPr>
                          <w:t>Pelargonium graveolens</w:t>
                        </w:r>
                        <w:r>
                          <w:rPr>
                            <w:szCs w:val="24"/>
                            <w:lang w:eastAsia="lt-LT"/>
                          </w:rPr>
                          <w:t>)</w:t>
                        </w:r>
                      </w:p>
                    </w:tc>
                    <w:tc>
                      <w:tcPr>
                        <w:tcW w:w="4392"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90082-51-2; 8000-46-2</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0"/>
                    </w:trPr>
                    <w:tc>
                      <w:tcPr>
                        <w:tcW w:w="637"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67.</w:t>
                        </w:r>
                      </w:p>
                    </w:tc>
                    <w:tc>
                      <w:tcPr>
                        <w:tcW w:w="4605"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Kalninės pušys (</w:t>
                        </w:r>
                        <w:r>
                          <w:rPr>
                            <w:i/>
                            <w:iCs/>
                            <w:szCs w:val="24"/>
                            <w:lang w:eastAsia="lt-LT"/>
                          </w:rPr>
                          <w:t>Pinus mugo</w:t>
                        </w:r>
                        <w:r>
                          <w:rPr>
                            <w:szCs w:val="24"/>
                            <w:lang w:eastAsia="lt-LT"/>
                          </w:rPr>
                          <w:t>)</w:t>
                        </w:r>
                      </w:p>
                    </w:tc>
                    <w:tc>
                      <w:tcPr>
                        <w:tcW w:w="4392"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90082-72-7</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0"/>
                    </w:trPr>
                    <w:tc>
                      <w:tcPr>
                        <w:tcW w:w="637"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68.</w:t>
                        </w:r>
                      </w:p>
                    </w:tc>
                    <w:tc>
                      <w:tcPr>
                        <w:tcW w:w="4605"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Žemosios pušys (</w:t>
                        </w:r>
                        <w:r>
                          <w:rPr>
                            <w:i/>
                            <w:iCs/>
                            <w:szCs w:val="24"/>
                            <w:lang w:eastAsia="lt-LT"/>
                          </w:rPr>
                          <w:t>Pinus pumila</w:t>
                        </w:r>
                        <w:r>
                          <w:rPr>
                            <w:szCs w:val="24"/>
                            <w:lang w:eastAsia="lt-LT"/>
                          </w:rPr>
                          <w:t>)</w:t>
                        </w:r>
                      </w:p>
                    </w:tc>
                    <w:tc>
                      <w:tcPr>
                        <w:tcW w:w="4392"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97676-05-6</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0"/>
                    </w:trPr>
                    <w:tc>
                      <w:tcPr>
                        <w:tcW w:w="637"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69.</w:t>
                        </w:r>
                      </w:p>
                    </w:tc>
                    <w:tc>
                      <w:tcPr>
                        <w:tcW w:w="4605"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Tikrieji pačiuliai (</w:t>
                        </w:r>
                        <w:r>
                          <w:rPr>
                            <w:i/>
                            <w:iCs/>
                            <w:szCs w:val="24"/>
                            <w:lang w:eastAsia="lt-LT"/>
                          </w:rPr>
                          <w:t>Pogostemon cablin</w:t>
                        </w:r>
                        <w:r>
                          <w:rPr>
                            <w:szCs w:val="24"/>
                            <w:lang w:eastAsia="lt-LT"/>
                          </w:rPr>
                          <w:t>)</w:t>
                        </w:r>
                      </w:p>
                    </w:tc>
                    <w:tc>
                      <w:tcPr>
                        <w:tcW w:w="4392"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8014-09-3; 84238-39-1</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0"/>
                    </w:trPr>
                    <w:tc>
                      <w:tcPr>
                        <w:tcW w:w="637"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70.</w:t>
                        </w:r>
                      </w:p>
                    </w:tc>
                    <w:tc>
                      <w:tcPr>
                        <w:tcW w:w="4605"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Rožių žiedų aliejus (</w:t>
                        </w:r>
                        <w:r>
                          <w:rPr>
                            <w:i/>
                            <w:iCs/>
                            <w:szCs w:val="24"/>
                            <w:lang w:eastAsia="lt-LT"/>
                          </w:rPr>
                          <w:t>Rosa spp.</w:t>
                        </w:r>
                        <w:r>
                          <w:rPr>
                            <w:szCs w:val="24"/>
                            <w:lang w:eastAsia="lt-LT"/>
                          </w:rPr>
                          <w:t>)</w:t>
                        </w:r>
                      </w:p>
                    </w:tc>
                    <w:tc>
                      <w:tcPr>
                        <w:tcW w:w="4392"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Įvairūs, įskaitant 8007-01-0, 93334-48-6, 84696-47-9, 84604-12-6, 90106-38-0, 84604-13-7, 92347-25-6</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0"/>
                    </w:trPr>
                    <w:tc>
                      <w:tcPr>
                        <w:tcW w:w="637"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71.</w:t>
                        </w:r>
                      </w:p>
                    </w:tc>
                    <w:tc>
                      <w:tcPr>
                        <w:tcW w:w="4605"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Sandalmedžiai (</w:t>
                        </w:r>
                        <w:r>
                          <w:rPr>
                            <w:i/>
                            <w:iCs/>
                            <w:szCs w:val="24"/>
                            <w:lang w:eastAsia="lt-LT"/>
                          </w:rPr>
                          <w:t>Santalum album</w:t>
                        </w:r>
                        <w:r>
                          <w:rPr>
                            <w:szCs w:val="24"/>
                            <w:lang w:eastAsia="lt-LT"/>
                          </w:rPr>
                          <w:t>)</w:t>
                        </w:r>
                      </w:p>
                    </w:tc>
                    <w:tc>
                      <w:tcPr>
                        <w:tcW w:w="4392"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84787-70-2; 8006-87-9</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0"/>
                    </w:trPr>
                    <w:tc>
                      <w:tcPr>
                        <w:tcW w:w="637"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72.</w:t>
                        </w:r>
                      </w:p>
                    </w:tc>
                    <w:tc>
                      <w:tcPr>
                        <w:tcW w:w="4605"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Terpentinas (aliejus)</w:t>
                        </w:r>
                      </w:p>
                    </w:tc>
                    <w:tc>
                      <w:tcPr>
                        <w:tcW w:w="4392" w:type="dxa"/>
                        <w:tcBorders>
                          <w:top w:val="single" w:sz="4" w:space="0" w:color="auto"/>
                          <w:left w:val="single" w:sz="4" w:space="0" w:color="auto"/>
                          <w:bottom w:val="single" w:sz="4" w:space="0" w:color="auto"/>
                          <w:right w:val="single" w:sz="4" w:space="0" w:color="auto"/>
                        </w:tcBorders>
                        <w:shd w:val="clear" w:color="auto" w:fill="FFFFFF"/>
                        <w:tcMar>
                          <w:top w:w="57" w:type="dxa"/>
                          <w:left w:w="108" w:type="dxa"/>
                          <w:bottom w:w="57" w:type="dxa"/>
                          <w:right w:w="108" w:type="dxa"/>
                        </w:tcMar>
                      </w:tcPr>
                      <w:p>
                        <w:pPr>
                          <w:rPr>
                            <w:szCs w:val="24"/>
                            <w:lang w:eastAsia="lt-LT"/>
                          </w:rPr>
                        </w:pPr>
                        <w:r>
                          <w:rPr>
                            <w:szCs w:val="24"/>
                            <w:lang w:eastAsia="lt-LT"/>
                          </w:rPr>
                          <w:t>8006-64-2; 9005-90-7; 8052-14-0</w:t>
                        </w:r>
                      </w:p>
                    </w:tc>
                  </w:tr>
                </w:tbl>
                <w:sdt>
                  <w:sdtPr>
                    <w:alias w:val="lentele"/>
                    <w:tag w:val="part_1da02114b64144f09ed98dbc30f9324b"/>
                    <w:lock w:val="sdtLocked"/>
                    <w:richText/>
                  </w:sdtPr>
                  <w:sdtContent>
                    <w:p>
                      <w:pPr>
                        <w:widowControl w:val="0"/>
                        <w:suppressAutoHyphens/>
                        <w:ind w:firstLine="567"/>
                        <w:jc w:val="both"/>
                        <w:rPr>
                          <w:b/>
                          <w:bCs/>
                          <w:i/>
                          <w:iCs/>
                          <w:color w:val="000000"/>
                          <w:sz w:val="2"/>
                          <w:szCs w:val="2"/>
                        </w:rPr>
                      </w:pPr>
                    </w:p>
                    <w:p>
                      <w:pPr>
                        <w:widowControl w:val="0"/>
                        <w:suppressAutoHyphens/>
                        <w:ind w:firstLine="567"/>
                        <w:jc w:val="both"/>
                        <w:rPr>
                          <w:color w:val="000000"/>
                        </w:rPr>
                      </w:pP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2e26a01ac611ec93af8a5fb475d9bd">
                    <w:r w:rsidRPr="00532B9F">
                      <w:rPr>
                        <w:rFonts w:ascii="Times New Roman" w:eastAsia="MS Mincho" w:hAnsi="Times New Roman"/>
                        <w:sz w:val="20"/>
                        <w:i/>
                        <w:iCs/>
                        <w:color w:val="0000FF" w:themeColor="hyperlink"/>
                        <w:u w:val="single"/>
                      </w:rPr>
                      <w:t>4-994</w:t>
                    </w:r>
                  </w:fldSimple>
                  <w:r>
                    <w:rPr>
                      <w:rFonts w:ascii="Times New Roman" w:eastAsia="MS Mincho" w:hAnsi="Times New Roman"/>
                      <w:sz w:val="20"/>
                      <w:i/>
                      <w:iCs/>
                    </w:rPr>
                    <w:t>,
2021-09-21,
paskelbta TAR 2021-09-21, i. k. 2021-19774            </w:t>
                  </w:r>
                </w:p>
                <w:p/>
              </w:sdtContent>
            </w:sdt>
            <w:sdt>
              <w:sdtPr>
                <w:alias w:val="2 pr. 37 p."/>
                <w:tag w:val="part_4bcc3e4a6bb34405a78b56c616c02bb2"/>
                <w:lock w:val="sdtLocked"/>
                <w:richText/>
              </w:sdtPr>
              <w:sdtContent>
                <w:p>
                  <w:pPr>
                    <w:widowControl w:val="0"/>
                    <w:suppressAutoHyphens/>
                    <w:ind w:firstLine="567"/>
                    <w:jc w:val="both"/>
                    <w:rPr>
                      <w:color w:val="000000"/>
                    </w:rPr>
                  </w:pPr>
                  <w:sdt>
                    <w:sdtPr>
                      <w:alias w:val="Numeris"/>
                      <w:tag w:val="nr_4bcc3e4a6bb34405a78b56c616c02bb2"/>
                      <w:lock w:val="sdtLocked"/>
                      <w:richText/>
                    </w:sdtPr>
                    <w:sdtContent>
                      <w:r>
                        <w:rPr>
                          <w:color w:val="000000"/>
                        </w:rPr>
                        <w:t>37</w:t>
                      </w:r>
                    </w:sdtContent>
                  </w:sdt>
                  <w:r>
                    <w:rPr>
                      <w:color w:val="000000"/>
                    </w:rPr>
                    <w:t>. Uoslės lavinimo žaidimų, kosmetikos rinkinių ir skonio lavinimo žaidimų, kurie turi atitikti Reglamento 8 priedo 3 punktą, neleidžiama naudoti jaunesniems kaip 36 mėn. vaikams. Kvapiąsias medžiagas, nurodytas Aprašo 1 lentelės 41–55 punktuose, ir kvapiąsias medžiagas, nurodytas Aprašo 2 lentelės 1–11 punktuose, leidžiama naudoti uoslės lavinimo žaidimuose, kosmetikos rinkiniuose ir skonio lavinimo žaidimuose, jei:</w:t>
                  </w:r>
                </w:p>
                <w:sdt>
                  <w:sdtPr>
                    <w:alias w:val="2 pr. 37.1 p."/>
                    <w:tag w:val="part_f0ed5728d92741498cf8e94183fefbb3"/>
                    <w:lock w:val="sdtLocked"/>
                    <w:richText/>
                  </w:sdtPr>
                  <w:sdtContent>
                    <w:p>
                      <w:pPr>
                        <w:widowControl w:val="0"/>
                        <w:suppressAutoHyphens/>
                        <w:ind w:firstLine="567"/>
                        <w:jc w:val="both"/>
                        <w:rPr>
                          <w:color w:val="000000"/>
                        </w:rPr>
                      </w:pPr>
                      <w:sdt>
                        <w:sdtPr>
                          <w:alias w:val="Numeris"/>
                          <w:tag w:val="nr_f0ed5728d92741498cf8e94183fefbb3"/>
                          <w:lock w:val="sdtLocked"/>
                          <w:richText/>
                        </w:sdtPr>
                        <w:sdtContent>
                          <w:r>
                            <w:rPr>
                              <w:color w:val="000000"/>
                            </w:rPr>
                            <w:t>37.1</w:t>
                          </w:r>
                        </w:sdtContent>
                      </w:sdt>
                      <w:r>
                        <w:rPr>
                          <w:color w:val="000000"/>
                        </w:rPr>
                        <w:t xml:space="preserve">. šios kvapiosios medžiagos yra aiškiai pažymėtos ir ant pakuotės pateikiamas Reglamento 8 priedo 12 punkte nurodytas įspėjimas; </w:t>
                      </w:r>
                    </w:p>
                  </w:sdtContent>
                </w:sdt>
                <w:sdt>
                  <w:sdtPr>
                    <w:alias w:val="2 pr. 37.2 p."/>
                    <w:tag w:val="part_e67918a890d845d2a06be433beb06612"/>
                    <w:lock w:val="sdtLocked"/>
                    <w:richText/>
                  </w:sdtPr>
                  <w:sdtContent>
                    <w:p>
                      <w:pPr>
                        <w:ind w:firstLine="567"/>
                        <w:jc w:val="both"/>
                        <w:rPr>
                          <w:color w:val="000000"/>
                        </w:rPr>
                      </w:pPr>
                      <w:sdt>
                        <w:sdtPr>
                          <w:alias w:val="Numeris"/>
                          <w:tag w:val="nr_e67918a890d845d2a06be433beb06612"/>
                          <w:lock w:val="sdtLocked"/>
                          <w:richText/>
                        </w:sdtPr>
                        <w:sdtContent>
                          <w:r>
                            <w:rPr>
                              <w:szCs w:val="24"/>
                            </w:rPr>
                            <w:t>37.2</w:t>
                          </w:r>
                        </w:sdtContent>
                      </w:sdt>
                      <w:r>
                        <w:rPr>
                          <w:szCs w:val="24"/>
                        </w:rPr>
                        <w:t>. vaiko pagal instrukciją pagaminti produktai atitinka Reglamento (EB) Nr. 1223/2009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54d0dc1b11e39a43a3f57c05722e">
                        <w:r w:rsidRPr="00532B9F">
                          <w:rPr>
                            <w:rFonts w:ascii="Times New Roman" w:eastAsia="MS Mincho" w:hAnsi="Times New Roman"/>
                            <w:sz w:val="20"/>
                            <w:i/>
                            <w:iCs/>
                            <w:color w:val="0000FF" w:themeColor="hyperlink"/>
                            <w:u w:val="single"/>
                          </w:rPr>
                          <w:t>4-274</w:t>
                        </w:r>
                      </w:fldSimple>
                      <w:r>
                        <w:rPr>
                          <w:rFonts w:ascii="Times New Roman" w:eastAsia="MS Mincho" w:hAnsi="Times New Roman"/>
                          <w:sz w:val="20"/>
                          <w:i/>
                          <w:iCs/>
                        </w:rPr>
                        <w:t>,
2014-05-14,
paskelbta TAR 2014-05-15, i. k. 2014-05439            </w:t>
                      </w:r>
                    </w:p>
                    <w:p/>
                  </w:sdtContent>
                </w:sdt>
                <w:sdt>
                  <w:sdtPr>
                    <w:alias w:val="2 pr. 37.3 p."/>
                    <w:tag w:val="part_dd92b7f3496a43fdb23d4f6da9bbe17d"/>
                    <w:lock w:val="sdtLocked"/>
                    <w:richText/>
                  </w:sdtPr>
                  <w:sdtContent>
                    <w:p>
                      <w:pPr>
                        <w:widowControl w:val="0"/>
                        <w:suppressAutoHyphens/>
                        <w:ind w:firstLine="567"/>
                        <w:jc w:val="both"/>
                        <w:rPr>
                          <w:color w:val="000000"/>
                        </w:rPr>
                      </w:pPr>
                      <w:sdt>
                        <w:sdtPr>
                          <w:alias w:val="Numeris"/>
                          <w:tag w:val="nr_dd92b7f3496a43fdb23d4f6da9bbe17d"/>
                          <w:lock w:val="sdtLocked"/>
                          <w:richText/>
                        </w:sdtPr>
                        <w:sdtContent>
                          <w:r>
                            <w:rPr>
                              <w:color w:val="000000"/>
                            </w:rPr>
                            <w:t>37.3</w:t>
                          </w:r>
                        </w:sdtContent>
                      </w:sdt>
                      <w:r>
                        <w:rPr>
                          <w:color w:val="000000"/>
                        </w:rPr>
                        <w:t>. šios kvapiosios medžiagos atitinka maisto srities teisės aktus.</w:t>
                      </w:r>
                    </w:p>
                  </w:sdtContent>
                </w:sdt>
              </w:sdtContent>
            </w:sdt>
            <w:sdt>
              <w:sdtPr>
                <w:alias w:val="2 pr. 38 p."/>
                <w:tag w:val="part_8af37caa6f834ce78efb90db3fea206f"/>
                <w:lock w:val="sdtLocked"/>
                <w:richText/>
              </w:sdtPr>
              <w:sdtContent>
                <w:p>
                  <w:pPr>
                    <w:ind w:firstLine="567"/>
                    <w:jc w:val="both"/>
                    <w:rPr>
                      <w:szCs w:val="24"/>
                      <w:lang w:eastAsia="lt-LT"/>
                    </w:rPr>
                  </w:pPr>
                  <w:sdt>
                    <w:sdtPr>
                      <w:alias w:val="Numeris"/>
                      <w:tag w:val="nr_8af37caa6f834ce78efb90db3fea206f"/>
                      <w:lock w:val="sdtLocked"/>
                      <w:richText/>
                    </w:sdtPr>
                    <w:sdtContent>
                      <w:r>
                        <w:rPr>
                          <w:color w:val="000000"/>
                          <w:szCs w:val="24"/>
                          <w:lang w:eastAsia="lt-LT"/>
                        </w:rPr>
                        <w:t>38</w:t>
                      </w:r>
                    </w:sdtContent>
                  </w:sdt>
                  <w:r>
                    <w:rPr>
                      <w:color w:val="000000"/>
                      <w:szCs w:val="24"/>
                      <w:lang w:eastAsia="lt-LT"/>
                    </w:rPr>
                    <w:t>. Be Aprašo 26, 27, 28, 29 ir 30 punktų reikalavimų, draudžiama viršyti Aprašo 3 lentelėje nurodytas išsiskyrimo iš žaislų ar jų sudėtinių dalių ribines vertes. Šios ribinės vertės netaikomos žaislams ar jų sudėtinėms dalims, kurie dėl jų pasiekiamumo, funkcijų, tūrio ar masės akivaizdžiai nekelia jokio pavojaus juos čiulpiant, laižant, prarijus ar jiems ilgai liečiantis su oda, kai jie naudojami, kaip nurodyta Reglamento 13.2 papunktyje.</w:t>
                  </w:r>
                </w:p>
                <w:p>
                  <w:pPr>
                    <w:ind w:firstLine="851"/>
                    <w:jc w:val="both"/>
                    <w:rPr>
                      <w:color w:val="000000"/>
                      <w:szCs w:val="24"/>
                      <w:lang w:eastAsia="lt-LT"/>
                    </w:rPr>
                  </w:pPr>
                </w:p>
                <w:p>
                  <w:pPr>
                    <w:ind w:firstLine="851"/>
                    <w:jc w:val="both"/>
                    <w:rPr>
                      <w:sz w:val="23"/>
                      <w:szCs w:val="23"/>
                      <w:lang w:eastAsia="lt-LT"/>
                    </w:rPr>
                  </w:pPr>
                  <w:r>
                    <w:rPr>
                      <w:color w:val="000000"/>
                      <w:szCs w:val="24"/>
                      <w:lang w:eastAsia="lt-LT"/>
                    </w:rPr>
                    <w:t>3 lentelė.</w:t>
                  </w:r>
                  <w:r>
                    <w:rPr>
                      <w:color w:val="000000"/>
                      <w:sz w:val="23"/>
                      <w:szCs w:val="23"/>
                      <w:lang w:eastAsia="lt-LT"/>
                    </w:rPr>
                    <w:t> </w:t>
                  </w:r>
                </w:p>
                <w:tbl>
                  <w:tblPr>
                    <w:tblW w:w="9629" w:type="dxa"/>
                    <w:tblCellMar>
                      <w:left w:w="0" w:type="dxa"/>
                      <w:right w:w="0" w:type="dxa"/>
                    </w:tblCellMar>
                    <w:tblLook w:val="04A0" w:firstRow="1" w:lastRow="0" w:firstColumn="1" w:lastColumn="0" w:noHBand="0" w:noVBand="1"/>
                  </w:tblPr>
                  <w:tblGrid>
                    <w:gridCol w:w="562"/>
                    <w:gridCol w:w="1985"/>
                    <w:gridCol w:w="3491"/>
                    <w:gridCol w:w="1708"/>
                    <w:gridCol w:w="1883"/>
                  </w:tblGrid>
                  <w:tr>
                    <w:trPr>
                      <w:trHeight w:val="60"/>
                    </w:trPr>
                    <w:tc>
                      <w:tcPr>
                        <w:tcW w:w="562" w:type="dxa"/>
                        <w:tcBorders>
                          <w:top w:val="single" w:sz="4" w:space="0" w:color="auto"/>
                          <w:left w:val="single" w:sz="4" w:space="0" w:color="auto"/>
                          <w:bottom w:val="single" w:sz="4" w:space="0" w:color="auto"/>
                          <w:right w:val="single" w:sz="4" w:space="0" w:color="auto"/>
                        </w:tcBorders>
                      </w:tcPr>
                      <w:p>
                        <w:pPr>
                          <w:jc w:val="center"/>
                          <w:rPr>
                            <w:b/>
                            <w:bCs/>
                            <w:color w:val="000000"/>
                            <w:szCs w:val="24"/>
                            <w:lang w:eastAsia="lt-LT"/>
                          </w:rPr>
                        </w:pPr>
                        <w:r>
                          <w:rPr>
                            <w:b/>
                            <w:bCs/>
                            <w:color w:val="000000"/>
                            <w:szCs w:val="24"/>
                            <w:lang w:eastAsia="lt-LT"/>
                          </w:rPr>
                          <w:t>Eil.</w:t>
                        </w:r>
                      </w:p>
                      <w:p>
                        <w:pPr>
                          <w:jc w:val="center"/>
                          <w:rPr>
                            <w:b/>
                            <w:bCs/>
                            <w:color w:val="000000"/>
                            <w:szCs w:val="24"/>
                            <w:lang w:eastAsia="lt-LT"/>
                          </w:rPr>
                        </w:pPr>
                        <w:r>
                          <w:rPr>
                            <w:b/>
                            <w:bCs/>
                            <w:color w:val="000000"/>
                            <w:szCs w:val="24"/>
                            <w:lang w:eastAsia="lt-LT"/>
                          </w:rPr>
                          <w:t>Nr.</w:t>
                        </w:r>
                      </w:p>
                    </w:tc>
                    <w:tc>
                      <w:tcPr>
                        <w:tcW w:w="1985"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center"/>
                          <w:rPr>
                            <w:szCs w:val="24"/>
                            <w:lang w:eastAsia="lt-LT"/>
                          </w:rPr>
                        </w:pPr>
                        <w:r>
                          <w:rPr>
                            <w:b/>
                            <w:bCs/>
                            <w:color w:val="000000"/>
                            <w:szCs w:val="24"/>
                            <w:lang w:eastAsia="lt-LT"/>
                          </w:rPr>
                          <w:t>Elementas</w:t>
                        </w:r>
                      </w:p>
                    </w:tc>
                    <w:tc>
                      <w:tcPr>
                        <w:tcW w:w="349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center"/>
                          <w:rPr>
                            <w:szCs w:val="24"/>
                            <w:lang w:eastAsia="lt-LT"/>
                          </w:rPr>
                        </w:pPr>
                        <w:r>
                          <w:rPr>
                            <w:b/>
                            <w:bCs/>
                            <w:color w:val="000000"/>
                            <w:szCs w:val="24"/>
                            <w:lang w:eastAsia="lt-LT"/>
                          </w:rPr>
                          <w:t>mg/kg</w:t>
                        </w:r>
                      </w:p>
                      <w:p>
                        <w:pPr>
                          <w:jc w:val="center"/>
                          <w:rPr>
                            <w:szCs w:val="24"/>
                            <w:lang w:eastAsia="lt-LT"/>
                          </w:rPr>
                        </w:pPr>
                        <w:r>
                          <w:rPr>
                            <w:b/>
                            <w:bCs/>
                            <w:color w:val="000000"/>
                            <w:szCs w:val="24"/>
                            <w:lang w:eastAsia="lt-LT"/>
                          </w:rPr>
                          <w:t>sausoje, trapioje, miltelių pavidalo ar lanksčioje žaislo medžiagoje</w:t>
                        </w:r>
                      </w:p>
                    </w:tc>
                    <w:tc>
                      <w:tcPr>
                        <w:tcW w:w="170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center"/>
                          <w:rPr>
                            <w:szCs w:val="24"/>
                            <w:lang w:eastAsia="lt-LT"/>
                          </w:rPr>
                        </w:pPr>
                        <w:r>
                          <w:rPr>
                            <w:b/>
                            <w:bCs/>
                            <w:color w:val="000000"/>
                            <w:szCs w:val="24"/>
                            <w:lang w:eastAsia="lt-LT"/>
                          </w:rPr>
                          <w:t>mg/kg</w:t>
                        </w:r>
                      </w:p>
                      <w:p>
                        <w:pPr>
                          <w:jc w:val="center"/>
                          <w:rPr>
                            <w:szCs w:val="24"/>
                            <w:lang w:eastAsia="lt-LT"/>
                          </w:rPr>
                        </w:pPr>
                        <w:r>
                          <w:rPr>
                            <w:b/>
                            <w:bCs/>
                            <w:color w:val="000000"/>
                            <w:szCs w:val="24"/>
                            <w:lang w:eastAsia="lt-LT"/>
                          </w:rPr>
                          <w:t>skystoje ar lipnioje žaislo medžiagoje</w:t>
                        </w:r>
                      </w:p>
                    </w:tc>
                    <w:tc>
                      <w:tcPr>
                        <w:tcW w:w="188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center"/>
                          <w:rPr>
                            <w:szCs w:val="24"/>
                            <w:lang w:eastAsia="lt-LT"/>
                          </w:rPr>
                        </w:pPr>
                        <w:r>
                          <w:rPr>
                            <w:b/>
                            <w:bCs/>
                            <w:color w:val="000000"/>
                            <w:szCs w:val="24"/>
                            <w:lang w:eastAsia="lt-LT"/>
                          </w:rPr>
                          <w:t>mg/kg</w:t>
                        </w:r>
                      </w:p>
                      <w:p>
                        <w:pPr>
                          <w:jc w:val="center"/>
                          <w:rPr>
                            <w:szCs w:val="24"/>
                            <w:lang w:eastAsia="lt-LT"/>
                          </w:rPr>
                        </w:pPr>
                        <w:r>
                          <w:rPr>
                            <w:b/>
                            <w:bCs/>
                            <w:color w:val="000000"/>
                            <w:szCs w:val="24"/>
                            <w:lang w:eastAsia="lt-LT"/>
                          </w:rPr>
                          <w:t>nugrandytoje žaislo medžiagoje</w:t>
                        </w:r>
                      </w:p>
                    </w:tc>
                  </w:tr>
                  <w:tr>
                    <w:trPr>
                      <w:trHeight w:val="60"/>
                    </w:trPr>
                    <w:tc>
                      <w:tcPr>
                        <w:tcW w:w="562" w:type="dxa"/>
                        <w:tcBorders>
                          <w:top w:val="single" w:sz="4" w:space="0" w:color="auto"/>
                          <w:left w:val="single" w:sz="4" w:space="0" w:color="auto"/>
                          <w:bottom w:val="single" w:sz="4" w:space="0" w:color="auto"/>
                          <w:right w:val="single" w:sz="4" w:space="0" w:color="auto"/>
                        </w:tcBorders>
                      </w:tcPr>
                      <w:p>
                        <w:pPr>
                          <w:jc w:val="center"/>
                          <w:rPr>
                            <w:color w:val="000000"/>
                            <w:szCs w:val="24"/>
                            <w:lang w:eastAsia="lt-LT"/>
                          </w:rPr>
                        </w:pPr>
                        <w:r>
                          <w:rPr>
                            <w:color w:val="000000"/>
                            <w:szCs w:val="24"/>
                            <w:lang w:eastAsia="lt-LT"/>
                          </w:rPr>
                          <w:t>1.</w:t>
                        </w:r>
                      </w:p>
                    </w:tc>
                    <w:tc>
                      <w:tcPr>
                        <w:tcW w:w="1985"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Cs w:val="24"/>
                            <w:lang w:eastAsia="lt-LT"/>
                          </w:rPr>
                        </w:pPr>
                        <w:r>
                          <w:rPr>
                            <w:color w:val="000000"/>
                            <w:szCs w:val="24"/>
                            <w:lang w:eastAsia="lt-LT"/>
                          </w:rPr>
                          <w:t>Aliuminis</w:t>
                        </w:r>
                      </w:p>
                    </w:tc>
                    <w:tc>
                      <w:tcPr>
                        <w:tcW w:w="349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jc w:val="center"/>
                          <w:rPr>
                            <w:szCs w:val="24"/>
                            <w:lang w:eastAsia="lt-LT"/>
                          </w:rPr>
                        </w:pPr>
                        <w:r>
                          <w:rPr>
                            <w:szCs w:val="24"/>
                            <w:lang w:eastAsia="lt-LT"/>
                          </w:rPr>
                          <w:t>2 250</w:t>
                        </w:r>
                      </w:p>
                    </w:tc>
                    <w:tc>
                      <w:tcPr>
                        <w:tcW w:w="170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jc w:val="center"/>
                          <w:rPr>
                            <w:szCs w:val="24"/>
                            <w:lang w:eastAsia="lt-LT"/>
                          </w:rPr>
                        </w:pPr>
                        <w:r>
                          <w:rPr>
                            <w:szCs w:val="24"/>
                            <w:lang w:eastAsia="lt-LT"/>
                          </w:rPr>
                          <w:t>560</w:t>
                        </w:r>
                      </w:p>
                    </w:tc>
                    <w:tc>
                      <w:tcPr>
                        <w:tcW w:w="188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jc w:val="center"/>
                          <w:rPr>
                            <w:szCs w:val="24"/>
                            <w:lang w:eastAsia="lt-LT"/>
                          </w:rPr>
                        </w:pPr>
                        <w:r>
                          <w:rPr>
                            <w:szCs w:val="24"/>
                            <w:lang w:eastAsia="lt-LT"/>
                          </w:rPr>
                          <w:t>28 130</w:t>
                        </w:r>
                      </w:p>
                    </w:tc>
                  </w:tr>
                  <w:tr>
                    <w:trPr>
                      <w:trHeight w:val="60"/>
                    </w:trPr>
                    <w:tc>
                      <w:tcPr>
                        <w:tcW w:w="562" w:type="dxa"/>
                        <w:tcBorders>
                          <w:top w:val="single" w:sz="4" w:space="0" w:color="auto"/>
                          <w:left w:val="single" w:sz="4" w:space="0" w:color="auto"/>
                          <w:bottom w:val="single" w:sz="4" w:space="0" w:color="auto"/>
                          <w:right w:val="single" w:sz="4" w:space="0" w:color="auto"/>
                        </w:tcBorders>
                      </w:tcPr>
                      <w:p>
                        <w:pPr>
                          <w:jc w:val="center"/>
                          <w:rPr>
                            <w:color w:val="000000"/>
                            <w:szCs w:val="24"/>
                            <w:lang w:eastAsia="lt-LT"/>
                          </w:rPr>
                        </w:pPr>
                        <w:r>
                          <w:rPr>
                            <w:color w:val="000000"/>
                            <w:szCs w:val="24"/>
                            <w:lang w:eastAsia="lt-LT"/>
                          </w:rPr>
                          <w:t>2.</w:t>
                        </w:r>
                      </w:p>
                    </w:tc>
                    <w:tc>
                      <w:tcPr>
                        <w:tcW w:w="1985"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Cs w:val="24"/>
                            <w:lang w:eastAsia="lt-LT"/>
                          </w:rPr>
                        </w:pPr>
                        <w:r>
                          <w:rPr>
                            <w:color w:val="000000"/>
                            <w:szCs w:val="24"/>
                            <w:lang w:eastAsia="lt-LT"/>
                          </w:rPr>
                          <w:t>Stibis</w:t>
                        </w:r>
                      </w:p>
                    </w:tc>
                    <w:tc>
                      <w:tcPr>
                        <w:tcW w:w="349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center"/>
                          <w:rPr>
                            <w:szCs w:val="24"/>
                            <w:lang w:eastAsia="lt-LT"/>
                          </w:rPr>
                        </w:pPr>
                        <w:r>
                          <w:rPr>
                            <w:color w:val="000000"/>
                            <w:szCs w:val="24"/>
                            <w:lang w:eastAsia="lt-LT"/>
                          </w:rPr>
                          <w:t>45</w:t>
                        </w:r>
                      </w:p>
                    </w:tc>
                    <w:tc>
                      <w:tcPr>
                        <w:tcW w:w="170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center"/>
                          <w:rPr>
                            <w:szCs w:val="24"/>
                            <w:lang w:eastAsia="lt-LT"/>
                          </w:rPr>
                        </w:pPr>
                        <w:r>
                          <w:rPr>
                            <w:color w:val="000000"/>
                            <w:szCs w:val="24"/>
                            <w:lang w:eastAsia="lt-LT"/>
                          </w:rPr>
                          <w:t>11,3</w:t>
                        </w:r>
                      </w:p>
                    </w:tc>
                    <w:tc>
                      <w:tcPr>
                        <w:tcW w:w="188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center"/>
                          <w:rPr>
                            <w:szCs w:val="24"/>
                            <w:lang w:eastAsia="lt-LT"/>
                          </w:rPr>
                        </w:pPr>
                        <w:r>
                          <w:rPr>
                            <w:color w:val="000000"/>
                            <w:szCs w:val="24"/>
                            <w:lang w:eastAsia="lt-LT"/>
                          </w:rPr>
                          <w:t>560</w:t>
                        </w:r>
                      </w:p>
                    </w:tc>
                  </w:tr>
                  <w:tr>
                    <w:trPr>
                      <w:trHeight w:val="60"/>
                    </w:trPr>
                    <w:tc>
                      <w:tcPr>
                        <w:tcW w:w="562" w:type="dxa"/>
                        <w:tcBorders>
                          <w:top w:val="single" w:sz="4" w:space="0" w:color="auto"/>
                          <w:left w:val="single" w:sz="4" w:space="0" w:color="auto"/>
                          <w:bottom w:val="single" w:sz="4" w:space="0" w:color="auto"/>
                          <w:right w:val="single" w:sz="4" w:space="0" w:color="auto"/>
                        </w:tcBorders>
                      </w:tcPr>
                      <w:p>
                        <w:pPr>
                          <w:jc w:val="center"/>
                          <w:rPr>
                            <w:color w:val="000000"/>
                            <w:szCs w:val="24"/>
                            <w:lang w:eastAsia="lt-LT"/>
                          </w:rPr>
                        </w:pPr>
                        <w:r>
                          <w:rPr>
                            <w:color w:val="000000"/>
                            <w:szCs w:val="24"/>
                            <w:lang w:eastAsia="lt-LT"/>
                          </w:rPr>
                          <w:t>3.</w:t>
                        </w:r>
                      </w:p>
                    </w:tc>
                    <w:tc>
                      <w:tcPr>
                        <w:tcW w:w="1985"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Cs w:val="24"/>
                            <w:lang w:eastAsia="lt-LT"/>
                          </w:rPr>
                        </w:pPr>
                        <w:r>
                          <w:rPr>
                            <w:color w:val="000000"/>
                            <w:szCs w:val="24"/>
                            <w:lang w:eastAsia="lt-LT"/>
                          </w:rPr>
                          <w:t>Arsenas</w:t>
                        </w:r>
                      </w:p>
                    </w:tc>
                    <w:tc>
                      <w:tcPr>
                        <w:tcW w:w="349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center"/>
                          <w:rPr>
                            <w:szCs w:val="24"/>
                            <w:lang w:eastAsia="lt-LT"/>
                          </w:rPr>
                        </w:pPr>
                        <w:r>
                          <w:rPr>
                            <w:color w:val="000000"/>
                            <w:szCs w:val="24"/>
                            <w:lang w:eastAsia="lt-LT"/>
                          </w:rPr>
                          <w:t>3,8</w:t>
                        </w:r>
                      </w:p>
                    </w:tc>
                    <w:tc>
                      <w:tcPr>
                        <w:tcW w:w="170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center"/>
                          <w:rPr>
                            <w:szCs w:val="24"/>
                            <w:lang w:eastAsia="lt-LT"/>
                          </w:rPr>
                        </w:pPr>
                        <w:r>
                          <w:rPr>
                            <w:color w:val="000000"/>
                            <w:szCs w:val="24"/>
                            <w:lang w:eastAsia="lt-LT"/>
                          </w:rPr>
                          <w:t>0,9</w:t>
                        </w:r>
                      </w:p>
                    </w:tc>
                    <w:tc>
                      <w:tcPr>
                        <w:tcW w:w="188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center"/>
                          <w:rPr>
                            <w:szCs w:val="24"/>
                            <w:lang w:eastAsia="lt-LT"/>
                          </w:rPr>
                        </w:pPr>
                        <w:r>
                          <w:rPr>
                            <w:color w:val="000000"/>
                            <w:szCs w:val="24"/>
                            <w:lang w:eastAsia="lt-LT"/>
                          </w:rPr>
                          <w:t>47</w:t>
                        </w:r>
                      </w:p>
                    </w:tc>
                  </w:tr>
                  <w:tr>
                    <w:trPr>
                      <w:trHeight w:val="60"/>
                    </w:trPr>
                    <w:tc>
                      <w:tcPr>
                        <w:tcW w:w="562" w:type="dxa"/>
                        <w:tcBorders>
                          <w:top w:val="single" w:sz="4" w:space="0" w:color="auto"/>
                          <w:left w:val="single" w:sz="4" w:space="0" w:color="auto"/>
                          <w:bottom w:val="single" w:sz="4" w:space="0" w:color="auto"/>
                          <w:right w:val="single" w:sz="4" w:space="0" w:color="auto"/>
                        </w:tcBorders>
                      </w:tcPr>
                      <w:p>
                        <w:pPr>
                          <w:jc w:val="center"/>
                          <w:rPr>
                            <w:color w:val="000000"/>
                            <w:szCs w:val="24"/>
                            <w:lang w:eastAsia="lt-LT"/>
                          </w:rPr>
                        </w:pPr>
                        <w:r>
                          <w:rPr>
                            <w:color w:val="000000"/>
                            <w:szCs w:val="24"/>
                            <w:lang w:eastAsia="lt-LT"/>
                          </w:rPr>
                          <w:t>4.</w:t>
                        </w:r>
                      </w:p>
                    </w:tc>
                    <w:tc>
                      <w:tcPr>
                        <w:tcW w:w="1985"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Cs w:val="24"/>
                            <w:lang w:eastAsia="lt-LT"/>
                          </w:rPr>
                        </w:pPr>
                        <w:r>
                          <w:rPr>
                            <w:color w:val="000000"/>
                            <w:szCs w:val="24"/>
                            <w:lang w:eastAsia="lt-LT"/>
                          </w:rPr>
                          <w:t>Baris</w:t>
                        </w:r>
                      </w:p>
                    </w:tc>
                    <w:tc>
                      <w:tcPr>
                        <w:tcW w:w="7082" w:type="dxa"/>
                        <w:gridSpan w:val="3"/>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ind w:firstLine="62"/>
                          <w:rPr>
                            <w:szCs w:val="24"/>
                            <w:lang w:eastAsia="lt-LT"/>
                          </w:rPr>
                        </w:pPr>
                        <w:r>
                          <w:rPr>
                            <w:szCs w:val="24"/>
                            <w:lang w:eastAsia="lt-LT"/>
                          </w:rPr>
                          <w:t>Kaip nurodyta 2013 m. liepos 17 d. Komisijos reglamento (ES) Nr. 681/2013, kuriuo iš dalies keičiama Europos Parlamento ir Tarybos direktyvos 2009/48/EB dėl žaislų saugos II priedo III dalis, priede</w:t>
                        </w:r>
                      </w:p>
                    </w:tc>
                  </w:tr>
                  <w:tr>
                    <w:trPr>
                      <w:trHeight w:val="60"/>
                    </w:trPr>
                    <w:tc>
                      <w:tcPr>
                        <w:tcW w:w="562" w:type="dxa"/>
                        <w:tcBorders>
                          <w:top w:val="single" w:sz="4" w:space="0" w:color="auto"/>
                          <w:left w:val="single" w:sz="4" w:space="0" w:color="auto"/>
                          <w:bottom w:val="single" w:sz="4" w:space="0" w:color="auto"/>
                          <w:right w:val="single" w:sz="4" w:space="0" w:color="auto"/>
                        </w:tcBorders>
                      </w:tcPr>
                      <w:p>
                        <w:pPr>
                          <w:jc w:val="center"/>
                          <w:rPr>
                            <w:color w:val="000000"/>
                            <w:szCs w:val="24"/>
                            <w:lang w:eastAsia="lt-LT"/>
                          </w:rPr>
                        </w:pPr>
                        <w:r>
                          <w:rPr>
                            <w:color w:val="000000"/>
                            <w:szCs w:val="24"/>
                            <w:lang w:eastAsia="lt-LT"/>
                          </w:rPr>
                          <w:t>5.</w:t>
                        </w:r>
                      </w:p>
                    </w:tc>
                    <w:tc>
                      <w:tcPr>
                        <w:tcW w:w="1985"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Cs w:val="24"/>
                            <w:lang w:eastAsia="lt-LT"/>
                          </w:rPr>
                        </w:pPr>
                        <w:r>
                          <w:rPr>
                            <w:color w:val="000000"/>
                            <w:szCs w:val="24"/>
                            <w:lang w:eastAsia="lt-LT"/>
                          </w:rPr>
                          <w:t>Boras</w:t>
                        </w:r>
                      </w:p>
                    </w:tc>
                    <w:tc>
                      <w:tcPr>
                        <w:tcW w:w="349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center"/>
                          <w:rPr>
                            <w:szCs w:val="24"/>
                            <w:lang w:eastAsia="lt-LT"/>
                          </w:rPr>
                        </w:pPr>
                        <w:r>
                          <w:rPr>
                            <w:color w:val="000000"/>
                            <w:szCs w:val="24"/>
                            <w:lang w:eastAsia="lt-LT"/>
                          </w:rPr>
                          <w:t>1 200</w:t>
                        </w:r>
                      </w:p>
                    </w:tc>
                    <w:tc>
                      <w:tcPr>
                        <w:tcW w:w="170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center"/>
                          <w:rPr>
                            <w:szCs w:val="24"/>
                            <w:lang w:eastAsia="lt-LT"/>
                          </w:rPr>
                        </w:pPr>
                        <w:r>
                          <w:rPr>
                            <w:color w:val="000000"/>
                            <w:szCs w:val="24"/>
                            <w:lang w:eastAsia="lt-LT"/>
                          </w:rPr>
                          <w:t>300</w:t>
                        </w:r>
                      </w:p>
                    </w:tc>
                    <w:tc>
                      <w:tcPr>
                        <w:tcW w:w="188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center"/>
                          <w:rPr>
                            <w:szCs w:val="24"/>
                            <w:lang w:eastAsia="lt-LT"/>
                          </w:rPr>
                        </w:pPr>
                        <w:r>
                          <w:rPr>
                            <w:color w:val="000000"/>
                            <w:szCs w:val="24"/>
                            <w:lang w:eastAsia="lt-LT"/>
                          </w:rPr>
                          <w:t>15 000</w:t>
                        </w:r>
                      </w:p>
                    </w:tc>
                  </w:tr>
                  <w:tr>
                    <w:trPr>
                      <w:trHeight w:val="60"/>
                    </w:trPr>
                    <w:tc>
                      <w:tcPr>
                        <w:tcW w:w="562" w:type="dxa"/>
                        <w:tcBorders>
                          <w:top w:val="single" w:sz="4" w:space="0" w:color="auto"/>
                          <w:left w:val="single" w:sz="4" w:space="0" w:color="auto"/>
                          <w:bottom w:val="single" w:sz="4" w:space="0" w:color="auto"/>
                          <w:right w:val="single" w:sz="4" w:space="0" w:color="auto"/>
                        </w:tcBorders>
                      </w:tcPr>
                      <w:p>
                        <w:pPr>
                          <w:jc w:val="center"/>
                          <w:rPr>
                            <w:color w:val="000000"/>
                            <w:szCs w:val="24"/>
                            <w:lang w:eastAsia="lt-LT"/>
                          </w:rPr>
                        </w:pPr>
                        <w:r>
                          <w:rPr>
                            <w:color w:val="000000"/>
                            <w:szCs w:val="24"/>
                            <w:lang w:eastAsia="lt-LT"/>
                          </w:rPr>
                          <w:t>6.</w:t>
                        </w:r>
                      </w:p>
                    </w:tc>
                    <w:tc>
                      <w:tcPr>
                        <w:tcW w:w="1985"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Cs w:val="24"/>
                            <w:lang w:eastAsia="lt-LT"/>
                          </w:rPr>
                        </w:pPr>
                        <w:r>
                          <w:rPr>
                            <w:color w:val="000000"/>
                            <w:szCs w:val="24"/>
                            <w:lang w:eastAsia="lt-LT"/>
                          </w:rPr>
                          <w:t>Kadmis</w:t>
                        </w:r>
                      </w:p>
                    </w:tc>
                    <w:tc>
                      <w:tcPr>
                        <w:tcW w:w="349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center"/>
                          <w:rPr>
                            <w:szCs w:val="24"/>
                            <w:lang w:eastAsia="lt-LT"/>
                          </w:rPr>
                        </w:pPr>
                        <w:r>
                          <w:rPr>
                            <w:color w:val="000000"/>
                            <w:szCs w:val="24"/>
                            <w:lang w:eastAsia="lt-LT"/>
                          </w:rPr>
                          <w:t>1,3</w:t>
                        </w:r>
                      </w:p>
                    </w:tc>
                    <w:tc>
                      <w:tcPr>
                        <w:tcW w:w="170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center"/>
                          <w:rPr>
                            <w:szCs w:val="24"/>
                            <w:lang w:eastAsia="lt-LT"/>
                          </w:rPr>
                        </w:pPr>
                        <w:r>
                          <w:rPr>
                            <w:color w:val="000000"/>
                            <w:szCs w:val="24"/>
                            <w:lang w:eastAsia="lt-LT"/>
                          </w:rPr>
                          <w:t>0,3</w:t>
                        </w:r>
                      </w:p>
                    </w:tc>
                    <w:tc>
                      <w:tcPr>
                        <w:tcW w:w="188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center"/>
                          <w:rPr>
                            <w:szCs w:val="24"/>
                            <w:lang w:eastAsia="lt-LT"/>
                          </w:rPr>
                        </w:pPr>
                        <w:r>
                          <w:rPr>
                            <w:color w:val="000000"/>
                            <w:szCs w:val="24"/>
                            <w:lang w:eastAsia="lt-LT"/>
                          </w:rPr>
                          <w:t>17</w:t>
                        </w:r>
                      </w:p>
                    </w:tc>
                  </w:tr>
                  <w:tr>
                    <w:trPr>
                      <w:trHeight w:val="60"/>
                    </w:trPr>
                    <w:tc>
                      <w:tcPr>
                        <w:tcW w:w="562" w:type="dxa"/>
                        <w:tcBorders>
                          <w:top w:val="single" w:sz="4" w:space="0" w:color="auto"/>
                          <w:left w:val="single" w:sz="4" w:space="0" w:color="auto"/>
                          <w:bottom w:val="single" w:sz="4" w:space="0" w:color="auto"/>
                          <w:right w:val="single" w:sz="4" w:space="0" w:color="auto"/>
                        </w:tcBorders>
                      </w:tcPr>
                      <w:p>
                        <w:pPr>
                          <w:jc w:val="center"/>
                          <w:rPr>
                            <w:color w:val="000000"/>
                            <w:szCs w:val="24"/>
                            <w:lang w:eastAsia="lt-LT"/>
                          </w:rPr>
                        </w:pPr>
                        <w:r>
                          <w:rPr>
                            <w:color w:val="000000"/>
                            <w:szCs w:val="24"/>
                            <w:lang w:eastAsia="lt-LT"/>
                          </w:rPr>
                          <w:t>7.</w:t>
                        </w:r>
                      </w:p>
                    </w:tc>
                    <w:tc>
                      <w:tcPr>
                        <w:tcW w:w="1985"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Cs w:val="24"/>
                            <w:lang w:eastAsia="lt-LT"/>
                          </w:rPr>
                        </w:pPr>
                        <w:r>
                          <w:rPr>
                            <w:color w:val="000000"/>
                            <w:szCs w:val="24"/>
                            <w:lang w:eastAsia="lt-LT"/>
                          </w:rPr>
                          <w:t>Chromas (III)</w:t>
                        </w:r>
                      </w:p>
                    </w:tc>
                    <w:tc>
                      <w:tcPr>
                        <w:tcW w:w="349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center"/>
                          <w:rPr>
                            <w:szCs w:val="24"/>
                            <w:lang w:eastAsia="lt-LT"/>
                          </w:rPr>
                        </w:pPr>
                        <w:r>
                          <w:rPr>
                            <w:color w:val="000000"/>
                            <w:szCs w:val="24"/>
                            <w:lang w:eastAsia="lt-LT"/>
                          </w:rPr>
                          <w:t>37,5</w:t>
                        </w:r>
                      </w:p>
                    </w:tc>
                    <w:tc>
                      <w:tcPr>
                        <w:tcW w:w="170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center"/>
                          <w:rPr>
                            <w:szCs w:val="24"/>
                            <w:lang w:eastAsia="lt-LT"/>
                          </w:rPr>
                        </w:pPr>
                        <w:r>
                          <w:rPr>
                            <w:color w:val="000000"/>
                            <w:szCs w:val="24"/>
                            <w:lang w:eastAsia="lt-LT"/>
                          </w:rPr>
                          <w:t>9,4</w:t>
                        </w:r>
                      </w:p>
                    </w:tc>
                    <w:tc>
                      <w:tcPr>
                        <w:tcW w:w="188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center"/>
                          <w:rPr>
                            <w:szCs w:val="24"/>
                            <w:lang w:eastAsia="lt-LT"/>
                          </w:rPr>
                        </w:pPr>
                        <w:r>
                          <w:rPr>
                            <w:color w:val="000000"/>
                            <w:szCs w:val="24"/>
                            <w:lang w:eastAsia="lt-LT"/>
                          </w:rPr>
                          <w:t>460</w:t>
                        </w:r>
                      </w:p>
                    </w:tc>
                  </w:tr>
                  <w:tr>
                    <w:trPr>
                      <w:trHeight w:val="60"/>
                    </w:trPr>
                    <w:tc>
                      <w:tcPr>
                        <w:tcW w:w="562" w:type="dxa"/>
                        <w:tcBorders>
                          <w:top w:val="single" w:sz="4" w:space="0" w:color="auto"/>
                          <w:left w:val="single" w:sz="4" w:space="0" w:color="auto"/>
                          <w:bottom w:val="single" w:sz="4" w:space="0" w:color="auto"/>
                          <w:right w:val="single" w:sz="4" w:space="0" w:color="auto"/>
                        </w:tcBorders>
                      </w:tcPr>
                      <w:p>
                        <w:pPr>
                          <w:jc w:val="center"/>
                          <w:rPr>
                            <w:color w:val="000000"/>
                            <w:szCs w:val="24"/>
                            <w:lang w:eastAsia="lt-LT"/>
                          </w:rPr>
                        </w:pPr>
                        <w:r>
                          <w:rPr>
                            <w:color w:val="000000"/>
                            <w:szCs w:val="24"/>
                            <w:lang w:eastAsia="lt-LT"/>
                          </w:rPr>
                          <w:t>8.</w:t>
                        </w:r>
                      </w:p>
                    </w:tc>
                    <w:tc>
                      <w:tcPr>
                        <w:tcW w:w="1985"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Cs w:val="24"/>
                            <w:lang w:eastAsia="lt-LT"/>
                          </w:rPr>
                        </w:pPr>
                        <w:r>
                          <w:rPr>
                            <w:color w:val="000000"/>
                            <w:szCs w:val="24"/>
                            <w:lang w:eastAsia="lt-LT"/>
                          </w:rPr>
                          <w:t>Chromas (VI)</w:t>
                        </w:r>
                      </w:p>
                    </w:tc>
                    <w:tc>
                      <w:tcPr>
                        <w:tcW w:w="349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center"/>
                          <w:rPr>
                            <w:szCs w:val="24"/>
                            <w:lang w:eastAsia="lt-LT"/>
                          </w:rPr>
                        </w:pPr>
                        <w:r>
                          <w:rPr>
                            <w:color w:val="000000"/>
                            <w:szCs w:val="24"/>
                            <w:lang w:eastAsia="lt-LT"/>
                          </w:rPr>
                          <w:t>0,02</w:t>
                        </w:r>
                      </w:p>
                    </w:tc>
                    <w:tc>
                      <w:tcPr>
                        <w:tcW w:w="170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center"/>
                          <w:rPr>
                            <w:szCs w:val="24"/>
                            <w:lang w:eastAsia="lt-LT"/>
                          </w:rPr>
                        </w:pPr>
                        <w:r>
                          <w:rPr>
                            <w:color w:val="000000"/>
                            <w:szCs w:val="24"/>
                            <w:lang w:eastAsia="lt-LT"/>
                          </w:rPr>
                          <w:t>0,005</w:t>
                        </w:r>
                      </w:p>
                    </w:tc>
                    <w:tc>
                      <w:tcPr>
                        <w:tcW w:w="188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center"/>
                          <w:rPr>
                            <w:strike/>
                            <w:szCs w:val="24"/>
                            <w:lang w:eastAsia="lt-LT"/>
                          </w:rPr>
                        </w:pPr>
                        <w:r>
                          <w:rPr>
                            <w:color w:val="000000"/>
                            <w:szCs w:val="24"/>
                            <w:lang w:eastAsia="lt-LT"/>
                          </w:rPr>
                          <w:t>0,053</w:t>
                        </w:r>
                      </w:p>
                    </w:tc>
                  </w:tr>
                  <w:tr>
                    <w:trPr>
                      <w:trHeight w:val="60"/>
                    </w:trPr>
                    <w:tc>
                      <w:tcPr>
                        <w:tcW w:w="562" w:type="dxa"/>
                        <w:tcBorders>
                          <w:top w:val="single" w:sz="4" w:space="0" w:color="auto"/>
                          <w:left w:val="single" w:sz="4" w:space="0" w:color="auto"/>
                          <w:bottom w:val="single" w:sz="4" w:space="0" w:color="auto"/>
                          <w:right w:val="single" w:sz="4" w:space="0" w:color="auto"/>
                        </w:tcBorders>
                      </w:tcPr>
                      <w:p>
                        <w:pPr>
                          <w:jc w:val="center"/>
                          <w:rPr>
                            <w:color w:val="000000"/>
                            <w:szCs w:val="24"/>
                            <w:lang w:eastAsia="lt-LT"/>
                          </w:rPr>
                        </w:pPr>
                        <w:r>
                          <w:rPr>
                            <w:color w:val="000000"/>
                            <w:szCs w:val="24"/>
                            <w:lang w:eastAsia="lt-LT"/>
                          </w:rPr>
                          <w:t>9.</w:t>
                        </w:r>
                      </w:p>
                    </w:tc>
                    <w:tc>
                      <w:tcPr>
                        <w:tcW w:w="1985"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Cs w:val="24"/>
                            <w:lang w:eastAsia="lt-LT"/>
                          </w:rPr>
                        </w:pPr>
                        <w:r>
                          <w:rPr>
                            <w:color w:val="000000"/>
                            <w:szCs w:val="24"/>
                            <w:lang w:eastAsia="lt-LT"/>
                          </w:rPr>
                          <w:t>Kobaltas</w:t>
                        </w:r>
                      </w:p>
                    </w:tc>
                    <w:tc>
                      <w:tcPr>
                        <w:tcW w:w="349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center"/>
                          <w:rPr>
                            <w:szCs w:val="24"/>
                            <w:lang w:eastAsia="lt-LT"/>
                          </w:rPr>
                        </w:pPr>
                        <w:r>
                          <w:rPr>
                            <w:color w:val="000000"/>
                            <w:szCs w:val="24"/>
                            <w:lang w:eastAsia="lt-LT"/>
                          </w:rPr>
                          <w:t>10,5 </w:t>
                        </w:r>
                      </w:p>
                    </w:tc>
                    <w:tc>
                      <w:tcPr>
                        <w:tcW w:w="170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center"/>
                          <w:rPr>
                            <w:szCs w:val="24"/>
                            <w:lang w:eastAsia="lt-LT"/>
                          </w:rPr>
                        </w:pPr>
                        <w:r>
                          <w:rPr>
                            <w:color w:val="000000"/>
                            <w:szCs w:val="24"/>
                            <w:lang w:eastAsia="lt-LT"/>
                          </w:rPr>
                          <w:t>2,6 </w:t>
                        </w:r>
                      </w:p>
                    </w:tc>
                    <w:tc>
                      <w:tcPr>
                        <w:tcW w:w="188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center"/>
                          <w:rPr>
                            <w:szCs w:val="24"/>
                            <w:lang w:eastAsia="lt-LT"/>
                          </w:rPr>
                        </w:pPr>
                        <w:r>
                          <w:rPr>
                            <w:color w:val="000000"/>
                            <w:szCs w:val="24"/>
                            <w:lang w:eastAsia="lt-LT"/>
                          </w:rPr>
                          <w:t>130</w:t>
                        </w:r>
                      </w:p>
                    </w:tc>
                  </w:tr>
                  <w:tr>
                    <w:trPr>
                      <w:trHeight w:val="60"/>
                    </w:trPr>
                    <w:tc>
                      <w:tcPr>
                        <w:tcW w:w="562" w:type="dxa"/>
                        <w:tcBorders>
                          <w:top w:val="single" w:sz="4" w:space="0" w:color="auto"/>
                          <w:left w:val="single" w:sz="4" w:space="0" w:color="auto"/>
                          <w:bottom w:val="single" w:sz="4" w:space="0" w:color="auto"/>
                          <w:right w:val="single" w:sz="4" w:space="0" w:color="auto"/>
                        </w:tcBorders>
                      </w:tcPr>
                      <w:p>
                        <w:pPr>
                          <w:jc w:val="center"/>
                          <w:rPr>
                            <w:color w:val="000000"/>
                            <w:szCs w:val="24"/>
                            <w:lang w:eastAsia="lt-LT"/>
                          </w:rPr>
                        </w:pPr>
                        <w:r>
                          <w:rPr>
                            <w:color w:val="000000"/>
                            <w:szCs w:val="24"/>
                            <w:lang w:eastAsia="lt-LT"/>
                          </w:rPr>
                          <w:t>10.</w:t>
                        </w:r>
                      </w:p>
                    </w:tc>
                    <w:tc>
                      <w:tcPr>
                        <w:tcW w:w="1985"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Cs w:val="24"/>
                            <w:lang w:eastAsia="lt-LT"/>
                          </w:rPr>
                        </w:pPr>
                        <w:r>
                          <w:rPr>
                            <w:color w:val="000000"/>
                            <w:szCs w:val="24"/>
                            <w:lang w:eastAsia="lt-LT"/>
                          </w:rPr>
                          <w:t>Varis</w:t>
                        </w:r>
                      </w:p>
                    </w:tc>
                    <w:tc>
                      <w:tcPr>
                        <w:tcW w:w="349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center"/>
                          <w:rPr>
                            <w:szCs w:val="24"/>
                            <w:lang w:eastAsia="lt-LT"/>
                          </w:rPr>
                        </w:pPr>
                        <w:r>
                          <w:rPr>
                            <w:color w:val="000000"/>
                            <w:szCs w:val="24"/>
                            <w:lang w:eastAsia="lt-LT"/>
                          </w:rPr>
                          <w:t>622,5</w:t>
                        </w:r>
                      </w:p>
                    </w:tc>
                    <w:tc>
                      <w:tcPr>
                        <w:tcW w:w="170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center"/>
                          <w:rPr>
                            <w:szCs w:val="24"/>
                            <w:lang w:eastAsia="lt-LT"/>
                          </w:rPr>
                        </w:pPr>
                        <w:r>
                          <w:rPr>
                            <w:color w:val="000000"/>
                            <w:szCs w:val="24"/>
                            <w:lang w:eastAsia="lt-LT"/>
                          </w:rPr>
                          <w:t>156</w:t>
                        </w:r>
                      </w:p>
                    </w:tc>
                    <w:tc>
                      <w:tcPr>
                        <w:tcW w:w="188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center"/>
                          <w:rPr>
                            <w:szCs w:val="24"/>
                            <w:lang w:eastAsia="lt-LT"/>
                          </w:rPr>
                        </w:pPr>
                        <w:r>
                          <w:rPr>
                            <w:color w:val="000000"/>
                            <w:szCs w:val="24"/>
                            <w:lang w:eastAsia="lt-LT"/>
                          </w:rPr>
                          <w:t>7 700</w:t>
                        </w:r>
                      </w:p>
                    </w:tc>
                  </w:tr>
                  <w:tr>
                    <w:trPr>
                      <w:trHeight w:val="60"/>
                    </w:trPr>
                    <w:tc>
                      <w:tcPr>
                        <w:tcW w:w="562" w:type="dxa"/>
                        <w:tcBorders>
                          <w:top w:val="single" w:sz="4" w:space="0" w:color="auto"/>
                          <w:left w:val="single" w:sz="4" w:space="0" w:color="auto"/>
                          <w:bottom w:val="single" w:sz="4" w:space="0" w:color="auto"/>
                          <w:right w:val="single" w:sz="4" w:space="0" w:color="auto"/>
                        </w:tcBorders>
                      </w:tcPr>
                      <w:p>
                        <w:pPr>
                          <w:jc w:val="center"/>
                          <w:rPr>
                            <w:color w:val="000000"/>
                            <w:szCs w:val="24"/>
                            <w:lang w:eastAsia="lt-LT"/>
                          </w:rPr>
                        </w:pPr>
                        <w:r>
                          <w:rPr>
                            <w:color w:val="000000"/>
                            <w:szCs w:val="24"/>
                            <w:lang w:eastAsia="lt-LT"/>
                          </w:rPr>
                          <w:t>11.</w:t>
                        </w:r>
                      </w:p>
                    </w:tc>
                    <w:tc>
                      <w:tcPr>
                        <w:tcW w:w="1985"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Cs w:val="24"/>
                            <w:lang w:eastAsia="lt-LT"/>
                          </w:rPr>
                        </w:pPr>
                        <w:r>
                          <w:rPr>
                            <w:color w:val="000000"/>
                            <w:szCs w:val="24"/>
                            <w:lang w:eastAsia="lt-LT"/>
                          </w:rPr>
                          <w:t>Švinas</w:t>
                        </w:r>
                      </w:p>
                    </w:tc>
                    <w:tc>
                      <w:tcPr>
                        <w:tcW w:w="349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center"/>
                          <w:rPr>
                            <w:szCs w:val="24"/>
                            <w:lang w:eastAsia="lt-LT"/>
                          </w:rPr>
                        </w:pPr>
                        <w:r>
                          <w:rPr>
                            <w:color w:val="000000"/>
                            <w:szCs w:val="24"/>
                            <w:lang w:eastAsia="lt-LT"/>
                          </w:rPr>
                          <w:t>2,0</w:t>
                        </w:r>
                      </w:p>
                    </w:tc>
                    <w:tc>
                      <w:tcPr>
                        <w:tcW w:w="170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center"/>
                          <w:rPr>
                            <w:szCs w:val="24"/>
                            <w:lang w:eastAsia="lt-LT"/>
                          </w:rPr>
                        </w:pPr>
                        <w:r>
                          <w:rPr>
                            <w:color w:val="000000"/>
                            <w:szCs w:val="24"/>
                            <w:lang w:eastAsia="lt-LT"/>
                          </w:rPr>
                          <w:t>0,5</w:t>
                        </w:r>
                      </w:p>
                    </w:tc>
                    <w:tc>
                      <w:tcPr>
                        <w:tcW w:w="188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center"/>
                          <w:rPr>
                            <w:szCs w:val="24"/>
                            <w:lang w:eastAsia="lt-LT"/>
                          </w:rPr>
                        </w:pPr>
                        <w:r>
                          <w:rPr>
                            <w:color w:val="000000"/>
                            <w:szCs w:val="24"/>
                            <w:lang w:eastAsia="lt-LT"/>
                          </w:rPr>
                          <w:t>23</w:t>
                        </w:r>
                      </w:p>
                    </w:tc>
                  </w:tr>
                  <w:tr>
                    <w:trPr>
                      <w:trHeight w:val="60"/>
                    </w:trPr>
                    <w:tc>
                      <w:tcPr>
                        <w:tcW w:w="562" w:type="dxa"/>
                        <w:tcBorders>
                          <w:top w:val="single" w:sz="4" w:space="0" w:color="auto"/>
                          <w:left w:val="single" w:sz="4" w:space="0" w:color="auto"/>
                          <w:bottom w:val="single" w:sz="4" w:space="0" w:color="auto"/>
                          <w:right w:val="single" w:sz="4" w:space="0" w:color="auto"/>
                        </w:tcBorders>
                      </w:tcPr>
                      <w:p>
                        <w:pPr>
                          <w:jc w:val="center"/>
                          <w:rPr>
                            <w:color w:val="000000"/>
                            <w:szCs w:val="24"/>
                            <w:lang w:eastAsia="lt-LT"/>
                          </w:rPr>
                        </w:pPr>
                        <w:r>
                          <w:rPr>
                            <w:color w:val="000000"/>
                            <w:szCs w:val="24"/>
                            <w:lang w:eastAsia="lt-LT"/>
                          </w:rPr>
                          <w:t>12.</w:t>
                        </w:r>
                      </w:p>
                    </w:tc>
                    <w:tc>
                      <w:tcPr>
                        <w:tcW w:w="1985"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Cs w:val="24"/>
                            <w:lang w:eastAsia="lt-LT"/>
                          </w:rPr>
                        </w:pPr>
                        <w:r>
                          <w:rPr>
                            <w:color w:val="000000"/>
                            <w:szCs w:val="24"/>
                            <w:lang w:eastAsia="lt-LT"/>
                          </w:rPr>
                          <w:t>Manganas</w:t>
                        </w:r>
                      </w:p>
                    </w:tc>
                    <w:tc>
                      <w:tcPr>
                        <w:tcW w:w="349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center"/>
                          <w:rPr>
                            <w:szCs w:val="24"/>
                            <w:lang w:eastAsia="lt-LT"/>
                          </w:rPr>
                        </w:pPr>
                        <w:r>
                          <w:rPr>
                            <w:color w:val="000000"/>
                            <w:szCs w:val="24"/>
                            <w:lang w:eastAsia="lt-LT"/>
                          </w:rPr>
                          <w:t>1 200</w:t>
                        </w:r>
                      </w:p>
                    </w:tc>
                    <w:tc>
                      <w:tcPr>
                        <w:tcW w:w="170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center"/>
                          <w:rPr>
                            <w:szCs w:val="24"/>
                            <w:lang w:eastAsia="lt-LT"/>
                          </w:rPr>
                        </w:pPr>
                        <w:r>
                          <w:rPr>
                            <w:color w:val="000000"/>
                            <w:szCs w:val="24"/>
                            <w:lang w:eastAsia="lt-LT"/>
                          </w:rPr>
                          <w:t>300</w:t>
                        </w:r>
                      </w:p>
                    </w:tc>
                    <w:tc>
                      <w:tcPr>
                        <w:tcW w:w="188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center"/>
                          <w:rPr>
                            <w:szCs w:val="24"/>
                            <w:lang w:eastAsia="lt-LT"/>
                          </w:rPr>
                        </w:pPr>
                        <w:r>
                          <w:rPr>
                            <w:color w:val="000000"/>
                            <w:szCs w:val="24"/>
                            <w:lang w:eastAsia="lt-LT"/>
                          </w:rPr>
                          <w:t>15 000</w:t>
                        </w:r>
                      </w:p>
                    </w:tc>
                  </w:tr>
                  <w:tr>
                    <w:trPr>
                      <w:trHeight w:val="60"/>
                    </w:trPr>
                    <w:tc>
                      <w:tcPr>
                        <w:tcW w:w="562" w:type="dxa"/>
                        <w:tcBorders>
                          <w:top w:val="single" w:sz="4" w:space="0" w:color="auto"/>
                          <w:left w:val="single" w:sz="4" w:space="0" w:color="auto"/>
                          <w:bottom w:val="single" w:sz="4" w:space="0" w:color="auto"/>
                          <w:right w:val="single" w:sz="4" w:space="0" w:color="auto"/>
                        </w:tcBorders>
                      </w:tcPr>
                      <w:p>
                        <w:pPr>
                          <w:jc w:val="center"/>
                          <w:rPr>
                            <w:color w:val="000000"/>
                            <w:szCs w:val="24"/>
                            <w:lang w:eastAsia="lt-LT"/>
                          </w:rPr>
                        </w:pPr>
                        <w:r>
                          <w:rPr>
                            <w:color w:val="000000"/>
                            <w:szCs w:val="24"/>
                            <w:lang w:eastAsia="lt-LT"/>
                          </w:rPr>
                          <w:t>13.</w:t>
                        </w:r>
                      </w:p>
                    </w:tc>
                    <w:tc>
                      <w:tcPr>
                        <w:tcW w:w="1985"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Cs w:val="24"/>
                            <w:lang w:eastAsia="lt-LT"/>
                          </w:rPr>
                        </w:pPr>
                        <w:r>
                          <w:rPr>
                            <w:color w:val="000000"/>
                            <w:szCs w:val="24"/>
                            <w:lang w:eastAsia="lt-LT"/>
                          </w:rPr>
                          <w:t>Gyvsidabris</w:t>
                        </w:r>
                      </w:p>
                    </w:tc>
                    <w:tc>
                      <w:tcPr>
                        <w:tcW w:w="349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center"/>
                          <w:rPr>
                            <w:szCs w:val="24"/>
                            <w:lang w:eastAsia="lt-LT"/>
                          </w:rPr>
                        </w:pPr>
                        <w:r>
                          <w:rPr>
                            <w:color w:val="000000"/>
                            <w:szCs w:val="24"/>
                            <w:lang w:eastAsia="lt-LT"/>
                          </w:rPr>
                          <w:t>7,5</w:t>
                        </w:r>
                      </w:p>
                    </w:tc>
                    <w:tc>
                      <w:tcPr>
                        <w:tcW w:w="170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center"/>
                          <w:rPr>
                            <w:szCs w:val="24"/>
                            <w:lang w:eastAsia="lt-LT"/>
                          </w:rPr>
                        </w:pPr>
                        <w:r>
                          <w:rPr>
                            <w:color w:val="000000"/>
                            <w:szCs w:val="24"/>
                            <w:lang w:eastAsia="lt-LT"/>
                          </w:rPr>
                          <w:t>1,9</w:t>
                        </w:r>
                      </w:p>
                    </w:tc>
                    <w:tc>
                      <w:tcPr>
                        <w:tcW w:w="188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center"/>
                          <w:rPr>
                            <w:szCs w:val="24"/>
                            <w:lang w:eastAsia="lt-LT"/>
                          </w:rPr>
                        </w:pPr>
                        <w:r>
                          <w:rPr>
                            <w:color w:val="000000"/>
                            <w:szCs w:val="24"/>
                            <w:lang w:eastAsia="lt-LT"/>
                          </w:rPr>
                          <w:t>94</w:t>
                        </w:r>
                      </w:p>
                    </w:tc>
                  </w:tr>
                  <w:tr>
                    <w:trPr>
                      <w:trHeight w:val="60"/>
                    </w:trPr>
                    <w:tc>
                      <w:tcPr>
                        <w:tcW w:w="562" w:type="dxa"/>
                        <w:tcBorders>
                          <w:top w:val="single" w:sz="4" w:space="0" w:color="auto"/>
                          <w:left w:val="single" w:sz="4" w:space="0" w:color="auto"/>
                          <w:bottom w:val="single" w:sz="4" w:space="0" w:color="auto"/>
                          <w:right w:val="single" w:sz="4" w:space="0" w:color="auto"/>
                        </w:tcBorders>
                      </w:tcPr>
                      <w:p>
                        <w:pPr>
                          <w:jc w:val="center"/>
                          <w:rPr>
                            <w:color w:val="000000"/>
                            <w:szCs w:val="24"/>
                            <w:lang w:eastAsia="lt-LT"/>
                          </w:rPr>
                        </w:pPr>
                        <w:r>
                          <w:rPr>
                            <w:color w:val="000000"/>
                            <w:szCs w:val="24"/>
                            <w:lang w:eastAsia="lt-LT"/>
                          </w:rPr>
                          <w:t>14.</w:t>
                        </w:r>
                      </w:p>
                    </w:tc>
                    <w:tc>
                      <w:tcPr>
                        <w:tcW w:w="1985"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Cs w:val="24"/>
                            <w:lang w:eastAsia="lt-LT"/>
                          </w:rPr>
                        </w:pPr>
                        <w:r>
                          <w:rPr>
                            <w:color w:val="000000"/>
                            <w:szCs w:val="24"/>
                            <w:lang w:eastAsia="lt-LT"/>
                          </w:rPr>
                          <w:t>Nikelis</w:t>
                        </w:r>
                      </w:p>
                    </w:tc>
                    <w:tc>
                      <w:tcPr>
                        <w:tcW w:w="349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center"/>
                          <w:rPr>
                            <w:szCs w:val="24"/>
                            <w:lang w:eastAsia="lt-LT"/>
                          </w:rPr>
                        </w:pPr>
                        <w:r>
                          <w:rPr>
                            <w:color w:val="000000"/>
                            <w:szCs w:val="24"/>
                            <w:lang w:eastAsia="lt-LT"/>
                          </w:rPr>
                          <w:t>75</w:t>
                        </w:r>
                      </w:p>
                    </w:tc>
                    <w:tc>
                      <w:tcPr>
                        <w:tcW w:w="170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center"/>
                          <w:rPr>
                            <w:szCs w:val="24"/>
                            <w:lang w:eastAsia="lt-LT"/>
                          </w:rPr>
                        </w:pPr>
                        <w:r>
                          <w:rPr>
                            <w:color w:val="000000"/>
                            <w:szCs w:val="24"/>
                            <w:lang w:eastAsia="lt-LT"/>
                          </w:rPr>
                          <w:t>18,8</w:t>
                        </w:r>
                      </w:p>
                    </w:tc>
                    <w:tc>
                      <w:tcPr>
                        <w:tcW w:w="188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center"/>
                          <w:rPr>
                            <w:szCs w:val="24"/>
                            <w:lang w:eastAsia="lt-LT"/>
                          </w:rPr>
                        </w:pPr>
                        <w:r>
                          <w:rPr>
                            <w:color w:val="000000"/>
                            <w:szCs w:val="24"/>
                            <w:lang w:eastAsia="lt-LT"/>
                          </w:rPr>
                          <w:t>930</w:t>
                        </w:r>
                      </w:p>
                    </w:tc>
                  </w:tr>
                  <w:tr>
                    <w:trPr>
                      <w:trHeight w:val="60"/>
                    </w:trPr>
                    <w:tc>
                      <w:tcPr>
                        <w:tcW w:w="562" w:type="dxa"/>
                        <w:tcBorders>
                          <w:top w:val="single" w:sz="4" w:space="0" w:color="auto"/>
                          <w:left w:val="single" w:sz="4" w:space="0" w:color="auto"/>
                          <w:bottom w:val="single" w:sz="4" w:space="0" w:color="auto"/>
                          <w:right w:val="single" w:sz="4" w:space="0" w:color="auto"/>
                        </w:tcBorders>
                      </w:tcPr>
                      <w:p>
                        <w:pPr>
                          <w:jc w:val="center"/>
                          <w:rPr>
                            <w:color w:val="000000"/>
                            <w:szCs w:val="24"/>
                            <w:lang w:eastAsia="lt-LT"/>
                          </w:rPr>
                        </w:pPr>
                        <w:r>
                          <w:rPr>
                            <w:color w:val="000000"/>
                            <w:szCs w:val="24"/>
                            <w:lang w:eastAsia="lt-LT"/>
                          </w:rPr>
                          <w:t>15.</w:t>
                        </w:r>
                      </w:p>
                    </w:tc>
                    <w:tc>
                      <w:tcPr>
                        <w:tcW w:w="1985"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Cs w:val="24"/>
                            <w:lang w:eastAsia="lt-LT"/>
                          </w:rPr>
                        </w:pPr>
                        <w:r>
                          <w:rPr>
                            <w:color w:val="000000"/>
                            <w:szCs w:val="24"/>
                            <w:lang w:eastAsia="lt-LT"/>
                          </w:rPr>
                          <w:t>Selenas</w:t>
                        </w:r>
                      </w:p>
                    </w:tc>
                    <w:tc>
                      <w:tcPr>
                        <w:tcW w:w="349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center"/>
                          <w:rPr>
                            <w:szCs w:val="24"/>
                            <w:lang w:eastAsia="lt-LT"/>
                          </w:rPr>
                        </w:pPr>
                        <w:r>
                          <w:rPr>
                            <w:color w:val="000000"/>
                            <w:szCs w:val="24"/>
                            <w:lang w:eastAsia="lt-LT"/>
                          </w:rPr>
                          <w:t>37,5</w:t>
                        </w:r>
                      </w:p>
                    </w:tc>
                    <w:tc>
                      <w:tcPr>
                        <w:tcW w:w="170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center"/>
                          <w:rPr>
                            <w:szCs w:val="24"/>
                            <w:lang w:eastAsia="lt-LT"/>
                          </w:rPr>
                        </w:pPr>
                        <w:r>
                          <w:rPr>
                            <w:color w:val="000000"/>
                            <w:szCs w:val="24"/>
                            <w:lang w:eastAsia="lt-LT"/>
                          </w:rPr>
                          <w:t>9,4</w:t>
                        </w:r>
                      </w:p>
                    </w:tc>
                    <w:tc>
                      <w:tcPr>
                        <w:tcW w:w="188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center"/>
                          <w:rPr>
                            <w:szCs w:val="24"/>
                            <w:lang w:eastAsia="lt-LT"/>
                          </w:rPr>
                        </w:pPr>
                        <w:r>
                          <w:rPr>
                            <w:color w:val="000000"/>
                            <w:szCs w:val="24"/>
                            <w:lang w:eastAsia="lt-LT"/>
                          </w:rPr>
                          <w:t>460</w:t>
                        </w:r>
                      </w:p>
                    </w:tc>
                  </w:tr>
                  <w:tr>
                    <w:trPr>
                      <w:trHeight w:val="60"/>
                    </w:trPr>
                    <w:tc>
                      <w:tcPr>
                        <w:tcW w:w="562" w:type="dxa"/>
                        <w:tcBorders>
                          <w:top w:val="single" w:sz="4" w:space="0" w:color="auto"/>
                          <w:left w:val="single" w:sz="4" w:space="0" w:color="auto"/>
                          <w:bottom w:val="single" w:sz="4" w:space="0" w:color="auto"/>
                          <w:right w:val="single" w:sz="4" w:space="0" w:color="auto"/>
                        </w:tcBorders>
                      </w:tcPr>
                      <w:p>
                        <w:pPr>
                          <w:jc w:val="center"/>
                          <w:rPr>
                            <w:color w:val="000000"/>
                            <w:szCs w:val="24"/>
                            <w:lang w:eastAsia="lt-LT"/>
                          </w:rPr>
                        </w:pPr>
                        <w:r>
                          <w:rPr>
                            <w:color w:val="000000"/>
                            <w:szCs w:val="24"/>
                            <w:lang w:eastAsia="lt-LT"/>
                          </w:rPr>
                          <w:t>16.</w:t>
                        </w:r>
                      </w:p>
                    </w:tc>
                    <w:tc>
                      <w:tcPr>
                        <w:tcW w:w="1985"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Cs w:val="24"/>
                            <w:lang w:eastAsia="lt-LT"/>
                          </w:rPr>
                        </w:pPr>
                        <w:r>
                          <w:rPr>
                            <w:color w:val="000000"/>
                            <w:szCs w:val="24"/>
                            <w:lang w:eastAsia="lt-LT"/>
                          </w:rPr>
                          <w:t>Stroncis</w:t>
                        </w:r>
                      </w:p>
                    </w:tc>
                    <w:tc>
                      <w:tcPr>
                        <w:tcW w:w="349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center"/>
                          <w:rPr>
                            <w:szCs w:val="24"/>
                            <w:lang w:eastAsia="lt-LT"/>
                          </w:rPr>
                        </w:pPr>
                        <w:r>
                          <w:rPr>
                            <w:color w:val="000000"/>
                            <w:szCs w:val="24"/>
                            <w:lang w:eastAsia="lt-LT"/>
                          </w:rPr>
                          <w:t>4 500</w:t>
                        </w:r>
                      </w:p>
                    </w:tc>
                    <w:tc>
                      <w:tcPr>
                        <w:tcW w:w="170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center"/>
                          <w:rPr>
                            <w:szCs w:val="24"/>
                            <w:lang w:eastAsia="lt-LT"/>
                          </w:rPr>
                        </w:pPr>
                        <w:r>
                          <w:rPr>
                            <w:color w:val="000000"/>
                            <w:szCs w:val="24"/>
                            <w:lang w:eastAsia="lt-LT"/>
                          </w:rPr>
                          <w:t>1 125</w:t>
                        </w:r>
                      </w:p>
                    </w:tc>
                    <w:tc>
                      <w:tcPr>
                        <w:tcW w:w="188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center"/>
                          <w:rPr>
                            <w:szCs w:val="24"/>
                            <w:lang w:eastAsia="lt-LT"/>
                          </w:rPr>
                        </w:pPr>
                        <w:r>
                          <w:rPr>
                            <w:color w:val="000000"/>
                            <w:szCs w:val="24"/>
                            <w:lang w:eastAsia="lt-LT"/>
                          </w:rPr>
                          <w:t>56 000</w:t>
                        </w:r>
                      </w:p>
                    </w:tc>
                  </w:tr>
                  <w:tr>
                    <w:trPr>
                      <w:trHeight w:val="60"/>
                    </w:trPr>
                    <w:tc>
                      <w:tcPr>
                        <w:tcW w:w="562" w:type="dxa"/>
                        <w:tcBorders>
                          <w:top w:val="single" w:sz="4" w:space="0" w:color="auto"/>
                          <w:left w:val="single" w:sz="4" w:space="0" w:color="auto"/>
                          <w:bottom w:val="single" w:sz="4" w:space="0" w:color="auto"/>
                          <w:right w:val="single" w:sz="4" w:space="0" w:color="auto"/>
                        </w:tcBorders>
                      </w:tcPr>
                      <w:p>
                        <w:pPr>
                          <w:jc w:val="center"/>
                          <w:rPr>
                            <w:color w:val="000000"/>
                            <w:szCs w:val="24"/>
                            <w:lang w:eastAsia="lt-LT"/>
                          </w:rPr>
                        </w:pPr>
                        <w:r>
                          <w:rPr>
                            <w:color w:val="000000"/>
                            <w:szCs w:val="24"/>
                            <w:lang w:eastAsia="lt-LT"/>
                          </w:rPr>
                          <w:t>17.</w:t>
                        </w:r>
                      </w:p>
                    </w:tc>
                    <w:tc>
                      <w:tcPr>
                        <w:tcW w:w="1985"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Cs w:val="24"/>
                            <w:lang w:eastAsia="lt-LT"/>
                          </w:rPr>
                        </w:pPr>
                        <w:r>
                          <w:rPr>
                            <w:color w:val="000000"/>
                            <w:szCs w:val="24"/>
                            <w:lang w:eastAsia="lt-LT"/>
                          </w:rPr>
                          <w:t>Alavas</w:t>
                        </w:r>
                      </w:p>
                    </w:tc>
                    <w:tc>
                      <w:tcPr>
                        <w:tcW w:w="349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center"/>
                          <w:rPr>
                            <w:szCs w:val="24"/>
                            <w:lang w:eastAsia="lt-LT"/>
                          </w:rPr>
                        </w:pPr>
                        <w:r>
                          <w:rPr>
                            <w:color w:val="000000"/>
                            <w:szCs w:val="24"/>
                            <w:lang w:eastAsia="lt-LT"/>
                          </w:rPr>
                          <w:t>15 000</w:t>
                        </w:r>
                      </w:p>
                    </w:tc>
                    <w:tc>
                      <w:tcPr>
                        <w:tcW w:w="170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center"/>
                          <w:rPr>
                            <w:szCs w:val="24"/>
                            <w:lang w:eastAsia="lt-LT"/>
                          </w:rPr>
                        </w:pPr>
                        <w:r>
                          <w:rPr>
                            <w:color w:val="000000"/>
                            <w:szCs w:val="24"/>
                            <w:lang w:eastAsia="lt-LT"/>
                          </w:rPr>
                          <w:t>3 750</w:t>
                        </w:r>
                      </w:p>
                    </w:tc>
                    <w:tc>
                      <w:tcPr>
                        <w:tcW w:w="188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center"/>
                          <w:rPr>
                            <w:szCs w:val="24"/>
                            <w:lang w:eastAsia="lt-LT"/>
                          </w:rPr>
                        </w:pPr>
                        <w:r>
                          <w:rPr>
                            <w:color w:val="000000"/>
                            <w:szCs w:val="24"/>
                            <w:lang w:eastAsia="lt-LT"/>
                          </w:rPr>
                          <w:t>180 000</w:t>
                        </w:r>
                      </w:p>
                    </w:tc>
                  </w:tr>
                  <w:tr>
                    <w:trPr>
                      <w:trHeight w:val="60"/>
                    </w:trPr>
                    <w:tc>
                      <w:tcPr>
                        <w:tcW w:w="562" w:type="dxa"/>
                        <w:tcBorders>
                          <w:top w:val="single" w:sz="4" w:space="0" w:color="auto"/>
                          <w:left w:val="single" w:sz="4" w:space="0" w:color="auto"/>
                          <w:bottom w:val="single" w:sz="4" w:space="0" w:color="auto"/>
                          <w:right w:val="single" w:sz="4" w:space="0" w:color="auto"/>
                        </w:tcBorders>
                      </w:tcPr>
                      <w:p>
                        <w:pPr>
                          <w:jc w:val="center"/>
                          <w:rPr>
                            <w:color w:val="000000"/>
                            <w:szCs w:val="24"/>
                            <w:lang w:eastAsia="lt-LT"/>
                          </w:rPr>
                        </w:pPr>
                        <w:r>
                          <w:rPr>
                            <w:color w:val="000000"/>
                            <w:szCs w:val="24"/>
                            <w:lang w:eastAsia="lt-LT"/>
                          </w:rPr>
                          <w:t>18.</w:t>
                        </w:r>
                      </w:p>
                    </w:tc>
                    <w:tc>
                      <w:tcPr>
                        <w:tcW w:w="1985"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Cs w:val="24"/>
                            <w:lang w:eastAsia="lt-LT"/>
                          </w:rPr>
                        </w:pPr>
                        <w:r>
                          <w:rPr>
                            <w:color w:val="000000"/>
                            <w:szCs w:val="24"/>
                            <w:lang w:eastAsia="lt-LT"/>
                          </w:rPr>
                          <w:t>Alavas organiniuose junginiuose</w:t>
                        </w:r>
                      </w:p>
                    </w:tc>
                    <w:tc>
                      <w:tcPr>
                        <w:tcW w:w="349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center"/>
                          <w:rPr>
                            <w:szCs w:val="24"/>
                            <w:lang w:eastAsia="lt-LT"/>
                          </w:rPr>
                        </w:pPr>
                        <w:r>
                          <w:rPr>
                            <w:color w:val="000000"/>
                            <w:szCs w:val="24"/>
                            <w:lang w:eastAsia="lt-LT"/>
                          </w:rPr>
                          <w:t>0,9</w:t>
                        </w:r>
                      </w:p>
                    </w:tc>
                    <w:tc>
                      <w:tcPr>
                        <w:tcW w:w="170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center"/>
                          <w:rPr>
                            <w:szCs w:val="24"/>
                            <w:lang w:eastAsia="lt-LT"/>
                          </w:rPr>
                        </w:pPr>
                        <w:r>
                          <w:rPr>
                            <w:color w:val="000000"/>
                            <w:szCs w:val="24"/>
                            <w:lang w:eastAsia="lt-LT"/>
                          </w:rPr>
                          <w:t>0,2</w:t>
                        </w:r>
                      </w:p>
                      <w:p>
                        <w:pPr>
                          <w:ind w:firstLine="62"/>
                          <w:jc w:val="center"/>
                          <w:rPr>
                            <w:szCs w:val="24"/>
                            <w:lang w:eastAsia="lt-LT"/>
                          </w:rPr>
                        </w:pPr>
                      </w:p>
                    </w:tc>
                    <w:tc>
                      <w:tcPr>
                        <w:tcW w:w="188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center"/>
                          <w:rPr>
                            <w:szCs w:val="24"/>
                            <w:lang w:eastAsia="lt-LT"/>
                          </w:rPr>
                        </w:pPr>
                        <w:r>
                          <w:rPr>
                            <w:color w:val="000000"/>
                            <w:szCs w:val="24"/>
                            <w:lang w:eastAsia="lt-LT"/>
                          </w:rPr>
                          <w:t>12</w:t>
                        </w:r>
                      </w:p>
                      <w:p>
                        <w:pPr>
                          <w:ind w:firstLine="62"/>
                          <w:jc w:val="center"/>
                          <w:rPr>
                            <w:szCs w:val="24"/>
                            <w:lang w:eastAsia="lt-LT"/>
                          </w:rPr>
                        </w:pPr>
                      </w:p>
                    </w:tc>
                  </w:tr>
                  <w:tr>
                    <w:trPr>
                      <w:trHeight w:val="60"/>
                    </w:trPr>
                    <w:tc>
                      <w:tcPr>
                        <w:tcW w:w="562" w:type="dxa"/>
                        <w:tcBorders>
                          <w:top w:val="single" w:sz="4" w:space="0" w:color="auto"/>
                          <w:left w:val="single" w:sz="4" w:space="0" w:color="auto"/>
                          <w:bottom w:val="single" w:sz="4" w:space="0" w:color="auto"/>
                          <w:right w:val="single" w:sz="4" w:space="0" w:color="auto"/>
                        </w:tcBorders>
                      </w:tcPr>
                      <w:p>
                        <w:pPr>
                          <w:jc w:val="center"/>
                          <w:rPr>
                            <w:color w:val="000000"/>
                            <w:szCs w:val="24"/>
                            <w:lang w:eastAsia="lt-LT"/>
                          </w:rPr>
                        </w:pPr>
                        <w:r>
                          <w:rPr>
                            <w:color w:val="000000"/>
                            <w:szCs w:val="24"/>
                            <w:lang w:eastAsia="lt-LT"/>
                          </w:rPr>
                          <w:t>19.</w:t>
                        </w:r>
                      </w:p>
                    </w:tc>
                    <w:tc>
                      <w:tcPr>
                        <w:tcW w:w="1985"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Cs w:val="24"/>
                            <w:lang w:eastAsia="lt-LT"/>
                          </w:rPr>
                        </w:pPr>
                        <w:r>
                          <w:rPr>
                            <w:color w:val="000000"/>
                            <w:szCs w:val="24"/>
                            <w:lang w:eastAsia="lt-LT"/>
                          </w:rPr>
                          <w:t>Cinkas</w:t>
                        </w:r>
                      </w:p>
                    </w:tc>
                    <w:tc>
                      <w:tcPr>
                        <w:tcW w:w="349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center"/>
                          <w:rPr>
                            <w:szCs w:val="24"/>
                            <w:lang w:eastAsia="lt-LT"/>
                          </w:rPr>
                        </w:pPr>
                        <w:r>
                          <w:rPr>
                            <w:color w:val="000000"/>
                            <w:szCs w:val="24"/>
                            <w:lang w:eastAsia="lt-LT"/>
                          </w:rPr>
                          <w:t>3 750</w:t>
                        </w:r>
                      </w:p>
                    </w:tc>
                    <w:tc>
                      <w:tcPr>
                        <w:tcW w:w="170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center"/>
                          <w:rPr>
                            <w:szCs w:val="24"/>
                            <w:lang w:eastAsia="lt-LT"/>
                          </w:rPr>
                        </w:pPr>
                        <w:r>
                          <w:rPr>
                            <w:color w:val="000000"/>
                            <w:szCs w:val="24"/>
                            <w:lang w:eastAsia="lt-LT"/>
                          </w:rPr>
                          <w:t>938</w:t>
                        </w:r>
                      </w:p>
                    </w:tc>
                    <w:tc>
                      <w:tcPr>
                        <w:tcW w:w="188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center"/>
                          <w:rPr>
                            <w:szCs w:val="24"/>
                            <w:lang w:eastAsia="lt-LT"/>
                          </w:rPr>
                        </w:pPr>
                        <w:r>
                          <w:rPr>
                            <w:color w:val="000000"/>
                            <w:szCs w:val="24"/>
                            <w:lang w:eastAsia="lt-LT"/>
                          </w:rPr>
                          <w:t>46 000</w:t>
                        </w:r>
                      </w:p>
                    </w:tc>
                  </w:tr>
                </w:tbl>
                <w:p>
                  <w:pPr>
                    <w:rPr>
                      <w:color w:val="000000"/>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5196AC20B93">
                    <w:r w:rsidRPr="00532B9F">
                      <w:rPr>
                        <w:rFonts w:ascii="Times New Roman" w:eastAsia="MS Mincho" w:hAnsi="Times New Roman"/>
                        <w:sz w:val="20"/>
                        <w:i/>
                        <w:iCs/>
                        <w:color w:val="0000FF" w:themeColor="hyperlink"/>
                        <w:u w:val="single"/>
                      </w:rPr>
                      <w:t>4-498</w:t>
                    </w:r>
                  </w:fldSimple>
                  <w:r>
                    <w:rPr>
                      <w:rFonts w:ascii="Times New Roman" w:eastAsia="MS Mincho" w:hAnsi="Times New Roman"/>
                      <w:sz w:val="20"/>
                      <w:i/>
                      <w:iCs/>
                    </w:rPr>
                    <w:t>,
2012-05-28,
Žin., 2012, Nr.
61-3085 (2012-05-30), i. k. 1122020ISAK0004-498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7372A73920">
                    <w:r w:rsidRPr="00532B9F">
                      <w:rPr>
                        <w:rFonts w:ascii="Times New Roman" w:eastAsia="MS Mincho" w:hAnsi="Times New Roman"/>
                        <w:sz w:val="20"/>
                        <w:i/>
                        <w:iCs/>
                        <w:color w:val="0000FF" w:themeColor="hyperlink"/>
                        <w:u w:val="single"/>
                      </w:rPr>
                      <w:t>4-932</w:t>
                    </w:r>
                  </w:fldSimple>
                  <w:r>
                    <w:rPr>
                      <w:rFonts w:ascii="Times New Roman" w:eastAsia="MS Mincho" w:hAnsi="Times New Roman"/>
                      <w:sz w:val="20"/>
                      <w:i/>
                      <w:iCs/>
                    </w:rPr>
                    <w:t>,
2013-10-22,
Žin., 2013, Nr.
111-5551 (2013-10-24), i. k. 1132020ISAK0004-932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8f9b708fdd11e8b93ad15b34c9248c">
                    <w:r w:rsidRPr="00532B9F">
                      <w:rPr>
                        <w:rFonts w:ascii="Times New Roman" w:eastAsia="MS Mincho" w:hAnsi="Times New Roman"/>
                        <w:sz w:val="20"/>
                        <w:i/>
                        <w:iCs/>
                        <w:color w:val="0000FF" w:themeColor="hyperlink"/>
                        <w:u w:val="single"/>
                      </w:rPr>
                      <w:t>4-472</w:t>
                    </w:r>
                  </w:fldSimple>
                  <w:r>
                    <w:rPr>
                      <w:rFonts w:ascii="Times New Roman" w:eastAsia="MS Mincho" w:hAnsi="Times New Roman"/>
                      <w:sz w:val="20"/>
                      <w:i/>
                      <w:iCs/>
                    </w:rPr>
                    <w:t>,
2018-07-25,
paskelbta TAR 2018-07-25, i. k. 2018-12375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ed6410e9ca11e99681cd81dcdca52c">
                    <w:r w:rsidRPr="00532B9F">
                      <w:rPr>
                        <w:rFonts w:ascii="Times New Roman" w:eastAsia="MS Mincho" w:hAnsi="Times New Roman"/>
                        <w:sz w:val="20"/>
                        <w:i/>
                        <w:iCs/>
                        <w:color w:val="0000FF" w:themeColor="hyperlink"/>
                        <w:u w:val="single"/>
                      </w:rPr>
                      <w:t>4-566</w:t>
                    </w:r>
                  </w:fldSimple>
                  <w:r>
                    <w:rPr>
                      <w:rFonts w:ascii="Times New Roman" w:eastAsia="MS Mincho" w:hAnsi="Times New Roman"/>
                      <w:sz w:val="20"/>
                      <w:i/>
                      <w:iCs/>
                    </w:rPr>
                    <w:t>,
2019-10-08,
paskelbta TAR 2019-10-08, i. k. 2019-15996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0534e0f10b11eaa12ad7c04a383ca0">
                    <w:r w:rsidRPr="00532B9F">
                      <w:rPr>
                        <w:rFonts w:ascii="Times New Roman" w:eastAsia="MS Mincho" w:hAnsi="Times New Roman"/>
                        <w:sz w:val="20"/>
                        <w:i/>
                        <w:iCs/>
                        <w:color w:val="0000FF" w:themeColor="hyperlink"/>
                        <w:u w:val="single"/>
                      </w:rPr>
                      <w:t>4-756</w:t>
                    </w:r>
                  </w:fldSimple>
                  <w:r>
                    <w:rPr>
                      <w:rFonts w:ascii="Times New Roman" w:eastAsia="MS Mincho" w:hAnsi="Times New Roman"/>
                      <w:sz w:val="20"/>
                      <w:i/>
                      <w:iCs/>
                    </w:rPr>
                    <w:t>,
2020-09-07,
paskelbta TAR 2020-09-07, i. k. 2020-18852            </w:t>
                  </w:r>
                </w:p>
                <w:p/>
              </w:sdtContent>
            </w:sdt>
            <w:sdt>
              <w:sdtPr>
                <w:alias w:val="38-1 p."/>
                <w:tag w:val="part_d7204cb594d746ebb716b0996fc11760"/>
                <w:lock w:val="sdtLocked"/>
                <w:richText/>
              </w:sdtPr>
              <w:sdtContent>
                <w:p>
                  <w:pPr>
                    <w:widowControl w:val="0"/>
                    <w:suppressAutoHyphens/>
                    <w:ind w:firstLine="567"/>
                    <w:jc w:val="both"/>
                    <w:rPr>
                      <w:color w:val="000000"/>
                    </w:rPr>
                  </w:pPr>
                  <w:sdt>
                    <w:sdtPr>
                      <w:alias w:val="Numeris"/>
                      <w:tag w:val="nr_d7204cb594d746ebb716b0996fc11760"/>
                      <w:lock w:val="sdtLocked"/>
                      <w:richText/>
                    </w:sdtPr>
                    <w:sdtContent>
                      <w:r>
                        <w:rPr>
                          <w:color w:val="000000"/>
                        </w:rPr>
                        <w:t>38</w:t>
                      </w:r>
                      <w:r>
                        <w:rPr>
                          <w:color w:val="000000"/>
                          <w:vertAlign w:val="superscript"/>
                        </w:rPr>
                        <w:t>1</w:t>
                      </w:r>
                    </w:sdtContent>
                  </w:sdt>
                  <w:r>
                    <w:rPr>
                      <w:color w:val="000000"/>
                    </w:rPr>
                    <w:t>. Cheminės savybės:</w:t>
                  </w:r>
                </w:p>
                <w:sdt>
                  <w:sdtPr>
                    <w:alias w:val="38-1.1 p."/>
                    <w:tag w:val="part_782f93c2b49d4954858896ad3a12d2c1"/>
                    <w:lock w:val="sdtLocked"/>
                    <w:richText/>
                  </w:sdtPr>
                  <w:sdtContent>
                    <w:p>
                      <w:pPr>
                        <w:widowControl w:val="0"/>
                        <w:suppressAutoHyphens/>
                        <w:ind w:firstLine="567"/>
                        <w:jc w:val="both"/>
                        <w:rPr>
                          <w:color w:val="000000"/>
                        </w:rPr>
                      </w:pPr>
                      <w:sdt>
                        <w:sdtPr>
                          <w:alias w:val="Numeris"/>
                          <w:tag w:val="nr_782f93c2b49d4954858896ad3a12d2c1"/>
                          <w:lock w:val="sdtLocked"/>
                          <w:richText/>
                        </w:sdtPr>
                        <w:sdtContent>
                          <w:r>
                            <w:rPr>
                              <w:color w:val="000000"/>
                            </w:rPr>
                            <w:t>38</w:t>
                          </w:r>
                          <w:r>
                            <w:rPr>
                              <w:color w:val="000000"/>
                              <w:vertAlign w:val="superscript"/>
                            </w:rPr>
                            <w:t>1</w:t>
                          </w:r>
                          <w:r>
                            <w:rPr>
                              <w:color w:val="000000"/>
                            </w:rPr>
                            <w:t>.1</w:t>
                          </w:r>
                        </w:sdtContent>
                      </w:sdt>
                      <w:r>
                        <w:rPr>
                          <w:color w:val="000000"/>
                        </w:rPr>
                        <w:t>. Žaislai turi būti suprojektuoti ir pagaminti taip, kad naudojami kaip nurodyta Reglamento 6 punkte nekeltų pavojaus sveikatai ar rizikos susižeisti juos nurijus, įkvėpus ar jais palietus odą, gleivinę ar akis. Visais atvejais jie turi atitikti Lietuvos teisės aktus, reglamentuojančius tam tikrų kategorijų produktų arba tam tikrų pavojingų medžiagų ir preparatų uždraudimą, naudojimo apribojimą arba ženklinimą.</w:t>
                      </w:r>
                    </w:p>
                  </w:sdtContent>
                </w:sdt>
                <w:sdt>
                  <w:sdtPr>
                    <w:alias w:val="38-1.2 p."/>
                    <w:tag w:val="part_566fbdff8c32499a970f4832b645a33c"/>
                    <w:lock w:val="sdtLocked"/>
                    <w:richText/>
                  </w:sdtPr>
                  <w:sdtContent>
                    <w:p>
                      <w:pPr>
                        <w:widowControl w:val="0"/>
                        <w:suppressAutoHyphens/>
                        <w:ind w:firstLine="567"/>
                        <w:jc w:val="both"/>
                        <w:rPr>
                          <w:color w:val="000000"/>
                        </w:rPr>
                      </w:pPr>
                      <w:sdt>
                        <w:sdtPr>
                          <w:alias w:val="Numeris"/>
                          <w:tag w:val="nr_566fbdff8c32499a970f4832b645a33c"/>
                          <w:lock w:val="sdtLocked"/>
                          <w:richText/>
                        </w:sdtPr>
                        <w:sdtContent>
                          <w:r>
                            <w:rPr>
                              <w:color w:val="000000"/>
                            </w:rPr>
                            <w:t>38</w:t>
                          </w:r>
                          <w:r>
                            <w:rPr>
                              <w:color w:val="000000"/>
                              <w:vertAlign w:val="superscript"/>
                            </w:rPr>
                            <w:t>1</w:t>
                          </w:r>
                          <w:r>
                            <w:rPr>
                              <w:color w:val="000000"/>
                            </w:rPr>
                            <w:t>.2</w:t>
                          </w:r>
                        </w:sdtContent>
                      </w:sdt>
                      <w:r>
                        <w:rPr>
                          <w:color w:val="000000"/>
                        </w:rPr>
                        <w:t>. Kad būtų apsaugota vaikų sveikata, ypač svarbu siekti, kad išvardytų elementų kiekis organizme, atsirandantis naudojant žaislus, per parą neviršytų: 0,2 g stibio, 0,1 g arseno, 25,0 g bario, 0,6 g kadmio, 0,3 g chromo, 0,7 g švino, 0,5 g gyvsidabrio, 5,0 g seleno arba kitų reikšmių, kurios šioms arba kitoms medžiagoms gali būti nustatytos Lietuvos Respublikos teisės aktuose ir moksliškai pagrįstos.</w:t>
                      </w:r>
                    </w:p>
                    <w:p>
                      <w:pPr>
                        <w:widowControl w:val="0"/>
                        <w:suppressAutoHyphens/>
                        <w:ind w:firstLine="567"/>
                        <w:jc w:val="both"/>
                        <w:rPr>
                          <w:color w:val="000000"/>
                        </w:rPr>
                      </w:pPr>
                      <w:r>
                        <w:rPr>
                          <w:color w:val="000000"/>
                        </w:rPr>
                        <w:t>Šiame punkte išvardintų medžiagų buvimas organizme suprantamas kaip tirpus ekstraktas, pasižymintis toksikologiniu poveikiu.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54B57ADF29F">
                    <w:r w:rsidRPr="00532B9F">
                      <w:rPr>
                        <w:rFonts w:ascii="Times New Roman" w:eastAsia="MS Mincho" w:hAnsi="Times New Roman"/>
                        <w:sz w:val="20"/>
                        <w:i/>
                        <w:iCs/>
                        <w:color w:val="0000FF" w:themeColor="hyperlink"/>
                        <w:u w:val="single"/>
                      </w:rPr>
                      <w:t>4-582</w:t>
                    </w:r>
                  </w:fldSimple>
                  <w:r>
                    <w:rPr>
                      <w:rFonts w:ascii="Times New Roman" w:eastAsia="MS Mincho" w:hAnsi="Times New Roman"/>
                      <w:sz w:val="20"/>
                      <w:i/>
                      <w:iCs/>
                    </w:rPr>
                    <w:t>,
2011-08-11,
Žin., 2011, Nr.
106-4999 (2011-08-27), i. k. 1112020ISAK0004-582        </w:t>
                  </w:r>
                </w:p>
                <w:p/>
              </w:sdtContent>
            </w:sdt>
          </w:sdtContent>
        </w:sdt>
        <w:sdt>
          <w:sdtPr>
            <w:alias w:val="skyrius"/>
            <w:tag w:val="part_7f8ecd3b65d841799faedaabc5de9024"/>
            <w:lock w:val="sdtLocked"/>
            <w:richText/>
          </w:sdtPr>
          <w:sdtContent>
            <w:p>
              <w:pPr>
                <w:keepLines/>
                <w:widowControl w:val="0"/>
                <w:suppressAutoHyphens/>
                <w:jc w:val="center"/>
                <w:rPr>
                  <w:b/>
                  <w:bCs/>
                  <w:caps/>
                  <w:color w:val="000000"/>
                </w:rPr>
              </w:pPr>
              <w:sdt>
                <w:sdtPr>
                  <w:alias w:val="Numeris"/>
                  <w:tag w:val="nr_7f8ecd3b65d841799faedaabc5de9024"/>
                  <w:lock w:val="sdtLocked"/>
                  <w:richText/>
                </w:sdtPr>
                <w:sdtContent>
                  <w:r>
                    <w:rPr>
                      <w:b/>
                      <w:bCs/>
                      <w:caps/>
                      <w:color w:val="000000"/>
                    </w:rPr>
                    <w:t xml:space="preserve">V </w:t>
                  </w:r>
                </w:sdtContent>
              </w:sdt>
              <w:r>
                <w:rPr>
                  <w:b/>
                  <w:bCs/>
                  <w:caps/>
                  <w:color w:val="000000"/>
                </w:rPr>
                <w:t>SKYRIUS</w:t>
              </w:r>
            </w:p>
            <w:p>
              <w:pPr>
                <w:keepLines/>
                <w:widowControl w:val="0"/>
                <w:suppressAutoHyphens/>
                <w:jc w:val="center"/>
                <w:rPr>
                  <w:b/>
                  <w:bCs/>
                  <w:caps/>
                  <w:color w:val="000000"/>
                </w:rPr>
              </w:pPr>
              <w:sdt>
                <w:sdtPr>
                  <w:alias w:val="Pavadinimas"/>
                  <w:tag w:val="title_7f8ecd3b65d841799faedaabc5de9024"/>
                  <w:lock w:val="sdtLocked"/>
                  <w:richText/>
                </w:sdtPr>
                <w:sdtContent>
                  <w:r>
                    <w:rPr>
                      <w:b/>
                      <w:bCs/>
                      <w:caps/>
                      <w:color w:val="000000"/>
                    </w:rPr>
                    <w:t>ELEKTRINĖS SAVYBĖS</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8f9b708fdd11e8b93ad15b34c9248c">
                <w:r w:rsidRPr="00532B9F">
                  <w:rPr>
                    <w:rFonts w:ascii="Times New Roman" w:eastAsia="MS Mincho" w:hAnsi="Times New Roman"/>
                    <w:sz w:val="20"/>
                    <w:i/>
                    <w:iCs/>
                    <w:color w:val="0000FF" w:themeColor="hyperlink"/>
                    <w:u w:val="single"/>
                  </w:rPr>
                  <w:t>4-472</w:t>
                </w:r>
              </w:fldSimple>
              <w:r>
                <w:rPr>
                  <w:rFonts w:ascii="Times New Roman" w:eastAsia="MS Mincho" w:hAnsi="Times New Roman"/>
                  <w:sz w:val="20"/>
                  <w:i/>
                  <w:iCs/>
                </w:rPr>
                <w:t>,
2018-07-25,
paskelbta TAR 2018-07-25, i. k. 2018-12375        </w:t>
              </w:r>
            </w:p>
            <w:p/>
            <w:sdt>
              <w:sdtPr>
                <w:alias w:val="2 pr. 39 p."/>
                <w:tag w:val="part_5a1e9d42047944bf92b5884c9b4a9793"/>
                <w:lock w:val="sdtLocked"/>
                <w:richText/>
              </w:sdtPr>
              <w:sdtContent>
                <w:p>
                  <w:pPr>
                    <w:widowControl w:val="0"/>
                    <w:suppressAutoHyphens/>
                    <w:ind w:firstLine="567"/>
                    <w:jc w:val="both"/>
                    <w:rPr>
                      <w:color w:val="000000"/>
                    </w:rPr>
                  </w:pPr>
                  <w:sdt>
                    <w:sdtPr>
                      <w:alias w:val="Numeris"/>
                      <w:tag w:val="nr_5a1e9d42047944bf92b5884c9b4a9793"/>
                      <w:lock w:val="sdtLocked"/>
                      <w:richText/>
                    </w:sdtPr>
                    <w:sdtContent>
                      <w:r>
                        <w:rPr>
                          <w:color w:val="000000"/>
                        </w:rPr>
                        <w:t>39</w:t>
                      </w:r>
                    </w:sdtContent>
                  </w:sdt>
                  <w:r>
                    <w:rPr>
                      <w:color w:val="000000"/>
                    </w:rPr>
                    <w:t>. Žaislai neturi naudoti didesnės nei 24 voltų nuolatinės srovės ar lygiavertės alternatyvios srovės įtampos elektros, o pasiekiamose jų dalyse įtampa neturi viršyti 24 voltų nuolatinės srovės ar lygiavertės alternatyvios srovės. Vidutinė įtampa neturi viršyti 24 voltų nuolatinės srovės ar lygiavertės alternatyvios srovės, nebent būtų užtikrinta, kad sukuriamos įtampos ir srovės derinys nesukeltų rizikos ar žalingo elektros šoko net ir žaislui sulūžus.</w:t>
                  </w:r>
                </w:p>
              </w:sdtContent>
            </w:sdt>
            <w:sdt>
              <w:sdtPr>
                <w:alias w:val="2 pr. 40 p."/>
                <w:tag w:val="part_cb86aa68620443a0ad2a55c4bc8099b2"/>
                <w:lock w:val="sdtLocked"/>
                <w:richText/>
              </w:sdtPr>
              <w:sdtContent>
                <w:p>
                  <w:pPr>
                    <w:widowControl w:val="0"/>
                    <w:suppressAutoHyphens/>
                    <w:ind w:firstLine="567"/>
                    <w:jc w:val="both"/>
                    <w:rPr>
                      <w:color w:val="000000"/>
                    </w:rPr>
                  </w:pPr>
                  <w:sdt>
                    <w:sdtPr>
                      <w:alias w:val="Numeris"/>
                      <w:tag w:val="nr_cb86aa68620443a0ad2a55c4bc8099b2"/>
                      <w:lock w:val="sdtLocked"/>
                      <w:richText/>
                    </w:sdtPr>
                    <w:sdtContent>
                      <w:r>
                        <w:rPr>
                          <w:color w:val="000000"/>
                        </w:rPr>
                        <w:t>40</w:t>
                      </w:r>
                    </w:sdtContent>
                  </w:sdt>
                  <w:r>
                    <w:rPr>
                      <w:color w:val="000000"/>
                    </w:rPr>
                    <w:t>. Žaislo dalys, kurios yra prijungtos prie elektros šaltinio arba gali turėti kontaktą su elektros šaltiniu, galinčiu sukelti elektros šoką, kartu su laidais ar kitais tokiomis dalimis elektrą praleidžiančiais laidininkais turi būti gerai izoliuotos ir mechaniškai apsaugotos, kad būtų galima išvengti tokio šoko rizikos.</w:t>
                  </w:r>
                </w:p>
              </w:sdtContent>
            </w:sdt>
            <w:sdt>
              <w:sdtPr>
                <w:alias w:val="2 pr. 41 p."/>
                <w:tag w:val="part_ead53390a17f4d1982f9225af5ad4d40"/>
                <w:lock w:val="sdtLocked"/>
                <w:richText/>
              </w:sdtPr>
              <w:sdtContent>
                <w:p>
                  <w:pPr>
                    <w:widowControl w:val="0"/>
                    <w:suppressAutoHyphens/>
                    <w:ind w:firstLine="567"/>
                    <w:jc w:val="both"/>
                    <w:rPr>
                      <w:color w:val="000000"/>
                    </w:rPr>
                  </w:pPr>
                  <w:sdt>
                    <w:sdtPr>
                      <w:alias w:val="Numeris"/>
                      <w:tag w:val="nr_ead53390a17f4d1982f9225af5ad4d40"/>
                      <w:lock w:val="sdtLocked"/>
                      <w:richText/>
                    </w:sdtPr>
                    <w:sdtContent>
                      <w:r>
                        <w:rPr>
                          <w:color w:val="000000"/>
                        </w:rPr>
                        <w:t>41</w:t>
                      </w:r>
                    </w:sdtContent>
                  </w:sdt>
                  <w:r>
                    <w:rPr>
                      <w:color w:val="000000"/>
                    </w:rPr>
                    <w:t>. Elektriniai žaislai turi būti suprojektuoti ir pagaminti taip, kad būtų užtikrinta, jog didžiausia visų tiesiogiai pasiekiamų paviršių temperatūra nebūtų pavojinga prisilietus nudegti.</w:t>
                  </w:r>
                </w:p>
              </w:sdtContent>
            </w:sdt>
            <w:sdt>
              <w:sdtPr>
                <w:alias w:val="2 pr. 42 p."/>
                <w:tag w:val="part_a1cb1ccbbdc04154ada68d540f53e1bf"/>
                <w:lock w:val="sdtLocked"/>
                <w:richText/>
              </w:sdtPr>
              <w:sdtContent>
                <w:p>
                  <w:pPr>
                    <w:widowControl w:val="0"/>
                    <w:suppressAutoHyphens/>
                    <w:ind w:firstLine="567"/>
                    <w:jc w:val="both"/>
                    <w:rPr>
                      <w:color w:val="000000"/>
                      <w:spacing w:val="-4"/>
                    </w:rPr>
                  </w:pPr>
                  <w:sdt>
                    <w:sdtPr>
                      <w:alias w:val="Numeris"/>
                      <w:tag w:val="nr_a1cb1ccbbdc04154ada68d540f53e1bf"/>
                      <w:lock w:val="sdtLocked"/>
                      <w:richText/>
                    </w:sdtPr>
                    <w:sdtContent>
                      <w:r>
                        <w:rPr>
                          <w:color w:val="000000"/>
                          <w:spacing w:val="-4"/>
                        </w:rPr>
                        <w:t>42</w:t>
                      </w:r>
                    </w:sdtContent>
                  </w:sdt>
                  <w:r>
                    <w:rPr>
                      <w:color w:val="000000"/>
                      <w:spacing w:val="-4"/>
                    </w:rPr>
                    <w:t>. Numatomais gedimo atvejais žaisluose turi būti apsauga nuo elektros pavojaus, kylančio dėl elektros energijos šaltinio.</w:t>
                  </w:r>
                </w:p>
              </w:sdtContent>
            </w:sdt>
            <w:sdt>
              <w:sdtPr>
                <w:alias w:val="2 pr. 43 p."/>
                <w:tag w:val="part_54cabe6e4ca64303b4def0a8aebee8f9"/>
                <w:lock w:val="sdtLocked"/>
                <w:richText/>
              </w:sdtPr>
              <w:sdtContent>
                <w:p>
                  <w:pPr>
                    <w:widowControl w:val="0"/>
                    <w:suppressAutoHyphens/>
                    <w:ind w:firstLine="567"/>
                    <w:jc w:val="both"/>
                    <w:rPr>
                      <w:color w:val="000000"/>
                    </w:rPr>
                  </w:pPr>
                  <w:sdt>
                    <w:sdtPr>
                      <w:alias w:val="Numeris"/>
                      <w:tag w:val="nr_54cabe6e4ca64303b4def0a8aebee8f9"/>
                      <w:lock w:val="sdtLocked"/>
                      <w:richText/>
                    </w:sdtPr>
                    <w:sdtContent>
                      <w:r>
                        <w:rPr>
                          <w:color w:val="000000"/>
                        </w:rPr>
                        <w:t>43</w:t>
                      </w:r>
                    </w:sdtContent>
                  </w:sdt>
                  <w:r>
                    <w:rPr>
                      <w:color w:val="000000"/>
                    </w:rPr>
                    <w:t>. Elektriniai žaislai turi tinkamai apsaugoti nuo gaisro pavojaus.</w:t>
                  </w:r>
                </w:p>
              </w:sdtContent>
            </w:sdt>
            <w:sdt>
              <w:sdtPr>
                <w:alias w:val="2 pr. 44 p."/>
                <w:tag w:val="part_9101a2fcff0f4dd78f441f505d36be5f"/>
                <w:lock w:val="sdtLocked"/>
                <w:richText/>
              </w:sdtPr>
              <w:sdtContent>
                <w:p>
                  <w:pPr>
                    <w:widowControl w:val="0"/>
                    <w:suppressAutoHyphens/>
                    <w:ind w:firstLine="567"/>
                    <w:jc w:val="both"/>
                    <w:rPr>
                      <w:color w:val="000000"/>
                      <w:spacing w:val="-2"/>
                    </w:rPr>
                  </w:pPr>
                  <w:sdt>
                    <w:sdtPr>
                      <w:alias w:val="Numeris"/>
                      <w:tag w:val="nr_9101a2fcff0f4dd78f441f505d36be5f"/>
                      <w:lock w:val="sdtLocked"/>
                      <w:richText/>
                    </w:sdtPr>
                    <w:sdtContent>
                      <w:r>
                        <w:rPr>
                          <w:color w:val="000000"/>
                          <w:spacing w:val="-2"/>
                          <w:sz w:val="23"/>
                          <w:szCs w:val="23"/>
                        </w:rPr>
                        <w:t>44</w:t>
                      </w:r>
                    </w:sdtContent>
                  </w:sdt>
                  <w:r>
                    <w:rPr>
                      <w:color w:val="000000"/>
                      <w:spacing w:val="-2"/>
                      <w:sz w:val="23"/>
                      <w:szCs w:val="23"/>
                    </w:rPr>
                    <w:t>. Elektriniai žaislai turi būti suprojektuoti ir pagaminti taip, kad elektriniai, magnetiniai ir elektromagnetiniai laukai ir kito pobūdžio įrenginio skleidžiama spinduliuotė būtų tik tokio lygio, kuris yra būtinas žaislo veikimui, o veikiančių žaislų saugos lygis turi atitikti visuotinai pripažįstamą technikos lygį, atsižvelgiant į specialias Sąjungos priemones, taip pat ir į Elektromagnetinio suderinamumo techniniame reglamente, patvirtintame Lietuvos Respublikos ryšių reguliavimo tarnybos direktoriaus 2006 m. gruodžio 15 įsakymu Nr. 1V-1328 „Dėl Elektromagnetinio suderinamumo techninio reglamento patvirtinimo“, nustatytas priemones.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8f9b708fdd11e8b93ad15b34c9248c">
                    <w:r w:rsidRPr="00532B9F">
                      <w:rPr>
                        <w:rFonts w:ascii="Times New Roman" w:eastAsia="MS Mincho" w:hAnsi="Times New Roman"/>
                        <w:sz w:val="20"/>
                        <w:i/>
                        <w:iCs/>
                        <w:color w:val="0000FF" w:themeColor="hyperlink"/>
                        <w:u w:val="single"/>
                      </w:rPr>
                      <w:t>4-472</w:t>
                    </w:r>
                  </w:fldSimple>
                  <w:r>
                    <w:rPr>
                      <w:rFonts w:ascii="Times New Roman" w:eastAsia="MS Mincho" w:hAnsi="Times New Roman"/>
                      <w:sz w:val="20"/>
                      <w:i/>
                      <w:iCs/>
                    </w:rPr>
                    <w:t>,
2018-07-25,
paskelbta TAR 2018-07-25, i. k. 2018-12375            </w:t>
                  </w:r>
                </w:p>
                <w:p/>
              </w:sdtContent>
            </w:sdt>
            <w:sdt>
              <w:sdtPr>
                <w:alias w:val="2 pr. 45 p."/>
                <w:tag w:val="part_24f1f1a6a1404b8b916a42e82bdf0ac6"/>
                <w:lock w:val="sdtLocked"/>
                <w:richText/>
              </w:sdtPr>
              <w:sdtContent>
                <w:p>
                  <w:pPr>
                    <w:widowControl w:val="0"/>
                    <w:suppressAutoHyphens/>
                    <w:ind w:firstLine="567"/>
                    <w:jc w:val="both"/>
                    <w:rPr>
                      <w:color w:val="000000"/>
                    </w:rPr>
                  </w:pPr>
                  <w:sdt>
                    <w:sdtPr>
                      <w:alias w:val="Numeris"/>
                      <w:tag w:val="nr_24f1f1a6a1404b8b916a42e82bdf0ac6"/>
                      <w:lock w:val="sdtLocked"/>
                      <w:richText/>
                    </w:sdtPr>
                    <w:sdtContent>
                      <w:r>
                        <w:rPr>
                          <w:color w:val="000000"/>
                        </w:rPr>
                        <w:t>45</w:t>
                      </w:r>
                    </w:sdtContent>
                  </w:sdt>
                  <w:r>
                    <w:rPr>
                      <w:color w:val="000000"/>
                    </w:rPr>
                    <w:t>. Žaislai su elektronine valdymo sistema turi būti suprojektuoti ir pagaminti taip, kad žaislas veiktų saugiai, net jeigu elektroninė sistema sutrinka arba nustoja veikti dėl pačios sistemos gedimo ar dėl išorės veiksnių.</w:t>
                  </w:r>
                </w:p>
              </w:sdtContent>
            </w:sdt>
            <w:sdt>
              <w:sdtPr>
                <w:alias w:val="2 pr. 46 p."/>
                <w:tag w:val="part_a3a8eddd1fac4f7eac6fa7b600df7447"/>
                <w:lock w:val="sdtLocked"/>
                <w:richText/>
              </w:sdtPr>
              <w:sdtContent>
                <w:p>
                  <w:pPr>
                    <w:widowControl w:val="0"/>
                    <w:suppressAutoHyphens/>
                    <w:ind w:firstLine="567"/>
                    <w:jc w:val="both"/>
                    <w:rPr>
                      <w:color w:val="000000"/>
                    </w:rPr>
                  </w:pPr>
                  <w:sdt>
                    <w:sdtPr>
                      <w:alias w:val="Numeris"/>
                      <w:tag w:val="nr_a3a8eddd1fac4f7eac6fa7b600df7447"/>
                      <w:lock w:val="sdtLocked"/>
                      <w:richText/>
                    </w:sdtPr>
                    <w:sdtContent>
                      <w:r>
                        <w:rPr>
                          <w:color w:val="000000"/>
                        </w:rPr>
                        <w:t>46</w:t>
                      </w:r>
                    </w:sdtContent>
                  </w:sdt>
                  <w:r>
                    <w:rPr>
                      <w:color w:val="000000"/>
                    </w:rPr>
                    <w:t>. Žaislai turi būti suprojektuoti ir pagaminti taip, kad nekeltų pavojaus sveikatai arba kad nekiltų rizika susižeisti akis ar odą dėl lazerių, šviesos diodų ar kitos rūšies spinduliuotės poveikio.</w:t>
                  </w:r>
                </w:p>
              </w:sdtContent>
            </w:sdt>
            <w:sdt>
              <w:sdtPr>
                <w:alias w:val="2 pr. 47 p."/>
                <w:tag w:val="part_0088a73eb8774789a3580b347b19483f"/>
                <w:lock w:val="sdtLocked"/>
                <w:richText/>
              </w:sdtPr>
              <w:sdtContent>
                <w:p>
                  <w:pPr>
                    <w:widowControl w:val="0"/>
                    <w:suppressAutoHyphens/>
                    <w:ind w:firstLine="567"/>
                    <w:jc w:val="both"/>
                    <w:rPr>
                      <w:color w:val="000000"/>
                    </w:rPr>
                  </w:pPr>
                  <w:sdt>
                    <w:sdtPr>
                      <w:alias w:val="Numeris"/>
                      <w:tag w:val="nr_0088a73eb8774789a3580b347b19483f"/>
                      <w:lock w:val="sdtLocked"/>
                      <w:richText/>
                    </w:sdtPr>
                    <w:sdtContent>
                      <w:r>
                        <w:rPr>
                          <w:color w:val="000000"/>
                        </w:rPr>
                        <w:t>47</w:t>
                      </w:r>
                    </w:sdtContent>
                  </w:sdt>
                  <w:r>
                    <w:rPr>
                      <w:color w:val="000000"/>
                    </w:rPr>
                    <w:t>. Žaislams skirti elektros transformatoriai neturi būti integruota žaislo dalis.</w:t>
                  </w:r>
                </w:p>
                <w:p>
                  <w:pPr>
                    <w:widowControl w:val="0"/>
                    <w:suppressAutoHyphens/>
                    <w:ind w:firstLine="567"/>
                    <w:jc w:val="both"/>
                    <w:rPr>
                      <w:color w:val="000000"/>
                    </w:rPr>
                  </w:pPr>
                </w:p>
              </w:sdtContent>
            </w:sdt>
          </w:sdtContent>
        </w:sdt>
        <w:sdt>
          <w:sdtPr>
            <w:alias w:val="skyrius"/>
            <w:tag w:val="part_922fb1b7b4f04036ae70af093a0b82c9"/>
            <w:lock w:val="sdtLocked"/>
            <w:richText/>
          </w:sdtPr>
          <w:sdtContent>
            <w:p>
              <w:pPr>
                <w:keepLines/>
                <w:widowControl w:val="0"/>
                <w:suppressAutoHyphens/>
                <w:jc w:val="center"/>
                <w:rPr>
                  <w:b/>
                  <w:bCs/>
                  <w:caps/>
                  <w:color w:val="000000"/>
                </w:rPr>
              </w:pPr>
              <w:sdt>
                <w:sdtPr>
                  <w:alias w:val="Numeris"/>
                  <w:tag w:val="nr_922fb1b7b4f04036ae70af093a0b82c9"/>
                  <w:lock w:val="sdtLocked"/>
                  <w:richText/>
                </w:sdtPr>
                <w:sdtContent>
                  <w:r>
                    <w:rPr>
                      <w:b/>
                      <w:bCs/>
                      <w:caps/>
                      <w:color w:val="000000"/>
                    </w:rPr>
                    <w:t>VI</w:t>
                  </w:r>
                </w:sdtContent>
              </w:sdt>
              <w:r>
                <w:rPr>
                  <w:b/>
                  <w:bCs/>
                  <w:caps/>
                  <w:color w:val="000000"/>
                </w:rPr>
                <w:t xml:space="preserve"> SKYRIUS</w:t>
              </w:r>
            </w:p>
            <w:p>
              <w:pPr>
                <w:keepLines/>
                <w:widowControl w:val="0"/>
                <w:suppressAutoHyphens/>
                <w:jc w:val="center"/>
                <w:rPr>
                  <w:b/>
                  <w:bCs/>
                  <w:caps/>
                  <w:color w:val="000000"/>
                </w:rPr>
              </w:pPr>
              <w:sdt>
                <w:sdtPr>
                  <w:alias w:val="Pavadinimas"/>
                  <w:tag w:val="title_922fb1b7b4f04036ae70af093a0b82c9"/>
                  <w:lock w:val="sdtLocked"/>
                  <w:richText/>
                </w:sdtPr>
                <w:sdtContent>
                  <w:r>
                    <w:rPr>
                      <w:b/>
                      <w:bCs/>
                      <w:caps/>
                      <w:color w:val="000000"/>
                    </w:rPr>
                    <w:t xml:space="preserve">HIGIENA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8f9b708fdd11e8b93ad15b34c9248c">
                <w:r w:rsidRPr="00532B9F">
                  <w:rPr>
                    <w:rFonts w:ascii="Times New Roman" w:eastAsia="MS Mincho" w:hAnsi="Times New Roman"/>
                    <w:sz w:val="20"/>
                    <w:i/>
                    <w:iCs/>
                    <w:color w:val="0000FF" w:themeColor="hyperlink"/>
                    <w:u w:val="single"/>
                  </w:rPr>
                  <w:t>4-472</w:t>
                </w:r>
              </w:fldSimple>
              <w:r>
                <w:rPr>
                  <w:rFonts w:ascii="Times New Roman" w:eastAsia="MS Mincho" w:hAnsi="Times New Roman"/>
                  <w:sz w:val="20"/>
                  <w:i/>
                  <w:iCs/>
                </w:rPr>
                <w:t>,
2018-07-25,
paskelbta TAR 2018-07-25, i. k. 2018-12375        </w:t>
              </w:r>
            </w:p>
            <w:p/>
            <w:sdt>
              <w:sdtPr>
                <w:alias w:val="2 pr. 48 p."/>
                <w:tag w:val="part_f8896813694f4196b1ba9656b85a31d8"/>
                <w:lock w:val="sdtLocked"/>
                <w:richText/>
              </w:sdtPr>
              <w:sdtContent>
                <w:p>
                  <w:pPr>
                    <w:widowControl w:val="0"/>
                    <w:suppressAutoHyphens/>
                    <w:ind w:firstLine="567"/>
                    <w:jc w:val="both"/>
                    <w:rPr>
                      <w:color w:val="000000"/>
                    </w:rPr>
                  </w:pPr>
                  <w:sdt>
                    <w:sdtPr>
                      <w:alias w:val="Numeris"/>
                      <w:tag w:val="nr_f8896813694f4196b1ba9656b85a31d8"/>
                      <w:lock w:val="sdtLocked"/>
                      <w:richText/>
                    </w:sdtPr>
                    <w:sdtContent>
                      <w:r>
                        <w:rPr>
                          <w:color w:val="000000"/>
                        </w:rPr>
                        <w:t>48</w:t>
                      </w:r>
                    </w:sdtContent>
                  </w:sdt>
                  <w:r>
                    <w:rPr>
                      <w:color w:val="000000"/>
                    </w:rPr>
                    <w:t>. Žaislai turi būti suprojektuoti ir pagaminti taip, kad atitiktų higienos ir švaros reikalavimus, siekiant išvengti rizikos užsikrėsti, susirgti ir apsinuodyti.</w:t>
                  </w:r>
                </w:p>
              </w:sdtContent>
            </w:sdt>
            <w:sdt>
              <w:sdtPr>
                <w:alias w:val="2 pr. 49 p."/>
                <w:tag w:val="part_b428b77b42dd4ee1bc1697e4ec8ab1f7"/>
                <w:lock w:val="sdtLocked"/>
                <w:richText/>
              </w:sdtPr>
              <w:sdtContent>
                <w:p>
                  <w:pPr>
                    <w:widowControl w:val="0"/>
                    <w:suppressAutoHyphens/>
                    <w:ind w:firstLine="567"/>
                    <w:jc w:val="both"/>
                    <w:rPr>
                      <w:color w:val="000000"/>
                    </w:rPr>
                  </w:pPr>
                  <w:sdt>
                    <w:sdtPr>
                      <w:alias w:val="Numeris"/>
                      <w:tag w:val="nr_b428b77b42dd4ee1bc1697e4ec8ab1f7"/>
                      <w:lock w:val="sdtLocked"/>
                      <w:richText/>
                    </w:sdtPr>
                    <w:sdtContent>
                      <w:r>
                        <w:rPr>
                          <w:color w:val="000000"/>
                        </w:rPr>
                        <w:t>49</w:t>
                      </w:r>
                    </w:sdtContent>
                  </w:sdt>
                  <w:r>
                    <w:rPr>
                      <w:color w:val="000000"/>
                    </w:rPr>
                    <w:t>. Žaislai, skirti vaikams iki 36 mėnesių, turi būti suprojektuoti ir pagaminti taip, kad jie galėtų būti valomi. Dėl to žaislus iš tekstilės turi būti galima plauti, išskyrus atvejus, kai žaisluose įtaisyti mechanizmai, kurie gali sugesti panardinti į vandenį. Nuplauti žaislai irgi turi atitikti saugos reikalavimus pagal šį punktą ir pagal gamintojo nurodymus.</w:t>
                  </w:r>
                </w:p>
                <w:p>
                  <w:pPr>
                    <w:widowControl w:val="0"/>
                    <w:suppressAutoHyphens/>
                    <w:ind w:firstLine="567"/>
                    <w:jc w:val="both"/>
                    <w:rPr>
                      <w:color w:val="000000"/>
                    </w:rPr>
                  </w:pPr>
                </w:p>
              </w:sdtContent>
            </w:sdt>
          </w:sdtContent>
        </w:sdt>
        <w:sdt>
          <w:sdtPr>
            <w:alias w:val="skyrius"/>
            <w:tag w:val="part_20a63725e532439dada944985f7359a0"/>
            <w:lock w:val="sdtLocked"/>
            <w:richText/>
          </w:sdtPr>
          <w:sdtContent>
            <w:p>
              <w:pPr>
                <w:keepLines/>
                <w:widowControl w:val="0"/>
                <w:suppressAutoHyphens/>
                <w:jc w:val="center"/>
                <w:rPr>
                  <w:b/>
                  <w:bCs/>
                  <w:caps/>
                  <w:color w:val="000000"/>
                </w:rPr>
              </w:pPr>
              <w:sdt>
                <w:sdtPr>
                  <w:alias w:val="Numeris"/>
                  <w:tag w:val="nr_20a63725e532439dada944985f7359a0"/>
                  <w:lock w:val="sdtLocked"/>
                  <w:richText/>
                </w:sdtPr>
                <w:sdtContent>
                  <w:r>
                    <w:rPr>
                      <w:b/>
                      <w:bCs/>
                      <w:caps/>
                      <w:color w:val="000000"/>
                    </w:rPr>
                    <w:t>VII</w:t>
                  </w:r>
                </w:sdtContent>
              </w:sdt>
              <w:r>
                <w:rPr>
                  <w:b/>
                  <w:bCs/>
                  <w:caps/>
                  <w:color w:val="000000"/>
                </w:rPr>
                <w:t xml:space="preserve"> SKYRIUS</w:t>
              </w:r>
            </w:p>
            <w:p>
              <w:pPr>
                <w:keepLines/>
                <w:widowControl w:val="0"/>
                <w:suppressAutoHyphens/>
                <w:jc w:val="center"/>
                <w:rPr>
                  <w:b/>
                  <w:bCs/>
                  <w:caps/>
                  <w:color w:val="000000"/>
                </w:rPr>
              </w:pPr>
              <w:sdt>
                <w:sdtPr>
                  <w:alias w:val="Pavadinimas"/>
                  <w:tag w:val="title_20a63725e532439dada944985f7359a0"/>
                  <w:lock w:val="sdtLocked"/>
                  <w:richText/>
                </w:sdtPr>
                <w:sdtContent>
                  <w:r>
                    <w:rPr>
                      <w:b/>
                      <w:bCs/>
                      <w:caps/>
                      <w:color w:val="000000"/>
                    </w:rPr>
                    <w:t xml:space="preserve">RADIOAKTYVUMAS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8f9b708fdd11e8b93ad15b34c9248c">
                <w:r w:rsidRPr="00532B9F">
                  <w:rPr>
                    <w:rFonts w:ascii="Times New Roman" w:eastAsia="MS Mincho" w:hAnsi="Times New Roman"/>
                    <w:sz w:val="20"/>
                    <w:i/>
                    <w:iCs/>
                    <w:color w:val="0000FF" w:themeColor="hyperlink"/>
                    <w:u w:val="single"/>
                  </w:rPr>
                  <w:t>4-472</w:t>
                </w:r>
              </w:fldSimple>
              <w:r>
                <w:rPr>
                  <w:rFonts w:ascii="Times New Roman" w:eastAsia="MS Mincho" w:hAnsi="Times New Roman"/>
                  <w:sz w:val="20"/>
                  <w:i/>
                  <w:iCs/>
                </w:rPr>
                <w:t>,
2018-07-25,
paskelbta TAR 2018-07-25, i. k. 2018-12375        </w:t>
              </w:r>
            </w:p>
            <w:p/>
            <w:sdt>
              <w:sdtPr>
                <w:alias w:val="2 pr. 50 p."/>
                <w:tag w:val="part_f5a2e4b152674358a6826905837f4599"/>
                <w:lock w:val="sdtLocked"/>
                <w:richText/>
              </w:sdtPr>
              <w:sdtContent>
                <w:p>
                  <w:pPr>
                    <w:ind w:firstLine="567"/>
                    <w:jc w:val="both"/>
                    <w:rPr>
                      <w:color w:val="000000"/>
                    </w:rPr>
                  </w:pPr>
                  <w:sdt>
                    <w:sdtPr>
                      <w:alias w:val="Numeris"/>
                      <w:tag w:val="nr_f5a2e4b152674358a6826905837f4599"/>
                      <w:lock w:val="sdtLocked"/>
                      <w:richText/>
                    </w:sdtPr>
                    <w:sdtContent>
                      <w:r>
                        <w:rPr>
                          <w:szCs w:val="24"/>
                        </w:rPr>
                        <w:t>50</w:t>
                      </w:r>
                    </w:sdtContent>
                  </w:sdt>
                  <w:r>
                    <w:rPr>
                      <w:szCs w:val="24"/>
                    </w:rPr>
                    <w:t xml:space="preserve">. </w:t>
                  </w:r>
                  <w:r>
                    <w:rPr>
                      <w:color w:val="000000"/>
                      <w:szCs w:val="24"/>
                    </w:rPr>
                    <w:t>Žaislai turi atitikti visas reikiamas priemones, numatytas nacionalinės teisės aktuose, įgyvendinančiuose Europos atominės energijos bendrijos steigimo sutarties III skyriaus nuostatas.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0534e0f10b11eaa12ad7c04a383ca0">
                    <w:r w:rsidRPr="00532B9F">
                      <w:rPr>
                        <w:rFonts w:ascii="Times New Roman" w:eastAsia="MS Mincho" w:hAnsi="Times New Roman"/>
                        <w:sz w:val="20"/>
                        <w:i/>
                        <w:iCs/>
                        <w:color w:val="0000FF" w:themeColor="hyperlink"/>
                        <w:u w:val="single"/>
                      </w:rPr>
                      <w:t>4-756</w:t>
                    </w:r>
                  </w:fldSimple>
                  <w:r>
                    <w:rPr>
                      <w:rFonts w:ascii="Times New Roman" w:eastAsia="MS Mincho" w:hAnsi="Times New Roman"/>
                      <w:sz w:val="20"/>
                      <w:i/>
                      <w:iCs/>
                    </w:rPr>
                    <w:t>,
2020-09-07,
paskelbta TAR 2020-09-07, i. k. 2020-18852            </w:t>
                  </w:r>
                </w:p>
                <w:p/>
              </w:sdtContent>
            </w:sdt>
          </w:sdtContent>
        </w:sdt>
        <w:sdt>
          <w:sdtPr>
            <w:alias w:val="pabaiga"/>
            <w:tag w:val="part_a16f6a4577f94b1cad1dbb51954132a0"/>
            <w:lock w:val="sdtLocked"/>
            <w:richText/>
          </w:sdtPr>
          <w:sdtContent>
            <w:p>
              <w:pPr>
                <w:widowControl w:val="0"/>
                <w:suppressAutoHyphens/>
                <w:jc w:val="center"/>
                <w:rPr>
                  <w:color w:val="000000"/>
                </w:rPr>
              </w:pPr>
              <w:r>
                <w:rPr>
                  <w:color w:val="000000"/>
                </w:rPr>
                <w:t>_________________</w:t>
              </w:r>
            </w:p>
          </w:sdtContent>
        </w:sdt>
      </w:sdtContent>
    </w:sdt>
    <w:sdt>
      <w:sdtPr>
        <w:alias w:val="3 pr."/>
        <w:tag w:val="part_321f6fede7734fb69edac58c04a016b8"/>
        <w:lock w:val="sdtLocked"/>
        <w:richText/>
      </w:sdtPr>
      <w:sdtContent>
        <w:p>
          <w:pPr>
            <w:keepLines/>
            <w:tabs>
              <w:tab w:val="left" w:pos="1304"/>
              <w:tab w:val="left" w:pos="1457"/>
              <w:tab w:val="left" w:pos="1604"/>
              <w:tab w:val="left" w:pos="1757"/>
            </w:tabs>
            <w:suppressAutoHyphens/>
            <w:ind w:left="5953"/>
            <w:sectPr>
              <w:pgSz w:w="11907" w:h="16840" w:code="9"/>
              <w:pgMar w:top="1134" w:right="425" w:bottom="1134" w:left="1701" w:header="567" w:footer="284" w:gutter="0"/>
              <w:pgNumType w:start="1"/>
              <w:cols w:space="1296"/>
              <w:titlePg/>
              <w:docGrid w:linePitch="360"/>
            </w:sectPr>
          </w:pPr>
        </w:p>
        <w:p>
          <w:pPr>
            <w:keepLines/>
            <w:tabs>
              <w:tab w:val="left" w:pos="1304"/>
              <w:tab w:val="left" w:pos="1457"/>
              <w:tab w:val="left" w:pos="1604"/>
              <w:tab w:val="left" w:pos="1757"/>
            </w:tabs>
            <w:suppressAutoHyphens/>
            <w:ind w:left="5953"/>
            <w:rPr>
              <w:color w:val="000000"/>
              <w:szCs w:val="24"/>
              <w:lang w:eastAsia="lt-LT"/>
            </w:rPr>
          </w:pPr>
          <w:r>
            <w:rPr>
              <w:color w:val="000000"/>
              <w:szCs w:val="24"/>
              <w:lang w:eastAsia="lt-LT"/>
            </w:rPr>
            <w:t>Žaislų saugos techninio reglamento</w:t>
          </w:r>
        </w:p>
        <w:p>
          <w:pPr>
            <w:keepLines/>
            <w:tabs>
              <w:tab w:val="left" w:pos="1304"/>
              <w:tab w:val="left" w:pos="1457"/>
              <w:tab w:val="left" w:pos="1604"/>
              <w:tab w:val="left" w:pos="1757"/>
            </w:tabs>
            <w:suppressAutoHyphens/>
            <w:ind w:left="5953"/>
            <w:rPr>
              <w:color w:val="000000"/>
              <w:szCs w:val="24"/>
              <w:lang w:eastAsia="lt-LT"/>
            </w:rPr>
          </w:pPr>
          <w:sdt>
            <w:sdtPr>
              <w:alias w:val="Numeris"/>
              <w:tag w:val="nr_321f6fede7734fb69edac58c04a016b8"/>
              <w:lock w:val="sdtLocked"/>
              <w:richText/>
            </w:sdtPr>
            <w:sdtContent>
              <w:r>
                <w:rPr>
                  <w:color w:val="000000"/>
                  <w:szCs w:val="24"/>
                  <w:lang w:eastAsia="lt-LT"/>
                </w:rPr>
                <w:t>3</w:t>
              </w:r>
            </w:sdtContent>
          </w:sdt>
          <w:r>
            <w:rPr>
              <w:color w:val="000000"/>
              <w:szCs w:val="24"/>
              <w:lang w:eastAsia="lt-LT"/>
            </w:rPr>
            <w:t xml:space="preserve"> priedas</w:t>
          </w:r>
        </w:p>
        <w:p>
          <w:pPr>
            <w:suppressAutoHyphens/>
            <w:ind w:firstLine="312"/>
            <w:jc w:val="both"/>
            <w:rPr>
              <w:color w:val="000000"/>
              <w:szCs w:val="24"/>
              <w:lang w:eastAsia="lt-LT"/>
            </w:rPr>
          </w:pPr>
        </w:p>
        <w:sdt>
          <w:sdtPr>
            <w:alias w:val="Pavadinimas"/>
            <w:tag w:val="title_321f6fede7734fb69edac58c04a016b8"/>
            <w:lock w:val="sdtLocked"/>
            <w:richText/>
          </w:sdtPr>
          <w:sdtContent>
            <w:p>
              <w:pPr>
                <w:keepLines/>
                <w:suppressAutoHyphens/>
                <w:jc w:val="center"/>
                <w:rPr>
                  <w:b/>
                  <w:bCs/>
                  <w:caps/>
                  <w:color w:val="000000"/>
                  <w:szCs w:val="24"/>
                  <w:lang w:eastAsia="lt-LT"/>
                </w:rPr>
              </w:pPr>
              <w:r>
                <w:rPr>
                  <w:b/>
                  <w:bCs/>
                  <w:caps/>
                  <w:color w:val="000000"/>
                  <w:szCs w:val="24"/>
                  <w:lang w:eastAsia="lt-LT"/>
                </w:rPr>
                <w:t xml:space="preserve">KANCEROGENINIŲ, MUTAGENINIŲ ARBA TOKSIŠKŲ REPRODUKCIJAI (CMR) MEDŽIAGŲ IR JŲ GALIMO PANAUDOJIMO PAGAL ŽAISLŲ SAUGOS TECHNINIO REGLAMENTO 2 PRIEDO </w:t>
              </w:r>
            </w:p>
            <w:p>
              <w:pPr>
                <w:keepLines/>
                <w:suppressAutoHyphens/>
                <w:jc w:val="center"/>
                <w:rPr>
                  <w:b/>
                  <w:bCs/>
                  <w:caps/>
                  <w:color w:val="000000"/>
                  <w:szCs w:val="24"/>
                  <w:lang w:eastAsia="lt-LT"/>
                </w:rPr>
              </w:pPr>
              <w:r>
                <w:rPr>
                  <w:b/>
                  <w:bCs/>
                  <w:caps/>
                  <w:color w:val="000000"/>
                  <w:szCs w:val="24"/>
                  <w:lang w:eastAsia="lt-LT"/>
                </w:rPr>
                <w:t>27–31 PUNKTUS SĄRAŠAS</w:t>
              </w:r>
            </w:p>
          </w:sdtContent>
        </w:sdt>
        <w:p>
          <w:pPr>
            <w:suppressAutoHyphens/>
            <w:ind w:firstLine="312"/>
            <w:jc w:val="both"/>
            <w:rPr>
              <w:color w:val="000000"/>
              <w:szCs w:val="24"/>
              <w:lang w:eastAsia="lt-LT"/>
            </w:rPr>
          </w:pPr>
        </w:p>
        <w:tbl>
          <w:tblPr>
            <w:tblW w:w="0" w:type="auto"/>
            <w:tblInd w:w="-34" w:type="dxa"/>
            <w:tblLayout w:type="fixed"/>
            <w:tblCellMar>
              <w:left w:w="0" w:type="dxa"/>
              <w:right w:w="0" w:type="dxa"/>
            </w:tblCellMar>
            <w:tblLook w:val="04A0" w:firstRow="1" w:lastRow="0" w:firstColumn="1" w:lastColumn="0" w:noHBand="0" w:noVBand="1"/>
          </w:tblPr>
          <w:tblGrid>
            <w:gridCol w:w="710"/>
            <w:gridCol w:w="2721"/>
            <w:gridCol w:w="2165"/>
            <w:gridCol w:w="3760"/>
          </w:tblGrid>
          <w:tr>
            <w:trPr>
              <w:trHeight w:val="60"/>
            </w:trPr>
            <w:tc>
              <w:tcPr>
                <w:tcW w:w="71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suppressAutoHyphens/>
                  <w:jc w:val="center"/>
                  <w:rPr>
                    <w:b/>
                    <w:bCs/>
                    <w:color w:val="000000"/>
                    <w:szCs w:val="24"/>
                    <w:lang w:eastAsia="lt-LT"/>
                  </w:rPr>
                </w:pPr>
                <w:r>
                  <w:rPr>
                    <w:b/>
                    <w:bCs/>
                    <w:color w:val="000000"/>
                    <w:szCs w:val="24"/>
                    <w:lang w:eastAsia="lt-LT"/>
                  </w:rPr>
                  <w:t>Eil.</w:t>
                </w:r>
              </w:p>
              <w:p>
                <w:pPr>
                  <w:suppressAutoHyphens/>
                  <w:jc w:val="center"/>
                  <w:rPr>
                    <w:b/>
                    <w:bCs/>
                    <w:color w:val="000000"/>
                    <w:szCs w:val="24"/>
                    <w:lang w:eastAsia="lt-LT"/>
                  </w:rPr>
                </w:pPr>
                <w:r>
                  <w:rPr>
                    <w:b/>
                    <w:bCs/>
                    <w:color w:val="000000"/>
                    <w:szCs w:val="24"/>
                    <w:lang w:eastAsia="lt-LT"/>
                  </w:rPr>
                  <w:t>Nr.</w:t>
                </w:r>
              </w:p>
              <w:p>
                <w:pPr>
                  <w:suppressAutoHyphens/>
                  <w:jc w:val="center"/>
                  <w:rPr>
                    <w:color w:val="000000"/>
                    <w:szCs w:val="24"/>
                    <w:lang w:eastAsia="lt-LT"/>
                  </w:rPr>
                </w:pPr>
              </w:p>
            </w:tc>
            <w:tc>
              <w:tcPr>
                <w:tcW w:w="2721"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suppressAutoHyphens/>
                  <w:jc w:val="center"/>
                  <w:rPr>
                    <w:b/>
                    <w:bCs/>
                    <w:color w:val="000000"/>
                    <w:szCs w:val="24"/>
                    <w:lang w:eastAsia="lt-LT"/>
                  </w:rPr>
                </w:pPr>
                <w:r>
                  <w:rPr>
                    <w:b/>
                    <w:bCs/>
                    <w:color w:val="000000"/>
                    <w:szCs w:val="24"/>
                    <w:lang w:eastAsia="lt-LT"/>
                  </w:rPr>
                  <w:t>Medžiaga</w:t>
                </w:r>
              </w:p>
              <w:p>
                <w:pPr>
                  <w:suppressAutoHyphens/>
                  <w:jc w:val="center"/>
                  <w:rPr>
                    <w:color w:val="000000"/>
                    <w:szCs w:val="24"/>
                    <w:lang w:eastAsia="lt-LT"/>
                  </w:rPr>
                </w:pPr>
              </w:p>
            </w:tc>
            <w:tc>
              <w:tcPr>
                <w:tcW w:w="216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suppressAutoHyphens/>
                  <w:jc w:val="center"/>
                  <w:rPr>
                    <w:b/>
                    <w:bCs/>
                    <w:color w:val="000000"/>
                    <w:szCs w:val="24"/>
                    <w:lang w:eastAsia="lt-LT"/>
                  </w:rPr>
                </w:pPr>
                <w:r>
                  <w:rPr>
                    <w:b/>
                    <w:bCs/>
                    <w:color w:val="000000"/>
                    <w:szCs w:val="24"/>
                    <w:lang w:eastAsia="lt-LT"/>
                  </w:rPr>
                  <w:t>Klasifikavimas</w:t>
                </w:r>
              </w:p>
              <w:p>
                <w:pPr>
                  <w:suppressAutoHyphens/>
                  <w:jc w:val="center"/>
                  <w:rPr>
                    <w:color w:val="000000"/>
                    <w:szCs w:val="24"/>
                    <w:lang w:eastAsia="lt-LT"/>
                  </w:rPr>
                </w:pPr>
              </w:p>
            </w:tc>
            <w:tc>
              <w:tcPr>
                <w:tcW w:w="376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suppressAutoHyphens/>
                  <w:rPr>
                    <w:b/>
                    <w:bCs/>
                    <w:color w:val="000000"/>
                    <w:szCs w:val="24"/>
                    <w:lang w:eastAsia="lt-LT"/>
                  </w:rPr>
                </w:pPr>
                <w:r>
                  <w:rPr>
                    <w:b/>
                    <w:bCs/>
                    <w:color w:val="000000"/>
                    <w:szCs w:val="24"/>
                    <w:lang w:eastAsia="lt-LT"/>
                  </w:rPr>
                  <w:t>Leidžiamas naudojimas</w:t>
                </w:r>
              </w:p>
              <w:p>
                <w:pPr>
                  <w:suppressAutoHyphens/>
                  <w:jc w:val="center"/>
                  <w:rPr>
                    <w:color w:val="000000"/>
                    <w:szCs w:val="24"/>
                    <w:lang w:eastAsia="lt-LT"/>
                  </w:rPr>
                </w:pPr>
              </w:p>
            </w:tc>
          </w:tr>
          <w:tr>
            <w:trPr>
              <w:trHeight w:val="60"/>
            </w:trPr>
            <w:tc>
              <w:tcPr>
                <w:tcW w:w="71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suppressAutoHyphens/>
                  <w:rPr>
                    <w:color w:val="000000"/>
                    <w:szCs w:val="24"/>
                    <w:lang w:eastAsia="lt-LT"/>
                  </w:rPr>
                </w:pPr>
                <w:r>
                  <w:rPr>
                    <w:color w:val="000000"/>
                    <w:szCs w:val="24"/>
                    <w:lang w:eastAsia="lt-LT"/>
                  </w:rPr>
                  <w:t>1.</w:t>
                </w:r>
              </w:p>
              <w:p>
                <w:pPr>
                  <w:suppressAutoHyphens/>
                  <w:rPr>
                    <w:color w:val="000000"/>
                    <w:szCs w:val="24"/>
                    <w:lang w:eastAsia="lt-LT"/>
                  </w:rPr>
                </w:pPr>
              </w:p>
            </w:tc>
            <w:tc>
              <w:tcPr>
                <w:tcW w:w="2721"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suppressAutoHyphens/>
                  <w:rPr>
                    <w:color w:val="000000"/>
                    <w:szCs w:val="24"/>
                    <w:lang w:eastAsia="lt-LT"/>
                  </w:rPr>
                </w:pPr>
                <w:r>
                  <w:rPr>
                    <w:color w:val="000000"/>
                    <w:szCs w:val="24"/>
                    <w:lang w:eastAsia="lt-LT"/>
                  </w:rPr>
                  <w:t>Nikelis</w:t>
                </w:r>
              </w:p>
              <w:p>
                <w:pPr>
                  <w:suppressAutoHyphens/>
                  <w:rPr>
                    <w:color w:val="000000"/>
                    <w:szCs w:val="24"/>
                    <w:lang w:eastAsia="lt-LT"/>
                  </w:rPr>
                </w:pPr>
              </w:p>
            </w:tc>
            <w:tc>
              <w:tcPr>
                <w:tcW w:w="216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suppressAutoHyphens/>
                  <w:rPr>
                    <w:color w:val="000000"/>
                    <w:szCs w:val="24"/>
                    <w:lang w:eastAsia="lt-LT"/>
                  </w:rPr>
                </w:pPr>
                <w:r>
                  <w:rPr>
                    <w:color w:val="000000"/>
                    <w:szCs w:val="24"/>
                    <w:lang w:eastAsia="lt-LT"/>
                  </w:rPr>
                  <w:t>CMR 2</w:t>
                </w:r>
              </w:p>
              <w:p>
                <w:pPr>
                  <w:suppressAutoHyphens/>
                  <w:rPr>
                    <w:color w:val="000000"/>
                    <w:szCs w:val="24"/>
                    <w:lang w:eastAsia="lt-LT"/>
                  </w:rPr>
                </w:pPr>
              </w:p>
            </w:tc>
            <w:tc>
              <w:tcPr>
                <w:tcW w:w="376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suppressAutoHyphens/>
                  <w:rPr>
                    <w:color w:val="000000"/>
                    <w:szCs w:val="24"/>
                    <w:lang w:eastAsia="lt-LT"/>
                  </w:rPr>
                </w:pPr>
                <w:r>
                  <w:rPr>
                    <w:color w:val="000000"/>
                    <w:szCs w:val="24"/>
                    <w:lang w:eastAsia="lt-LT"/>
                  </w:rPr>
                  <w:t>Žaisluose ir žaislų sudėtinėse dalyse iš nerūdijančio plieno.</w:t>
                </w:r>
              </w:p>
              <w:p>
                <w:pPr>
                  <w:suppressAutoHyphens/>
                  <w:rPr>
                    <w:color w:val="000000"/>
                    <w:szCs w:val="24"/>
                    <w:lang w:eastAsia="lt-LT"/>
                  </w:rPr>
                </w:pPr>
                <w:r>
                  <w:rPr>
                    <w:color w:val="000000"/>
                    <w:szCs w:val="24"/>
                    <w:lang w:eastAsia="lt-LT"/>
                  </w:rPr>
                  <w:t>Žaislų sudėtinėse dalyse, per kurias numatyta leisti elektros srovę.</w:t>
                </w:r>
              </w:p>
              <w:p>
                <w:pPr>
                  <w:suppressAutoHyphens/>
                  <w:rPr>
                    <w:color w:val="000000"/>
                    <w:szCs w:val="24"/>
                    <w:lang w:eastAsia="lt-LT"/>
                  </w:rPr>
                </w:pPr>
              </w:p>
            </w:tc>
          </w:tr>
        </w:tbl>
        <w:p>
          <w:pPr>
            <w:ind w:firstLine="567"/>
            <w:rPr>
              <w:szCs w:val="24"/>
              <w:lang w:eastAsia="lt-LT"/>
            </w:rPr>
          </w:pPr>
        </w:p>
        <w:sdt>
          <w:sdtPr>
            <w:alias w:val="pabaiga"/>
            <w:tag w:val="part_74e5985a3c8947bf96f745b45749c359"/>
            <w:lock w:val="sdtLocked"/>
            <w:richText/>
          </w:sdtPr>
          <w:sdtContent>
            <w:p>
              <w:pPr>
                <w:tabs>
                  <w:tab w:val="center" w:pos="4153"/>
                  <w:tab w:val="left" w:pos="6237"/>
                  <w:tab w:val="right" w:pos="8306"/>
                </w:tabs>
                <w:jc w:val="center"/>
              </w:pPr>
              <w:r>
                <w:t>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62b800cd4511e48c6ef0fd95c59a72">
            <w:r w:rsidRPr="00532B9F">
              <w:rPr>
                <w:rFonts w:ascii="Times New Roman" w:eastAsia="MS Mincho" w:hAnsi="Times New Roman"/>
                <w:sz w:val="20"/>
                <w:i/>
                <w:iCs/>
                <w:color w:val="0000FF" w:themeColor="hyperlink"/>
                <w:u w:val="single"/>
              </w:rPr>
              <w:t>4-142</w:t>
            </w:r>
          </w:fldSimple>
          <w:r>
            <w:rPr>
              <w:rFonts w:ascii="Times New Roman" w:eastAsia="MS Mincho" w:hAnsi="Times New Roman"/>
              <w:sz w:val="20"/>
              <w:i/>
              <w:iCs/>
            </w:rPr>
            <w:t>,
2015-03-17,
paskelbta TAR 2015-03-18, i. k. 2015-03929            </w:t>
          </w:r>
        </w:p>
        <w:p/>
      </w:sdtContent>
    </w:sdt>
    <w:sdt>
      <w:sdtPr>
        <w:alias w:val="4 pr."/>
        <w:tag w:val="part_79605f15249f45eba27504c5a504b4c9"/>
        <w:lock w:val="sdtLocked"/>
        <w:richText/>
      </w:sdtPr>
      <w:sdtContent>
        <w:p>
          <w:pPr>
            <w:widowControl w:val="0"/>
            <w:suppressAutoHyphens/>
            <w:ind w:left="5102"/>
            <w:sectPr>
              <w:pgSz w:w="11907" w:h="16840" w:code="9"/>
              <w:pgMar w:top="1134" w:right="425" w:bottom="1134" w:left="1701" w:header="567" w:footer="284" w:gutter="0"/>
              <w:pgNumType w:start="1"/>
              <w:cols w:space="1296"/>
              <w:titlePg/>
              <w:docGrid w:linePitch="360"/>
            </w:sectPr>
          </w:pPr>
        </w:p>
        <w:p>
          <w:pPr>
            <w:widowControl w:val="0"/>
            <w:suppressAutoHyphens/>
            <w:ind w:left="5102"/>
            <w:rPr>
              <w:color w:val="000000"/>
            </w:rPr>
          </w:pPr>
          <w:r>
            <w:rPr>
              <w:color w:val="000000"/>
            </w:rPr>
            <w:t>Žaislų saugos techninio reglamento</w:t>
          </w:r>
        </w:p>
        <w:p>
          <w:pPr>
            <w:widowControl w:val="0"/>
            <w:suppressAutoHyphens/>
            <w:ind w:firstLine="5102"/>
            <w:rPr>
              <w:color w:val="000000"/>
            </w:rPr>
          </w:pPr>
          <w:sdt>
            <w:sdtPr>
              <w:alias w:val="Numeris"/>
              <w:tag w:val="nr_79605f15249f45eba27504c5a504b4c9"/>
              <w:lock w:val="sdtLocked"/>
              <w:richText/>
            </w:sdtPr>
            <w:sdtContent>
              <w:r>
                <w:rPr>
                  <w:color w:val="000000"/>
                </w:rPr>
                <w:t>4</w:t>
              </w:r>
            </w:sdtContent>
          </w:sdt>
          <w:r>
            <w:rPr>
              <w:color w:val="000000"/>
            </w:rPr>
            <w:t xml:space="preserve"> priedas</w:t>
          </w:r>
        </w:p>
        <w:p>
          <w:pPr>
            <w:widowControl w:val="0"/>
            <w:suppressAutoHyphens/>
            <w:jc w:val="both"/>
            <w:rPr>
              <w:color w:val="000000"/>
            </w:rPr>
          </w:pPr>
        </w:p>
        <w:p>
          <w:pPr>
            <w:widowControl w:val="0"/>
            <w:suppressAutoHyphens/>
            <w:jc w:val="center"/>
            <w:rPr>
              <w:b/>
              <w:bCs/>
              <w:caps/>
              <w:color w:val="000000"/>
            </w:rPr>
          </w:pPr>
          <w:sdt>
            <w:sdtPr>
              <w:alias w:val="Pavadinimas"/>
              <w:tag w:val="title_79605f15249f45eba27504c5a504b4c9"/>
              <w:lock w:val="sdtLocked"/>
              <w:richText/>
            </w:sdtPr>
            <w:sdtContent>
              <w:r>
                <w:rPr>
                  <w:b/>
                  <w:bCs/>
                  <w:caps/>
                  <w:color w:val="000000"/>
                </w:rPr>
                <w:t>MEDŽIAGŲ IR MIŠINIŲ KLASIFIKAVIMO SĄRAŠAS</w:t>
              </w:r>
            </w:sdtContent>
          </w:sdt>
        </w:p>
        <w:p>
          <w:pPr>
            <w:widowControl w:val="0"/>
            <w:suppressAutoHyphens/>
            <w:jc w:val="both"/>
            <w:rPr>
              <w:color w:val="000000"/>
            </w:rPr>
          </w:pPr>
        </w:p>
        <w:sdt>
          <w:sdtPr>
            <w:alias w:val="4 pr. 1 p."/>
            <w:tag w:val="part_0bea3f94b6ff44ccaac1d073b609999f"/>
            <w:lock w:val="sdtLocked"/>
            <w:richText/>
          </w:sdtPr>
          <w:sdtContent>
            <w:p>
              <w:pPr>
                <w:widowControl w:val="0"/>
                <w:suppressAutoHyphens/>
                <w:ind w:firstLine="567"/>
                <w:jc w:val="both"/>
                <w:rPr>
                  <w:color w:val="000000"/>
                </w:rPr>
              </w:pPr>
              <w:sdt>
                <w:sdtPr>
                  <w:alias w:val="Numeris"/>
                  <w:tag w:val="nr_0bea3f94b6ff44ccaac1d073b609999f"/>
                  <w:lock w:val="sdtLocked"/>
                  <w:richText/>
                </w:sdtPr>
                <w:sdtContent>
                  <w:r>
                    <w:rPr>
                      <w:color w:val="000000"/>
                    </w:rPr>
                    <w:t>1</w:t>
                  </w:r>
                </w:sdtContent>
              </w:sdt>
              <w:r>
                <w:rPr>
                  <w:color w:val="000000"/>
                </w:rPr>
                <w:t>. Medžiagų ir mišinių klasifikavimo kriterijai, naudojami Žaislų saugos techninio reglamento (toliau – Reglamentas) 2 priedo 21 punkto taikymo tikslais:</w:t>
              </w:r>
            </w:p>
            <w:sdt>
              <w:sdtPr>
                <w:alias w:val="4 pr. 1.1 p."/>
                <w:tag w:val="part_cbdc7839bc4642eea8dee8f0b7ed7ce7"/>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2018-07-26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8f9b708fdd11e8b93ad15b34c9248c">
                    <w:r w:rsidRPr="00532B9F">
                      <w:rPr>
                        <w:rFonts w:ascii="Times New Roman" w:eastAsia="MS Mincho" w:hAnsi="Times New Roman"/>
                        <w:sz w:val="20"/>
                        <w:i/>
                        <w:iCs/>
                        <w:color w:val="0000FF" w:themeColor="hyperlink"/>
                        <w:u w:val="single"/>
                      </w:rPr>
                      <w:t>4-472</w:t>
                    </w:r>
                  </w:fldSimple>
                  <w:r>
                    <w:rPr>
                      <w:rFonts w:ascii="Times New Roman" w:eastAsia="MS Mincho" w:hAnsi="Times New Roman"/>
                      <w:sz w:val="20"/>
                      <w:i/>
                      <w:iCs/>
                    </w:rPr>
                    <w:t>,
2018-07-25,
paskelbta TAR 2018-07-25, i. k. 2018-12375        </w:t>
                  </w:r>
                </w:p>
                <w:p/>
              </w:sdtContent>
            </w:sdt>
            <w:sdt>
              <w:sdtPr>
                <w:alias w:val="4 pr. 1.2 p."/>
                <w:tag w:val="part_a5b1541751c441e8aea7f37da5b6968a"/>
                <w:lock w:val="sdtLocked"/>
                <w:richText/>
              </w:sdtPr>
              <w:sdtContent>
                <w:p>
                  <w:pPr>
                    <w:widowControl w:val="0"/>
                    <w:suppressAutoHyphens/>
                    <w:ind w:firstLine="567"/>
                    <w:jc w:val="both"/>
                    <w:rPr>
                      <w:color w:val="000000"/>
                    </w:rPr>
                  </w:pPr>
                  <w:sdt>
                    <w:sdtPr>
                      <w:alias w:val="Numeris"/>
                      <w:tag w:val="nr_a5b1541751c441e8aea7f37da5b6968a"/>
                      <w:lock w:val="sdtLocked"/>
                      <w:richText/>
                    </w:sdtPr>
                    <w:sdtContent>
                      <w:r>
                        <w:rPr>
                          <w:color w:val="000000"/>
                        </w:rPr>
                        <w:t>1.2</w:t>
                      </w:r>
                    </w:sdtContent>
                  </w:sdt>
                  <w:r>
                    <w:rPr>
                      <w:color w:val="000000"/>
                    </w:rPr>
                    <w:t>. Kriterijai, taikomi nuo 2015 m. birželio 1 d.:</w:t>
                  </w:r>
                </w:p>
                <w:sdt>
                  <w:sdtPr>
                    <w:alias w:val="4 pr. 1.2.1 p."/>
                    <w:tag w:val="part_f729674f6dbb4f9b878471e91ebaba67"/>
                    <w:lock w:val="sdtLocked"/>
                    <w:richText/>
                  </w:sdtPr>
                  <w:sdtContent>
                    <w:p>
                      <w:pPr>
                        <w:widowControl w:val="0"/>
                        <w:suppressAutoHyphens/>
                        <w:ind w:firstLine="567"/>
                        <w:jc w:val="both"/>
                        <w:rPr>
                          <w:color w:val="000000"/>
                        </w:rPr>
                      </w:pPr>
                      <w:sdt>
                        <w:sdtPr>
                          <w:alias w:val="Numeris"/>
                          <w:tag w:val="nr_f729674f6dbb4f9b878471e91ebaba67"/>
                          <w:lock w:val="sdtLocked"/>
                          <w:richText/>
                        </w:sdtPr>
                        <w:sdtContent>
                          <w:r>
                            <w:rPr>
                              <w:color w:val="000000"/>
                            </w:rPr>
                            <w:t>1.2.1</w:t>
                          </w:r>
                        </w:sdtContent>
                      </w:sdt>
                      <w:r>
                        <w:rPr>
                          <w:color w:val="000000"/>
                        </w:rPr>
                        <w:t>. Medžiaga arba mišinys tenkina toliau nurodytų pavojaus klasių ar kategorijų kriterijus, nustatytus Reglamento 1272/2008 I priede:</w:t>
                      </w:r>
                    </w:p>
                    <w:sdt>
                      <w:sdtPr>
                        <w:alias w:val="4 pr. 1.2.1.1 p."/>
                        <w:tag w:val="part_2ae20af7e54e4ea096e1448f8ca44260"/>
                        <w:lock w:val="sdtLocked"/>
                        <w:richText/>
                      </w:sdtPr>
                      <w:sdtContent>
                        <w:p>
                          <w:pPr>
                            <w:widowControl w:val="0"/>
                            <w:suppressAutoHyphens/>
                            <w:ind w:firstLine="567"/>
                            <w:jc w:val="both"/>
                            <w:rPr>
                              <w:color w:val="000000"/>
                            </w:rPr>
                          </w:pPr>
                          <w:sdt>
                            <w:sdtPr>
                              <w:alias w:val="Numeris"/>
                              <w:tag w:val="nr_2ae20af7e54e4ea096e1448f8ca44260"/>
                              <w:lock w:val="sdtLocked"/>
                              <w:richText/>
                            </w:sdtPr>
                            <w:sdtContent>
                              <w:r>
                                <w:rPr>
                                  <w:color w:val="000000"/>
                                </w:rPr>
                                <w:t>1.2.1.1</w:t>
                              </w:r>
                            </w:sdtContent>
                          </w:sdt>
                          <w:r>
                            <w:rPr>
                              <w:color w:val="000000"/>
                            </w:rPr>
                            <w:t>. 2.1–2.4, 2.6 ir 2.7 pavojingumo klasės, 2.8 klasės A ir B tipas, 2.9, 2.10, 2.12, 2.13 klasės 1 ir 2 kategorijos, 2.14 klasės 1 ir 2 kategorijos, 2.15 klasės A–F tipai;</w:t>
                          </w:r>
                        </w:p>
                      </w:sdtContent>
                    </w:sdt>
                    <w:sdt>
                      <w:sdtPr>
                        <w:alias w:val="4 pr. 1.2.1.2 p."/>
                        <w:tag w:val="part_20587593c67849c7b1ce87fab0987f45"/>
                        <w:lock w:val="sdtLocked"/>
                        <w:richText/>
                      </w:sdtPr>
                      <w:sdtContent>
                        <w:p>
                          <w:pPr>
                            <w:widowControl w:val="0"/>
                            <w:suppressAutoHyphens/>
                            <w:ind w:firstLine="567"/>
                            <w:jc w:val="both"/>
                            <w:rPr>
                              <w:color w:val="000000"/>
                            </w:rPr>
                          </w:pPr>
                          <w:sdt>
                            <w:sdtPr>
                              <w:alias w:val="Numeris"/>
                              <w:tag w:val="nr_20587593c67849c7b1ce87fab0987f45"/>
                              <w:lock w:val="sdtLocked"/>
                              <w:richText/>
                            </w:sdtPr>
                            <w:sdtContent>
                              <w:r>
                                <w:rPr>
                                  <w:color w:val="000000"/>
                                </w:rPr>
                                <w:t>1.2.1.2</w:t>
                              </w:r>
                            </w:sdtContent>
                          </w:sdt>
                          <w:r>
                            <w:rPr>
                              <w:color w:val="000000"/>
                            </w:rPr>
                            <w:t>. 3.1–3.6 pavojingumo klasės, 3.7 pavojingumo klasė – neigiamas poveikis lytinei funkcijai ir vaisingumui arba vystymuisi, 3.8 klasė – ne narkotinis poveikis, 3.9 ir 3.10 klasės;</w:t>
                          </w:r>
                        </w:p>
                      </w:sdtContent>
                    </w:sdt>
                    <w:sdt>
                      <w:sdtPr>
                        <w:alias w:val="4 pr. 1.2.1.3 p."/>
                        <w:tag w:val="part_4574efe9d62643b28e282ae331250a36"/>
                        <w:lock w:val="sdtLocked"/>
                        <w:richText/>
                      </w:sdtPr>
                      <w:sdtContent>
                        <w:p>
                          <w:pPr>
                            <w:widowControl w:val="0"/>
                            <w:suppressAutoHyphens/>
                            <w:ind w:firstLine="567"/>
                            <w:jc w:val="both"/>
                            <w:rPr>
                              <w:color w:val="000000"/>
                            </w:rPr>
                          </w:pPr>
                          <w:sdt>
                            <w:sdtPr>
                              <w:alias w:val="Numeris"/>
                              <w:tag w:val="nr_4574efe9d62643b28e282ae331250a36"/>
                              <w:lock w:val="sdtLocked"/>
                              <w:richText/>
                            </w:sdtPr>
                            <w:sdtContent>
                              <w:r>
                                <w:rPr>
                                  <w:color w:val="000000"/>
                                </w:rPr>
                                <w:t>1.2.1.3</w:t>
                              </w:r>
                            </w:sdtContent>
                          </w:sdt>
                          <w:r>
                            <w:rPr>
                              <w:color w:val="000000"/>
                            </w:rPr>
                            <w:t>. pavojaus klasė 4.1;</w:t>
                          </w:r>
                        </w:p>
                      </w:sdtContent>
                    </w:sdt>
                    <w:sdt>
                      <w:sdtPr>
                        <w:alias w:val="4 pr. 1.2.1.4 p."/>
                        <w:tag w:val="part_0b792b8aaae4401ebd5637279db553f9"/>
                        <w:lock w:val="sdtLocked"/>
                        <w:richText/>
                      </w:sdtPr>
                      <w:sdtContent>
                        <w:p>
                          <w:pPr>
                            <w:widowControl w:val="0"/>
                            <w:suppressAutoHyphens/>
                            <w:ind w:firstLine="567"/>
                            <w:jc w:val="both"/>
                            <w:rPr>
                              <w:color w:val="000000"/>
                            </w:rPr>
                          </w:pPr>
                          <w:sdt>
                            <w:sdtPr>
                              <w:alias w:val="Numeris"/>
                              <w:tag w:val="nr_0b792b8aaae4401ebd5637279db553f9"/>
                              <w:lock w:val="sdtLocked"/>
                              <w:richText/>
                            </w:sdtPr>
                            <w:sdtContent>
                              <w:r>
                                <w:rPr>
                                  <w:color w:val="000000"/>
                                </w:rPr>
                                <w:t>1.2.1.4</w:t>
                              </w:r>
                            </w:sdtContent>
                          </w:sdt>
                          <w:r>
                            <w:rPr>
                              <w:color w:val="000000"/>
                            </w:rPr>
                            <w:t>. pavojaus klasė 5.1.</w:t>
                          </w:r>
                        </w:p>
                      </w:sdtContent>
                    </w:sdt>
                  </w:sdtContent>
                </w:sdt>
              </w:sdtContent>
            </w:sdt>
          </w:sdtContent>
        </w:sdt>
        <w:sdt>
          <w:sdtPr>
            <w:alias w:val="4 pr. 2 p."/>
            <w:tag w:val="part_154e75796571452095209e18aee49139"/>
            <w:lock w:val="sdtLocked"/>
            <w:richText/>
          </w:sdtPr>
          <w:sdtContent>
            <w:p>
              <w:pPr>
                <w:ind w:firstLine="567"/>
                <w:jc w:val="both"/>
                <w:rPr>
                  <w:color w:val="000000"/>
                </w:rPr>
              </w:pPr>
              <w:sdt>
                <w:sdtPr>
                  <w:alias w:val="Numeris"/>
                  <w:tag w:val="nr_154e75796571452095209e18aee49139"/>
                  <w:lock w:val="sdtLocked"/>
                  <w:richText/>
                </w:sdtPr>
                <w:sdtContent>
                  <w:r>
                    <w:rPr>
                      <w:szCs w:val="24"/>
                    </w:rPr>
                    <w:t>2</w:t>
                  </w:r>
                </w:sdtContent>
              </w:sdt>
              <w:r>
                <w:rPr>
                  <w:szCs w:val="24"/>
                </w:rPr>
                <w:t xml:space="preserve">. </w:t>
              </w:r>
              <w:r>
                <w:rPr>
                  <w:color w:val="000000"/>
                  <w:szCs w:val="24"/>
                </w:rPr>
                <w:t xml:space="preserve">Nuo 2015 m. gegužės 31 d. Reglamento 2 priedo 27.1 ir 29.1 papunkčių taikymo tikslais atitinkamos medžiagų koncentracijos vertės, naudojamos mišiniams, kuriuose yra šių medžiagų, klasifikuoti, nustatomos pagal 2008 m. gruodžio 16 d. Europos Parlamento ir Tarybos reglamento (EB) Nr. 1272/2008 dėl cheminių medžiagų ir mišinių klasifikavimo, ženklinimo ir pakavimo, iš dalies keičiančio ir panaikinančio direktyvas 67/548/EEB bei 1999/45/EB ir iš dalies keičiančio Reglamentą (EB) Nr. 1907/2006 su paskutiniais pakeitimais, padarytais </w:t>
              </w:r>
              <w:r>
                <w:rPr>
                  <w:szCs w:val="24"/>
                </w:rPr>
                <w:t>2019 m. spalio 4 d. Komisijos Deleguotuoju Reglamentu (ES) 2020/217</w:t>
              </w:r>
              <w:r>
                <w:rPr>
                  <w:color w:val="000000"/>
                  <w:szCs w:val="24"/>
                </w:rPr>
                <w:t>, nuostatas.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8f9b708fdd11e8b93ad15b34c9248c">
                <w:r w:rsidRPr="00532B9F">
                  <w:rPr>
                    <w:rFonts w:ascii="Times New Roman" w:eastAsia="MS Mincho" w:hAnsi="Times New Roman"/>
                    <w:sz w:val="20"/>
                    <w:i/>
                    <w:iCs/>
                    <w:color w:val="0000FF" w:themeColor="hyperlink"/>
                    <w:u w:val="single"/>
                  </w:rPr>
                  <w:t>4-472</w:t>
                </w:r>
              </w:fldSimple>
              <w:r>
                <w:rPr>
                  <w:rFonts w:ascii="Times New Roman" w:eastAsia="MS Mincho" w:hAnsi="Times New Roman"/>
                  <w:sz w:val="20"/>
                  <w:i/>
                  <w:iCs/>
                </w:rPr>
                <w:t>,
2018-07-25,
paskelbta TAR 2018-07-25, i. k. 2018-12375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0534e0f10b11eaa12ad7c04a383ca0">
                <w:r w:rsidRPr="00532B9F">
                  <w:rPr>
                    <w:rFonts w:ascii="Times New Roman" w:eastAsia="MS Mincho" w:hAnsi="Times New Roman"/>
                    <w:sz w:val="20"/>
                    <w:i/>
                    <w:iCs/>
                    <w:color w:val="0000FF" w:themeColor="hyperlink"/>
                    <w:u w:val="single"/>
                  </w:rPr>
                  <w:t>4-756</w:t>
                </w:r>
              </w:fldSimple>
              <w:r>
                <w:rPr>
                  <w:rFonts w:ascii="Times New Roman" w:eastAsia="MS Mincho" w:hAnsi="Times New Roman"/>
                  <w:sz w:val="20"/>
                  <w:i/>
                  <w:iCs/>
                </w:rPr>
                <w:t>,
2020-09-07,
paskelbta TAR 2020-09-07, i. k. 2020-18852            </w:t>
              </w:r>
            </w:p>
            <w:p/>
          </w:sdtContent>
        </w:sdt>
        <w:sdt>
          <w:sdtPr>
            <w:alias w:val="4 pr. 3 p."/>
            <w:tag w:val="part_021bf7d42c72494cb257bdb7a641a10e"/>
            <w:lock w:val="sdtLocked"/>
            <w:richText/>
          </w:sdtPr>
          <w:sdtContent>
            <w:p>
              <w:pPr>
                <w:widowControl w:val="0"/>
                <w:suppressAutoHyphens/>
                <w:ind w:firstLine="567"/>
                <w:jc w:val="both"/>
                <w:rPr>
                  <w:color w:val="000000"/>
                </w:rPr>
              </w:pPr>
              <w:sdt>
                <w:sdtPr>
                  <w:alias w:val="Numeris"/>
                  <w:tag w:val="nr_021bf7d42c72494cb257bdb7a641a10e"/>
                  <w:lock w:val="sdtLocked"/>
                  <w:richText/>
                </w:sdtPr>
                <w:sdtContent>
                  <w:r>
                    <w:rPr>
                      <w:color w:val="000000"/>
                    </w:rPr>
                    <w:t>3</w:t>
                  </w:r>
                </w:sdtContent>
              </w:sdt>
              <w:r>
                <w:rPr>
                  <w:color w:val="000000"/>
                </w:rPr>
                <w:t>. Medžiagų ir mišinių, kurie klasifikuojami kaip kancerogeniniai, mutageniniai arba toksiški reprodukcijai (CMR), kategorijos, naudojamos Reglamento 2 priedo 27 ir 28 punktų taikymo tikslais:</w:t>
              </w:r>
            </w:p>
            <w:sdt>
              <w:sdtPr>
                <w:alias w:val="4 pr. 3.1 p."/>
                <w:tag w:val="part_c8d2e721abfd4d1b9e86fc5fddc0ac67"/>
                <w:lock w:val="sdtLocked"/>
                <w:richText/>
              </w:sdtPr>
              <w:sdtContent>
                <w:p>
                  <w:pPr>
                    <w:widowControl w:val="0"/>
                    <w:suppressAutoHyphens/>
                    <w:ind w:firstLine="567"/>
                    <w:jc w:val="both"/>
                    <w:rPr>
                      <w:color w:val="000000"/>
                    </w:rPr>
                  </w:pPr>
                  <w:sdt>
                    <w:sdtPr>
                      <w:alias w:val="Numeris"/>
                      <w:tag w:val="nr_c8d2e721abfd4d1b9e86fc5fddc0ac67"/>
                      <w:lock w:val="sdtLocked"/>
                      <w:richText/>
                    </w:sdtPr>
                    <w:sdtContent>
                      <w:r>
                        <w:rPr>
                          <w:color w:val="000000"/>
                        </w:rPr>
                        <w:t>3.1</w:t>
                      </w:r>
                    </w:sdtContent>
                  </w:sdt>
                  <w:r>
                    <w:rPr>
                      <w:color w:val="000000"/>
                    </w:rPr>
                    <w:t>. Reglamento 2 priedo 27 ir 28 punktai taikomi medžiagoms, kurios pagal Reglamento 1272/2008 nuostatas priskiriamos kancerogeninių, mutageninių arba toksiškų reprodukcijai medžiagų 1A ir 1B kategorijoms.</w:t>
                  </w:r>
                </w:p>
              </w:sdtContent>
            </w:sdt>
            <w:sdt>
              <w:sdtPr>
                <w:alias w:val="4 pr. 3.2 p."/>
                <w:tag w:val="part_3c5a733cda7d4a8982c0743fda515fc5"/>
                <w:lock w:val="sdtLocked"/>
                <w:richText/>
              </w:sdtPr>
              <w:sdtContent>
                <w:p>
                  <w:pPr>
                    <w:pStyle w:val="PlainText"/>
                    <w:ind w:firstLine="567"/>
                    <w:jc w:val="both"/>
                    <w:rPr>
                      <w:rFonts w:ascii="Times New Roman" w:hAnsi="Times New Roman"/>
                      <w:b/>
                      <w:bCs/>
                      <w:sz w:val="22"/>
                    </w:rPr>
                  </w:pPr>
                  <w:r>
                    <w:rPr>
                      <w:rFonts w:ascii="Times New Roman" w:hAnsi="Times New Roman"/>
                      <w:sz w:val="22"/>
                    </w:rPr>
                    <w:t>3.2</w:t>
                  </w:r>
                  <w:r>
                    <w:rPr>
                      <w:rFonts w:ascii="Times New Roman" w:hAnsi="Times New Roman"/>
                      <w:sz w:val="22"/>
                    </w:rPr>
                    <w:t>.</w:t>
                  </w:r>
                  <w:r>
                    <w:rPr>
                      <w:rFonts w:ascii="Times New Roman" w:eastAsia="MS Mincho" w:hAnsi="Times New Roman"/>
                      <w:sz w:val="20"/>
                      <w:i/>
                      <w:iCs/>
                    </w:rPr>
                    <w:t xml:space="preserve"> Neteko galios nuo 2018-07-26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8f9b708fdd11e8b93ad15b34c9248c">
                    <w:r w:rsidRPr="00532B9F">
                      <w:rPr>
                        <w:rFonts w:ascii="Times New Roman" w:eastAsia="MS Mincho" w:hAnsi="Times New Roman"/>
                        <w:sz w:val="20"/>
                        <w:i/>
                        <w:iCs/>
                        <w:color w:val="0000FF" w:themeColor="hyperlink"/>
                        <w:u w:val="single"/>
                      </w:rPr>
                      <w:t>4-472</w:t>
                    </w:r>
                  </w:fldSimple>
                  <w:r>
                    <w:rPr>
                      <w:rFonts w:ascii="Times New Roman" w:eastAsia="MS Mincho" w:hAnsi="Times New Roman"/>
                      <w:sz w:val="20"/>
                      <w:i/>
                      <w:iCs/>
                    </w:rPr>
                    <w:t>,
2018-07-25,
paskelbta TAR 2018-07-25, i. k. 2018-12375        </w:t>
                  </w:r>
                </w:p>
                <w:p/>
              </w:sdtContent>
            </w:sdt>
            <w:sdt>
              <w:sdtPr>
                <w:alias w:val="4 pr. 3.3 p."/>
                <w:tag w:val="part_04d45431adfd445cb97a4367ea4d48a4"/>
                <w:lock w:val="sdtLocked"/>
                <w:richText/>
              </w:sdtPr>
              <w:sdtContent>
                <w:p>
                  <w:pPr>
                    <w:widowControl w:val="0"/>
                    <w:suppressAutoHyphens/>
                    <w:ind w:firstLine="567"/>
                    <w:jc w:val="both"/>
                    <w:rPr>
                      <w:color w:val="000000"/>
                    </w:rPr>
                  </w:pPr>
                  <w:sdt>
                    <w:sdtPr>
                      <w:alias w:val="Numeris"/>
                      <w:tag w:val="nr_04d45431adfd445cb97a4367ea4d48a4"/>
                      <w:lock w:val="sdtLocked"/>
                      <w:richText/>
                    </w:sdtPr>
                    <w:sdtContent>
                      <w:r>
                        <w:rPr>
                          <w:color w:val="000000"/>
                        </w:rPr>
                        <w:t>3.3</w:t>
                      </w:r>
                    </w:sdtContent>
                  </w:sdt>
                  <w:r>
                    <w:rPr>
                      <w:color w:val="000000"/>
                    </w:rPr>
                    <w:t>. Nuo 2015 m. birželio 1 d. Reglamento 2 priedo 27 ir 28 punktai taikomi medžiagoms, kurios pagal Reglamento 1272/2008 nuostatas priskiriamos CMR 1A arba 1B kategorijoms.</w:t>
                  </w:r>
                </w:p>
              </w:sdtContent>
            </w:sdt>
          </w:sdtContent>
        </w:sdt>
        <w:sdt>
          <w:sdtPr>
            <w:alias w:val="4 pr. 4 p."/>
            <w:tag w:val="part_688997f2c147490a8f9726679f45bf3f"/>
            <w:lock w:val="sdtLocked"/>
            <w:richText/>
          </w:sdtPr>
          <w:sdtContent>
            <w:p>
              <w:pPr>
                <w:widowControl w:val="0"/>
                <w:suppressAutoHyphens/>
                <w:ind w:firstLine="567"/>
                <w:jc w:val="both"/>
                <w:rPr>
                  <w:color w:val="000000"/>
                </w:rPr>
              </w:pPr>
              <w:sdt>
                <w:sdtPr>
                  <w:alias w:val="Numeris"/>
                  <w:tag w:val="nr_688997f2c147490a8f9726679f45bf3f"/>
                  <w:lock w:val="sdtLocked"/>
                  <w:richText/>
                </w:sdtPr>
                <w:sdtContent>
                  <w:r>
                    <w:rPr>
                      <w:color w:val="000000"/>
                    </w:rPr>
                    <w:t>4</w:t>
                  </w:r>
                </w:sdtContent>
              </w:sdt>
              <w:r>
                <w:rPr>
                  <w:color w:val="000000"/>
                </w:rPr>
                <w:t>. Medžiagų ir mišinių, kurie klasifikuojami kaip kancerogeniniai, mutageniniai arba toksiški reprodukcijai (CMR), kategorijos, naudojamos Reglamento 2 priedo 29 ir 30 punktų taikymo tikslais:</w:t>
              </w:r>
            </w:p>
            <w:sdt>
              <w:sdtPr>
                <w:alias w:val="4 pr. 4.1 p."/>
                <w:tag w:val="part_6ecc96d7200b43efb7d0f10c7c550d8f"/>
                <w:lock w:val="sdtLocked"/>
                <w:richText/>
              </w:sdtPr>
              <w:sdtContent>
                <w:p>
                  <w:pPr>
                    <w:widowControl w:val="0"/>
                    <w:suppressAutoHyphens/>
                    <w:ind w:firstLine="567"/>
                    <w:jc w:val="both"/>
                    <w:rPr>
                      <w:color w:val="000000"/>
                    </w:rPr>
                  </w:pPr>
                  <w:sdt>
                    <w:sdtPr>
                      <w:alias w:val="Numeris"/>
                      <w:tag w:val="nr_6ecc96d7200b43efb7d0f10c7c550d8f"/>
                      <w:lock w:val="sdtLocked"/>
                      <w:richText/>
                    </w:sdtPr>
                    <w:sdtContent>
                      <w:r>
                        <w:rPr>
                          <w:color w:val="000000"/>
                        </w:rPr>
                        <w:t>4.1</w:t>
                      </w:r>
                    </w:sdtContent>
                  </w:sdt>
                  <w:r>
                    <w:rPr>
                      <w:color w:val="000000"/>
                    </w:rPr>
                    <w:t>. Reglamento 2 priedo 29 ir 30 punktai taikomi medžiagoms, kurios pagal Reglamento 1272/2008 nuostatas priskiriamos CMR 2 kategorijai.</w:t>
                  </w:r>
                </w:p>
              </w:sdtContent>
            </w:sdt>
            <w:sdt>
              <w:sdtPr>
                <w:alias w:val="4 pr. 4.2 p."/>
                <w:tag w:val="part_a222d254938e41a7a2128f750c980523"/>
                <w:lock w:val="sdtLocked"/>
                <w:richText/>
              </w:sdtPr>
              <w:sdtContent>
                <w:p>
                  <w:pPr>
                    <w:pStyle w:val="PlainText"/>
                    <w:ind w:firstLine="567"/>
                    <w:jc w:val="both"/>
                    <w:rPr>
                      <w:rFonts w:ascii="Times New Roman" w:hAnsi="Times New Roman"/>
                      <w:b/>
                      <w:bCs/>
                      <w:sz w:val="22"/>
                    </w:rPr>
                  </w:pPr>
                  <w:r>
                    <w:rPr>
                      <w:rFonts w:ascii="Times New Roman" w:hAnsi="Times New Roman"/>
                      <w:sz w:val="22"/>
                    </w:rPr>
                    <w:t>4.2</w:t>
                  </w:r>
                  <w:r>
                    <w:rPr>
                      <w:rFonts w:ascii="Times New Roman" w:hAnsi="Times New Roman"/>
                      <w:sz w:val="22"/>
                    </w:rPr>
                    <w:t>.</w:t>
                  </w:r>
                  <w:r>
                    <w:rPr>
                      <w:rFonts w:ascii="Times New Roman" w:eastAsia="MS Mincho" w:hAnsi="Times New Roman"/>
                      <w:sz w:val="20"/>
                      <w:i/>
                      <w:iCs/>
                    </w:rPr>
                    <w:t xml:space="preserve"> Neteko galios nuo 2018-07-26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8f9b708fdd11e8b93ad15b34c9248c">
                    <w:r w:rsidRPr="00532B9F">
                      <w:rPr>
                        <w:rFonts w:ascii="Times New Roman" w:eastAsia="MS Mincho" w:hAnsi="Times New Roman"/>
                        <w:sz w:val="20"/>
                        <w:i/>
                        <w:iCs/>
                        <w:color w:val="0000FF" w:themeColor="hyperlink"/>
                        <w:u w:val="single"/>
                      </w:rPr>
                      <w:t>4-472</w:t>
                    </w:r>
                  </w:fldSimple>
                  <w:r>
                    <w:rPr>
                      <w:rFonts w:ascii="Times New Roman" w:eastAsia="MS Mincho" w:hAnsi="Times New Roman"/>
                      <w:sz w:val="20"/>
                      <w:i/>
                      <w:iCs/>
                    </w:rPr>
                    <w:t>,
2018-07-25,
paskelbta TAR 2018-07-25, i. k. 2018-12375        </w:t>
                  </w:r>
                </w:p>
                <w:p/>
              </w:sdtContent>
            </w:sdt>
            <w:sdt>
              <w:sdtPr>
                <w:alias w:val="4 pr. 4.3 p."/>
                <w:tag w:val="part_f3f74cf1be4b4987afc8ee2412b9df20"/>
                <w:lock w:val="sdtLocked"/>
                <w:richText/>
              </w:sdtPr>
              <w:sdtContent>
                <w:p>
                  <w:pPr>
                    <w:widowControl w:val="0"/>
                    <w:suppressAutoHyphens/>
                    <w:ind w:firstLine="567"/>
                    <w:jc w:val="both"/>
                    <w:rPr>
                      <w:color w:val="000000"/>
                    </w:rPr>
                  </w:pPr>
                  <w:sdt>
                    <w:sdtPr>
                      <w:alias w:val="Numeris"/>
                      <w:tag w:val="nr_f3f74cf1be4b4987afc8ee2412b9df20"/>
                      <w:lock w:val="sdtLocked"/>
                      <w:richText/>
                    </w:sdtPr>
                    <w:sdtContent>
                      <w:r>
                        <w:rPr>
                          <w:color w:val="000000"/>
                        </w:rPr>
                        <w:t>4.3</w:t>
                      </w:r>
                    </w:sdtContent>
                  </w:sdt>
                  <w:r>
                    <w:rPr>
                      <w:color w:val="000000"/>
                    </w:rPr>
                    <w:t>. Nuo 2015 m. birželio 1 d. Reglamento 2 priedo 29 ir 30 punktai taikomi medžiagoms, kurios pagal Reglamento 1272/2008 nuostatas priskiriamos CMR 2 kategorijai.</w:t>
                  </w:r>
                </w:p>
              </w:sdtContent>
            </w:sdt>
          </w:sdtContent>
        </w:sdt>
        <w:sdt>
          <w:sdtPr>
            <w:alias w:val="4 pr. 5 p."/>
            <w:tag w:val="part_8c9151bda5d946889467cfbdb38378a9"/>
            <w:lock w:val="sdtLocked"/>
            <w:richText/>
          </w:sdtPr>
          <w:sdtContent>
            <w:p>
              <w:pPr>
                <w:widowControl w:val="0"/>
                <w:suppressAutoHyphens/>
                <w:ind w:firstLine="567"/>
                <w:jc w:val="both"/>
                <w:rPr>
                  <w:color w:val="000000"/>
                </w:rPr>
              </w:pPr>
              <w:sdt>
                <w:sdtPr>
                  <w:alias w:val="Numeris"/>
                  <w:tag w:val="nr_8c9151bda5d946889467cfbdb38378a9"/>
                  <w:lock w:val="sdtLocked"/>
                  <w:richText/>
                </w:sdtPr>
                <w:sdtContent>
                  <w:r>
                    <w:rPr>
                      <w:color w:val="000000"/>
                    </w:rPr>
                    <w:t>5</w:t>
                  </w:r>
                </w:sdtContent>
              </w:sdt>
              <w:r>
                <w:rPr>
                  <w:color w:val="000000"/>
                </w:rPr>
                <w:t>. Medžiagų ir mišinių, kurie klasifikuojami kaip kancerogeniniai, mutageniniai arba toksiški reprodukcijai (CMR), kategorijos:</w:t>
              </w:r>
            </w:p>
            <w:sdt>
              <w:sdtPr>
                <w:alias w:val="4 pr. 5.1 p."/>
                <w:tag w:val="part_517bc8fec7574047bfd11c3ac7c259bc"/>
                <w:lock w:val="sdtLocked"/>
                <w:richText/>
              </w:sdtPr>
              <w:sdtContent>
                <w:p>
                  <w:pPr>
                    <w:widowControl w:val="0"/>
                    <w:suppressAutoHyphens/>
                    <w:ind w:firstLine="567"/>
                    <w:jc w:val="both"/>
                    <w:rPr>
                      <w:color w:val="000000"/>
                      <w:spacing w:val="-2"/>
                    </w:rPr>
                  </w:pPr>
                  <w:sdt>
                    <w:sdtPr>
                      <w:alias w:val="Numeris"/>
                      <w:tag w:val="nr_517bc8fec7574047bfd11c3ac7c259bc"/>
                      <w:lock w:val="sdtLocked"/>
                      <w:richText/>
                    </w:sdtPr>
                    <w:sdtContent>
                      <w:r>
                        <w:rPr>
                          <w:color w:val="000000"/>
                          <w:spacing w:val="-2"/>
                        </w:rPr>
                        <w:t>5.1</w:t>
                      </w:r>
                    </w:sdtContent>
                  </w:sdt>
                  <w:r>
                    <w:rPr>
                      <w:color w:val="000000"/>
                      <w:spacing w:val="-2"/>
                    </w:rPr>
                    <w:t>. Taikoma medžiagoms, kurios pagal Reglamento 1272/2008 nuostatas priskiriamos CMR 1A, 1B ir 2 kategorijoms.</w:t>
                  </w:r>
                </w:p>
              </w:sdtContent>
            </w:sdt>
            <w:sdt>
              <w:sdtPr>
                <w:alias w:val="4 pr. 5.2 p."/>
                <w:tag w:val="part_7ed3258e458245c09de3da2dd74bd7bb"/>
                <w:lock w:val="sdtLocked"/>
                <w:richText/>
              </w:sdtPr>
              <w:sdtContent>
                <w:p>
                  <w:pPr>
                    <w:widowControl w:val="0"/>
                    <w:suppressAutoHyphens/>
                    <w:ind w:firstLine="567"/>
                    <w:jc w:val="both"/>
                    <w:rPr>
                      <w:color w:val="000000"/>
                    </w:rPr>
                  </w:pPr>
                  <w:sdt>
                    <w:sdtPr>
                      <w:alias w:val="Numeris"/>
                      <w:tag w:val="nr_7ed3258e458245c09de3da2dd74bd7bb"/>
                      <w:lock w:val="sdtLocked"/>
                      <w:richText/>
                    </w:sdtPr>
                    <w:sdtContent>
                      <w:r>
                        <w:rPr>
                          <w:color w:val="000000"/>
                        </w:rPr>
                        <w:t>5.2</w:t>
                      </w:r>
                    </w:sdtContent>
                  </w:sdt>
                  <w:r>
                    <w:rPr>
                      <w:color w:val="000000"/>
                    </w:rPr>
                    <w:t>. Nuo 2015 m. birželio 1 d. taikoma medžiagoms, kurios pagal Reglamento 1272/2008 nuostatas priskiriamos CMR 1A, 1B ir 2 kategorijoms.</w:t>
                  </w:r>
                </w:p>
              </w:sdtContent>
            </w:sdt>
          </w:sdtContent>
        </w:sdt>
        <w:sdt>
          <w:sdtPr>
            <w:alias w:val="4 pr. 6 p."/>
            <w:tag w:val="part_8ecaff76f5c449ceb3819d6afd3e38a4"/>
            <w:lock w:val="sdtLocked"/>
            <w:richText/>
          </w:sdtPr>
          <w:sdtContent>
            <w:p>
              <w:pPr>
                <w:widowControl w:val="0"/>
                <w:suppressAutoHyphens/>
                <w:ind w:firstLine="567"/>
                <w:jc w:val="both"/>
                <w:rPr>
                  <w:color w:val="000000"/>
                </w:rPr>
              </w:pPr>
              <w:sdt>
                <w:sdtPr>
                  <w:alias w:val="Numeris"/>
                  <w:tag w:val="nr_8ecaff76f5c449ceb3819d6afd3e38a4"/>
                  <w:lock w:val="sdtLocked"/>
                  <w:richText/>
                </w:sdtPr>
                <w:sdtContent>
                  <w:r>
                    <w:rPr>
                      <w:color w:val="000000"/>
                    </w:rPr>
                    <w:t>6</w:t>
                  </w:r>
                </w:sdtContent>
              </w:sdt>
              <w:r>
                <w:rPr>
                  <w:color w:val="000000"/>
                </w:rPr>
                <w:t>. Atsižvelgiant į Reglamento 1272/2008 taikymo grafiką, yra lygiaverčių būdų nurodyti tam tikrą klasifikaciją, kuri turėtų būti naudojama įvairiais laikotarpiais.</w:t>
              </w:r>
            </w:p>
            <w:p>
              <w:pPr>
                <w:widowControl w:val="0"/>
                <w:suppressAutoHyphens/>
                <w:rPr>
                  <w:color w:val="000000"/>
                </w:rPr>
              </w:pPr>
            </w:p>
          </w:sdtContent>
        </w:sdt>
        <w:sdt>
          <w:sdtPr>
            <w:alias w:val="pabaiga"/>
            <w:tag w:val="part_cef98b09d28042bc8f460b828fe359e6"/>
            <w:lock w:val="sdtLocked"/>
            <w:richText/>
          </w:sdtPr>
          <w:sdtContent>
            <w:p>
              <w:pPr>
                <w:widowControl w:val="0"/>
                <w:suppressAutoHyphens/>
                <w:jc w:val="center"/>
                <w:rPr>
                  <w:color w:val="000000"/>
                </w:rPr>
              </w:pPr>
              <w:r>
                <w:rPr>
                  <w:color w:val="000000"/>
                </w:rPr>
                <w:t>_________________</w:t>
              </w:r>
            </w:p>
          </w:sdtContent>
        </w:sdt>
      </w:sdtContent>
    </w:sdt>
    <w:sdt>
      <w:sdtPr>
        <w:alias w:val="5 pr."/>
        <w:tag w:val="part_07ae2adb1090454aa1710c57af03cbb1"/>
        <w:lock w:val="sdtLocked"/>
        <w:richText/>
      </w:sdtPr>
      <w:sdtContent>
        <w:p>
          <w:pPr>
            <w:keepLines/>
            <w:tabs>
              <w:tab w:val="left" w:pos="1304"/>
              <w:tab w:val="left" w:pos="1457"/>
              <w:tab w:val="left" w:pos="1604"/>
              <w:tab w:val="left" w:pos="1757"/>
            </w:tabs>
            <w:suppressAutoHyphens/>
            <w:ind w:left="5953"/>
            <w:sectPr>
              <w:pgSz w:w="11907" w:h="16840" w:code="9"/>
              <w:pgMar w:top="1134" w:right="425" w:bottom="1134" w:left="1701" w:header="567" w:footer="284" w:gutter="0"/>
              <w:pgNumType w:start="1"/>
              <w:cols w:space="1296"/>
              <w:titlePg/>
              <w:docGrid w:linePitch="360"/>
            </w:sectPr>
          </w:pPr>
        </w:p>
        <w:p>
          <w:pPr>
            <w:keepLines/>
            <w:tabs>
              <w:tab w:val="left" w:pos="1304"/>
              <w:tab w:val="left" w:pos="1457"/>
              <w:tab w:val="left" w:pos="1604"/>
              <w:tab w:val="left" w:pos="1757"/>
            </w:tabs>
            <w:suppressAutoHyphens/>
            <w:ind w:left="5953"/>
            <w:rPr>
              <w:color w:val="000000"/>
              <w:szCs w:val="24"/>
              <w:lang w:eastAsia="lt-LT"/>
            </w:rPr>
          </w:pPr>
          <w:r>
            <w:rPr>
              <w:color w:val="000000"/>
              <w:szCs w:val="24"/>
              <w:lang w:eastAsia="lt-LT"/>
            </w:rPr>
            <w:t>Žaislų saugos techninio reglamento</w:t>
          </w:r>
        </w:p>
        <w:p>
          <w:pPr>
            <w:keepLines/>
            <w:tabs>
              <w:tab w:val="left" w:pos="1304"/>
              <w:tab w:val="left" w:pos="1457"/>
              <w:tab w:val="left" w:pos="1604"/>
              <w:tab w:val="left" w:pos="1757"/>
            </w:tabs>
            <w:suppressAutoHyphens/>
            <w:ind w:left="5953"/>
            <w:rPr>
              <w:color w:val="000000"/>
              <w:szCs w:val="24"/>
              <w:lang w:eastAsia="lt-LT"/>
            </w:rPr>
          </w:pPr>
          <w:sdt>
            <w:sdtPr>
              <w:alias w:val="Numeris"/>
              <w:tag w:val="nr_07ae2adb1090454aa1710c57af03cbb1"/>
              <w:lock w:val="sdtLocked"/>
              <w:richText/>
            </w:sdtPr>
            <w:sdtContent>
              <w:r>
                <w:rPr>
                  <w:color w:val="000000"/>
                  <w:szCs w:val="24"/>
                  <w:lang w:eastAsia="lt-LT"/>
                </w:rPr>
                <w:t>5</w:t>
              </w:r>
            </w:sdtContent>
          </w:sdt>
          <w:r>
            <w:rPr>
              <w:color w:val="000000"/>
              <w:szCs w:val="24"/>
              <w:lang w:eastAsia="lt-LT"/>
            </w:rPr>
            <w:t xml:space="preserve"> priedas</w:t>
          </w:r>
        </w:p>
        <w:p>
          <w:pPr>
            <w:suppressAutoHyphens/>
            <w:ind w:firstLine="312"/>
            <w:jc w:val="both"/>
            <w:rPr>
              <w:color w:val="000000"/>
              <w:szCs w:val="24"/>
              <w:lang w:eastAsia="lt-LT"/>
            </w:rPr>
          </w:pPr>
        </w:p>
        <w:p>
          <w:pPr>
            <w:jc w:val="center"/>
            <w:rPr>
              <w:b/>
              <w:szCs w:val="24"/>
              <w:lang w:eastAsia="lt-LT"/>
            </w:rPr>
          </w:pPr>
          <w:sdt>
            <w:sdtPr>
              <w:alias w:val="Pavadinimas"/>
              <w:tag w:val="title_07ae2adb1090454aa1710c57af03cbb1"/>
              <w:lock w:val="sdtLocked"/>
              <w:richText/>
            </w:sdtPr>
            <w:sdtContent>
              <w:r>
                <w:rPr>
                  <w:b/>
                  <w:szCs w:val="24"/>
                  <w:lang w:eastAsia="lt-LT"/>
                </w:rPr>
                <w:t>SPECIALIŲJŲ CHEMINIŲ MEDŽIAGŲ, KURIOS NAUDOJAMOS ŽAISLAMS, GAMINAMIEMS JAUNESNIEMS NEGU 36 MĖNESIŲ AMŽIAUS VAIKAMS, ARBA ŽAISLAMS, SKIRTIEMS DĖTI Į BURNĄ, RIBINIŲ VERČIŲ SĄRAŠAS</w:t>
              </w:r>
            </w:sdtContent>
          </w:sdt>
        </w:p>
        <w:p>
          <w:pPr>
            <w:jc w:val="center"/>
            <w:rPr>
              <w:b/>
              <w:szCs w:val="24"/>
              <w:lang w:eastAsia="lt-LT"/>
            </w:rPr>
          </w:pPr>
        </w:p>
        <w:p>
          <w:pPr>
            <w:suppressAutoHyphens/>
            <w:ind w:firstLine="312"/>
            <w:jc w:val="both"/>
            <w:rPr>
              <w:color w:val="000000"/>
              <w:sz w:val="22"/>
              <w:szCs w:val="22"/>
              <w:lang w:eastAsia="lt-LT"/>
            </w:rPr>
          </w:pPr>
        </w:p>
        <w:tbl>
          <w:tblPr>
            <w:tblW w:w="9781" w:type="dxa"/>
            <w:tblInd w:w="5" w:type="dxa"/>
            <w:tblLayout w:type="fixed"/>
            <w:tblCellMar>
              <w:left w:w="0" w:type="dxa"/>
              <w:right w:w="0" w:type="dxa"/>
            </w:tblCellMar>
            <w:tblLook w:val="04A0" w:firstRow="1" w:lastRow="0" w:firstColumn="1" w:lastColumn="0" w:noHBand="0" w:noVBand="1"/>
          </w:tblPr>
          <w:tblGrid>
            <w:gridCol w:w="709"/>
            <w:gridCol w:w="3969"/>
            <w:gridCol w:w="2268"/>
            <w:gridCol w:w="2835"/>
          </w:tblGrid>
          <w:tr>
            <w:trPr>
              <w:trHeight w:val="60"/>
            </w:trPr>
            <w:tc>
              <w:tcPr>
                <w:tcW w:w="709" w:type="dxa"/>
                <w:tcBorders>
                  <w:top w:val="single" w:sz="4" w:space="0" w:color="000000"/>
                  <w:left w:val="single" w:sz="4" w:space="0" w:color="000000"/>
                  <w:bottom w:val="single" w:sz="4" w:space="0" w:color="000000"/>
                  <w:right w:val="single" w:sz="4" w:space="0" w:color="000000"/>
                </w:tcBorders>
              </w:tcPr>
              <w:p>
                <w:pPr>
                  <w:suppressAutoHyphens/>
                  <w:jc w:val="center"/>
                  <w:rPr>
                    <w:b/>
                    <w:bCs/>
                    <w:color w:val="000000"/>
                    <w:szCs w:val="24"/>
                    <w:lang w:eastAsia="lt-LT"/>
                  </w:rPr>
                </w:pPr>
                <w:r>
                  <w:rPr>
                    <w:b/>
                    <w:bCs/>
                    <w:color w:val="000000"/>
                    <w:szCs w:val="24"/>
                    <w:lang w:eastAsia="lt-LT"/>
                  </w:rPr>
                  <w:t>Eil.</w:t>
                </w:r>
              </w:p>
              <w:p>
                <w:pPr>
                  <w:suppressAutoHyphens/>
                  <w:jc w:val="center"/>
                  <w:rPr>
                    <w:b/>
                    <w:bCs/>
                    <w:color w:val="000000"/>
                    <w:szCs w:val="24"/>
                    <w:lang w:eastAsia="lt-LT"/>
                  </w:rPr>
                </w:pPr>
                <w:r>
                  <w:rPr>
                    <w:b/>
                    <w:bCs/>
                    <w:color w:val="000000"/>
                    <w:szCs w:val="24"/>
                    <w:lang w:eastAsia="lt-LT"/>
                  </w:rPr>
                  <w:t>Nr.</w:t>
                </w:r>
              </w:p>
            </w:tc>
            <w:tc>
              <w:tcPr>
                <w:tcW w:w="3969"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suppressAutoHyphens/>
                  <w:jc w:val="center"/>
                  <w:rPr>
                    <w:b/>
                    <w:bCs/>
                    <w:color w:val="000000"/>
                    <w:szCs w:val="24"/>
                    <w:lang w:eastAsia="lt-LT"/>
                  </w:rPr>
                </w:pPr>
                <w:r>
                  <w:rPr>
                    <w:b/>
                    <w:bCs/>
                    <w:color w:val="000000"/>
                    <w:szCs w:val="24"/>
                    <w:lang w:eastAsia="lt-LT"/>
                  </w:rPr>
                  <w:t>Cheminė medžiaga</w:t>
                </w:r>
              </w:p>
              <w:p>
                <w:pPr>
                  <w:suppressAutoHyphens/>
                  <w:jc w:val="center"/>
                  <w:rPr>
                    <w:color w:val="000000"/>
                    <w:szCs w:val="24"/>
                    <w:lang w:eastAsia="lt-LT"/>
                  </w:rPr>
                </w:pPr>
              </w:p>
            </w:tc>
            <w:tc>
              <w:tcPr>
                <w:tcW w:w="226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suppressAutoHyphens/>
                  <w:jc w:val="center"/>
                  <w:rPr>
                    <w:b/>
                    <w:bCs/>
                    <w:color w:val="000000"/>
                    <w:szCs w:val="24"/>
                    <w:lang w:eastAsia="lt-LT"/>
                  </w:rPr>
                </w:pPr>
                <w:r>
                  <w:rPr>
                    <w:b/>
                    <w:bCs/>
                    <w:color w:val="000000"/>
                    <w:szCs w:val="24"/>
                    <w:lang w:eastAsia="lt-LT"/>
                  </w:rPr>
                  <w:t>CAS Nr.</w:t>
                </w:r>
              </w:p>
              <w:p>
                <w:pPr>
                  <w:suppressAutoHyphens/>
                  <w:jc w:val="center"/>
                  <w:rPr>
                    <w:color w:val="000000"/>
                    <w:szCs w:val="24"/>
                    <w:lang w:eastAsia="lt-LT"/>
                  </w:rPr>
                </w:pPr>
              </w:p>
            </w:tc>
            <w:tc>
              <w:tcPr>
                <w:tcW w:w="283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suppressAutoHyphens/>
                  <w:jc w:val="center"/>
                  <w:rPr>
                    <w:b/>
                    <w:bCs/>
                    <w:color w:val="000000"/>
                    <w:szCs w:val="24"/>
                    <w:lang w:eastAsia="lt-LT"/>
                  </w:rPr>
                </w:pPr>
                <w:r>
                  <w:rPr>
                    <w:b/>
                    <w:bCs/>
                    <w:color w:val="000000"/>
                    <w:szCs w:val="24"/>
                    <w:lang w:eastAsia="lt-LT"/>
                  </w:rPr>
                  <w:t>Ribinė vertė</w:t>
                </w:r>
              </w:p>
              <w:p>
                <w:pPr>
                  <w:suppressAutoHyphens/>
                  <w:jc w:val="center"/>
                  <w:rPr>
                    <w:color w:val="000000"/>
                    <w:szCs w:val="24"/>
                    <w:lang w:eastAsia="lt-LT"/>
                  </w:rPr>
                </w:pPr>
              </w:p>
            </w:tc>
          </w:tr>
          <w:tr>
            <w:trPr>
              <w:trHeight w:val="60"/>
            </w:trPr>
            <w:tc>
              <w:tcPr>
                <w:tcW w:w="709" w:type="dxa"/>
                <w:tcBorders>
                  <w:top w:val="single" w:sz="4" w:space="0" w:color="000000"/>
                  <w:left w:val="single" w:sz="4" w:space="0" w:color="000000"/>
                  <w:bottom w:val="single" w:sz="4" w:space="0" w:color="000000"/>
                  <w:right w:val="single" w:sz="4" w:space="0" w:color="000000"/>
                </w:tcBorders>
              </w:tcPr>
              <w:p>
                <w:pPr>
                  <w:suppressAutoHyphens/>
                  <w:jc w:val="center"/>
                  <w:rPr>
                    <w:color w:val="000000"/>
                    <w:szCs w:val="24"/>
                    <w:lang w:eastAsia="lt-LT"/>
                  </w:rPr>
                </w:pPr>
                <w:r>
                  <w:rPr>
                    <w:color w:val="000000"/>
                    <w:szCs w:val="24"/>
                    <w:lang w:eastAsia="lt-LT"/>
                  </w:rPr>
                  <w:t>1.</w:t>
                </w:r>
              </w:p>
            </w:tc>
            <w:tc>
              <w:tcPr>
                <w:tcW w:w="3969"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suppressAutoHyphens/>
                  <w:rPr>
                    <w:color w:val="000000"/>
                    <w:szCs w:val="24"/>
                    <w:lang w:eastAsia="lt-LT"/>
                  </w:rPr>
                </w:pPr>
                <w:r>
                  <w:rPr>
                    <w:color w:val="000000"/>
                    <w:szCs w:val="24"/>
                    <w:lang w:eastAsia="lt-LT"/>
                  </w:rPr>
                  <w:t>Tri(2-chloretil)fosfatas (TCEP)</w:t>
                </w:r>
              </w:p>
              <w:p>
                <w:pPr>
                  <w:suppressAutoHyphens/>
                  <w:rPr>
                    <w:color w:val="000000"/>
                    <w:szCs w:val="24"/>
                    <w:lang w:eastAsia="lt-LT"/>
                  </w:rPr>
                </w:pPr>
              </w:p>
            </w:tc>
            <w:tc>
              <w:tcPr>
                <w:tcW w:w="226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suppressAutoHyphens/>
                  <w:rPr>
                    <w:color w:val="000000"/>
                    <w:szCs w:val="24"/>
                    <w:lang w:eastAsia="lt-LT"/>
                  </w:rPr>
                </w:pPr>
                <w:r>
                  <w:rPr>
                    <w:color w:val="000000"/>
                    <w:szCs w:val="24"/>
                    <w:lang w:eastAsia="lt-LT"/>
                  </w:rPr>
                  <w:t>115-96-8</w:t>
                </w:r>
              </w:p>
              <w:p>
                <w:pPr>
                  <w:suppressAutoHyphens/>
                  <w:rPr>
                    <w:color w:val="000000"/>
                    <w:szCs w:val="24"/>
                    <w:lang w:eastAsia="lt-LT"/>
                  </w:rPr>
                </w:pPr>
              </w:p>
            </w:tc>
            <w:tc>
              <w:tcPr>
                <w:tcW w:w="283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suppressAutoHyphens/>
                  <w:rPr>
                    <w:color w:val="000000"/>
                    <w:szCs w:val="24"/>
                    <w:lang w:eastAsia="lt-LT"/>
                  </w:rPr>
                </w:pPr>
                <w:r>
                  <w:rPr>
                    <w:color w:val="000000"/>
                    <w:szCs w:val="24"/>
                    <w:lang w:eastAsia="lt-LT"/>
                  </w:rPr>
                  <w:t>5 mg/kg (ribinė kiekio vertė)</w:t>
                </w:r>
              </w:p>
            </w:tc>
          </w:tr>
          <w:tr>
            <w:trPr>
              <w:trHeight w:val="60"/>
            </w:trPr>
            <w:tc>
              <w:tcPr>
                <w:tcW w:w="709" w:type="dxa"/>
                <w:tcBorders>
                  <w:top w:val="single" w:sz="4" w:space="0" w:color="000000"/>
                  <w:left w:val="single" w:sz="4" w:space="0" w:color="000000"/>
                  <w:bottom w:val="single" w:sz="4" w:space="0" w:color="000000"/>
                  <w:right w:val="single" w:sz="4" w:space="0" w:color="000000"/>
                </w:tcBorders>
              </w:tcPr>
              <w:p>
                <w:pPr>
                  <w:suppressAutoHyphens/>
                  <w:jc w:val="center"/>
                  <w:rPr>
                    <w:color w:val="000000"/>
                    <w:szCs w:val="24"/>
                    <w:lang w:eastAsia="lt-LT"/>
                  </w:rPr>
                </w:pPr>
                <w:r>
                  <w:rPr>
                    <w:color w:val="000000"/>
                    <w:szCs w:val="24"/>
                    <w:lang w:eastAsia="lt-LT"/>
                  </w:rPr>
                  <w:t>2.</w:t>
                </w:r>
              </w:p>
            </w:tc>
            <w:tc>
              <w:tcPr>
                <w:tcW w:w="3969"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suppressAutoHyphens/>
                  <w:rPr>
                    <w:color w:val="000000"/>
                    <w:szCs w:val="24"/>
                    <w:lang w:eastAsia="lt-LT"/>
                  </w:rPr>
                </w:pPr>
                <w:r>
                  <w:rPr>
                    <w:color w:val="000000"/>
                    <w:szCs w:val="24"/>
                    <w:lang w:eastAsia="lt-LT"/>
                  </w:rPr>
                  <w:t>Tri(2-chlor-1-metiletil)fosfatas (TCPP)</w:t>
                </w:r>
              </w:p>
            </w:tc>
            <w:tc>
              <w:tcPr>
                <w:tcW w:w="226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suppressAutoHyphens/>
                  <w:rPr>
                    <w:color w:val="000000"/>
                    <w:szCs w:val="24"/>
                    <w:lang w:eastAsia="lt-LT"/>
                  </w:rPr>
                </w:pPr>
                <w:r>
                  <w:rPr>
                    <w:color w:val="000000"/>
                    <w:szCs w:val="24"/>
                    <w:lang w:eastAsia="lt-LT"/>
                  </w:rPr>
                  <w:t>13674-84-5</w:t>
                </w:r>
              </w:p>
            </w:tc>
            <w:tc>
              <w:tcPr>
                <w:tcW w:w="283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suppressAutoHyphens/>
                  <w:rPr>
                    <w:color w:val="000000"/>
                    <w:szCs w:val="24"/>
                    <w:lang w:eastAsia="lt-LT"/>
                  </w:rPr>
                </w:pPr>
                <w:r>
                  <w:rPr>
                    <w:color w:val="000000"/>
                    <w:szCs w:val="24"/>
                    <w:lang w:eastAsia="lt-LT"/>
                  </w:rPr>
                  <w:t>5 mg/kg (ribinė kiekio vertė)</w:t>
                </w:r>
              </w:p>
            </w:tc>
          </w:tr>
          <w:tr>
            <w:trPr>
              <w:trHeight w:val="60"/>
            </w:trPr>
            <w:tc>
              <w:tcPr>
                <w:tcW w:w="709" w:type="dxa"/>
                <w:tcBorders>
                  <w:top w:val="single" w:sz="4" w:space="0" w:color="000000"/>
                  <w:left w:val="single" w:sz="4" w:space="0" w:color="000000"/>
                  <w:bottom w:val="single" w:sz="4" w:space="0" w:color="000000"/>
                  <w:right w:val="single" w:sz="4" w:space="0" w:color="000000"/>
                </w:tcBorders>
              </w:tcPr>
              <w:p>
                <w:pPr>
                  <w:suppressAutoHyphens/>
                  <w:jc w:val="center"/>
                  <w:rPr>
                    <w:color w:val="000000"/>
                    <w:szCs w:val="24"/>
                    <w:lang w:eastAsia="lt-LT"/>
                  </w:rPr>
                </w:pPr>
                <w:r>
                  <w:rPr>
                    <w:color w:val="000000"/>
                    <w:szCs w:val="24"/>
                    <w:lang w:eastAsia="lt-LT"/>
                  </w:rPr>
                  <w:t>3.</w:t>
                </w:r>
              </w:p>
            </w:tc>
            <w:tc>
              <w:tcPr>
                <w:tcW w:w="3969"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suppressAutoHyphens/>
                  <w:rPr>
                    <w:color w:val="000000"/>
                    <w:szCs w:val="24"/>
                    <w:lang w:eastAsia="lt-LT"/>
                  </w:rPr>
                </w:pPr>
                <w:r>
                  <w:rPr>
                    <w:color w:val="000000"/>
                    <w:szCs w:val="24"/>
                    <w:lang w:eastAsia="lt-LT"/>
                  </w:rPr>
                  <w:t>Tri[2-chlor-1-(chlormetil)etil)]fosfatas (TDCP)</w:t>
                </w:r>
              </w:p>
            </w:tc>
            <w:tc>
              <w:tcPr>
                <w:tcW w:w="226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suppressAutoHyphens/>
                  <w:rPr>
                    <w:color w:val="000000"/>
                    <w:szCs w:val="24"/>
                    <w:lang w:eastAsia="lt-LT"/>
                  </w:rPr>
                </w:pPr>
                <w:r>
                  <w:rPr>
                    <w:color w:val="000000"/>
                    <w:szCs w:val="24"/>
                    <w:lang w:eastAsia="lt-LT"/>
                  </w:rPr>
                  <w:t>13674-87-8</w:t>
                </w:r>
              </w:p>
            </w:tc>
            <w:tc>
              <w:tcPr>
                <w:tcW w:w="283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suppressAutoHyphens/>
                  <w:rPr>
                    <w:color w:val="000000"/>
                    <w:szCs w:val="24"/>
                    <w:lang w:eastAsia="lt-LT"/>
                  </w:rPr>
                </w:pPr>
                <w:r>
                  <w:rPr>
                    <w:color w:val="000000"/>
                    <w:szCs w:val="24"/>
                    <w:lang w:eastAsia="lt-LT"/>
                  </w:rPr>
                  <w:t>5 mg/kg (ribinė kiekio vertė)</w:t>
                </w:r>
              </w:p>
            </w:tc>
          </w:tr>
          <w:tr>
            <w:trPr>
              <w:trHeight w:val="60"/>
            </w:trPr>
            <w:tc>
              <w:tcPr>
                <w:tcW w:w="709" w:type="dxa"/>
                <w:tcBorders>
                  <w:top w:val="single" w:sz="4" w:space="0" w:color="000000"/>
                  <w:left w:val="single" w:sz="4" w:space="0" w:color="000000"/>
                  <w:bottom w:val="single" w:sz="4" w:space="0" w:color="000000"/>
                  <w:right w:val="single" w:sz="4" w:space="0" w:color="000000"/>
                </w:tcBorders>
              </w:tcPr>
              <w:p>
                <w:pPr>
                  <w:suppressAutoHyphens/>
                  <w:jc w:val="center"/>
                  <w:rPr>
                    <w:color w:val="000000"/>
                    <w:szCs w:val="24"/>
                    <w:lang w:eastAsia="lt-LT"/>
                  </w:rPr>
                </w:pPr>
                <w:r>
                  <w:rPr>
                    <w:color w:val="000000"/>
                    <w:szCs w:val="24"/>
                    <w:lang w:eastAsia="lt-LT"/>
                  </w:rPr>
                  <w:t>4.</w:t>
                </w:r>
              </w:p>
            </w:tc>
            <w:tc>
              <w:tcPr>
                <w:tcW w:w="3969"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suppressAutoHyphens/>
                  <w:rPr>
                    <w:color w:val="000000"/>
                    <w:szCs w:val="24"/>
                    <w:lang w:eastAsia="lt-LT"/>
                  </w:rPr>
                </w:pPr>
                <w:r>
                  <w:rPr>
                    <w:color w:val="000000"/>
                    <w:szCs w:val="24"/>
                    <w:lang w:eastAsia="lt-LT"/>
                  </w:rPr>
                  <w:t>Bisfenolis A</w:t>
                </w:r>
              </w:p>
            </w:tc>
            <w:tc>
              <w:tcPr>
                <w:tcW w:w="226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suppressAutoHyphens/>
                  <w:rPr>
                    <w:color w:val="000000"/>
                    <w:szCs w:val="24"/>
                    <w:lang w:eastAsia="lt-LT"/>
                  </w:rPr>
                </w:pPr>
                <w:r>
                  <w:rPr>
                    <w:color w:val="000000"/>
                    <w:szCs w:val="24"/>
                    <w:lang w:val="en-US" w:eastAsia="lt-LT"/>
                  </w:rPr>
                  <w:t>80-05-07</w:t>
                </w:r>
              </w:p>
            </w:tc>
            <w:tc>
              <w:tcPr>
                <w:tcW w:w="283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suppressAutoHyphens/>
                  <w:rPr>
                    <w:color w:val="000000"/>
                    <w:szCs w:val="24"/>
                    <w:lang w:eastAsia="lt-LT"/>
                  </w:rPr>
                </w:pPr>
                <w:r>
                  <w:rPr>
                    <w:color w:val="000000"/>
                    <w:szCs w:val="24"/>
                    <w:lang w:eastAsia="lt-LT"/>
                  </w:rPr>
                  <w:t>0,04 mg/l (išsiskyrimo ribinė vertė) pagal standartuose LST EN 71-10:2006 „Žaislų sauga. 10 dalis. Organiniai cheminiai junginiai. Mėginio paruošimas ir ekstrahavimas“ ir LST EN 71-11:2005 „Žaislų sauga. 11 dalis. Organiniai cheminiai junginiai. Analizės metodai“ nustatytus metodus</w:t>
                </w:r>
              </w:p>
            </w:tc>
          </w:tr>
          <w:tr>
            <w:trPr>
              <w:trHeight w:val="60"/>
            </w:trPr>
            <w:tc>
              <w:tcPr>
                <w:tcW w:w="709" w:type="dxa"/>
                <w:tcBorders>
                  <w:top w:val="single" w:sz="4" w:space="0" w:color="000000"/>
                  <w:left w:val="single" w:sz="4" w:space="0" w:color="000000"/>
                  <w:bottom w:val="single" w:sz="4" w:space="0" w:color="000000"/>
                  <w:right w:val="single" w:sz="4" w:space="0" w:color="000000"/>
                </w:tcBorders>
              </w:tcPr>
              <w:p>
                <w:pPr>
                  <w:suppressAutoHyphens/>
                  <w:jc w:val="center"/>
                  <w:rPr>
                    <w:color w:val="000000"/>
                    <w:szCs w:val="24"/>
                    <w:lang w:eastAsia="lt-LT"/>
                  </w:rPr>
                </w:pPr>
                <w:r>
                  <w:rPr>
                    <w:color w:val="000000"/>
                    <w:szCs w:val="24"/>
                    <w:lang w:eastAsia="lt-LT"/>
                  </w:rPr>
                  <w:t>5.</w:t>
                </w:r>
              </w:p>
            </w:tc>
            <w:tc>
              <w:tcPr>
                <w:tcW w:w="3969"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suppressAutoHyphens/>
                  <w:rPr>
                    <w:color w:val="000000"/>
                    <w:szCs w:val="24"/>
                    <w:lang w:eastAsia="lt-LT"/>
                  </w:rPr>
                </w:pPr>
                <w:r>
                  <w:rPr>
                    <w:color w:val="000000"/>
                    <w:szCs w:val="24"/>
                    <w:lang w:eastAsia="lt-LT"/>
                  </w:rPr>
                  <w:t>Formamidas</w:t>
                </w:r>
              </w:p>
            </w:tc>
            <w:tc>
              <w:tcPr>
                <w:tcW w:w="226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suppressAutoHyphens/>
                  <w:rPr>
                    <w:color w:val="000000"/>
                    <w:szCs w:val="24"/>
                    <w:lang w:eastAsia="lt-LT"/>
                  </w:rPr>
                </w:pPr>
                <w:r>
                  <w:rPr>
                    <w:color w:val="000000"/>
                    <w:szCs w:val="24"/>
                    <w:lang w:eastAsia="lt-LT"/>
                  </w:rPr>
                  <w:t>75-12-7</w:t>
                </w:r>
              </w:p>
            </w:tc>
            <w:tc>
              <w:tcPr>
                <w:tcW w:w="283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suppressAutoHyphens/>
                  <w:rPr>
                    <w:color w:val="000000"/>
                    <w:szCs w:val="24"/>
                    <w:lang w:eastAsia="lt-LT"/>
                  </w:rPr>
                </w:pPr>
                <w:r>
                  <w:rPr>
                    <w:color w:val="000000"/>
                    <w:szCs w:val="24"/>
                    <w:lang w:eastAsia="lt-LT"/>
                  </w:rPr>
                  <w:t xml:space="preserve">20 </w:t>
                </w:r>
                <w:r>
                  <w:rPr>
                    <w:color w:val="000000"/>
                    <w:szCs w:val="24"/>
                    <w:lang w:val="en-US" w:eastAsia="lt-LT"/>
                  </w:rPr>
                  <w:t>μ</w:t>
                </w:r>
                <w:r>
                  <w:rPr>
                    <w:color w:val="000000"/>
                    <w:szCs w:val="24"/>
                    <w:lang w:eastAsia="lt-LT"/>
                  </w:rPr>
                  <w:t>g/m</w:t>
                </w:r>
                <w:r>
                  <w:rPr>
                    <w:color w:val="000000"/>
                    <w:szCs w:val="24"/>
                    <w:vertAlign w:val="superscript"/>
                    <w:lang w:eastAsia="lt-LT"/>
                  </w:rPr>
                  <w:t>3</w:t>
                </w:r>
                <w:r>
                  <w:rPr>
                    <w:color w:val="000000"/>
                    <w:szCs w:val="24"/>
                    <w:lang w:eastAsia="lt-LT"/>
                  </w:rPr>
                  <w:t xml:space="preserve"> (išsiskyrimo ribinė vertė) praėjus ne daugiau kaip 28 dienoms nuo žaislams skirto akytojo plastiko, kurio sudėtyje yra daugiau nei 200 mg/kg formamido (pagal kiekį nustatyta ribinė vertė), išsiskyrimo bandymo pradžios</w:t>
                </w:r>
              </w:p>
            </w:tc>
          </w:tr>
          <w:tr>
            <w:trPr>
              <w:trHeight w:val="60"/>
            </w:trPr>
            <w:tc>
              <w:tcPr>
                <w:tcW w:w="709" w:type="dxa"/>
                <w:tcBorders>
                  <w:top w:val="single" w:sz="4" w:space="0" w:color="000000"/>
                  <w:left w:val="single" w:sz="4" w:space="0" w:color="000000"/>
                  <w:bottom w:val="single" w:sz="4" w:space="0" w:color="000000"/>
                  <w:right w:val="single" w:sz="4" w:space="0" w:color="000000"/>
                </w:tcBorders>
              </w:tcPr>
              <w:p>
                <w:pPr>
                  <w:suppressAutoHyphens/>
                  <w:jc w:val="center"/>
                  <w:rPr>
                    <w:color w:val="000000"/>
                    <w:szCs w:val="24"/>
                    <w:lang w:eastAsia="lt-LT"/>
                  </w:rPr>
                </w:pPr>
                <w:r>
                  <w:rPr>
                    <w:color w:val="000000"/>
                    <w:szCs w:val="24"/>
                    <w:lang w:eastAsia="lt-LT"/>
                  </w:rPr>
                  <w:t>6.</w:t>
                </w:r>
              </w:p>
            </w:tc>
            <w:tc>
              <w:tcPr>
                <w:tcW w:w="3969"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suppressAutoHyphens/>
                  <w:rPr>
                    <w:color w:val="000000"/>
                    <w:szCs w:val="24"/>
                    <w:lang w:eastAsia="lt-LT"/>
                  </w:rPr>
                </w:pPr>
                <w:r>
                  <w:rPr>
                    <w:color w:val="000000"/>
                    <w:szCs w:val="24"/>
                    <w:lang w:val="en-US" w:eastAsia="lt-LT"/>
                  </w:rPr>
                  <w:t>1,2-benzizotiazol-3(2H)-onas</w:t>
                </w:r>
              </w:p>
            </w:tc>
            <w:tc>
              <w:tcPr>
                <w:tcW w:w="226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suppressAutoHyphens/>
                  <w:rPr>
                    <w:color w:val="000000"/>
                    <w:szCs w:val="24"/>
                    <w:lang w:eastAsia="lt-LT"/>
                  </w:rPr>
                </w:pPr>
                <w:r>
                  <w:rPr>
                    <w:color w:val="000000"/>
                    <w:szCs w:val="24"/>
                    <w:lang w:val="en-US" w:eastAsia="lt-LT"/>
                  </w:rPr>
                  <w:t>2634-33-5</w:t>
                </w:r>
              </w:p>
            </w:tc>
            <w:tc>
              <w:tcPr>
                <w:tcW w:w="283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suppressAutoHyphens/>
                  <w:rPr>
                    <w:color w:val="000000"/>
                    <w:szCs w:val="24"/>
                    <w:lang w:eastAsia="lt-LT"/>
                  </w:rPr>
                </w:pPr>
                <w:r>
                  <w:rPr>
                    <w:color w:val="000000"/>
                    <w:szCs w:val="24"/>
                    <w:lang w:eastAsia="lt-LT"/>
                  </w:rPr>
                  <w:t>5 mg/kg (ribinė kiekio vertė) vandeninėse žaislų medžiagose pagal LST EN 71-10:2006 „Žaislų sauga. 10 dalis. Organiniai cheminiai junginiai. Mėginio paruošimas ir ekstrahavimas“</w:t>
                </w:r>
                <w:r>
                  <w:rPr>
                    <w:color w:val="000000"/>
                    <w:szCs w:val="24"/>
                    <w:lang w:val="en-US" w:eastAsia="lt-LT"/>
                  </w:rPr>
                  <w:t xml:space="preserve"> ir LST EN 71-11:2005 </w:t>
                </w:r>
                <w:r>
                  <w:rPr>
                    <w:color w:val="000000"/>
                    <w:szCs w:val="24"/>
                    <w:lang w:eastAsia="lt-LT"/>
                  </w:rPr>
                  <w:t xml:space="preserve"> „Žaislų sauga. 11 dalis. Organiniai cheminiai junginiai. Analizės metodai“ </w:t>
                </w:r>
                <w:r>
                  <w:rPr>
                    <w:color w:val="000000"/>
                    <w:szCs w:val="24"/>
                    <w:lang w:val="en-US" w:eastAsia="lt-LT"/>
                  </w:rPr>
                  <w:t>nustatytus metodus</w:t>
                </w:r>
              </w:p>
            </w:tc>
          </w:tr>
          <w:tr>
            <w:trPr>
              <w:trHeight w:val="60"/>
            </w:trPr>
            <w:tc>
              <w:tcPr>
                <w:tcW w:w="709" w:type="dxa"/>
                <w:tcBorders>
                  <w:top w:val="single" w:sz="4" w:space="0" w:color="000000"/>
                  <w:left w:val="single" w:sz="4" w:space="0" w:color="000000"/>
                  <w:bottom w:val="single" w:sz="4" w:space="0" w:color="000000"/>
                  <w:right w:val="single" w:sz="4" w:space="0" w:color="000000"/>
                </w:tcBorders>
              </w:tcPr>
              <w:p>
                <w:pPr>
                  <w:suppressAutoHyphens/>
                  <w:jc w:val="center"/>
                  <w:rPr>
                    <w:color w:val="000000"/>
                    <w:szCs w:val="24"/>
                    <w:lang w:eastAsia="lt-LT"/>
                  </w:rPr>
                </w:pPr>
                <w:r>
                  <w:rPr>
                    <w:color w:val="000000"/>
                    <w:szCs w:val="24"/>
                    <w:lang w:eastAsia="lt-LT"/>
                  </w:rPr>
                  <w:t>7.</w:t>
                </w:r>
              </w:p>
            </w:tc>
            <w:tc>
              <w:tcPr>
                <w:tcW w:w="3969"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suppressAutoHyphens/>
                  <w:rPr>
                    <w:color w:val="000000"/>
                    <w:szCs w:val="24"/>
                    <w:lang w:val="en-US" w:eastAsia="lt-LT"/>
                  </w:rPr>
                </w:pPr>
                <w:r>
                  <w:rPr>
                    <w:color w:val="000000"/>
                    <w:szCs w:val="24"/>
                    <w:lang w:eastAsia="lt-LT"/>
                  </w:rPr>
                  <w:t>R</w:t>
                </w:r>
                <w:r>
                  <w:rPr>
                    <w:color w:val="000000"/>
                    <w:szCs w:val="24"/>
                    <w:lang w:val="en-US" w:eastAsia="lt-LT"/>
                  </w:rPr>
                  <w:t>eakcijos masė: 5-chlor-2-metil-4-izotiazolin-3-onas [EC Nr. 247-500-7] ir 2-metil-2H -izotiazol-3-onas [EC Nr. 220-239-6] (3:1)</w:t>
                </w:r>
              </w:p>
            </w:tc>
            <w:tc>
              <w:tcPr>
                <w:tcW w:w="226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suppressAutoHyphens/>
                  <w:rPr>
                    <w:color w:val="000000"/>
                    <w:szCs w:val="24"/>
                    <w:lang w:val="en-US" w:eastAsia="lt-LT"/>
                  </w:rPr>
                </w:pPr>
                <w:r>
                  <w:rPr>
                    <w:color w:val="000000"/>
                    <w:szCs w:val="24"/>
                    <w:lang w:val="en-US" w:eastAsia="lt-LT"/>
                  </w:rPr>
                  <w:t>55965-84-9</w:t>
                </w:r>
              </w:p>
            </w:tc>
            <w:tc>
              <w:tcPr>
                <w:tcW w:w="283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suppressAutoHyphens/>
                  <w:rPr>
                    <w:color w:val="000000"/>
                    <w:szCs w:val="24"/>
                    <w:lang w:eastAsia="lt-LT"/>
                  </w:rPr>
                </w:pPr>
                <w:r>
                  <w:rPr>
                    <w:color w:val="000000"/>
                    <w:szCs w:val="24"/>
                    <w:lang w:val="en-US" w:eastAsia="lt-LT"/>
                  </w:rPr>
                  <w:t>1 mg/kg (ribinė kiekio vertė) vandeninėse žaislų medžiagose</w:t>
                </w:r>
              </w:p>
            </w:tc>
          </w:tr>
          <w:tr>
            <w:trPr>
              <w:trHeight w:val="60"/>
            </w:trPr>
            <w:tc>
              <w:tcPr>
                <w:tcW w:w="709" w:type="dxa"/>
                <w:tcBorders>
                  <w:top w:val="single" w:sz="4" w:space="0" w:color="000000"/>
                  <w:left w:val="single" w:sz="4" w:space="0" w:color="000000"/>
                  <w:bottom w:val="single" w:sz="4" w:space="0" w:color="000000"/>
                  <w:right w:val="single" w:sz="4" w:space="0" w:color="000000"/>
                </w:tcBorders>
              </w:tcPr>
              <w:p>
                <w:pPr>
                  <w:suppressAutoHyphens/>
                  <w:jc w:val="center"/>
                  <w:rPr>
                    <w:color w:val="000000"/>
                    <w:szCs w:val="24"/>
                    <w:lang w:eastAsia="lt-LT"/>
                  </w:rPr>
                </w:pPr>
                <w:r>
                  <w:rPr>
                    <w:color w:val="000000"/>
                    <w:szCs w:val="24"/>
                    <w:lang w:eastAsia="lt-LT"/>
                  </w:rPr>
                  <w:t>8.</w:t>
                </w:r>
              </w:p>
            </w:tc>
            <w:tc>
              <w:tcPr>
                <w:tcW w:w="3969"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suppressAutoHyphens/>
                  <w:rPr>
                    <w:color w:val="000000"/>
                    <w:szCs w:val="24"/>
                    <w:lang w:eastAsia="lt-LT"/>
                  </w:rPr>
                </w:pPr>
                <w:r>
                  <w:rPr>
                    <w:color w:val="000000"/>
                    <w:szCs w:val="24"/>
                    <w:lang w:val="en-US" w:eastAsia="lt-LT"/>
                  </w:rPr>
                  <w:t>5-chlor-2-metil-izotiazolin-3(2H)-onas</w:t>
                </w:r>
              </w:p>
            </w:tc>
            <w:tc>
              <w:tcPr>
                <w:tcW w:w="226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suppressAutoHyphens/>
                  <w:rPr>
                    <w:color w:val="000000"/>
                    <w:szCs w:val="24"/>
                    <w:lang w:val="en-US" w:eastAsia="lt-LT"/>
                  </w:rPr>
                </w:pPr>
                <w:r>
                  <w:rPr>
                    <w:color w:val="000000"/>
                    <w:szCs w:val="24"/>
                    <w:lang w:val="en-US" w:eastAsia="lt-LT"/>
                  </w:rPr>
                  <w:t>26172-55-4</w:t>
                </w:r>
              </w:p>
            </w:tc>
            <w:tc>
              <w:tcPr>
                <w:tcW w:w="283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suppressAutoHyphens/>
                  <w:rPr>
                    <w:color w:val="000000"/>
                    <w:szCs w:val="24"/>
                    <w:lang w:val="en-US" w:eastAsia="lt-LT"/>
                  </w:rPr>
                </w:pPr>
                <w:r>
                  <w:rPr>
                    <w:color w:val="000000"/>
                    <w:szCs w:val="24"/>
                    <w:lang w:val="en-US" w:eastAsia="lt-LT"/>
                  </w:rPr>
                  <w:t>0,75 mg/kg (ribinė kiekio vertė) vandeninėse žaislų medžiagose</w:t>
                </w:r>
              </w:p>
            </w:tc>
          </w:tr>
          <w:tr>
            <w:trPr>
              <w:trHeight w:val="60"/>
            </w:trPr>
            <w:tc>
              <w:tcPr>
                <w:tcW w:w="709" w:type="dxa"/>
                <w:tcBorders>
                  <w:top w:val="single" w:sz="4" w:space="0" w:color="000000"/>
                  <w:left w:val="single" w:sz="4" w:space="0" w:color="000000"/>
                  <w:bottom w:val="single" w:sz="4" w:space="0" w:color="000000"/>
                  <w:right w:val="single" w:sz="4" w:space="0" w:color="000000"/>
                </w:tcBorders>
              </w:tcPr>
              <w:p>
                <w:pPr>
                  <w:suppressAutoHyphens/>
                  <w:jc w:val="center"/>
                  <w:rPr>
                    <w:color w:val="000000"/>
                    <w:szCs w:val="24"/>
                    <w:lang w:eastAsia="lt-LT"/>
                  </w:rPr>
                </w:pPr>
                <w:r>
                  <w:rPr>
                    <w:color w:val="000000"/>
                    <w:szCs w:val="24"/>
                    <w:lang w:eastAsia="lt-LT"/>
                  </w:rPr>
                  <w:t>9.</w:t>
                </w:r>
              </w:p>
            </w:tc>
            <w:tc>
              <w:tcPr>
                <w:tcW w:w="3969"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suppressAutoHyphens/>
                  <w:rPr>
                    <w:color w:val="000000"/>
                    <w:szCs w:val="24"/>
                    <w:lang w:val="en-US" w:eastAsia="lt-LT"/>
                  </w:rPr>
                </w:pPr>
                <w:r>
                  <w:rPr>
                    <w:color w:val="000000"/>
                    <w:szCs w:val="24"/>
                    <w:lang w:val="en-US" w:eastAsia="lt-LT"/>
                  </w:rPr>
                  <w:t>2-metilizotiazolin-3(2H)-onas</w:t>
                </w:r>
              </w:p>
            </w:tc>
            <w:tc>
              <w:tcPr>
                <w:tcW w:w="226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suppressAutoHyphens/>
                  <w:rPr>
                    <w:color w:val="000000"/>
                    <w:szCs w:val="24"/>
                    <w:lang w:val="en-US" w:eastAsia="lt-LT"/>
                  </w:rPr>
                </w:pPr>
                <w:r>
                  <w:rPr>
                    <w:color w:val="000000"/>
                    <w:szCs w:val="24"/>
                    <w:lang w:val="en-US" w:eastAsia="lt-LT"/>
                  </w:rPr>
                  <w:t>2682-20-4</w:t>
                </w:r>
              </w:p>
            </w:tc>
            <w:tc>
              <w:tcPr>
                <w:tcW w:w="283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suppressAutoHyphens/>
                  <w:rPr>
                    <w:color w:val="000000"/>
                    <w:szCs w:val="24"/>
                    <w:lang w:val="en-US" w:eastAsia="lt-LT"/>
                  </w:rPr>
                </w:pPr>
                <w:r>
                  <w:rPr>
                    <w:color w:val="000000"/>
                    <w:szCs w:val="24"/>
                    <w:lang w:val="en-US" w:eastAsia="lt-LT"/>
                  </w:rPr>
                  <w:t>0,25 mg/kg (ribinė kiekio vertė) vandeninėse žaislų medžiagose</w:t>
                </w:r>
              </w:p>
            </w:tc>
          </w:tr>
          <w:tr>
            <w:trPr>
              <w:trHeight w:val="60"/>
            </w:trPr>
            <w:tc>
              <w:tcPr>
                <w:tcW w:w="709" w:type="dxa"/>
                <w:tcBorders>
                  <w:top w:val="single" w:sz="4" w:space="0" w:color="000000"/>
                  <w:left w:val="single" w:sz="4" w:space="0" w:color="000000"/>
                  <w:bottom w:val="single" w:sz="4" w:space="0" w:color="000000"/>
                  <w:right w:val="single" w:sz="4" w:space="0" w:color="000000"/>
                </w:tcBorders>
              </w:tcPr>
              <w:p>
                <w:pPr>
                  <w:suppressAutoHyphens/>
                  <w:jc w:val="center"/>
                  <w:rPr>
                    <w:color w:val="000000"/>
                    <w:szCs w:val="24"/>
                    <w:lang w:eastAsia="lt-LT"/>
                  </w:rPr>
                </w:pPr>
                <w:r>
                  <w:rPr>
                    <w:color w:val="000000"/>
                    <w:szCs w:val="24"/>
                    <w:lang w:eastAsia="lt-LT"/>
                  </w:rPr>
                  <w:t>10.</w:t>
                </w:r>
              </w:p>
            </w:tc>
            <w:tc>
              <w:tcPr>
                <w:tcW w:w="3969"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suppressAutoHyphens/>
                  <w:rPr>
                    <w:color w:val="000000"/>
                    <w:szCs w:val="24"/>
                    <w:lang w:val="en-US" w:eastAsia="lt-LT"/>
                  </w:rPr>
                </w:pPr>
                <w:r>
                  <w:rPr>
                    <w:color w:val="000000"/>
                    <w:szCs w:val="24"/>
                    <w:lang w:val="en-US" w:eastAsia="lt-LT"/>
                  </w:rPr>
                  <w:t>Fenolis</w:t>
                </w:r>
              </w:p>
            </w:tc>
            <w:tc>
              <w:tcPr>
                <w:tcW w:w="226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suppressAutoHyphens/>
                  <w:rPr>
                    <w:color w:val="000000"/>
                    <w:szCs w:val="24"/>
                    <w:lang w:val="en-US" w:eastAsia="lt-LT"/>
                  </w:rPr>
                </w:pPr>
                <w:r>
                  <w:rPr>
                    <w:color w:val="000000"/>
                    <w:szCs w:val="24"/>
                    <w:lang w:val="en-US" w:eastAsia="lt-LT"/>
                  </w:rPr>
                  <w:t>108-95-2</w:t>
                </w:r>
              </w:p>
            </w:tc>
            <w:tc>
              <w:tcPr>
                <w:tcW w:w="283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suppressAutoHyphens/>
                  <w:rPr>
                    <w:color w:val="000000"/>
                    <w:szCs w:val="24"/>
                    <w:lang w:eastAsia="lt-LT"/>
                  </w:rPr>
                </w:pPr>
                <w:r>
                  <w:rPr>
                    <w:color w:val="000000"/>
                    <w:szCs w:val="24"/>
                    <w:lang w:eastAsia="lt-LT"/>
                  </w:rPr>
                  <w:t>5 mg/l (išsiskyrimo ribinė vertė) polimerinėse medžiagose pagal standartuose LST EN 71-10:2006 „Žaislų sauga. 10 dalis. Organiniai cheminiai junginiai. Mėginio paruošimas ir ekstrahavimas“ ir LST EN 71-11:2005 „Žaislų sauga. 11 dalis. Organiniai cheminiai junginiai. Analizės metodai“ nustatytus metodus.</w:t>
                </w:r>
              </w:p>
              <w:p>
                <w:pPr>
                  <w:suppressAutoHyphens/>
                  <w:rPr>
                    <w:color w:val="000000"/>
                    <w:szCs w:val="24"/>
                    <w:lang w:val="en-US" w:eastAsia="lt-LT"/>
                  </w:rPr>
                </w:pPr>
                <w:r>
                  <w:rPr>
                    <w:color w:val="000000"/>
                    <w:szCs w:val="24"/>
                    <w:lang w:eastAsia="lt-LT"/>
                  </w:rPr>
                  <w:t xml:space="preserve">10 mg/kg (ribinio kiekio vertė) kaip konservantas pagal standartuose LST EN 71-10:2006 „Žaislų sauga. 10 dalis. Organiniai cheminiai junginiai. Mėginio paruošimas ir ekstrahavimas“ ir LST EN 71-11:2005  „Žaislų sauga. 11 dalis. Organiniai cheminiai junginiai. Analizės metodai“ nustatytus metodus.</w:t>
                </w:r>
              </w:p>
            </w:tc>
          </w:tr>
          <w:tr>
            <w:trPr>
              <w:trHeight w:val="60"/>
            </w:trPr>
            <w:tc>
              <w:tcPr>
                <w:tcW w:w="709" w:type="dxa"/>
                <w:tcBorders>
                  <w:top w:val="single" w:sz="4" w:space="0" w:color="000000"/>
                  <w:left w:val="single" w:sz="4" w:space="0" w:color="000000"/>
                  <w:bottom w:val="single" w:sz="4" w:space="0" w:color="000000"/>
                  <w:right w:val="single" w:sz="4" w:space="0" w:color="000000"/>
                </w:tcBorders>
              </w:tcPr>
              <w:p>
                <w:pPr>
                  <w:suppressAutoHyphens/>
                  <w:jc w:val="center"/>
                  <w:rPr>
                    <w:color w:val="000000"/>
                    <w:szCs w:val="24"/>
                    <w:lang w:eastAsia="lt-LT"/>
                  </w:rPr>
                </w:pPr>
                <w:r>
                  <w:rPr>
                    <w:color w:val="000000"/>
                    <w:szCs w:val="24"/>
                    <w:lang w:eastAsia="lt-LT"/>
                  </w:rPr>
                  <w:t>11.</w:t>
                </w:r>
              </w:p>
            </w:tc>
            <w:tc>
              <w:tcPr>
                <w:tcW w:w="3969"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suppressAutoHyphens/>
                  <w:rPr>
                    <w:color w:val="000000"/>
                    <w:szCs w:val="24"/>
                    <w:lang w:val="en-US" w:eastAsia="lt-LT"/>
                  </w:rPr>
                </w:pPr>
                <w:r>
                  <w:rPr>
                    <w:color w:val="000000"/>
                    <w:szCs w:val="24"/>
                    <w:lang w:eastAsia="lt-LT"/>
                  </w:rPr>
                  <w:t>Formaldehidas</w:t>
                </w:r>
              </w:p>
            </w:tc>
            <w:tc>
              <w:tcPr>
                <w:tcW w:w="226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suppressAutoHyphens/>
                  <w:rPr>
                    <w:color w:val="000000"/>
                    <w:szCs w:val="24"/>
                    <w:lang w:val="en-US" w:eastAsia="lt-LT"/>
                  </w:rPr>
                </w:pPr>
                <w:r>
                  <w:rPr>
                    <w:color w:val="000000"/>
                    <w:szCs w:val="24"/>
                    <w:lang w:eastAsia="lt-LT"/>
                  </w:rPr>
                  <w:t>EB Nr. 50–00–0</w:t>
                </w:r>
              </w:p>
            </w:tc>
            <w:tc>
              <w:tcPr>
                <w:tcW w:w="283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suppressAutoHyphens/>
                  <w:rPr>
                    <w:color w:val="000000"/>
                    <w:szCs w:val="24"/>
                    <w:lang w:eastAsia="lt-LT"/>
                  </w:rPr>
                </w:pPr>
                <w:r>
                  <w:rPr>
                    <w:color w:val="000000"/>
                    <w:szCs w:val="24"/>
                    <w:lang w:eastAsia="lt-LT"/>
                  </w:rPr>
                  <w:t xml:space="preserve">1,5 mg/l (išsiskyrimo ribinė vertė) polimerinėje žaislų medžiagoje; </w:t>
                </w:r>
              </w:p>
              <w:p>
                <w:pPr>
                  <w:suppressAutoHyphens/>
                  <w:rPr>
                    <w:color w:val="000000"/>
                    <w:szCs w:val="24"/>
                    <w:lang w:eastAsia="lt-LT"/>
                  </w:rPr>
                </w:pPr>
                <w:r>
                  <w:rPr>
                    <w:color w:val="000000"/>
                    <w:szCs w:val="24"/>
                    <w:lang w:eastAsia="lt-LT"/>
                  </w:rPr>
                  <w:t>0,1 ml/m</w:t>
                </w:r>
                <w:r>
                  <w:rPr>
                    <w:color w:val="000000"/>
                    <w:szCs w:val="24"/>
                    <w:vertAlign w:val="superscript"/>
                    <w:lang w:eastAsia="lt-LT"/>
                  </w:rPr>
                  <w:t>3</w:t>
                </w:r>
                <w:r>
                  <w:rPr>
                    <w:color w:val="000000"/>
                    <w:szCs w:val="24"/>
                    <w:lang w:eastAsia="lt-LT"/>
                  </w:rPr>
                  <w:t xml:space="preserve"> (išsiskyrimo ribinė vertė) žaislų iš faneros medžiagoje;</w:t>
                </w:r>
              </w:p>
              <w:p>
                <w:pPr>
                  <w:suppressAutoHyphens/>
                  <w:rPr>
                    <w:color w:val="000000"/>
                    <w:szCs w:val="24"/>
                    <w:lang w:eastAsia="lt-LT"/>
                  </w:rPr>
                </w:pPr>
                <w:r>
                  <w:rPr>
                    <w:color w:val="000000"/>
                    <w:szCs w:val="24"/>
                    <w:lang w:eastAsia="lt-LT"/>
                  </w:rPr>
                  <w:t xml:space="preserve">30 mg/kg (ribinė kiekio vertė) tekstilės žaislų medžiagoje; </w:t>
                </w:r>
              </w:p>
              <w:p>
                <w:pPr>
                  <w:suppressAutoHyphens/>
                  <w:rPr>
                    <w:color w:val="000000"/>
                    <w:szCs w:val="24"/>
                    <w:lang w:eastAsia="lt-LT"/>
                  </w:rPr>
                </w:pPr>
                <w:r>
                  <w:rPr>
                    <w:color w:val="000000"/>
                    <w:szCs w:val="24"/>
                    <w:lang w:eastAsia="lt-LT"/>
                  </w:rPr>
                  <w:t xml:space="preserve">30 mg/kg (ribinė kiekio vertė) odinių žaislų medžiagoje; </w:t>
                </w:r>
              </w:p>
              <w:p>
                <w:pPr>
                  <w:suppressAutoHyphens/>
                  <w:rPr>
                    <w:color w:val="000000"/>
                    <w:szCs w:val="24"/>
                    <w:lang w:eastAsia="lt-LT"/>
                  </w:rPr>
                </w:pPr>
                <w:r>
                  <w:rPr>
                    <w:color w:val="000000"/>
                    <w:szCs w:val="24"/>
                    <w:lang w:eastAsia="lt-LT"/>
                  </w:rPr>
                  <w:t xml:space="preserve">30 mg/kg (ribinė kiekio vertė) popierinių žaislų medžiagoje; </w:t>
                </w:r>
              </w:p>
              <w:p>
                <w:pPr>
                  <w:suppressAutoHyphens/>
                  <w:rPr>
                    <w:color w:val="000000"/>
                    <w:szCs w:val="24"/>
                    <w:lang w:eastAsia="lt-LT"/>
                  </w:rPr>
                </w:pPr>
                <w:r>
                  <w:rPr>
                    <w:color w:val="000000"/>
                    <w:szCs w:val="24"/>
                    <w:lang w:eastAsia="lt-LT"/>
                  </w:rPr>
                  <w:t>10 mg/kg (ribinė kiekio vertė) vandeninėje žaislų medžiagoje.</w:t>
                </w:r>
              </w:p>
            </w:tc>
          </w:tr>
          <w:tr>
            <w:trPr>
              <w:trHeight w:val="60"/>
            </w:trPr>
            <w:tc>
              <w:tcPr>
                <w:tcW w:w="709" w:type="dxa"/>
                <w:tcBorders>
                  <w:top w:val="single" w:sz="4" w:space="0" w:color="000000"/>
                  <w:left w:val="single" w:sz="4" w:space="0" w:color="000000"/>
                  <w:bottom w:val="single" w:sz="4" w:space="0" w:color="000000"/>
                  <w:right w:val="single" w:sz="4" w:space="0" w:color="000000"/>
                </w:tcBorders>
              </w:tcPr>
              <w:p>
                <w:pPr>
                  <w:suppressAutoHyphens/>
                  <w:jc w:val="center"/>
                  <w:rPr>
                    <w:color w:val="000000"/>
                    <w:szCs w:val="24"/>
                    <w:lang w:eastAsia="lt-LT"/>
                  </w:rPr>
                </w:pPr>
                <w:r>
                  <w:rPr>
                    <w:color w:val="000000"/>
                    <w:szCs w:val="24"/>
                    <w:lang w:eastAsia="lt-LT"/>
                  </w:rPr>
                  <w:t>12.</w:t>
                </w:r>
              </w:p>
            </w:tc>
            <w:tc>
              <w:tcPr>
                <w:tcW w:w="3969"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suppressAutoHyphens/>
                  <w:rPr>
                    <w:color w:val="000000"/>
                    <w:szCs w:val="24"/>
                    <w:lang w:eastAsia="lt-LT"/>
                  </w:rPr>
                </w:pPr>
                <w:r>
                  <w:rPr>
                    <w:color w:val="000000"/>
                    <w:szCs w:val="24"/>
                    <w:lang w:eastAsia="lt-LT"/>
                  </w:rPr>
                  <w:t>Anilinas</w:t>
                </w:r>
              </w:p>
            </w:tc>
            <w:tc>
              <w:tcPr>
                <w:tcW w:w="226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suppressAutoHyphens/>
                  <w:rPr>
                    <w:color w:val="000000"/>
                    <w:szCs w:val="24"/>
                    <w:lang w:eastAsia="lt-LT"/>
                  </w:rPr>
                </w:pPr>
                <w:r>
                  <w:rPr>
                    <w:color w:val="000000"/>
                    <w:szCs w:val="24"/>
                    <w:lang w:eastAsia="lt-LT"/>
                  </w:rPr>
                  <w:t>62-53-3</w:t>
                </w:r>
              </w:p>
            </w:tc>
            <w:tc>
              <w:tcPr>
                <w:tcW w:w="283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suppressAutoHyphens/>
                  <w:rPr>
                    <w:color w:val="000000"/>
                    <w:szCs w:val="24"/>
                    <w:lang w:eastAsia="lt-LT"/>
                  </w:rPr>
                </w:pPr>
                <w:r>
                  <w:rPr>
                    <w:color w:val="000000"/>
                    <w:szCs w:val="24"/>
                    <w:lang w:eastAsia="lt-LT"/>
                  </w:rPr>
                  <w:t>30 mg/kg – po redukcinio skilimo tekstilės žaislų medžiagoje ir odinių žaislų medžiagoje;</w:t>
                </w:r>
              </w:p>
              <w:p>
                <w:pPr>
                  <w:suppressAutoHyphens/>
                  <w:rPr>
                    <w:color w:val="000000"/>
                    <w:szCs w:val="24"/>
                    <w:lang w:eastAsia="lt-LT"/>
                  </w:rPr>
                </w:pPr>
                <w:r>
                  <w:rPr>
                    <w:color w:val="000000"/>
                    <w:szCs w:val="24"/>
                    <w:lang w:eastAsia="lt-LT"/>
                  </w:rPr>
                  <w:t>10 mg/kg – kaip laisvasis anilinas pirštais tepamuose dažuose;</w:t>
                </w:r>
              </w:p>
              <w:p>
                <w:pPr>
                  <w:suppressAutoHyphens/>
                  <w:rPr>
                    <w:color w:val="000000"/>
                    <w:szCs w:val="24"/>
                    <w:lang w:eastAsia="lt-LT"/>
                  </w:rPr>
                </w:pPr>
                <w:r>
                  <w:rPr>
                    <w:color w:val="000000"/>
                    <w:szCs w:val="24"/>
                    <w:lang w:eastAsia="lt-LT"/>
                  </w:rPr>
                  <w:t>30 mg/kg – po redukcinio skilimo pirštais tepamuose dažuose.</w:t>
                </w:r>
              </w:p>
            </w:tc>
          </w:tr>
        </w:tbl>
        <w:p>
          <w:pPr>
            <w:ind w:firstLine="55"/>
            <w:rPr>
              <w:szCs w:val="24"/>
              <w:lang w:eastAsia="lt-LT"/>
            </w:rPr>
          </w:pPr>
        </w:p>
        <w:sdt>
          <w:sdtPr>
            <w:alias w:val="pabaiga"/>
            <w:tag w:val="part_5d3bbd10dede4d04867ddc25b411fc73"/>
            <w:lock w:val="sdtLocked"/>
            <w:richText/>
          </w:sdtPr>
          <w:sdtContent>
            <w:p>
              <w:pPr>
                <w:jc w:val="center"/>
                <w:rPr>
                  <w:color w:val="000000"/>
                </w:rPr>
              </w:pPr>
              <w:r>
                <w:t>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62b800cd4511e48c6ef0fd95c59a72">
            <w:r w:rsidRPr="00532B9F">
              <w:rPr>
                <w:rFonts w:ascii="Times New Roman" w:eastAsia="MS Mincho" w:hAnsi="Times New Roman"/>
                <w:sz w:val="20"/>
                <w:i/>
                <w:iCs/>
                <w:color w:val="0000FF" w:themeColor="hyperlink"/>
                <w:u w:val="single"/>
              </w:rPr>
              <w:t>4-142</w:t>
            </w:r>
          </w:fldSimple>
          <w:r>
            <w:rPr>
              <w:rFonts w:ascii="Times New Roman" w:eastAsia="MS Mincho" w:hAnsi="Times New Roman"/>
              <w:sz w:val="20"/>
              <w:i/>
              <w:iCs/>
            </w:rPr>
            <w:t>,
2015-03-17,
paskelbta TAR 2015-03-18, i. k. 2015-03929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416850dbea11e68d79c2033f194657">
            <w:r w:rsidRPr="00532B9F">
              <w:rPr>
                <w:rFonts w:ascii="Times New Roman" w:eastAsia="MS Mincho" w:hAnsi="Times New Roman"/>
                <w:sz w:val="20"/>
                <w:i/>
                <w:iCs/>
                <w:color w:val="0000FF" w:themeColor="hyperlink"/>
                <w:u w:val="single"/>
              </w:rPr>
              <w:t>4-24</w:t>
            </w:r>
          </w:fldSimple>
          <w:r>
            <w:rPr>
              <w:rFonts w:ascii="Times New Roman" w:eastAsia="MS Mincho" w:hAnsi="Times New Roman"/>
              <w:sz w:val="20"/>
              <w:i/>
              <w:iCs/>
            </w:rPr>
            <w:t>,
2017-01-16,
paskelbta TAR 2017-01-16, i. k. 2017-00947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8f9b708fdd11e8b93ad15b34c9248c">
            <w:r w:rsidRPr="00532B9F">
              <w:rPr>
                <w:rFonts w:ascii="Times New Roman" w:eastAsia="MS Mincho" w:hAnsi="Times New Roman"/>
                <w:sz w:val="20"/>
                <w:i/>
                <w:iCs/>
                <w:color w:val="0000FF" w:themeColor="hyperlink"/>
                <w:u w:val="single"/>
              </w:rPr>
              <w:t>4-472</w:t>
            </w:r>
          </w:fldSimple>
          <w:r>
            <w:rPr>
              <w:rFonts w:ascii="Times New Roman" w:eastAsia="MS Mincho" w:hAnsi="Times New Roman"/>
              <w:sz w:val="20"/>
              <w:i/>
              <w:iCs/>
            </w:rPr>
            <w:t>,
2018-07-25,
paskelbta TAR 2018-07-25, i. k. 2018-12375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0534e0f10b11eaa12ad7c04a383ca0">
            <w:r w:rsidRPr="00532B9F">
              <w:rPr>
                <w:rFonts w:ascii="Times New Roman" w:eastAsia="MS Mincho" w:hAnsi="Times New Roman"/>
                <w:sz w:val="20"/>
                <w:i/>
                <w:iCs/>
                <w:color w:val="0000FF" w:themeColor="hyperlink"/>
                <w:u w:val="single"/>
              </w:rPr>
              <w:t>4-756</w:t>
            </w:r>
          </w:fldSimple>
          <w:r>
            <w:rPr>
              <w:rFonts w:ascii="Times New Roman" w:eastAsia="MS Mincho" w:hAnsi="Times New Roman"/>
              <w:sz w:val="20"/>
              <w:i/>
              <w:iCs/>
            </w:rPr>
            <w:t>,
2020-09-07,
paskelbta TAR 2020-09-07, i. k. 2020-18852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2e26a01ac611ec93af8a5fb475d9bd">
            <w:r w:rsidRPr="00532B9F">
              <w:rPr>
                <w:rFonts w:ascii="Times New Roman" w:eastAsia="MS Mincho" w:hAnsi="Times New Roman"/>
                <w:sz w:val="20"/>
                <w:i/>
                <w:iCs/>
                <w:color w:val="0000FF" w:themeColor="hyperlink"/>
                <w:u w:val="single"/>
              </w:rPr>
              <w:t>4-994</w:t>
            </w:r>
          </w:fldSimple>
          <w:r>
            <w:rPr>
              <w:rFonts w:ascii="Times New Roman" w:eastAsia="MS Mincho" w:hAnsi="Times New Roman"/>
              <w:sz w:val="20"/>
              <w:i/>
              <w:iCs/>
            </w:rPr>
            <w:t>,
2021-09-21,
paskelbta TAR 2021-09-21, i. k. 2021-19774            </w:t>
          </w:r>
        </w:p>
        <w:p/>
      </w:sdtContent>
    </w:sdt>
    <w:sdt>
      <w:sdtPr>
        <w:alias w:val="6 pr."/>
        <w:tag w:val="part_73517636b8274da68d704c4673f634ce"/>
        <w:lock w:val="sdtLocked"/>
        <w:richText/>
      </w:sdtPr>
      <w:sdtContent>
        <w:p>
          <w:pPr>
            <w:widowControl w:val="0"/>
            <w:suppressAutoHyphens/>
            <w:ind w:left="5102"/>
            <w:sectPr>
              <w:pgSz w:w="11907" w:h="16840" w:code="9"/>
              <w:pgMar w:top="1134" w:right="425" w:bottom="1134" w:left="1701" w:header="567" w:footer="284" w:gutter="0"/>
              <w:pgNumType w:start="1"/>
              <w:cols w:space="1296"/>
              <w:titlePg/>
              <w:docGrid w:linePitch="360"/>
            </w:sectPr>
          </w:pPr>
        </w:p>
        <w:p>
          <w:pPr>
            <w:widowControl w:val="0"/>
            <w:suppressAutoHyphens/>
            <w:ind w:left="5102"/>
            <w:rPr>
              <w:color w:val="000000"/>
            </w:rPr>
          </w:pPr>
          <w:r>
            <w:rPr>
              <w:color w:val="000000"/>
            </w:rPr>
            <w:t>Žaislų saugos techninio reglamento</w:t>
          </w:r>
        </w:p>
        <w:p>
          <w:pPr>
            <w:widowControl w:val="0"/>
            <w:suppressAutoHyphens/>
            <w:ind w:firstLine="5102"/>
            <w:rPr>
              <w:color w:val="000000"/>
            </w:rPr>
          </w:pPr>
          <w:sdt>
            <w:sdtPr>
              <w:alias w:val="Numeris"/>
              <w:tag w:val="nr_73517636b8274da68d704c4673f634ce"/>
              <w:lock w:val="sdtLocked"/>
              <w:richText/>
            </w:sdtPr>
            <w:sdtContent>
              <w:r>
                <w:rPr>
                  <w:color w:val="000000"/>
                </w:rPr>
                <w:t>6</w:t>
              </w:r>
            </w:sdtContent>
          </w:sdt>
          <w:r>
            <w:rPr>
              <w:color w:val="000000"/>
            </w:rPr>
            <w:t xml:space="preserve"> priedas</w:t>
          </w:r>
        </w:p>
        <w:p>
          <w:pPr>
            <w:widowControl w:val="0"/>
            <w:suppressAutoHyphens/>
            <w:jc w:val="both"/>
            <w:rPr>
              <w:color w:val="000000"/>
            </w:rPr>
          </w:pPr>
        </w:p>
        <w:p>
          <w:pPr>
            <w:widowControl w:val="0"/>
            <w:suppressAutoHyphens/>
            <w:jc w:val="center"/>
            <w:rPr>
              <w:b/>
              <w:bCs/>
              <w:color w:val="000000"/>
            </w:rPr>
          </w:pPr>
          <w:sdt>
            <w:sdtPr>
              <w:alias w:val="Pavadinimas"/>
              <w:tag w:val="title_73517636b8274da68d704c4673f634ce"/>
              <w:lock w:val="sdtLocked"/>
              <w:richText/>
            </w:sdtPr>
            <w:sdtContent>
              <w:r>
                <w:rPr>
                  <w:b/>
                  <w:bCs/>
                  <w:color w:val="000000"/>
                </w:rPr>
                <w:t>(Deklaracijos formos pavyzdys)</w:t>
              </w:r>
            </w:sdtContent>
          </w:sdt>
        </w:p>
        <w:p>
          <w:pPr>
            <w:widowControl w:val="0"/>
            <w:suppressAutoHyphens/>
            <w:jc w:val="center"/>
            <w:rPr>
              <w:b/>
              <w:bCs/>
              <w:color w:val="000000"/>
            </w:rPr>
          </w:pPr>
        </w:p>
        <w:p>
          <w:pPr>
            <w:widowControl w:val="0"/>
            <w:suppressAutoHyphens/>
            <w:jc w:val="center"/>
            <w:rPr>
              <w:b/>
              <w:bCs/>
              <w:color w:val="000000"/>
            </w:rPr>
          </w:pPr>
          <w:r>
            <w:rPr>
              <w:b/>
              <w:bCs/>
              <w:color w:val="000000"/>
            </w:rPr>
            <w:t>EB ATITIKTIES DEKLARACIJA</w:t>
          </w:r>
        </w:p>
        <w:p>
          <w:pPr>
            <w:widowControl w:val="0"/>
            <w:tabs>
              <w:tab w:val="right" w:leader="dot" w:pos="9072"/>
            </w:tabs>
            <w:suppressAutoHyphens/>
            <w:jc w:val="both"/>
            <w:rPr>
              <w:color w:val="000000"/>
            </w:rPr>
          </w:pPr>
        </w:p>
        <w:p>
          <w:pPr>
            <w:widowControl w:val="0"/>
            <w:tabs>
              <w:tab w:val="right" w:leader="dot" w:pos="9072"/>
            </w:tabs>
            <w:suppressAutoHyphens/>
            <w:jc w:val="both"/>
            <w:rPr>
              <w:color w:val="000000"/>
            </w:rPr>
          </w:pPr>
          <w:r>
            <w:rPr>
              <w:color w:val="000000"/>
            </w:rPr>
            <w:t xml:space="preserve">1. </w:t>
            <w:tab/>
          </w:r>
        </w:p>
        <w:p>
          <w:pPr>
            <w:widowControl w:val="0"/>
            <w:tabs>
              <w:tab w:val="right" w:leader="dot" w:pos="9072"/>
            </w:tabs>
            <w:suppressAutoHyphens/>
            <w:jc w:val="center"/>
            <w:rPr>
              <w:color w:val="000000"/>
              <w:sz w:val="22"/>
            </w:rPr>
          </w:pPr>
          <w:r>
            <w:rPr>
              <w:color w:val="000000"/>
              <w:sz w:val="22"/>
            </w:rPr>
            <w:t>(Nr. ... (unikalus žaislo (-ų) identifikacijos numeris))</w:t>
          </w:r>
        </w:p>
        <w:p>
          <w:pPr>
            <w:widowControl w:val="0"/>
            <w:tabs>
              <w:tab w:val="right" w:leader="dot" w:pos="9072"/>
            </w:tabs>
            <w:suppressAutoHyphens/>
            <w:jc w:val="both"/>
            <w:rPr>
              <w:color w:val="000000"/>
            </w:rPr>
          </w:pPr>
        </w:p>
        <w:p>
          <w:pPr>
            <w:widowControl w:val="0"/>
            <w:tabs>
              <w:tab w:val="right" w:leader="dot" w:pos="9072"/>
            </w:tabs>
            <w:suppressAutoHyphens/>
            <w:jc w:val="both"/>
            <w:rPr>
              <w:color w:val="000000"/>
            </w:rPr>
          </w:pPr>
          <w:r>
            <w:rPr>
              <w:color w:val="000000"/>
            </w:rPr>
            <w:t xml:space="preserve">2. </w:t>
            <w:tab/>
          </w:r>
        </w:p>
        <w:p>
          <w:pPr>
            <w:widowControl w:val="0"/>
            <w:tabs>
              <w:tab w:val="right" w:leader="dot" w:pos="9072"/>
            </w:tabs>
            <w:suppressAutoHyphens/>
            <w:jc w:val="center"/>
            <w:rPr>
              <w:color w:val="000000"/>
              <w:sz w:val="22"/>
            </w:rPr>
          </w:pPr>
          <w:r>
            <w:rPr>
              <w:color w:val="000000"/>
              <w:sz w:val="22"/>
            </w:rPr>
            <w:t>(Gamintojo arba jo įgaliotojo atstovo pavadinimas ir adresas)</w:t>
          </w:r>
        </w:p>
        <w:p>
          <w:pPr>
            <w:widowControl w:val="0"/>
            <w:tabs>
              <w:tab w:val="right" w:leader="dot" w:pos="9072"/>
            </w:tabs>
            <w:suppressAutoHyphens/>
            <w:jc w:val="both"/>
            <w:rPr>
              <w:color w:val="000000"/>
            </w:rPr>
          </w:pPr>
        </w:p>
        <w:p>
          <w:pPr>
            <w:widowControl w:val="0"/>
            <w:tabs>
              <w:tab w:val="right" w:leader="dot" w:pos="9072"/>
            </w:tabs>
            <w:suppressAutoHyphens/>
            <w:jc w:val="both"/>
            <w:rPr>
              <w:color w:val="000000"/>
            </w:rPr>
          </w:pPr>
          <w:r>
            <w:rPr>
              <w:color w:val="000000"/>
            </w:rPr>
            <w:t xml:space="preserve">3. </w:t>
            <w:tab/>
          </w:r>
        </w:p>
        <w:p>
          <w:pPr>
            <w:widowControl w:val="0"/>
            <w:tabs>
              <w:tab w:val="right" w:leader="dot" w:pos="9072"/>
            </w:tabs>
            <w:suppressAutoHyphens/>
            <w:jc w:val="center"/>
            <w:rPr>
              <w:color w:val="000000"/>
              <w:sz w:val="22"/>
            </w:rPr>
          </w:pPr>
          <w:r>
            <w:rPr>
              <w:color w:val="000000"/>
              <w:sz w:val="22"/>
            </w:rPr>
            <w:t>(Ši atitikties deklaracija išduota tik gamintojo atsakomybe)</w:t>
          </w:r>
        </w:p>
        <w:p>
          <w:pPr>
            <w:widowControl w:val="0"/>
            <w:tabs>
              <w:tab w:val="right" w:leader="dot" w:pos="9072"/>
            </w:tabs>
            <w:suppressAutoHyphens/>
            <w:jc w:val="both"/>
            <w:rPr>
              <w:color w:val="000000"/>
            </w:rPr>
          </w:pPr>
        </w:p>
        <w:p>
          <w:pPr>
            <w:widowControl w:val="0"/>
            <w:tabs>
              <w:tab w:val="right" w:leader="dot" w:pos="9072"/>
            </w:tabs>
            <w:suppressAutoHyphens/>
            <w:jc w:val="both"/>
            <w:rPr>
              <w:color w:val="000000"/>
            </w:rPr>
          </w:pPr>
          <w:r>
            <w:rPr>
              <w:color w:val="000000"/>
            </w:rPr>
            <w:t xml:space="preserve">4. </w:t>
            <w:tab/>
          </w:r>
        </w:p>
        <w:p>
          <w:pPr>
            <w:widowControl w:val="0"/>
            <w:tabs>
              <w:tab w:val="right" w:leader="dot" w:pos="9072"/>
            </w:tabs>
            <w:suppressAutoHyphens/>
            <w:jc w:val="center"/>
            <w:rPr>
              <w:color w:val="000000"/>
              <w:sz w:val="22"/>
            </w:rPr>
          </w:pPr>
          <w:r>
            <w:rPr>
              <w:color w:val="000000"/>
              <w:sz w:val="22"/>
            </w:rPr>
            <w:t>(Deklaracijos objektas (žaislo identifikavimo ženklas, pagal kurį jį galima atsekti). Kartu pateikiamas žaislo spalvotas atvaizdas, pakankamai aiškus, kad būtų galima žaislą identifikuoti)</w:t>
          </w:r>
        </w:p>
        <w:p>
          <w:pPr>
            <w:widowControl w:val="0"/>
            <w:tabs>
              <w:tab w:val="right" w:leader="dot" w:pos="9072"/>
            </w:tabs>
            <w:suppressAutoHyphens/>
            <w:jc w:val="both"/>
            <w:rPr>
              <w:color w:val="000000"/>
            </w:rPr>
          </w:pPr>
        </w:p>
        <w:p>
          <w:pPr>
            <w:widowControl w:val="0"/>
            <w:tabs>
              <w:tab w:val="right" w:leader="dot" w:pos="9072"/>
            </w:tabs>
            <w:suppressAutoHyphens/>
            <w:jc w:val="both"/>
            <w:rPr>
              <w:color w:val="000000"/>
            </w:rPr>
          </w:pPr>
          <w:r>
            <w:rPr>
              <w:color w:val="000000"/>
            </w:rPr>
            <w:t xml:space="preserve">5. </w:t>
            <w:tab/>
          </w:r>
        </w:p>
        <w:p>
          <w:pPr>
            <w:widowControl w:val="0"/>
            <w:tabs>
              <w:tab w:val="right" w:leader="dot" w:pos="9072"/>
            </w:tabs>
            <w:suppressAutoHyphens/>
            <w:jc w:val="center"/>
            <w:rPr>
              <w:color w:val="000000"/>
              <w:sz w:val="22"/>
            </w:rPr>
          </w:pPr>
          <w:r>
            <w:rPr>
              <w:color w:val="000000"/>
              <w:sz w:val="22"/>
            </w:rPr>
            <w:t>(Tiesiogiai taikomi derinamieji Europos Sąjungos teisės aktai ir juos įgyvendinantys Lietuvos Respublikos teisės aktai, kuriuos atitinka 4 punkte aprašytas deklaracijos objektas)</w:t>
          </w:r>
        </w:p>
        <w:p>
          <w:pPr>
            <w:widowControl w:val="0"/>
            <w:tabs>
              <w:tab w:val="right" w:leader="dot" w:pos="9072"/>
            </w:tabs>
            <w:suppressAutoHyphens/>
            <w:jc w:val="both"/>
            <w:rPr>
              <w:color w:val="000000"/>
            </w:rPr>
          </w:pPr>
        </w:p>
        <w:p>
          <w:pPr>
            <w:widowControl w:val="0"/>
            <w:tabs>
              <w:tab w:val="right" w:leader="dot" w:pos="9072"/>
            </w:tabs>
            <w:suppressAutoHyphens/>
            <w:jc w:val="both"/>
            <w:rPr>
              <w:color w:val="000000"/>
            </w:rPr>
          </w:pPr>
          <w:r>
            <w:rPr>
              <w:color w:val="000000"/>
            </w:rPr>
            <w:t xml:space="preserve">6. </w:t>
            <w:tab/>
          </w:r>
        </w:p>
        <w:p>
          <w:pPr>
            <w:widowControl w:val="0"/>
            <w:tabs>
              <w:tab w:val="right" w:leader="dot" w:pos="9072"/>
            </w:tabs>
            <w:suppressAutoHyphens/>
            <w:jc w:val="center"/>
            <w:rPr>
              <w:color w:val="000000"/>
              <w:sz w:val="22"/>
            </w:rPr>
          </w:pPr>
          <w:r>
            <w:rPr>
              <w:color w:val="000000"/>
              <w:sz w:val="22"/>
            </w:rPr>
            <w:t>(Susijusių taikytų darniųjų standartų nuorodos arba specifikacijų, pagal kurias buvo deklaruota atitiktis, nuorodos)</w:t>
          </w:r>
        </w:p>
        <w:p>
          <w:pPr>
            <w:widowControl w:val="0"/>
            <w:tabs>
              <w:tab w:val="right" w:leader="dot" w:pos="9072"/>
            </w:tabs>
            <w:suppressAutoHyphens/>
            <w:jc w:val="both"/>
            <w:rPr>
              <w:color w:val="000000"/>
            </w:rPr>
          </w:pPr>
        </w:p>
        <w:p>
          <w:pPr>
            <w:widowControl w:val="0"/>
            <w:tabs>
              <w:tab w:val="right" w:leader="dot" w:pos="9072"/>
            </w:tabs>
            <w:suppressAutoHyphens/>
            <w:jc w:val="both"/>
            <w:rPr>
              <w:color w:val="000000"/>
            </w:rPr>
          </w:pPr>
          <w:r>
            <w:rPr>
              <w:color w:val="000000"/>
            </w:rPr>
            <w:t xml:space="preserve">7. </w:t>
            <w:tab/>
          </w:r>
        </w:p>
        <w:p>
          <w:pPr>
            <w:widowControl w:val="0"/>
            <w:tabs>
              <w:tab w:val="right" w:leader="dot" w:pos="9072"/>
            </w:tabs>
            <w:suppressAutoHyphens/>
            <w:jc w:val="center"/>
            <w:rPr>
              <w:color w:val="000000"/>
              <w:sz w:val="22"/>
            </w:rPr>
          </w:pPr>
          <w:r>
            <w:rPr>
              <w:color w:val="000000"/>
              <w:sz w:val="22"/>
            </w:rPr>
            <w:t>(Jei taikytina, notifikuotoji įstaiga (pavadinimas, numeris) atliko (dalyvavimo procese aprašymas) ir išdavė sertifikatą)</w:t>
          </w:r>
        </w:p>
        <w:p>
          <w:pPr>
            <w:widowControl w:val="0"/>
            <w:tabs>
              <w:tab w:val="right" w:leader="dot" w:pos="9072"/>
            </w:tabs>
            <w:suppressAutoHyphens/>
            <w:jc w:val="both"/>
            <w:rPr>
              <w:color w:val="000000"/>
            </w:rPr>
          </w:pPr>
        </w:p>
        <w:p>
          <w:pPr>
            <w:widowControl w:val="0"/>
            <w:tabs>
              <w:tab w:val="right" w:leader="dot" w:pos="9072"/>
            </w:tabs>
            <w:suppressAutoHyphens/>
            <w:jc w:val="both"/>
            <w:rPr>
              <w:color w:val="000000"/>
            </w:rPr>
          </w:pPr>
          <w:r>
            <w:rPr>
              <w:color w:val="000000"/>
            </w:rPr>
            <w:t>8. Papildoma informacija:</w:t>
          </w:r>
        </w:p>
        <w:p>
          <w:pPr>
            <w:widowControl w:val="0"/>
            <w:tabs>
              <w:tab w:val="right" w:leader="dot" w:pos="9072"/>
            </w:tabs>
            <w:suppressAutoHyphens/>
            <w:jc w:val="both"/>
            <w:rPr>
              <w:color w:val="000000"/>
            </w:rPr>
          </w:pPr>
          <w:r>
            <w:rPr>
              <w:color w:val="000000"/>
            </w:rPr>
            <w:t>..</w:t>
            <w:tab/>
          </w:r>
        </w:p>
        <w:p>
          <w:pPr>
            <w:widowControl w:val="0"/>
            <w:tabs>
              <w:tab w:val="right" w:leader="dot" w:pos="9072"/>
            </w:tabs>
            <w:suppressAutoHyphens/>
            <w:jc w:val="both"/>
            <w:rPr>
              <w:color w:val="000000"/>
            </w:rPr>
          </w:pPr>
          <w:r>
            <w:rPr>
              <w:color w:val="000000"/>
            </w:rPr>
            <w:t>...</w:t>
            <w:tab/>
          </w:r>
        </w:p>
        <w:p>
          <w:pPr>
            <w:widowControl w:val="0"/>
            <w:tabs>
              <w:tab w:val="right" w:leader="dot" w:pos="9072"/>
            </w:tabs>
            <w:suppressAutoHyphens/>
            <w:jc w:val="both"/>
            <w:rPr>
              <w:color w:val="000000"/>
            </w:rPr>
          </w:pPr>
          <w:r>
            <w:rPr>
              <w:color w:val="000000"/>
            </w:rPr>
            <w:t>...</w:t>
            <w:tab/>
            <w:t xml:space="preserve"> </w:t>
          </w:r>
        </w:p>
        <w:p>
          <w:pPr>
            <w:widowControl w:val="0"/>
            <w:tabs>
              <w:tab w:val="right" w:leader="dot" w:pos="9072"/>
            </w:tabs>
            <w:suppressAutoHyphens/>
            <w:jc w:val="both"/>
            <w:rPr>
              <w:color w:val="000000"/>
            </w:rPr>
          </w:pPr>
        </w:p>
        <w:p>
          <w:pPr>
            <w:widowControl w:val="0"/>
            <w:tabs>
              <w:tab w:val="right" w:leader="dot" w:pos="9072"/>
            </w:tabs>
            <w:suppressAutoHyphens/>
            <w:jc w:val="both"/>
            <w:rPr>
              <w:color w:val="000000"/>
            </w:rPr>
          </w:pPr>
          <w:r>
            <w:rPr>
              <w:color w:val="000000"/>
            </w:rPr>
            <w:t>Gamintojas ir gamintojo įgaliotas asmuo:</w:t>
          </w:r>
        </w:p>
        <w:p>
          <w:pPr>
            <w:widowControl w:val="0"/>
            <w:tabs>
              <w:tab w:val="right" w:leader="dot" w:pos="9072"/>
            </w:tabs>
            <w:suppressAutoHyphens/>
            <w:jc w:val="both"/>
            <w:rPr>
              <w:color w:val="000000"/>
            </w:rPr>
          </w:pPr>
        </w:p>
        <w:p>
          <w:pPr>
            <w:widowControl w:val="0"/>
            <w:tabs>
              <w:tab w:val="right" w:leader="dot" w:pos="9072"/>
            </w:tabs>
            <w:suppressAutoHyphens/>
            <w:jc w:val="both"/>
            <w:rPr>
              <w:color w:val="000000"/>
              <w:sz w:val="22"/>
            </w:rPr>
          </w:pPr>
          <w:r>
            <w:rPr>
              <w:color w:val="000000"/>
              <w:sz w:val="22"/>
            </w:rPr>
            <w:t>(Išdavimo vieta ir data)</w:t>
          </w:r>
        </w:p>
        <w:p>
          <w:pPr>
            <w:widowControl w:val="0"/>
            <w:tabs>
              <w:tab w:val="right" w:leader="dot" w:pos="9072"/>
            </w:tabs>
            <w:suppressAutoHyphens/>
            <w:jc w:val="both"/>
            <w:rPr>
              <w:color w:val="000000"/>
            </w:rPr>
          </w:pPr>
        </w:p>
        <w:tbl>
          <w:tblPr>
            <w:tblW w:w="9070" w:type="dxa"/>
            <w:tblLook w:val="01E0" w:firstRow="1" w:lastRow="1" w:firstColumn="1" w:lastColumn="1" w:noHBand="0" w:noVBand="0"/>
          </w:tblPr>
          <w:tblGrid>
            <w:gridCol w:w="3026"/>
            <w:gridCol w:w="3023"/>
            <w:gridCol w:w="3021"/>
          </w:tblGrid>
          <w:tr>
            <w:tc>
              <w:tcPr>
                <w:tcW w:w="3026" w:type="dxa"/>
              </w:tcPr>
              <w:p>
                <w:pPr>
                  <w:widowControl w:val="0"/>
                  <w:suppressAutoHyphens/>
                  <w:rPr>
                    <w:color w:val="000000"/>
                    <w:sz w:val="22"/>
                  </w:rPr>
                </w:pPr>
                <w:r>
                  <w:rPr>
                    <w:color w:val="000000"/>
                    <w:sz w:val="22"/>
                  </w:rPr>
                  <w:t>(Pareigos)</w:t>
                </w:r>
              </w:p>
            </w:tc>
            <w:tc>
              <w:tcPr>
                <w:tcW w:w="3023" w:type="dxa"/>
              </w:tcPr>
              <w:p>
                <w:pPr>
                  <w:widowControl w:val="0"/>
                  <w:suppressAutoHyphens/>
                  <w:jc w:val="center"/>
                  <w:rPr>
                    <w:color w:val="000000"/>
                    <w:sz w:val="22"/>
                  </w:rPr>
                </w:pPr>
                <w:r>
                  <w:rPr>
                    <w:color w:val="000000"/>
                    <w:sz w:val="22"/>
                  </w:rPr>
                  <w:t>(Parašas)</w:t>
                </w:r>
              </w:p>
            </w:tc>
            <w:tc>
              <w:tcPr>
                <w:tcW w:w="3021" w:type="dxa"/>
              </w:tcPr>
              <w:p>
                <w:pPr>
                  <w:widowControl w:val="0"/>
                  <w:suppressAutoHyphens/>
                  <w:jc w:val="center"/>
                  <w:rPr>
                    <w:color w:val="000000"/>
                    <w:sz w:val="22"/>
                  </w:rPr>
                </w:pPr>
                <w:r>
                  <w:rPr>
                    <w:color w:val="000000"/>
                    <w:sz w:val="22"/>
                  </w:rPr>
                  <w:t>(Vardas ir pavardė)</w:t>
                </w:r>
              </w:p>
            </w:tc>
          </w:tr>
        </w:tbl>
        <w:p>
          <w:pPr>
            <w:widowControl w:val="0"/>
            <w:suppressAutoHyphens/>
            <w:rPr>
              <w:color w:val="000000"/>
            </w:rPr>
          </w:pPr>
        </w:p>
        <w:sdt>
          <w:sdtPr>
            <w:alias w:val="pabaiga"/>
            <w:tag w:val="part_8f10f7858bf9403d86e05750420b7b3f"/>
            <w:lock w:val="sdtLocked"/>
            <w:richText/>
          </w:sdtPr>
          <w:sdtContent>
            <w:p>
              <w:pPr>
                <w:widowControl w:val="0"/>
                <w:suppressAutoHyphens/>
                <w:jc w:val="center"/>
                <w:rPr>
                  <w:color w:val="000000"/>
                </w:rPr>
              </w:pPr>
              <w:r>
                <w:rPr>
                  <w:color w:val="000000"/>
                </w:rPr>
                <w:t>_________________</w:t>
              </w:r>
            </w:p>
            <w:p>
              <w:pPr>
                <w:widowControl w:val="0"/>
                <w:suppressAutoHyphens/>
                <w:rPr>
                  <w:color w:val="000000"/>
                </w:rPr>
              </w:pPr>
            </w:p>
          </w:sdtContent>
        </w:sdt>
      </w:sdtContent>
    </w:sdt>
    <w:sdt>
      <w:sdtPr>
        <w:alias w:val="7 pr."/>
        <w:tag w:val="part_ccf8011a593c430d8149d611b79938a4"/>
        <w:lock w:val="sdtLocked"/>
        <w:richText/>
      </w:sdtPr>
      <w:sdtContent>
        <w:p>
          <w:pPr>
            <w:widowControl w:val="0"/>
            <w:suppressAutoHyphens/>
            <w:ind w:firstLine="5102"/>
            <w:sectPr>
              <w:pgSz w:w="11907" w:h="16840" w:code="9"/>
              <w:pgMar w:top="1134" w:right="425" w:bottom="1134" w:left="1701" w:header="567" w:footer="284" w:gutter="0"/>
              <w:pgNumType w:start="1"/>
              <w:cols w:space="1296"/>
              <w:titlePg/>
              <w:docGrid w:linePitch="360"/>
            </w:sectPr>
          </w:pPr>
        </w:p>
        <w:p>
          <w:pPr>
            <w:widowControl w:val="0"/>
            <w:suppressAutoHyphens/>
            <w:ind w:firstLine="5102"/>
          </w:pPr>
          <w:r>
            <w:rPr>
              <w:color w:val="000000"/>
            </w:rPr>
            <w:t>Žaislų saugos techninio reglamento</w:t>
          </w:r>
        </w:p>
        <w:p>
          <w:pPr>
            <w:widowControl w:val="0"/>
            <w:suppressAutoHyphens/>
            <w:ind w:firstLine="5102"/>
            <w:rPr>
              <w:color w:val="000000"/>
            </w:rPr>
          </w:pPr>
          <w:sdt>
            <w:sdtPr>
              <w:alias w:val="Numeris"/>
              <w:tag w:val="nr_ccf8011a593c430d8149d611b79938a4"/>
              <w:lock w:val="sdtLocked"/>
              <w:richText/>
            </w:sdtPr>
            <w:sdtContent>
              <w:r>
                <w:rPr>
                  <w:color w:val="000000"/>
                </w:rPr>
                <w:t>7</w:t>
              </w:r>
            </w:sdtContent>
          </w:sdt>
          <w:r>
            <w:rPr>
              <w:color w:val="000000"/>
            </w:rPr>
            <w:t xml:space="preserve"> priedas</w:t>
          </w:r>
        </w:p>
        <w:p>
          <w:pPr>
            <w:widowControl w:val="0"/>
            <w:suppressAutoHyphens/>
            <w:jc w:val="both"/>
            <w:rPr>
              <w:color w:val="000000"/>
            </w:rPr>
          </w:pPr>
        </w:p>
        <w:p>
          <w:pPr>
            <w:keepLines/>
            <w:widowControl w:val="0"/>
            <w:suppressAutoHyphens/>
            <w:jc w:val="center"/>
            <w:rPr>
              <w:b/>
              <w:bCs/>
              <w:caps/>
              <w:color w:val="000000"/>
            </w:rPr>
          </w:pPr>
          <w:sdt>
            <w:sdtPr>
              <w:alias w:val="Pavadinimas"/>
              <w:tag w:val="title_ccf8011a593c430d8149d611b79938a4"/>
              <w:lock w:val="sdtLocked"/>
              <w:richText/>
            </w:sdtPr>
            <w:sdtContent>
              <w:r>
                <w:rPr>
                  <w:b/>
                  <w:bCs/>
                  <w:caps/>
                  <w:color w:val="000000"/>
                </w:rPr>
                <w:t>TECHNINIŲ DOKUMENTŲ APRAŠAS</w:t>
              </w:r>
            </w:sdtContent>
          </w:sdt>
        </w:p>
        <w:p>
          <w:pPr>
            <w:widowControl w:val="0"/>
            <w:suppressAutoHyphens/>
            <w:jc w:val="both"/>
            <w:rPr>
              <w:color w:val="000000"/>
            </w:rPr>
          </w:pPr>
        </w:p>
        <w:sdt>
          <w:sdtPr>
            <w:alias w:val="7 pr. 1 p."/>
            <w:tag w:val="part_fbb2edfd78114868873e2c922ed125fa"/>
            <w:lock w:val="sdtLocked"/>
            <w:richText/>
          </w:sdtPr>
          <w:sdtContent>
            <w:p>
              <w:pPr>
                <w:widowControl w:val="0"/>
                <w:suppressAutoHyphens/>
                <w:ind w:firstLine="567"/>
                <w:jc w:val="both"/>
                <w:rPr>
                  <w:color w:val="000000"/>
                </w:rPr>
              </w:pPr>
              <w:sdt>
                <w:sdtPr>
                  <w:alias w:val="Numeris"/>
                  <w:tag w:val="nr_fbb2edfd78114868873e2c922ed125fa"/>
                  <w:lock w:val="sdtLocked"/>
                  <w:richText/>
                </w:sdtPr>
                <w:sdtContent>
                  <w:r>
                    <w:rPr>
                      <w:color w:val="000000"/>
                    </w:rPr>
                    <w:t>1</w:t>
                  </w:r>
                </w:sdtContent>
              </w:sdt>
              <w:r>
                <w:rPr>
                  <w:color w:val="000000"/>
                </w:rPr>
                <w:t>. Žaislų saugos techninio reglamento (toliau – Reglamentas) VIII skyriuje nurodyti techniniai dokumentai, gaminio byla, kiek tai susiję su vertinimu, turi apimti:</w:t>
              </w:r>
            </w:p>
            <w:sdt>
              <w:sdtPr>
                <w:alias w:val="7 pr. 1.1 p."/>
                <w:tag w:val="part_f239ebc4ac9446fbab5f2253238f9b12"/>
                <w:lock w:val="sdtLocked"/>
                <w:richText/>
              </w:sdtPr>
              <w:sdtContent>
                <w:p>
                  <w:pPr>
                    <w:widowControl w:val="0"/>
                    <w:suppressAutoHyphens/>
                    <w:ind w:firstLine="567"/>
                    <w:jc w:val="both"/>
                    <w:rPr>
                      <w:color w:val="000000"/>
                    </w:rPr>
                  </w:pPr>
                  <w:sdt>
                    <w:sdtPr>
                      <w:alias w:val="Numeris"/>
                      <w:tag w:val="nr_f239ebc4ac9446fbab5f2253238f9b12"/>
                      <w:lock w:val="sdtLocked"/>
                      <w:richText/>
                    </w:sdtPr>
                    <w:sdtContent>
                      <w:r>
                        <w:rPr>
                          <w:color w:val="000000"/>
                        </w:rPr>
                        <w:t>1.1</w:t>
                      </w:r>
                    </w:sdtContent>
                  </w:sdt>
                  <w:r>
                    <w:rPr>
                      <w:color w:val="000000"/>
                    </w:rPr>
                    <w:t xml:space="preserve"> išsamų konstrukcijos ir gamybos aprašą, įskaitant žaisle esančių sudedamųjų dalių ir medžiagų sąrašą ir saugos duomenų apie naudotas chemines medžiagas lapus, kuriuos turi pateikti cheminių medžiagų tiekėjai;</w:t>
                  </w:r>
                </w:p>
              </w:sdtContent>
            </w:sdt>
            <w:sdt>
              <w:sdtPr>
                <w:alias w:val="7 pr. 1.2 p."/>
                <w:tag w:val="part_f57de7a89f694029856c6cadef925195"/>
                <w:lock w:val="sdtLocked"/>
                <w:richText/>
              </w:sdtPr>
              <w:sdtContent>
                <w:p>
                  <w:pPr>
                    <w:widowControl w:val="0"/>
                    <w:suppressAutoHyphens/>
                    <w:ind w:firstLine="567"/>
                    <w:jc w:val="both"/>
                    <w:rPr>
                      <w:color w:val="000000"/>
                    </w:rPr>
                  </w:pPr>
                  <w:sdt>
                    <w:sdtPr>
                      <w:alias w:val="Numeris"/>
                      <w:tag w:val="nr_f57de7a89f694029856c6cadef925195"/>
                      <w:lock w:val="sdtLocked"/>
                      <w:richText/>
                    </w:sdtPr>
                    <w:sdtContent>
                      <w:r>
                        <w:rPr>
                          <w:color w:val="000000"/>
                        </w:rPr>
                        <w:t>1.2</w:t>
                      </w:r>
                    </w:sdtContent>
                  </w:sdt>
                  <w:r>
                    <w:rPr>
                      <w:color w:val="000000"/>
                    </w:rPr>
                    <w:t>. pagal Reglamento 28 punktą atliktą (-us) saugos vertinimą (-us);</w:t>
                  </w:r>
                </w:p>
              </w:sdtContent>
            </w:sdt>
            <w:sdt>
              <w:sdtPr>
                <w:alias w:val="7 pr. 1.3 p."/>
                <w:tag w:val="part_23d9f5f8655641de9650f552020f0338"/>
                <w:lock w:val="sdtLocked"/>
                <w:richText/>
              </w:sdtPr>
              <w:sdtContent>
                <w:p>
                  <w:pPr>
                    <w:widowControl w:val="0"/>
                    <w:suppressAutoHyphens/>
                    <w:ind w:firstLine="567"/>
                    <w:jc w:val="both"/>
                    <w:rPr>
                      <w:color w:val="000000"/>
                    </w:rPr>
                  </w:pPr>
                  <w:sdt>
                    <w:sdtPr>
                      <w:alias w:val="Numeris"/>
                      <w:tag w:val="nr_23d9f5f8655641de9650f552020f0338"/>
                      <w:lock w:val="sdtLocked"/>
                      <w:richText/>
                    </w:sdtPr>
                    <w:sdtContent>
                      <w:r>
                        <w:rPr>
                          <w:color w:val="000000"/>
                        </w:rPr>
                        <w:t>1.3</w:t>
                      </w:r>
                    </w:sdtContent>
                  </w:sdt>
                  <w:r>
                    <w:rPr>
                      <w:color w:val="000000"/>
                    </w:rPr>
                    <w:t>. taikytos atitikties procedūros vertinimą;</w:t>
                  </w:r>
                </w:p>
              </w:sdtContent>
            </w:sdt>
            <w:sdt>
              <w:sdtPr>
                <w:alias w:val="7 pr. 1.4 p."/>
                <w:tag w:val="part_7ed5cff832d44ea7aacfc3cdb1f5007c"/>
                <w:lock w:val="sdtLocked"/>
                <w:richText/>
              </w:sdtPr>
              <w:sdtContent>
                <w:p>
                  <w:pPr>
                    <w:widowControl w:val="0"/>
                    <w:suppressAutoHyphens/>
                    <w:ind w:firstLine="567"/>
                    <w:jc w:val="both"/>
                    <w:rPr>
                      <w:color w:val="000000"/>
                    </w:rPr>
                  </w:pPr>
                  <w:sdt>
                    <w:sdtPr>
                      <w:alias w:val="Numeris"/>
                      <w:tag w:val="nr_7ed5cff832d44ea7aacfc3cdb1f5007c"/>
                      <w:lock w:val="sdtLocked"/>
                      <w:richText/>
                    </w:sdtPr>
                    <w:sdtContent>
                      <w:r>
                        <w:rPr>
                          <w:color w:val="000000"/>
                        </w:rPr>
                        <w:t>1.4</w:t>
                      </w:r>
                    </w:sdtContent>
                  </w:sdt>
                  <w:r>
                    <w:rPr>
                      <w:color w:val="000000"/>
                    </w:rPr>
                    <w:t>. EB atitikties deklaracijos kopiją;</w:t>
                  </w:r>
                </w:p>
              </w:sdtContent>
            </w:sdt>
            <w:sdt>
              <w:sdtPr>
                <w:alias w:val="7 pr. 1.5 p."/>
                <w:tag w:val="part_62f01d66a8a846d7bb5dd669b4c5470c"/>
                <w:lock w:val="sdtLocked"/>
                <w:richText/>
              </w:sdtPr>
              <w:sdtContent>
                <w:p>
                  <w:pPr>
                    <w:widowControl w:val="0"/>
                    <w:suppressAutoHyphens/>
                    <w:ind w:firstLine="567"/>
                    <w:jc w:val="both"/>
                    <w:rPr>
                      <w:color w:val="000000"/>
                    </w:rPr>
                  </w:pPr>
                  <w:sdt>
                    <w:sdtPr>
                      <w:alias w:val="Numeris"/>
                      <w:tag w:val="nr_62f01d66a8a846d7bb5dd669b4c5470c"/>
                      <w:lock w:val="sdtLocked"/>
                      <w:richText/>
                    </w:sdtPr>
                    <w:sdtContent>
                      <w:r>
                        <w:rPr>
                          <w:color w:val="000000"/>
                        </w:rPr>
                        <w:t>1.5</w:t>
                      </w:r>
                    </w:sdtContent>
                  </w:sdt>
                  <w:r>
                    <w:rPr>
                      <w:color w:val="000000"/>
                    </w:rPr>
                    <w:t>. žaislų gamybos ir laikymo vietų adresus;</w:t>
                  </w:r>
                </w:p>
              </w:sdtContent>
            </w:sdt>
            <w:sdt>
              <w:sdtPr>
                <w:alias w:val="7 pr. 1.6 p."/>
                <w:tag w:val="part_e013e8897feb453696ec38bc7cdc1380"/>
                <w:lock w:val="sdtLocked"/>
                <w:richText/>
              </w:sdtPr>
              <w:sdtContent>
                <w:p>
                  <w:pPr>
                    <w:widowControl w:val="0"/>
                    <w:suppressAutoHyphens/>
                    <w:ind w:firstLine="567"/>
                    <w:jc w:val="both"/>
                    <w:rPr>
                      <w:color w:val="000000"/>
                    </w:rPr>
                  </w:pPr>
                  <w:sdt>
                    <w:sdtPr>
                      <w:alias w:val="Numeris"/>
                      <w:tag w:val="nr_e013e8897feb453696ec38bc7cdc1380"/>
                      <w:lock w:val="sdtLocked"/>
                      <w:richText/>
                    </w:sdtPr>
                    <w:sdtContent>
                      <w:r>
                        <w:rPr>
                          <w:color w:val="000000"/>
                        </w:rPr>
                        <w:t>1.6</w:t>
                      </w:r>
                    </w:sdtContent>
                  </w:sdt>
                  <w:r>
                    <w:rPr>
                      <w:color w:val="000000"/>
                    </w:rPr>
                    <w:t>. dokumentų, kuriuos gamintojas pateikė atitinkamai notifikuotajai įstaigai, kopijas;</w:t>
                  </w:r>
                </w:p>
              </w:sdtContent>
            </w:sdt>
            <w:sdt>
              <w:sdtPr>
                <w:alias w:val="7 pr. 1.7 p."/>
                <w:tag w:val="part_3fc1665344614a9e95eecbdda3702830"/>
                <w:lock w:val="sdtLocked"/>
                <w:richText/>
              </w:sdtPr>
              <w:sdtContent>
                <w:p>
                  <w:pPr>
                    <w:widowControl w:val="0"/>
                    <w:suppressAutoHyphens/>
                    <w:ind w:firstLine="567"/>
                    <w:jc w:val="both"/>
                    <w:rPr>
                      <w:color w:val="000000"/>
                    </w:rPr>
                  </w:pPr>
                  <w:sdt>
                    <w:sdtPr>
                      <w:alias w:val="Numeris"/>
                      <w:tag w:val="nr_3fc1665344614a9e95eecbdda3702830"/>
                      <w:lock w:val="sdtLocked"/>
                      <w:richText/>
                    </w:sdtPr>
                    <w:sdtContent>
                      <w:r>
                        <w:rPr>
                          <w:color w:val="000000"/>
                        </w:rPr>
                        <w:t>1.7</w:t>
                      </w:r>
                    </w:sdtContent>
                  </w:sdt>
                  <w:r>
                    <w:rPr>
                      <w:color w:val="000000"/>
                    </w:rPr>
                    <w:t>. bandymų ataskaitas ir priemonių, kuriomis gamintojas užtikrina gamybos atitiktį darniesiems standartams, aprašus, jeigu gamintojas laikėsi gamybos vidaus kontrolės procedūrų, nurodytų Reglamento 30 punkte;</w:t>
                  </w:r>
                </w:p>
              </w:sdtContent>
            </w:sdt>
            <w:sdt>
              <w:sdtPr>
                <w:alias w:val="7 pr. 1.8 p."/>
                <w:tag w:val="part_850ca7cf4b1543bfbc1f254a9d38cc5a"/>
                <w:lock w:val="sdtLocked"/>
                <w:richText/>
              </w:sdtPr>
              <w:sdtContent>
                <w:p>
                  <w:pPr>
                    <w:widowControl w:val="0"/>
                    <w:suppressAutoHyphens/>
                    <w:ind w:firstLine="567"/>
                    <w:jc w:val="both"/>
                    <w:rPr>
                      <w:color w:val="000000"/>
                    </w:rPr>
                  </w:pPr>
                  <w:sdt>
                    <w:sdtPr>
                      <w:alias w:val="Numeris"/>
                      <w:tag w:val="nr_850ca7cf4b1543bfbc1f254a9d38cc5a"/>
                      <w:lock w:val="sdtLocked"/>
                      <w:richText/>
                    </w:sdtPr>
                    <w:sdtContent>
                      <w:r>
                        <w:rPr>
                          <w:color w:val="000000"/>
                        </w:rPr>
                        <w:t>1.8</w:t>
                      </w:r>
                    </w:sdtContent>
                  </w:sdt>
                  <w:r>
                    <w:rPr>
                      <w:color w:val="000000"/>
                    </w:rPr>
                    <w:t>. EB tipo tyrimo sertifikato, nurodyto Reglamento 31 punkte, kopiją, aprašą priemonių, kuriomis gamintojas užtikrina gamybos atitiktį gaminio tipui, kaip aprašyta EB tipo tyrimo sertifikate, ir notifikuotajai įstaigai pateiktų dokumentų kopijas, jeigu gamintojas laikėsi EB tipo tyrimo ir tipo atitikties deklaracijos.</w:t>
                  </w:r>
                </w:p>
                <w:p>
                  <w:pPr>
                    <w:widowControl w:val="0"/>
                    <w:suppressAutoHyphens/>
                    <w:rPr>
                      <w:color w:val="000000"/>
                    </w:rPr>
                  </w:pPr>
                </w:p>
              </w:sdtContent>
            </w:sdt>
          </w:sdtContent>
        </w:sdt>
        <w:sdt>
          <w:sdtPr>
            <w:alias w:val="pabaiga"/>
            <w:tag w:val="part_76dae6c6d22d4f7b8072c8a71633218e"/>
            <w:lock w:val="sdtLocked"/>
            <w:richText/>
          </w:sdtPr>
          <w:sdtContent>
            <w:p>
              <w:pPr>
                <w:widowControl w:val="0"/>
                <w:suppressAutoHyphens/>
                <w:jc w:val="center"/>
                <w:rPr>
                  <w:color w:val="000000"/>
                </w:rPr>
              </w:pPr>
              <w:r>
                <w:rPr>
                  <w:color w:val="000000"/>
                </w:rPr>
                <w:t>_________________</w:t>
              </w:r>
            </w:p>
          </w:sdtContent>
        </w:sdt>
      </w:sdtContent>
    </w:sdt>
    <w:sdt>
      <w:sdtPr>
        <w:alias w:val="8 pr."/>
        <w:tag w:val="part_28c80cde400d4f9fbc4ce75ec3a3f84d"/>
        <w:lock w:val="sdtLocked"/>
        <w:richText/>
      </w:sdtPr>
      <w:sdtContent>
        <w:p>
          <w:pPr>
            <w:widowControl w:val="0"/>
            <w:suppressAutoHyphens/>
            <w:ind w:left="5102"/>
            <w:sectPr>
              <w:pgSz w:w="11907" w:h="16840" w:code="9"/>
              <w:pgMar w:top="1134" w:right="425" w:bottom="1134" w:left="1701" w:header="567" w:footer="284" w:gutter="0"/>
              <w:pgNumType w:start="1"/>
              <w:cols w:space="1296"/>
              <w:titlePg/>
              <w:docGrid w:linePitch="360"/>
            </w:sectPr>
          </w:pPr>
        </w:p>
        <w:p>
          <w:pPr>
            <w:widowControl w:val="0"/>
            <w:suppressAutoHyphens/>
            <w:ind w:left="5102"/>
            <w:rPr>
              <w:color w:val="000000"/>
            </w:rPr>
          </w:pPr>
          <w:r>
            <w:rPr>
              <w:color w:val="000000"/>
            </w:rPr>
            <w:t>Žaislų saugos techninio reglamento</w:t>
          </w:r>
        </w:p>
        <w:p>
          <w:pPr>
            <w:widowControl w:val="0"/>
            <w:suppressAutoHyphens/>
            <w:ind w:firstLine="5102"/>
            <w:rPr>
              <w:color w:val="000000"/>
            </w:rPr>
          </w:pPr>
          <w:sdt>
            <w:sdtPr>
              <w:alias w:val="Numeris"/>
              <w:tag w:val="nr_28c80cde400d4f9fbc4ce75ec3a3f84d"/>
              <w:lock w:val="sdtLocked"/>
              <w:richText/>
            </w:sdtPr>
            <w:sdtContent>
              <w:r>
                <w:rPr>
                  <w:color w:val="000000"/>
                </w:rPr>
                <w:t>8</w:t>
              </w:r>
            </w:sdtContent>
          </w:sdt>
          <w:r>
            <w:rPr>
              <w:color w:val="000000"/>
            </w:rPr>
            <w:t xml:space="preserve"> priedas</w:t>
          </w:r>
        </w:p>
        <w:p>
          <w:pPr>
            <w:widowControl w:val="0"/>
            <w:suppressAutoHyphens/>
            <w:jc w:val="both"/>
            <w:rPr>
              <w:color w:val="000000"/>
            </w:rPr>
          </w:pPr>
        </w:p>
        <w:p>
          <w:pPr>
            <w:widowControl w:val="0"/>
            <w:suppressAutoHyphens/>
            <w:jc w:val="center"/>
            <w:rPr>
              <w:b/>
              <w:bCs/>
              <w:caps/>
              <w:color w:val="000000"/>
            </w:rPr>
          </w:pPr>
          <w:sdt>
            <w:sdtPr>
              <w:alias w:val="Pavadinimas"/>
              <w:tag w:val="title_28c80cde400d4f9fbc4ce75ec3a3f84d"/>
              <w:lock w:val="sdtLocked"/>
              <w:richText/>
            </w:sdtPr>
            <w:sdtContent>
              <w:r>
                <w:rPr>
                  <w:b/>
                  <w:bCs/>
                  <w:caps/>
                  <w:color w:val="000000"/>
                </w:rPr>
                <w:t>ĮSPĖJIMŲ, NURODYTŲ ŽAISLŲ SAUGOS TECHNINIO REGLAMENTO 14 PUNKTE, APRAŠAS</w:t>
              </w:r>
            </w:sdtContent>
          </w:sdt>
        </w:p>
        <w:p>
          <w:pPr>
            <w:widowControl w:val="0"/>
            <w:suppressAutoHyphens/>
            <w:jc w:val="center"/>
            <w:rPr>
              <w:b/>
              <w:bCs/>
              <w:caps/>
              <w:color w:val="000000"/>
            </w:rPr>
          </w:pPr>
        </w:p>
        <w:sdt>
          <w:sdtPr>
            <w:alias w:val="skyrius"/>
            <w:tag w:val="part_13968421d19a4a44abc29675feee9e25"/>
            <w:lock w:val="sdtLocked"/>
            <w:richText/>
          </w:sdtPr>
          <w:sdtContent>
            <w:p>
              <w:pPr>
                <w:widowControl w:val="0"/>
                <w:suppressAutoHyphens/>
                <w:jc w:val="center"/>
                <w:rPr>
                  <w:b/>
                  <w:bCs/>
                  <w:caps/>
                  <w:color w:val="000000"/>
                </w:rPr>
              </w:pPr>
              <w:sdt>
                <w:sdtPr>
                  <w:alias w:val="Numeris"/>
                  <w:tag w:val="nr_13968421d19a4a44abc29675feee9e25"/>
                  <w:lock w:val="sdtLocked"/>
                  <w:richText/>
                </w:sdtPr>
                <w:sdtContent>
                  <w:r>
                    <w:rPr>
                      <w:b/>
                      <w:bCs/>
                      <w:caps/>
                      <w:color w:val="000000"/>
                    </w:rPr>
                    <w:t>I</w:t>
                  </w:r>
                </w:sdtContent>
              </w:sdt>
              <w:r>
                <w:rPr>
                  <w:b/>
                  <w:bCs/>
                  <w:caps/>
                  <w:color w:val="000000"/>
                </w:rPr>
                <w:t xml:space="preserve"> SKYRIUS</w:t>
              </w:r>
            </w:p>
            <w:p>
              <w:pPr>
                <w:widowControl w:val="0"/>
                <w:suppressAutoHyphens/>
                <w:jc w:val="center"/>
                <w:rPr>
                  <w:b/>
                  <w:bCs/>
                  <w:caps/>
                  <w:color w:val="000000"/>
                </w:rPr>
              </w:pPr>
              <w:r>
                <w:rPr>
                  <w:b/>
                  <w:bCs/>
                  <w:caps/>
                  <w:color w:val="000000"/>
                </w:rPr>
                <w:t xml:space="preserve"> </w:t>
              </w:r>
              <w:sdt>
                <w:sdtPr>
                  <w:alias w:val="Pavadinimas"/>
                  <w:tag w:val="title_13968421d19a4a44abc29675feee9e25"/>
                  <w:lock w:val="sdtLocked"/>
                  <w:richText/>
                </w:sdtPr>
                <w:sdtContent>
                  <w:r>
                    <w:rPr>
                      <w:b/>
                      <w:bCs/>
                      <w:caps/>
                      <w:color w:val="000000"/>
                    </w:rPr>
                    <w:t xml:space="preserve">BENDRO POBŪDŽIO ĮSPĖJIMAI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8f9b708fdd11e8b93ad15b34c9248c">
                <w:r w:rsidRPr="00532B9F">
                  <w:rPr>
                    <w:rFonts w:ascii="Times New Roman" w:eastAsia="MS Mincho" w:hAnsi="Times New Roman"/>
                    <w:sz w:val="20"/>
                    <w:i/>
                    <w:iCs/>
                    <w:color w:val="0000FF" w:themeColor="hyperlink"/>
                    <w:u w:val="single"/>
                  </w:rPr>
                  <w:t>4-472</w:t>
                </w:r>
              </w:fldSimple>
              <w:r>
                <w:rPr>
                  <w:rFonts w:ascii="Times New Roman" w:eastAsia="MS Mincho" w:hAnsi="Times New Roman"/>
                  <w:sz w:val="20"/>
                  <w:i/>
                  <w:iCs/>
                </w:rPr>
                <w:t>,
2018-07-25,
paskelbta TAR 2018-07-25, i. k. 2018-12375        </w:t>
              </w:r>
            </w:p>
            <w:p/>
            <w:sdt>
              <w:sdtPr>
                <w:alias w:val="8 pr. 1 p."/>
                <w:tag w:val="part_b00e6cd9f2ec437298c9917b96c2b3ab"/>
                <w:lock w:val="sdtLocked"/>
                <w:richText/>
              </w:sdtPr>
              <w:sdtContent>
                <w:p>
                  <w:pPr>
                    <w:widowControl w:val="0"/>
                    <w:suppressAutoHyphens/>
                    <w:ind w:firstLine="567"/>
                    <w:jc w:val="both"/>
                    <w:rPr>
                      <w:color w:val="000000"/>
                    </w:rPr>
                  </w:pPr>
                  <w:sdt>
                    <w:sdtPr>
                      <w:alias w:val="Numeris"/>
                      <w:tag w:val="nr_b00e6cd9f2ec437298c9917b96c2b3ab"/>
                      <w:lock w:val="sdtLocked"/>
                      <w:richText/>
                    </w:sdtPr>
                    <w:sdtContent>
                      <w:r>
                        <w:rPr>
                          <w:color w:val="000000"/>
                        </w:rPr>
                        <w:t>1</w:t>
                      </w:r>
                    </w:sdtContent>
                  </w:sdt>
                  <w:r>
                    <w:rPr>
                      <w:color w:val="000000"/>
                    </w:rPr>
                    <w:t>. Įspėjimų, nurodytų Žaislų saugos techninio reglamento 14 punkte, aprašas (toliau – Aprašas) nustato reikalavimus bendro pobūdžio ir specialiems įspėjimams bei nustato, kokių atsargumo priemonių reikia laikytis naudojant tam tikrų kategorijų žaislus.</w:t>
                  </w:r>
                </w:p>
              </w:sdtContent>
            </w:sdt>
            <w:sdt>
              <w:sdtPr>
                <w:alias w:val="8 pr. 2 p."/>
                <w:tag w:val="part_28e5ca80db4e43e5936dd5103f186d44"/>
                <w:lock w:val="sdtLocked"/>
                <w:richText/>
              </w:sdtPr>
              <w:sdtContent>
                <w:p>
                  <w:pPr>
                    <w:widowControl w:val="0"/>
                    <w:suppressAutoHyphens/>
                    <w:ind w:firstLine="567"/>
                    <w:jc w:val="both"/>
                    <w:rPr>
                      <w:color w:val="000000"/>
                    </w:rPr>
                  </w:pPr>
                  <w:sdt>
                    <w:sdtPr>
                      <w:alias w:val="Numeris"/>
                      <w:tag w:val="nr_28e5ca80db4e43e5936dd5103f186d44"/>
                      <w:lock w:val="sdtLocked"/>
                      <w:richText/>
                    </w:sdtPr>
                    <w:sdtContent>
                      <w:r>
                        <w:rPr>
                          <w:color w:val="000000"/>
                          <w:sz w:val="23"/>
                          <w:szCs w:val="23"/>
                        </w:rPr>
                        <w:t>2</w:t>
                      </w:r>
                    </w:sdtContent>
                  </w:sdt>
                  <w:r>
                    <w:rPr>
                      <w:color w:val="000000"/>
                      <w:sz w:val="23"/>
                      <w:szCs w:val="23"/>
                    </w:rPr>
                    <w:t>. Žaislų saugos techninio reglamento (toliau – Reglamentas) 14.1, 14.2 ir 14.3 papunkčiuose nurodyti apribojimai turi apimti bent minimalų ir maksimalų naudotojų amžių ir tam tikrais atvejais žaislo naudotojų gebėjimą, maksimalų ar minimalų naudotojų svorį ir būtinybę užtikrinti, kad žaislas būtų naudojamas tik prižiūrint suaugusiesiems.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8f9b708fdd11e8b93ad15b34c9248c">
                    <w:r w:rsidRPr="00532B9F">
                      <w:rPr>
                        <w:rFonts w:ascii="Times New Roman" w:eastAsia="MS Mincho" w:hAnsi="Times New Roman"/>
                        <w:sz w:val="20"/>
                        <w:i/>
                        <w:iCs/>
                        <w:color w:val="0000FF" w:themeColor="hyperlink"/>
                        <w:u w:val="single"/>
                      </w:rPr>
                      <w:t>4-472</w:t>
                    </w:r>
                  </w:fldSimple>
                  <w:r>
                    <w:rPr>
                      <w:rFonts w:ascii="Times New Roman" w:eastAsia="MS Mincho" w:hAnsi="Times New Roman"/>
                      <w:sz w:val="20"/>
                      <w:i/>
                      <w:iCs/>
                    </w:rPr>
                    <w:t>,
2018-07-25,
paskelbta TAR 2018-07-25, i. k. 2018-12375            </w:t>
                  </w:r>
                </w:p>
                <w:p/>
              </w:sdtContent>
            </w:sdt>
          </w:sdtContent>
        </w:sdt>
        <w:sdt>
          <w:sdtPr>
            <w:alias w:val="skyrius"/>
            <w:tag w:val="part_6b539d7b8d0d4c8f853fa8cc256ac77d"/>
            <w:lock w:val="sdtLocked"/>
            <w:richText/>
          </w:sdtPr>
          <w:sdtContent>
            <w:p>
              <w:pPr>
                <w:keepLines/>
                <w:widowControl w:val="0"/>
                <w:suppressAutoHyphens/>
                <w:jc w:val="center"/>
                <w:rPr>
                  <w:b/>
                  <w:bCs/>
                  <w:caps/>
                  <w:color w:val="000000"/>
                </w:rPr>
              </w:pPr>
              <w:sdt>
                <w:sdtPr>
                  <w:alias w:val="Numeris"/>
                  <w:tag w:val="nr_6b539d7b8d0d4c8f853fa8cc256ac77d"/>
                  <w:lock w:val="sdtLocked"/>
                  <w:richText/>
                </w:sdtPr>
                <w:sdtContent>
                  <w:r>
                    <w:rPr>
                      <w:b/>
                      <w:bCs/>
                      <w:caps/>
                      <w:color w:val="000000"/>
                    </w:rPr>
                    <w:t>II</w:t>
                  </w:r>
                </w:sdtContent>
              </w:sdt>
              <w:r>
                <w:rPr>
                  <w:b/>
                  <w:bCs/>
                  <w:caps/>
                  <w:color w:val="000000"/>
                </w:rPr>
                <w:t xml:space="preserve"> SKYRIUS</w:t>
              </w:r>
            </w:p>
            <w:p>
              <w:pPr>
                <w:keepLines/>
                <w:widowControl w:val="0"/>
                <w:suppressAutoHyphens/>
                <w:jc w:val="center"/>
                <w:rPr>
                  <w:b/>
                  <w:bCs/>
                  <w:caps/>
                  <w:color w:val="000000"/>
                </w:rPr>
              </w:pPr>
              <w:r>
                <w:rPr>
                  <w:b/>
                  <w:bCs/>
                  <w:caps/>
                  <w:color w:val="000000"/>
                </w:rPr>
                <w:t xml:space="preserve"> </w:t>
              </w:r>
              <w:sdt>
                <w:sdtPr>
                  <w:alias w:val="Pavadinimas"/>
                  <w:tag w:val="title_6b539d7b8d0d4c8f853fa8cc256ac77d"/>
                  <w:lock w:val="sdtLocked"/>
                  <w:richText/>
                </w:sdtPr>
                <w:sdtContent>
                  <w:r>
                    <w:rPr>
                      <w:b/>
                      <w:bCs/>
                      <w:caps/>
                      <w:color w:val="000000"/>
                    </w:rPr>
                    <w:t xml:space="preserve">SPECIALŪS ĮSPĖJIMAI IR NURODYMAI, KOKIŲ ATSARGUMO PRIEMONIŲ REIKIA LAIKYTIS NAUDOJANT TAM TIKRŲ KATEGORIJŲ ŽAISLUS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8f9b708fdd11e8b93ad15b34c9248c">
                <w:r w:rsidRPr="00532B9F">
                  <w:rPr>
                    <w:rFonts w:ascii="Times New Roman" w:eastAsia="MS Mincho" w:hAnsi="Times New Roman"/>
                    <w:sz w:val="20"/>
                    <w:i/>
                    <w:iCs/>
                    <w:color w:val="0000FF" w:themeColor="hyperlink"/>
                    <w:u w:val="single"/>
                  </w:rPr>
                  <w:t>4-472</w:t>
                </w:r>
              </w:fldSimple>
              <w:r>
                <w:rPr>
                  <w:rFonts w:ascii="Times New Roman" w:eastAsia="MS Mincho" w:hAnsi="Times New Roman"/>
                  <w:sz w:val="20"/>
                  <w:i/>
                  <w:iCs/>
                </w:rPr>
                <w:t>,
2018-07-25,
paskelbta TAR 2018-07-25, i. k. 2018-12375        </w:t>
              </w:r>
            </w:p>
            <w:p/>
            <w:sdt>
              <w:sdtPr>
                <w:alias w:val="8 pr. 3 p."/>
                <w:tag w:val="part_70111487909b42ceaf31c4a83f6dfcc1"/>
                <w:lock w:val="sdtLocked"/>
                <w:richText/>
              </w:sdtPr>
              <w:sdtContent>
                <w:p>
                  <w:pPr>
                    <w:widowControl w:val="0"/>
                    <w:suppressAutoHyphens/>
                    <w:ind w:firstLine="567"/>
                    <w:jc w:val="both"/>
                    <w:rPr>
                      <w:color w:val="000000"/>
                    </w:rPr>
                  </w:pPr>
                  <w:sdt>
                    <w:sdtPr>
                      <w:alias w:val="Numeris"/>
                      <w:tag w:val="nr_70111487909b42ceaf31c4a83f6dfcc1"/>
                      <w:lock w:val="sdtLocked"/>
                      <w:richText/>
                    </w:sdtPr>
                    <w:sdtContent>
                      <w:r>
                        <w:rPr>
                          <w:color w:val="000000"/>
                        </w:rPr>
                        <w:t>3</w:t>
                      </w:r>
                    </w:sdtContent>
                  </w:sdt>
                  <w:r>
                    <w:rPr>
                      <w:color w:val="000000"/>
                    </w:rPr>
                    <w:t>. Žaislams, kurie nėra skirti vaikams iki 36 mėnesių:</w:t>
                  </w:r>
                </w:p>
                <w:sdt>
                  <w:sdtPr>
                    <w:alias w:val="8 pr. 3.1 p."/>
                    <w:tag w:val="part_c80741e1642f4af5a0b0606eb5576e0d"/>
                    <w:lock w:val="sdtLocked"/>
                    <w:richText/>
                  </w:sdtPr>
                  <w:sdtContent>
                    <w:p>
                      <w:pPr>
                        <w:widowControl w:val="0"/>
                        <w:suppressAutoHyphens/>
                        <w:ind w:firstLine="567"/>
                        <w:jc w:val="both"/>
                        <w:rPr>
                          <w:color w:val="000000"/>
                        </w:rPr>
                      </w:pPr>
                      <w:sdt>
                        <w:sdtPr>
                          <w:alias w:val="Numeris"/>
                          <w:tag w:val="nr_c80741e1642f4af5a0b0606eb5576e0d"/>
                          <w:lock w:val="sdtLocked"/>
                          <w:richText/>
                        </w:sdtPr>
                        <w:sdtContent>
                          <w:r>
                            <w:rPr>
                              <w:color w:val="000000"/>
                            </w:rPr>
                            <w:t>3.1</w:t>
                          </w:r>
                        </w:sdtContent>
                      </w:sdt>
                      <w:r>
                        <w:rPr>
                          <w:color w:val="000000"/>
                        </w:rPr>
                        <w:t>. Ant žaislų, kurie galėtų būti pavojingi vaikams iki 36 mėnesių, turi būti nurodytas įspėjimas: „Netinka vaikams iki 36 mėnesių“ arba „Netinka vaikams iki 3 metų“, arba šio paveiksliuko formos įspėjimas:</w:t>
                      </w:r>
                    </w:p>
                    <w:p>
                      <w:pPr>
                        <w:widowControl w:val="0"/>
                        <w:suppressAutoHyphens/>
                        <w:ind w:firstLine="567"/>
                        <w:jc w:val="both"/>
                        <w:rPr>
                          <w:color w:val="000000"/>
                        </w:rPr>
                      </w:pPr>
                    </w:p>
                    <w:p>
                      <w:pPr>
                        <w:widowControl w:val="0"/>
                        <w:suppressAutoHyphens/>
                        <w:jc w:val="center"/>
                      </w:pPr>
                      <w:r>
                        <w:rPr>
                          <w:lang w:eastAsia="lt-LT"/>
                        </w:rPr>
                        <w:drawing>
                          <wp:inline distT="0" distB="0" distL="0" distR="0">
                            <wp:extent cx="923925" cy="82867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923925" cy="828675"/>
                                    </a:xfrm>
                                    <a:prstGeom prst="rect">
                                      <a:avLst/>
                                    </a:prstGeom>
                                    <a:noFill/>
                                    <a:ln>
                                      <a:noFill/>
                                    </a:ln>
                                  </pic:spPr>
                                </pic:pic>
                              </a:graphicData>
                            </a:graphic>
                          </wp:inline>
                        </w:drawing>
                      </w:r>
                    </w:p>
                    <w:p>
                      <w:pPr>
                        <w:widowControl w:val="0"/>
                        <w:suppressAutoHyphens/>
                        <w:jc w:val="center"/>
                        <w:rPr>
                          <w:vanish/>
                          <w:color w:val="000000"/>
                        </w:rPr>
                      </w:pPr>
                      <w:r>
                        <w:rPr>
                          <w:vanish/>
                        </w:rPr>
                        <w:t>(pav.)</w:t>
                      </w:r>
                    </w:p>
                    <w:p>
                      <w:pPr>
                        <w:widowControl w:val="0"/>
                        <w:suppressAutoHyphens/>
                        <w:ind w:firstLine="567"/>
                        <w:jc w:val="both"/>
                        <w:rPr>
                          <w:color w:val="000000"/>
                        </w:rPr>
                      </w:pPr>
                    </w:p>
                  </w:sdtContent>
                </w:sdt>
                <w:sdt>
                  <w:sdtPr>
                    <w:alias w:val="8 pr. 3.2 p."/>
                    <w:tag w:val="part_8a375ca09a81409ca9f9ec07daa172d7"/>
                    <w:lock w:val="sdtLocked"/>
                    <w:richText/>
                  </w:sdtPr>
                  <w:sdtContent>
                    <w:p>
                      <w:pPr>
                        <w:widowControl w:val="0"/>
                        <w:suppressAutoHyphens/>
                        <w:ind w:firstLine="567"/>
                        <w:jc w:val="both"/>
                        <w:rPr>
                          <w:color w:val="000000"/>
                        </w:rPr>
                      </w:pPr>
                      <w:sdt>
                        <w:sdtPr>
                          <w:alias w:val="Numeris"/>
                          <w:tag w:val="nr_8a375ca09a81409ca9f9ec07daa172d7"/>
                          <w:lock w:val="sdtLocked"/>
                          <w:richText/>
                        </w:sdtPr>
                        <w:sdtContent>
                          <w:r>
                            <w:rPr>
                              <w:color w:val="000000"/>
                            </w:rPr>
                            <w:t>3.2</w:t>
                          </w:r>
                        </w:sdtContent>
                      </w:sdt>
                      <w:r>
                        <w:rPr>
                          <w:color w:val="000000"/>
                        </w:rPr>
                        <w:t>. Kartu su įspėjimais turi būti trumpai nurodytas konkretus pavojus – jis gali būti nurodytas ir naudojimo instrukcijoje.</w:t>
                      </w:r>
                    </w:p>
                  </w:sdtContent>
                </w:sdt>
                <w:sdt>
                  <w:sdtPr>
                    <w:alias w:val="8 pr. 3.3 p."/>
                    <w:tag w:val="part_3664b40011e64131b8e63b76fcc16956"/>
                    <w:lock w:val="sdtLocked"/>
                    <w:richText/>
                  </w:sdtPr>
                  <w:sdtContent>
                    <w:p>
                      <w:pPr>
                        <w:widowControl w:val="0"/>
                        <w:suppressAutoHyphens/>
                        <w:ind w:firstLine="567"/>
                        <w:jc w:val="both"/>
                        <w:rPr>
                          <w:color w:val="000000"/>
                        </w:rPr>
                      </w:pPr>
                      <w:sdt>
                        <w:sdtPr>
                          <w:alias w:val="Numeris"/>
                          <w:tag w:val="nr_3664b40011e64131b8e63b76fcc16956"/>
                          <w:lock w:val="sdtLocked"/>
                          <w:richText/>
                        </w:sdtPr>
                        <w:sdtContent>
                          <w:r>
                            <w:rPr>
                              <w:color w:val="000000"/>
                            </w:rPr>
                            <w:t>3.3</w:t>
                          </w:r>
                        </w:sdtContent>
                      </w:sdt>
                      <w:r>
                        <w:rPr>
                          <w:color w:val="000000"/>
                        </w:rPr>
                        <w:t>. Šie punktai netaikomi žaislams, kurie pagal savo paskirtį, matmenis, požymius, savybes ar kitokiu neginčijamu pagrindu yra akivaizdžiai netinkami vaikams iki 36 mėnesių.</w:t>
                      </w:r>
                    </w:p>
                  </w:sdtContent>
                </w:sdt>
              </w:sdtContent>
            </w:sdt>
            <w:sdt>
              <w:sdtPr>
                <w:alias w:val="8 pr. 4 p."/>
                <w:tag w:val="part_6de45603d6794f3eb1b37a81156b12a5"/>
                <w:lock w:val="sdtLocked"/>
                <w:richText/>
              </w:sdtPr>
              <w:sdtContent>
                <w:p>
                  <w:pPr>
                    <w:widowControl w:val="0"/>
                    <w:suppressAutoHyphens/>
                    <w:ind w:firstLine="567"/>
                    <w:jc w:val="both"/>
                    <w:rPr>
                      <w:color w:val="000000"/>
                    </w:rPr>
                  </w:pPr>
                  <w:sdt>
                    <w:sdtPr>
                      <w:alias w:val="Numeris"/>
                      <w:tag w:val="nr_6de45603d6794f3eb1b37a81156b12a5"/>
                      <w:lock w:val="sdtLocked"/>
                      <w:richText/>
                    </w:sdtPr>
                    <w:sdtContent>
                      <w:r>
                        <w:rPr>
                          <w:color w:val="000000"/>
                        </w:rPr>
                        <w:t>4</w:t>
                      </w:r>
                    </w:sdtContent>
                  </w:sdt>
                  <w:r>
                    <w:rPr>
                      <w:color w:val="000000"/>
                    </w:rPr>
                    <w:t>. Judrumo žaislams:</w:t>
                  </w:r>
                </w:p>
                <w:sdt>
                  <w:sdtPr>
                    <w:alias w:val="8 pr. 4.1 p."/>
                    <w:tag w:val="part_6bc67109320a4444a4c1f40fb241645a"/>
                    <w:lock w:val="sdtLocked"/>
                    <w:richText/>
                  </w:sdtPr>
                  <w:sdtContent>
                    <w:p>
                      <w:pPr>
                        <w:widowControl w:val="0"/>
                        <w:suppressAutoHyphens/>
                        <w:ind w:firstLine="567"/>
                        <w:jc w:val="both"/>
                        <w:rPr>
                          <w:color w:val="000000"/>
                        </w:rPr>
                      </w:pPr>
                      <w:sdt>
                        <w:sdtPr>
                          <w:alias w:val="Numeris"/>
                          <w:tag w:val="nr_6bc67109320a4444a4c1f40fb241645a"/>
                          <w:lock w:val="sdtLocked"/>
                          <w:richText/>
                        </w:sdtPr>
                        <w:sdtContent>
                          <w:r>
                            <w:rPr>
                              <w:color w:val="000000"/>
                            </w:rPr>
                            <w:t>4.1</w:t>
                          </w:r>
                        </w:sdtContent>
                      </w:sdt>
                      <w:r>
                        <w:rPr>
                          <w:color w:val="000000"/>
                        </w:rPr>
                        <w:t>. Ant judrumo žaislų turi būti įspėjimas: „</w:t>
                      </w:r>
                      <w:r>
                        <w:rPr>
                          <w:caps/>
                          <w:color w:val="000000"/>
                        </w:rPr>
                        <w:t>t</w:t>
                      </w:r>
                      <w:r>
                        <w:rPr>
                          <w:color w:val="000000"/>
                        </w:rPr>
                        <w:t>ik buitiniam naudojimui“.</w:t>
                      </w:r>
                    </w:p>
                  </w:sdtContent>
                </w:sdt>
                <w:sdt>
                  <w:sdtPr>
                    <w:alias w:val="8 pr. 4.2 p."/>
                    <w:tag w:val="part_2726d819abe944959f73e4e9bda7bc91"/>
                    <w:lock w:val="sdtLocked"/>
                    <w:richText/>
                  </w:sdtPr>
                  <w:sdtContent>
                    <w:p>
                      <w:pPr>
                        <w:widowControl w:val="0"/>
                        <w:suppressAutoHyphens/>
                        <w:ind w:firstLine="567"/>
                        <w:jc w:val="both"/>
                        <w:rPr>
                          <w:color w:val="000000"/>
                        </w:rPr>
                      </w:pPr>
                      <w:sdt>
                        <w:sdtPr>
                          <w:alias w:val="Numeris"/>
                          <w:tag w:val="nr_2726d819abe944959f73e4e9bda7bc91"/>
                          <w:lock w:val="sdtLocked"/>
                          <w:richText/>
                        </w:sdtPr>
                        <w:sdtContent>
                          <w:r>
                            <w:rPr>
                              <w:color w:val="000000"/>
                            </w:rPr>
                            <w:t>4.2</w:t>
                          </w:r>
                        </w:sdtContent>
                      </w:sdt>
                      <w:r>
                        <w:rPr>
                          <w:color w:val="000000"/>
                        </w:rPr>
                        <w:t>. Kai tinkama, prie judrumo žaislų, tvirtinamų prie skersinio, ir prie kitų judrumo žaislų pateikiami nurodymai, kad būtina kartkartėmis tikrinti pagrindines jų dalis (pakabinimo priemones, atramas, sutvirtinimus), kartu pabrėžiant, kad jeigu nebus tikrinama, bežaidžiant galima iškristi ar apvirsti.</w:t>
                      </w:r>
                    </w:p>
                  </w:sdtContent>
                </w:sdt>
                <w:sdt>
                  <w:sdtPr>
                    <w:alias w:val="8 pr. 4.3 p."/>
                    <w:tag w:val="part_060bd6e8e3504c6aa4b3131f9d932eae"/>
                    <w:lock w:val="sdtLocked"/>
                    <w:richText/>
                  </w:sdtPr>
                  <w:sdtContent>
                    <w:p>
                      <w:pPr>
                        <w:widowControl w:val="0"/>
                        <w:suppressAutoHyphens/>
                        <w:ind w:firstLine="567"/>
                        <w:jc w:val="both"/>
                        <w:rPr>
                          <w:color w:val="000000"/>
                        </w:rPr>
                      </w:pPr>
                      <w:sdt>
                        <w:sdtPr>
                          <w:alias w:val="Numeris"/>
                          <w:tag w:val="nr_060bd6e8e3504c6aa4b3131f9d932eae"/>
                          <w:lock w:val="sdtLocked"/>
                          <w:richText/>
                        </w:sdtPr>
                        <w:sdtContent>
                          <w:r>
                            <w:rPr>
                              <w:color w:val="000000"/>
                            </w:rPr>
                            <w:t>4.3</w:t>
                          </w:r>
                        </w:sdtContent>
                      </w:sdt>
                      <w:r>
                        <w:rPr>
                          <w:color w:val="000000"/>
                        </w:rPr>
                        <w:t>. Reikia taip pat pateikti nurodymus, kaip surinkti žaislą, nurodyti tas dalis, kurios, neteisingai žaislą surinkus, gali kelti pavojų. Reikia nurodyti specifinę informaciją apie tinkamą paviršių.</w:t>
                      </w:r>
                    </w:p>
                  </w:sdtContent>
                </w:sdt>
              </w:sdtContent>
            </w:sdt>
            <w:sdt>
              <w:sdtPr>
                <w:alias w:val="8 pr. 5 p."/>
                <w:tag w:val="part_ab04f32125b84977a25d67a567eadeaa"/>
                <w:lock w:val="sdtLocked"/>
                <w:richText/>
              </w:sdtPr>
              <w:sdtContent>
                <w:p>
                  <w:pPr>
                    <w:widowControl w:val="0"/>
                    <w:suppressAutoHyphens/>
                    <w:ind w:firstLine="567"/>
                    <w:jc w:val="both"/>
                    <w:rPr>
                      <w:color w:val="000000"/>
                    </w:rPr>
                  </w:pPr>
                  <w:sdt>
                    <w:sdtPr>
                      <w:alias w:val="Numeris"/>
                      <w:tag w:val="nr_ab04f32125b84977a25d67a567eadeaa"/>
                      <w:lock w:val="sdtLocked"/>
                      <w:richText/>
                    </w:sdtPr>
                    <w:sdtContent>
                      <w:r>
                        <w:rPr>
                          <w:color w:val="000000"/>
                        </w:rPr>
                        <w:t>5</w:t>
                      </w:r>
                    </w:sdtContent>
                  </w:sdt>
                  <w:r>
                    <w:rPr>
                      <w:color w:val="000000"/>
                    </w:rPr>
                    <w:t>. Funkciniams žaislams:</w:t>
                  </w:r>
                </w:p>
                <w:sdt>
                  <w:sdtPr>
                    <w:alias w:val="8 pr. 5.1 p."/>
                    <w:tag w:val="part_c7dd72051b6c4a84b6a5769aae61fd19"/>
                    <w:lock w:val="sdtLocked"/>
                    <w:richText/>
                  </w:sdtPr>
                  <w:sdtContent>
                    <w:p>
                      <w:pPr>
                        <w:widowControl w:val="0"/>
                        <w:suppressAutoHyphens/>
                        <w:ind w:firstLine="567"/>
                        <w:jc w:val="both"/>
                        <w:rPr>
                          <w:color w:val="000000"/>
                        </w:rPr>
                      </w:pPr>
                      <w:sdt>
                        <w:sdtPr>
                          <w:alias w:val="Numeris"/>
                          <w:tag w:val="nr_c7dd72051b6c4a84b6a5769aae61fd19"/>
                          <w:lock w:val="sdtLocked"/>
                          <w:richText/>
                        </w:sdtPr>
                        <w:sdtContent>
                          <w:r>
                            <w:rPr>
                              <w:color w:val="000000"/>
                            </w:rPr>
                            <w:t>5.1</w:t>
                          </w:r>
                        </w:sdtContent>
                      </w:sdt>
                      <w:r>
                        <w:rPr>
                          <w:color w:val="000000"/>
                        </w:rPr>
                        <w:t>. Funkciniai žaislai turi turėti įspėjimą: „Galima naudoti tik prižiūrint suaugusiesiems“.</w:t>
                      </w:r>
                    </w:p>
                  </w:sdtContent>
                </w:sdt>
                <w:sdt>
                  <w:sdtPr>
                    <w:alias w:val="8 pr. 5.2 p."/>
                    <w:tag w:val="part_4c1fb0727f3f404a9ad879bd5f1f0fbf"/>
                    <w:lock w:val="sdtLocked"/>
                    <w:richText/>
                  </w:sdtPr>
                  <w:sdtContent>
                    <w:p>
                      <w:pPr>
                        <w:widowControl w:val="0"/>
                        <w:suppressAutoHyphens/>
                        <w:ind w:firstLine="567"/>
                        <w:jc w:val="both"/>
                        <w:rPr>
                          <w:color w:val="000000"/>
                        </w:rPr>
                      </w:pPr>
                      <w:sdt>
                        <w:sdtPr>
                          <w:alias w:val="Numeris"/>
                          <w:tag w:val="nr_4c1fb0727f3f404a9ad879bd5f1f0fbf"/>
                          <w:lock w:val="sdtLocked"/>
                          <w:richText/>
                        </w:sdtPr>
                        <w:sdtContent>
                          <w:r>
                            <w:rPr>
                              <w:color w:val="000000"/>
                            </w:rPr>
                            <w:t>5.2</w:t>
                          </w:r>
                        </w:sdtContent>
                      </w:sdt>
                      <w:r>
                        <w:rPr>
                          <w:color w:val="000000"/>
                        </w:rPr>
                        <w:t>. Su šiais žaislais pateikiami paaiškinimai, ką su jais galima daryti, nurodymai, kokių atsargumo priemonių turi imtis vartotojas, ir įspėjimas, kad nesiimant šių atsargumo priemonių gali kilti konkrečiai nurodytas pavojus, paprastai susijęs su tuo prietaisu ar gaminiu, kurio sumažintas modelis ar imitacija yra tas žaislas. Taip pat nurodoma, kad žaislą reikia laikyti jaunesniems nei tam tikro amžiaus, kuris nustatomas gamintojo, vaikams nepasiekiamoje vietoje.</w:t>
                      </w:r>
                    </w:p>
                  </w:sdtContent>
                </w:sdt>
              </w:sdtContent>
            </w:sdt>
            <w:sdt>
              <w:sdtPr>
                <w:alias w:val="8 pr. 6 p."/>
                <w:tag w:val="part_2319b47e002d462dbcec5bc5569913e8"/>
                <w:lock w:val="sdtLocked"/>
                <w:richText/>
              </w:sdtPr>
              <w:sdtContent>
                <w:p>
                  <w:pPr>
                    <w:widowControl w:val="0"/>
                    <w:suppressAutoHyphens/>
                    <w:ind w:firstLine="567"/>
                    <w:jc w:val="both"/>
                    <w:rPr>
                      <w:color w:val="000000"/>
                    </w:rPr>
                  </w:pPr>
                  <w:sdt>
                    <w:sdtPr>
                      <w:alias w:val="Numeris"/>
                      <w:tag w:val="nr_2319b47e002d462dbcec5bc5569913e8"/>
                      <w:lock w:val="sdtLocked"/>
                      <w:richText/>
                    </w:sdtPr>
                    <w:sdtContent>
                      <w:r>
                        <w:rPr>
                          <w:color w:val="000000"/>
                        </w:rPr>
                        <w:t>6</w:t>
                      </w:r>
                    </w:sdtContent>
                  </w:sdt>
                  <w:r>
                    <w:rPr>
                      <w:color w:val="000000"/>
                    </w:rPr>
                    <w:t>. Cheminiams žaislams:</w:t>
                  </w:r>
                </w:p>
                <w:sdt>
                  <w:sdtPr>
                    <w:alias w:val="8 pr. 6.1 p."/>
                    <w:tag w:val="part_be961344afae42cebe12e0652fb867fe"/>
                    <w:lock w:val="sdtLocked"/>
                    <w:richText/>
                  </w:sdtPr>
                  <w:sdtContent>
                    <w:p>
                      <w:pPr>
                        <w:widowControl w:val="0"/>
                        <w:suppressAutoHyphens/>
                        <w:ind w:firstLine="567"/>
                        <w:jc w:val="both"/>
                        <w:rPr>
                          <w:color w:val="000000"/>
                        </w:rPr>
                      </w:pPr>
                      <w:sdt>
                        <w:sdtPr>
                          <w:alias w:val="Numeris"/>
                          <w:tag w:val="nr_be961344afae42cebe12e0652fb867fe"/>
                          <w:lock w:val="sdtLocked"/>
                          <w:richText/>
                        </w:sdtPr>
                        <w:sdtContent>
                          <w:r>
                            <w:rPr>
                              <w:color w:val="000000"/>
                            </w:rPr>
                            <w:t>6.1</w:t>
                          </w:r>
                        </w:sdtContent>
                      </w:sdt>
                      <w:r>
                        <w:rPr>
                          <w:color w:val="000000"/>
                        </w:rPr>
                        <w:t>. Nepažeidžiant taikomų Europos Sąjungos teisės aktų dėl tam tikrų pavojingų medžiagų ar mišinių klasifikavimo, įpakavimo ir ženklinimo etiketėmis išdėstytų nuostatų taikymo, žaislų, turinčių natūraliai pavojingų medžiagų ar mišinių, naudojimo instrukcijose pateikiamas įspėjimas dėl šių medžiagų ar mišinių pavojingo pobūdžio ir nurodomos atsargumo priemonės, kurių turi imtis vartotojas, kad išvengtų su jais susijusio pavojaus, kuris glaustai apibūdinamas atsižvelgiant į žaislo tipą. Taip pat nurodoma pirmoji pagalba, kuri turi būti teikiama įvykus dideliam nelaimingam atsitikimui naudojant šio tipo žaislą. Taip pat nurodoma, kad žaislus reikia laikyti jaunesniems nei tam tikro amžiaus, kuris nustatomas gamintojo, vaikams nepasiekiamoje vietoje.</w:t>
                      </w:r>
                    </w:p>
                  </w:sdtContent>
                </w:sdt>
                <w:sdt>
                  <w:sdtPr>
                    <w:alias w:val="8 pr. 6.2 p."/>
                    <w:tag w:val="part_138e8fb5ee9c419ebc99288d28c160eb"/>
                    <w:lock w:val="sdtLocked"/>
                    <w:richText/>
                  </w:sdtPr>
                  <w:sdtContent>
                    <w:p>
                      <w:pPr>
                        <w:widowControl w:val="0"/>
                        <w:suppressAutoHyphens/>
                        <w:ind w:firstLine="567"/>
                        <w:jc w:val="both"/>
                        <w:rPr>
                          <w:color w:val="000000"/>
                        </w:rPr>
                      </w:pPr>
                      <w:sdt>
                        <w:sdtPr>
                          <w:alias w:val="Numeris"/>
                          <w:tag w:val="nr_138e8fb5ee9c419ebc99288d28c160eb"/>
                          <w:lock w:val="sdtLocked"/>
                          <w:richText/>
                        </w:sdtPr>
                        <w:sdtContent>
                          <w:r>
                            <w:rPr>
                              <w:color w:val="000000"/>
                              <w:sz w:val="23"/>
                              <w:szCs w:val="23"/>
                            </w:rPr>
                            <w:t>6.2</w:t>
                          </w:r>
                        </w:sdtContent>
                      </w:sdt>
                      <w:r>
                        <w:rPr>
                          <w:color w:val="000000"/>
                          <w:sz w:val="23"/>
                          <w:szCs w:val="23"/>
                        </w:rPr>
                        <w:t>. Be Aprašo 6.1 papunktyje nustatytų instrukcijų, ant cheminių žaislų pakuotės pateikiamas toks įspėjimas: „Netinka vaikams iki (nurodomas metų skaičius) metų. Naudoti prižiūrint suaugusiesiems.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8f9b708fdd11e8b93ad15b34c9248c">
                        <w:r w:rsidRPr="00532B9F">
                          <w:rPr>
                            <w:rFonts w:ascii="Times New Roman" w:eastAsia="MS Mincho" w:hAnsi="Times New Roman"/>
                            <w:sz w:val="20"/>
                            <w:i/>
                            <w:iCs/>
                            <w:color w:val="0000FF" w:themeColor="hyperlink"/>
                            <w:u w:val="single"/>
                          </w:rPr>
                          <w:t>4-472</w:t>
                        </w:r>
                      </w:fldSimple>
                      <w:r>
                        <w:rPr>
                          <w:rFonts w:ascii="Times New Roman" w:eastAsia="MS Mincho" w:hAnsi="Times New Roman"/>
                          <w:sz w:val="20"/>
                          <w:i/>
                          <w:iCs/>
                        </w:rPr>
                        <w:t>,
2018-07-25,
paskelbta TAR 2018-07-25, i. k. 2018-12375            </w:t>
                      </w:r>
                    </w:p>
                    <w:p/>
                  </w:sdtContent>
                </w:sdt>
                <w:sdt>
                  <w:sdtPr>
                    <w:alias w:val="8 pr. 6.3 p."/>
                    <w:tag w:val="part_32359ee5aa3345a5ad1ca5ca3c9fb493"/>
                    <w:lock w:val="sdtLocked"/>
                    <w:richText/>
                  </w:sdtPr>
                  <w:sdtContent>
                    <w:p>
                      <w:pPr>
                        <w:widowControl w:val="0"/>
                        <w:suppressAutoHyphens/>
                        <w:ind w:firstLine="567"/>
                        <w:jc w:val="both"/>
                        <w:rPr>
                          <w:color w:val="000000"/>
                        </w:rPr>
                      </w:pPr>
                      <w:sdt>
                        <w:sdtPr>
                          <w:alias w:val="Numeris"/>
                          <w:tag w:val="nr_32359ee5aa3345a5ad1ca5ca3c9fb493"/>
                          <w:lock w:val="sdtLocked"/>
                          <w:richText/>
                        </w:sdtPr>
                        <w:sdtContent>
                          <w:r>
                            <w:rPr>
                              <w:color w:val="000000"/>
                            </w:rPr>
                            <w:t>6.3</w:t>
                          </w:r>
                        </w:sdtContent>
                      </w:sdt>
                      <w:r>
                        <w:rPr>
                          <w:color w:val="000000"/>
                        </w:rPr>
                        <w:t>. Konkrečiai cheminiais žaislais yra laikomi: chemijos rinkiniai, plastikiniuose indeliuose sandarinami preparatų rinkiniai, miniatiūrinės keramikos, emaliavimo ar fotografijos dirbtuvėlės ir panašūs žaislai, kuriuos naudojant vyksta cheminė reakcija ar atitinkamas medžiagos pasikeitimo procesas.</w:t>
                      </w:r>
                    </w:p>
                  </w:sdtContent>
                </w:sdt>
              </w:sdtContent>
            </w:sdt>
            <w:sdt>
              <w:sdtPr>
                <w:alias w:val="8 pr. 7 p."/>
                <w:tag w:val="part_78824f07788e4a9483ff62d36b4a680d"/>
                <w:lock w:val="sdtLocked"/>
                <w:richText/>
              </w:sdtPr>
              <w:sdtContent>
                <w:p>
                  <w:pPr>
                    <w:widowControl w:val="0"/>
                    <w:suppressAutoHyphens/>
                    <w:ind w:firstLine="567"/>
                    <w:jc w:val="both"/>
                    <w:rPr>
                      <w:color w:val="000000"/>
                    </w:rPr>
                  </w:pPr>
                  <w:sdt>
                    <w:sdtPr>
                      <w:alias w:val="Numeris"/>
                      <w:tag w:val="nr_78824f07788e4a9483ff62d36b4a680d"/>
                      <w:lock w:val="sdtLocked"/>
                      <w:richText/>
                    </w:sdtPr>
                    <w:sdtContent>
                      <w:r>
                        <w:rPr>
                          <w:color w:val="000000"/>
                        </w:rPr>
                        <w:t>7</w:t>
                      </w:r>
                    </w:sdtContent>
                  </w:sdt>
                  <w:r>
                    <w:rPr>
                      <w:color w:val="000000"/>
                    </w:rPr>
                    <w:t>. Pačiūžoms, riedučiams, vienaeiliams riedučiams, riedlentėms, motoroleriams ir vaikiškiems žaisliniams dviračiams:</w:t>
                  </w:r>
                </w:p>
                <w:sdt>
                  <w:sdtPr>
                    <w:alias w:val="8 pr. 7.1 p."/>
                    <w:tag w:val="part_930a063633cd4bbd9897d6eb95cefb6d"/>
                    <w:lock w:val="sdtLocked"/>
                    <w:richText/>
                  </w:sdtPr>
                  <w:sdtContent>
                    <w:p>
                      <w:pPr>
                        <w:widowControl w:val="0"/>
                        <w:suppressAutoHyphens/>
                        <w:ind w:firstLine="567"/>
                        <w:jc w:val="both"/>
                        <w:rPr>
                          <w:color w:val="000000"/>
                        </w:rPr>
                      </w:pPr>
                      <w:sdt>
                        <w:sdtPr>
                          <w:alias w:val="Numeris"/>
                          <w:tag w:val="nr_930a063633cd4bbd9897d6eb95cefb6d"/>
                          <w:lock w:val="sdtLocked"/>
                          <w:richText/>
                        </w:sdtPr>
                        <w:sdtContent>
                          <w:r>
                            <w:rPr>
                              <w:color w:val="000000"/>
                              <w:szCs w:val="24"/>
                            </w:rPr>
                            <w:t>7.1</w:t>
                          </w:r>
                        </w:sdtContent>
                      </w:sdt>
                      <w:r>
                        <w:rPr>
                          <w:color w:val="000000"/>
                          <w:szCs w:val="24"/>
                        </w:rPr>
                        <w:t>. Jei šie žaislai skirti parduoti kaip žaislai, ant jų turi būti nurodytas toks įspėjimas: „Būtina naudoti apsaugos priemones. Nenaudoti eismo vietose“.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ed6410e9ca11e99681cd81dcdca52c">
                        <w:r w:rsidRPr="00532B9F">
                          <w:rPr>
                            <w:rFonts w:ascii="Times New Roman" w:eastAsia="MS Mincho" w:hAnsi="Times New Roman"/>
                            <w:sz w:val="20"/>
                            <w:i/>
                            <w:iCs/>
                            <w:color w:val="0000FF" w:themeColor="hyperlink"/>
                            <w:u w:val="single"/>
                          </w:rPr>
                          <w:t>4-566</w:t>
                        </w:r>
                      </w:fldSimple>
                      <w:r>
                        <w:rPr>
                          <w:rFonts w:ascii="Times New Roman" w:eastAsia="MS Mincho" w:hAnsi="Times New Roman"/>
                          <w:sz w:val="20"/>
                          <w:i/>
                          <w:iCs/>
                        </w:rPr>
                        <w:t>,
2019-10-08,
paskelbta TAR 2019-10-08, i. k. 2019-15996            </w:t>
                      </w:r>
                    </w:p>
                    <w:p/>
                  </w:sdtContent>
                </w:sdt>
                <w:sdt>
                  <w:sdtPr>
                    <w:alias w:val="8 pr. 7.2 p."/>
                    <w:tag w:val="part_dca87bd438bd4f7e9f1735c85bb04bfd"/>
                    <w:lock w:val="sdtLocked"/>
                    <w:richText/>
                  </w:sdtPr>
                  <w:sdtContent>
                    <w:p>
                      <w:pPr>
                        <w:widowControl w:val="0"/>
                        <w:suppressAutoHyphens/>
                        <w:ind w:firstLine="567"/>
                        <w:jc w:val="both"/>
                        <w:rPr>
                          <w:color w:val="000000"/>
                        </w:rPr>
                      </w:pPr>
                      <w:sdt>
                        <w:sdtPr>
                          <w:alias w:val="Numeris"/>
                          <w:tag w:val="nr_dca87bd438bd4f7e9f1735c85bb04bfd"/>
                          <w:lock w:val="sdtLocked"/>
                          <w:richText/>
                        </w:sdtPr>
                        <w:sdtContent>
                          <w:r>
                            <w:rPr>
                              <w:color w:val="000000"/>
                            </w:rPr>
                            <w:t>7.2</w:t>
                          </w:r>
                        </w:sdtContent>
                      </w:sdt>
                      <w:r>
                        <w:rPr>
                          <w:color w:val="000000"/>
                        </w:rPr>
                        <w:t>. Vartojimo instrukcijose yra primenama, kad su tam tikru žaislu reikia būti atsargiam, nes jis reikalauja gerų įgūdžių, kad nenukristum ar nesusidurtum ir kad dėl to nesusižeistum ar nesužeistum trečiųjų asmenų. Dar reikia pateikti tam tikrus nurodymus dėl rekomenduotinų apsaugos priemonių (šalmų, pirštinių, antkelių, alkūnių apsaugos priemonių ir pan.).</w:t>
                      </w:r>
                    </w:p>
                  </w:sdtContent>
                </w:sdt>
              </w:sdtContent>
            </w:sdt>
            <w:sdt>
              <w:sdtPr>
                <w:alias w:val="8 pr. 8 p."/>
                <w:tag w:val="part_f5aa2dcf979f4847a655bca5581e755b"/>
                <w:lock w:val="sdtLocked"/>
                <w:richText/>
              </w:sdtPr>
              <w:sdtContent>
                <w:p>
                  <w:pPr>
                    <w:widowControl w:val="0"/>
                    <w:suppressAutoHyphens/>
                    <w:ind w:firstLine="567"/>
                    <w:jc w:val="both"/>
                    <w:rPr>
                      <w:color w:val="000000"/>
                    </w:rPr>
                  </w:pPr>
                  <w:sdt>
                    <w:sdtPr>
                      <w:alias w:val="Numeris"/>
                      <w:tag w:val="nr_f5aa2dcf979f4847a655bca5581e755b"/>
                      <w:lock w:val="sdtLocked"/>
                      <w:richText/>
                    </w:sdtPr>
                    <w:sdtContent>
                      <w:r>
                        <w:rPr>
                          <w:color w:val="000000"/>
                        </w:rPr>
                        <w:t>8</w:t>
                      </w:r>
                    </w:sdtContent>
                  </w:sdt>
                  <w:r>
                    <w:rPr>
                      <w:color w:val="000000"/>
                    </w:rPr>
                    <w:t>. Ant vandenyje naudoti skirtų žaislų, kaip apibrėžta Reglamento 2 priedo 12 punkte, pateikiamas toks įspėjimas: „Naudoti tik vaikui tinkamame gylyje ir prižiūrint suaugusiesiems“.</w:t>
                  </w:r>
                </w:p>
              </w:sdtContent>
            </w:sdt>
            <w:sdt>
              <w:sdtPr>
                <w:alias w:val="8 pr. 9 p."/>
                <w:tag w:val="part_6e26941be60b4bcd83d0c161e7e6fd86"/>
                <w:lock w:val="sdtLocked"/>
                <w:richText/>
              </w:sdtPr>
              <w:sdtContent>
                <w:p>
                  <w:pPr>
                    <w:widowControl w:val="0"/>
                    <w:suppressAutoHyphens/>
                    <w:ind w:firstLine="567"/>
                    <w:jc w:val="both"/>
                    <w:rPr>
                      <w:color w:val="000000"/>
                    </w:rPr>
                  </w:pPr>
                  <w:sdt>
                    <w:sdtPr>
                      <w:alias w:val="Numeris"/>
                      <w:tag w:val="nr_6e26941be60b4bcd83d0c161e7e6fd86"/>
                      <w:lock w:val="sdtLocked"/>
                      <w:richText/>
                    </w:sdtPr>
                    <w:sdtContent>
                      <w:r>
                        <w:rPr>
                          <w:color w:val="000000"/>
                        </w:rPr>
                        <w:t>9</w:t>
                      </w:r>
                    </w:sdtContent>
                  </w:sdt>
                  <w:r>
                    <w:rPr>
                      <w:color w:val="000000"/>
                    </w:rPr>
                    <w:t>. Ant maiste esančių arba su maistu sumaišytų žaislų pateikiamas toks įspėjimas: „Viduje yra žaislas. Rekomenduojama suaugusiųjų priežiūra“.</w:t>
                  </w:r>
                </w:p>
              </w:sdtContent>
            </w:sdt>
            <w:sdt>
              <w:sdtPr>
                <w:alias w:val="8 pr. 10 p."/>
                <w:tag w:val="part_54a064ac54004720aa92785febf9ff1a"/>
                <w:lock w:val="sdtLocked"/>
                <w:richText/>
              </w:sdtPr>
              <w:sdtContent>
                <w:p>
                  <w:pPr>
                    <w:widowControl w:val="0"/>
                    <w:suppressAutoHyphens/>
                    <w:ind w:firstLine="567"/>
                    <w:jc w:val="both"/>
                    <w:rPr>
                      <w:color w:val="000000"/>
                    </w:rPr>
                  </w:pPr>
                  <w:sdt>
                    <w:sdtPr>
                      <w:alias w:val="Numeris"/>
                      <w:tag w:val="nr_54a064ac54004720aa92785febf9ff1a"/>
                      <w:lock w:val="sdtLocked"/>
                      <w:richText/>
                    </w:sdtPr>
                    <w:sdtContent>
                      <w:r>
                        <w:rPr>
                          <w:color w:val="000000"/>
                        </w:rPr>
                        <w:t>10</w:t>
                      </w:r>
                    </w:sdtContent>
                  </w:sdt>
                  <w:r>
                    <w:rPr>
                      <w:color w:val="000000"/>
                    </w:rPr>
                    <w:t>. Ant apsauginių kaukių ir šalmų imitacijų turi būti pateikiamas toks įspėjimas: „Šis žaislas neužtikrina apsaugos“.</w:t>
                  </w:r>
                </w:p>
              </w:sdtContent>
            </w:sdt>
            <w:sdt>
              <w:sdtPr>
                <w:alias w:val="8 pr. 11 p."/>
                <w:tag w:val="part_48b8ebd6935c4f02b9c6d41997096e4f"/>
                <w:lock w:val="sdtLocked"/>
                <w:richText/>
              </w:sdtPr>
              <w:sdtContent>
                <w:p>
                  <w:pPr>
                    <w:widowControl w:val="0"/>
                    <w:suppressAutoHyphens/>
                    <w:ind w:firstLine="567"/>
                    <w:jc w:val="both"/>
                    <w:rPr>
                      <w:color w:val="000000"/>
                    </w:rPr>
                  </w:pPr>
                  <w:sdt>
                    <w:sdtPr>
                      <w:alias w:val="Numeris"/>
                      <w:tag w:val="nr_48b8ebd6935c4f02b9c6d41997096e4f"/>
                      <w:lock w:val="sdtLocked"/>
                      <w:richText/>
                    </w:sdtPr>
                    <w:sdtContent>
                      <w:r>
                        <w:rPr>
                          <w:color w:val="000000"/>
                          <w:szCs w:val="24"/>
                        </w:rPr>
                        <w:t>11</w:t>
                      </w:r>
                    </w:sdtContent>
                  </w:sdt>
                  <w:r>
                    <w:rPr>
                      <w:color w:val="000000"/>
                      <w:szCs w:val="24"/>
                    </w:rPr>
                    <w:t>. Žaislai, skirti kabinti ant lopšio, vaikiškos lovytės arba vaikiško vežimėlio naudojant virveles, siūlus, gumines juosteles arba juostas, pažymimi šiuo nepanaikinamu įspėjimu ant vartotojams skirtos pakuotės: „Kad vaikas nesusižeistų įsipainiojęs į šį žaislą, nuimkite jį, kai vaikas pradeda bandyti stotis keturpėsčias“.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ed6410e9ca11e99681cd81dcdca52c">
                    <w:r w:rsidRPr="00532B9F">
                      <w:rPr>
                        <w:rFonts w:ascii="Times New Roman" w:eastAsia="MS Mincho" w:hAnsi="Times New Roman"/>
                        <w:sz w:val="20"/>
                        <w:i/>
                        <w:iCs/>
                        <w:color w:val="0000FF" w:themeColor="hyperlink"/>
                        <w:u w:val="single"/>
                      </w:rPr>
                      <w:t>4-566</w:t>
                    </w:r>
                  </w:fldSimple>
                  <w:r>
                    <w:rPr>
                      <w:rFonts w:ascii="Times New Roman" w:eastAsia="MS Mincho" w:hAnsi="Times New Roman"/>
                      <w:sz w:val="20"/>
                      <w:i/>
                      <w:iCs/>
                    </w:rPr>
                    <w:t>,
2019-10-08,
paskelbta TAR 2019-10-08, i. k. 2019-15996            </w:t>
                  </w:r>
                </w:p>
                <w:p/>
              </w:sdtContent>
            </w:sdt>
            <w:sdt>
              <w:sdtPr>
                <w:alias w:val="8 pr. 12 p."/>
                <w:tag w:val="part_e57bcfeabcaf496c83447057d808378c"/>
                <w:lock w:val="sdtLocked"/>
                <w:richText/>
              </w:sdtPr>
              <w:sdtContent>
                <w:p>
                  <w:pPr>
                    <w:widowControl w:val="0"/>
                    <w:suppressAutoHyphens/>
                    <w:ind w:firstLine="567"/>
                    <w:jc w:val="both"/>
                    <w:rPr>
                      <w:color w:val="000000"/>
                    </w:rPr>
                  </w:pPr>
                  <w:sdt>
                    <w:sdtPr>
                      <w:alias w:val="Numeris"/>
                      <w:tag w:val="nr_e57bcfeabcaf496c83447057d808378c"/>
                      <w:lock w:val="sdtLocked"/>
                      <w:richText/>
                    </w:sdtPr>
                    <w:sdtContent>
                      <w:r>
                        <w:rPr>
                          <w:color w:val="000000"/>
                        </w:rPr>
                        <w:t>12</w:t>
                      </w:r>
                    </w:sdtContent>
                  </w:sdt>
                  <w:r>
                    <w:rPr>
                      <w:color w:val="000000"/>
                    </w:rPr>
                    <w:t>. Ant uoslės lavinimo žaidimų, kosmetikos rinkinių ir skonio lavinimo žaidimų, kuriuose yra kvapiųjų medžiagų, nustatytų Reglamento 2 priedo 1 lentelės 41–55 punktuose, ir kvapiųjų medžiagų, nurodytų 2 priedo 2 lentelės 1–11 punktuose, pakuotės pateikiamas toks įspėjimas: „Sudėtyje yra kvapiųjų medžiagų, galinčių sukelti alergiją“.</w:t>
                  </w:r>
                </w:p>
                <w:p/>
              </w:sdtContent>
            </w:sdt>
          </w:sdtContent>
        </w:sdt>
        <w:sdt>
          <w:sdtPr>
            <w:alias w:val="pabaiga"/>
            <w:tag w:val="part_a258851f7d71414f9cab5d9e7556df13"/>
            <w:lock w:val="sdtLocked"/>
            <w:richText/>
          </w:sdtPr>
          <w:sdtContent>
            <w:p>
              <w:pPr>
                <w:jc w:val="center"/>
              </w:pPr>
              <w: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54B57ADF29F">
            <w:r w:rsidRPr="00532B9F">
              <w:rPr>
                <w:rFonts w:ascii="Times New Roman" w:eastAsia="MS Mincho" w:hAnsi="Times New Roman"/>
                <w:sz w:val="20"/>
                <w:iCs/>
                <w:color w:val="0000FF" w:themeColor="hyperlink"/>
                <w:u w:val="single"/>
              </w:rPr>
              <w:t>4-582</w:t>
            </w:r>
          </w:fldSimple>
          <w:r>
            <w:rPr>
              <w:rFonts w:ascii="Times New Roman" w:eastAsia="MS Mincho" w:hAnsi="Times New Roman"/>
              <w:sz w:val="20"/>
              <w:iCs/>
            </w:rPr>
            <w:t>,
2011-08-11,
Žin., 2011, Nr.
106-4999 (2011-08-27), i. k. 1112020ISAK0004-582                </w:t>
          </w:r>
        </w:p>
        <w:p>
          <w:pPr>
            <w:jc w:val="both"/>
            <w:rPr>
              <w:rFonts w:ascii="Times New Roman" w:hAnsi="Times New Roman"/>
            </w:rPr>
          </w:pPr>
          <w:r>
            <w:rPr>
              <w:rFonts w:ascii="Times New Roman" w:hAnsi="Times New Roman"/>
              <w:sz w:val="20"/>
            </w:rPr>
            <w:t>Dėl Lietuvos Respublikos ūkio ministro 2011 m. balandžio 1 d. įsakymo Nr. 4-174 "Dėl Žaislų saugos techninio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5196AC20B93">
            <w:r w:rsidRPr="00532B9F">
              <w:rPr>
                <w:rFonts w:ascii="Times New Roman" w:eastAsia="MS Mincho" w:hAnsi="Times New Roman"/>
                <w:sz w:val="20"/>
                <w:iCs/>
                <w:color w:val="0000FF" w:themeColor="hyperlink"/>
                <w:u w:val="single"/>
              </w:rPr>
              <w:t>4-498</w:t>
            </w:r>
          </w:fldSimple>
          <w:r>
            <w:rPr>
              <w:rFonts w:ascii="Times New Roman" w:eastAsia="MS Mincho" w:hAnsi="Times New Roman"/>
              <w:sz w:val="20"/>
              <w:iCs/>
            </w:rPr>
            <w:t>,
2012-05-28,
Žin., 2012, Nr.
61-3085 (2012-05-30), i. k. 1122020ISAK0004-498                </w:t>
          </w:r>
        </w:p>
        <w:p>
          <w:pPr>
            <w:jc w:val="both"/>
            <w:rPr>
              <w:rFonts w:ascii="Times New Roman" w:hAnsi="Times New Roman"/>
            </w:rPr>
          </w:pPr>
          <w:r>
            <w:rPr>
              <w:rFonts w:ascii="Times New Roman" w:hAnsi="Times New Roman"/>
              <w:sz w:val="20"/>
            </w:rPr>
            <w:t>Dėl Lietuvos Respublikos ūkio ministro 2011 m. balandžio 1 d. įsakymo Nr. 4-174 "Dėl Žaislų saugos techninio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C7372A73920">
            <w:r w:rsidRPr="00532B9F">
              <w:rPr>
                <w:rFonts w:ascii="Times New Roman" w:eastAsia="MS Mincho" w:hAnsi="Times New Roman"/>
                <w:sz w:val="20"/>
                <w:iCs/>
                <w:color w:val="0000FF" w:themeColor="hyperlink"/>
                <w:u w:val="single"/>
              </w:rPr>
              <w:t>4-932</w:t>
            </w:r>
          </w:fldSimple>
          <w:r>
            <w:rPr>
              <w:rFonts w:ascii="Times New Roman" w:eastAsia="MS Mincho" w:hAnsi="Times New Roman"/>
              <w:sz w:val="20"/>
              <w:iCs/>
            </w:rPr>
            <w:t>,
2013-10-22,
Žin., 2013, Nr.
111-5551 (2013-10-24), i. k. 1132020ISAK0004-932                </w:t>
          </w:r>
        </w:p>
        <w:p>
          <w:pPr>
            <w:jc w:val="both"/>
            <w:rPr>
              <w:rFonts w:ascii="Times New Roman" w:hAnsi="Times New Roman"/>
            </w:rPr>
          </w:pPr>
          <w:r>
            <w:rPr>
              <w:rFonts w:ascii="Times New Roman" w:hAnsi="Times New Roman"/>
              <w:sz w:val="20"/>
            </w:rPr>
            <w:t>Dėl Lietuvos Respublikos ūkio ministro 2011 m. balandžio 1 d. įsakymo Nr. 4-174 "Dėl Žaislų saugos techninio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22454d0dc1b11e39a43a3f57c05722e">
            <w:r w:rsidRPr="00532B9F">
              <w:rPr>
                <w:rFonts w:ascii="Times New Roman" w:eastAsia="MS Mincho" w:hAnsi="Times New Roman"/>
                <w:sz w:val="20"/>
                <w:iCs/>
                <w:color w:val="0000FF" w:themeColor="hyperlink"/>
                <w:u w:val="single"/>
              </w:rPr>
              <w:t>4-274</w:t>
            </w:r>
          </w:fldSimple>
          <w:r>
            <w:rPr>
              <w:rFonts w:ascii="Times New Roman" w:eastAsia="MS Mincho" w:hAnsi="Times New Roman"/>
              <w:sz w:val="20"/>
              <w:iCs/>
            </w:rPr>
            <w:t>,
2014-05-14,
paskelbta TAR 2014-05-15, i. k. 2014-05439                </w:t>
          </w:r>
        </w:p>
        <w:p>
          <w:pPr>
            <w:jc w:val="both"/>
            <w:rPr>
              <w:rFonts w:ascii="Times New Roman" w:hAnsi="Times New Roman"/>
            </w:rPr>
          </w:pPr>
          <w:r>
            <w:rPr>
              <w:rFonts w:ascii="Times New Roman" w:hAnsi="Times New Roman"/>
              <w:sz w:val="20"/>
            </w:rPr>
            <w:t>Dėl Lietuvos Respublikos ūkio ministro 2011 m. balandžio 1 d. įsakymo Nr. 4-174 „Dėl Žaislų saugos techninio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62b800cd4511e48c6ef0fd95c59a72">
            <w:r w:rsidRPr="00532B9F">
              <w:rPr>
                <w:rFonts w:ascii="Times New Roman" w:eastAsia="MS Mincho" w:hAnsi="Times New Roman"/>
                <w:sz w:val="20"/>
                <w:iCs/>
                <w:color w:val="0000FF" w:themeColor="hyperlink"/>
                <w:u w:val="single"/>
              </w:rPr>
              <w:t>4-142</w:t>
            </w:r>
          </w:fldSimple>
          <w:r>
            <w:rPr>
              <w:rFonts w:ascii="Times New Roman" w:eastAsia="MS Mincho" w:hAnsi="Times New Roman"/>
              <w:sz w:val="20"/>
              <w:iCs/>
            </w:rPr>
            <w:t>,
2015-03-17,
paskelbta TAR 2015-03-18, i. k. 2015-03929                </w:t>
          </w:r>
        </w:p>
        <w:p>
          <w:pPr>
            <w:jc w:val="both"/>
            <w:rPr>
              <w:rFonts w:ascii="Times New Roman" w:hAnsi="Times New Roman"/>
            </w:rPr>
          </w:pPr>
          <w:r>
            <w:rPr>
              <w:rFonts w:ascii="Times New Roman" w:hAnsi="Times New Roman"/>
              <w:sz w:val="20"/>
            </w:rPr>
            <w:t>Dėl Lietuvos Respublikos ūkio ministro 2011 m. balandžio 1 d. įsakymo Nr. 4-174 „Dėl Žaislų saugos techninio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1016a0c03811e688d0ed775a2e782a">
            <w:r w:rsidRPr="00532B9F">
              <w:rPr>
                <w:rFonts w:ascii="Times New Roman" w:eastAsia="MS Mincho" w:hAnsi="Times New Roman"/>
                <w:sz w:val="20"/>
                <w:iCs/>
                <w:color w:val="0000FF" w:themeColor="hyperlink"/>
                <w:u w:val="single"/>
              </w:rPr>
              <w:t>4-777</w:t>
            </w:r>
          </w:fldSimple>
          <w:r>
            <w:rPr>
              <w:rFonts w:ascii="Times New Roman" w:eastAsia="MS Mincho" w:hAnsi="Times New Roman"/>
              <w:sz w:val="20"/>
              <w:iCs/>
            </w:rPr>
            <w:t>,
2016-12-09,
paskelbta TAR 2016-12-12, i. k. 2016-28682                </w:t>
          </w:r>
        </w:p>
        <w:p>
          <w:pPr>
            <w:jc w:val="both"/>
            <w:rPr>
              <w:rFonts w:ascii="Times New Roman" w:hAnsi="Times New Roman"/>
            </w:rPr>
          </w:pPr>
          <w:r>
            <w:rPr>
              <w:rFonts w:ascii="Times New Roman" w:hAnsi="Times New Roman"/>
              <w:sz w:val="20"/>
            </w:rPr>
            <w:t>Dėl Lietuvos Respublikos ūkio ministro 2011 m. balandžio 1 d. įsakymo Nr. 4-174 „Dėl Žaislų saugos techninio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2416850dbea11e68d79c2033f194657">
            <w:r w:rsidRPr="00532B9F">
              <w:rPr>
                <w:rFonts w:ascii="Times New Roman" w:eastAsia="MS Mincho" w:hAnsi="Times New Roman"/>
                <w:sz w:val="20"/>
                <w:iCs/>
                <w:color w:val="0000FF" w:themeColor="hyperlink"/>
                <w:u w:val="single"/>
              </w:rPr>
              <w:t>4-24</w:t>
            </w:r>
          </w:fldSimple>
          <w:r>
            <w:rPr>
              <w:rFonts w:ascii="Times New Roman" w:eastAsia="MS Mincho" w:hAnsi="Times New Roman"/>
              <w:sz w:val="20"/>
              <w:iCs/>
            </w:rPr>
            <w:t>,
2017-01-16,
paskelbta TAR 2017-01-16, i. k. 2017-00947                </w:t>
          </w:r>
        </w:p>
        <w:p>
          <w:pPr>
            <w:jc w:val="both"/>
            <w:rPr>
              <w:rFonts w:ascii="Times New Roman" w:hAnsi="Times New Roman"/>
            </w:rPr>
          </w:pPr>
          <w:r>
            <w:rPr>
              <w:rFonts w:ascii="Times New Roman" w:hAnsi="Times New Roman"/>
              <w:sz w:val="20"/>
            </w:rPr>
            <w:t>Dėl Lietuvos Respublikos ūkio ministro 2011 m. balandžio 1 d. įsakymo Nr. 4-174 „Dėl Žaislų saugos techninio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98f9b708fdd11e8b93ad15b34c9248c">
            <w:r w:rsidRPr="00532B9F">
              <w:rPr>
                <w:rFonts w:ascii="Times New Roman" w:eastAsia="MS Mincho" w:hAnsi="Times New Roman"/>
                <w:sz w:val="20"/>
                <w:iCs/>
                <w:color w:val="0000FF" w:themeColor="hyperlink"/>
                <w:u w:val="single"/>
              </w:rPr>
              <w:t>4-472</w:t>
            </w:r>
          </w:fldSimple>
          <w:r>
            <w:rPr>
              <w:rFonts w:ascii="Times New Roman" w:eastAsia="MS Mincho" w:hAnsi="Times New Roman"/>
              <w:sz w:val="20"/>
              <w:iCs/>
            </w:rPr>
            <w:t>,
2018-07-25,
paskelbta TAR 2018-07-25, i. k. 2018-12375                </w:t>
          </w:r>
        </w:p>
        <w:p>
          <w:pPr>
            <w:jc w:val="both"/>
            <w:rPr>
              <w:rFonts w:ascii="Times New Roman" w:hAnsi="Times New Roman"/>
            </w:rPr>
          </w:pPr>
          <w:r>
            <w:rPr>
              <w:rFonts w:ascii="Times New Roman" w:hAnsi="Times New Roman"/>
              <w:sz w:val="20"/>
            </w:rPr>
            <w:t>Dėl Lietuvos Respublikos ūkio ministro 2011 m. balandžio 1 d. įsakymo Nr. 4-174 „Dėl Žaislų saugos techninio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ekonomikos ir inovacijų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ed6410e9ca11e99681cd81dcdca52c">
            <w:r w:rsidRPr="00532B9F">
              <w:rPr>
                <w:rFonts w:ascii="Times New Roman" w:eastAsia="MS Mincho" w:hAnsi="Times New Roman"/>
                <w:sz w:val="20"/>
                <w:iCs/>
                <w:color w:val="0000FF" w:themeColor="hyperlink"/>
                <w:u w:val="single"/>
              </w:rPr>
              <w:t>4-566</w:t>
            </w:r>
          </w:fldSimple>
          <w:r>
            <w:rPr>
              <w:rFonts w:ascii="Times New Roman" w:eastAsia="MS Mincho" w:hAnsi="Times New Roman"/>
              <w:sz w:val="20"/>
              <w:iCs/>
            </w:rPr>
            <w:t>,
2019-10-08,
paskelbta TAR 2019-10-08, i. k. 2019-15996                </w:t>
          </w:r>
        </w:p>
        <w:p>
          <w:pPr>
            <w:jc w:val="both"/>
            <w:rPr>
              <w:rFonts w:ascii="Times New Roman" w:hAnsi="Times New Roman"/>
            </w:rPr>
          </w:pPr>
          <w:r>
            <w:rPr>
              <w:rFonts w:ascii="Times New Roman" w:hAnsi="Times New Roman"/>
              <w:sz w:val="20"/>
            </w:rPr>
            <w:t>Dėl Lietuvos Respublikos ūkio ministro 2011 m. balandžio 1 d. įsakymo Nr. 4-174 „Dėl Žaislų saugos techninio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ekonomikos ir inovacijų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a0534e0f10b11eaa12ad7c04a383ca0">
            <w:r w:rsidRPr="00532B9F">
              <w:rPr>
                <w:rFonts w:ascii="Times New Roman" w:eastAsia="MS Mincho" w:hAnsi="Times New Roman"/>
                <w:sz w:val="20"/>
                <w:iCs/>
                <w:color w:val="0000FF" w:themeColor="hyperlink"/>
                <w:u w:val="single"/>
              </w:rPr>
              <w:t>4-756</w:t>
            </w:r>
          </w:fldSimple>
          <w:r>
            <w:rPr>
              <w:rFonts w:ascii="Times New Roman" w:eastAsia="MS Mincho" w:hAnsi="Times New Roman"/>
              <w:sz w:val="20"/>
              <w:iCs/>
            </w:rPr>
            <w:t>,
2020-09-07,
paskelbta TAR 2020-09-07, i. k. 2020-18852                </w:t>
          </w:r>
        </w:p>
        <w:p>
          <w:pPr>
            <w:jc w:val="both"/>
            <w:rPr>
              <w:rFonts w:ascii="Times New Roman" w:hAnsi="Times New Roman"/>
            </w:rPr>
          </w:pPr>
          <w:r>
            <w:rPr>
              <w:rFonts w:ascii="Times New Roman" w:hAnsi="Times New Roman"/>
              <w:sz w:val="20"/>
            </w:rPr>
            <w:t>Dėl Lietuvos Respublikos ekonomikos ir inovacijų ministro 2011 m. balandžio 1 d. įsakymo Nr. 4-174 „Dėl Žaislų saugos techninio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ekonomikos ir inovacijų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82e26a01ac611ec93af8a5fb475d9bd">
            <w:r w:rsidRPr="00532B9F">
              <w:rPr>
                <w:rFonts w:ascii="Times New Roman" w:eastAsia="MS Mincho" w:hAnsi="Times New Roman"/>
                <w:sz w:val="20"/>
                <w:iCs/>
                <w:color w:val="0000FF" w:themeColor="hyperlink"/>
                <w:u w:val="single"/>
              </w:rPr>
              <w:t>4-994</w:t>
            </w:r>
          </w:fldSimple>
          <w:r>
            <w:rPr>
              <w:rFonts w:ascii="Times New Roman" w:eastAsia="MS Mincho" w:hAnsi="Times New Roman"/>
              <w:sz w:val="20"/>
              <w:iCs/>
            </w:rPr>
            <w:t>,
2021-09-21,
paskelbta TAR 2021-09-21, i. k. 2021-19774                </w:t>
          </w:r>
        </w:p>
        <w:p>
          <w:pPr>
            <w:jc w:val="both"/>
            <w:rPr>
              <w:rFonts w:ascii="Times New Roman" w:hAnsi="Times New Roman"/>
            </w:rPr>
          </w:pPr>
          <w:r>
            <w:rPr>
              <w:rFonts w:ascii="Times New Roman" w:hAnsi="Times New Roman"/>
              <w:sz w:val="20"/>
            </w:rPr>
            <w:t>Dėl Lietuvos Respublikos ekonomikos ir inovacijų ministro 2011 m. balandžio 1 d. įsakymo Nr. 4-174 „Dėl Žaislų saugos techninio reglamento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425" w:bottom="1134" w:left="1701" w:header="567" w:footer="284"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EUAlbertina-Regu-Identity-H">
    <w:altName w:val="Arial Unicode MS"/>
    <w:panose1 w:val="00000000000000000000"/>
    <w:charset w:val="81"/>
    <w:family w:val="auto"/>
    <w:notTrueType/>
    <w:pitch w:val="default"/>
    <w:sig w:usb0="00000001" w:usb1="09060000" w:usb2="00000010" w:usb3="00000000" w:csb0="0008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rPr>
        <w:szCs w:val="24"/>
        <w:lang w:eastAsia="en-GB"/>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rPr>
        <w:szCs w:val="24"/>
        <w:lang w:eastAsia="en-GB"/>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rPr>
        <w:szCs w:val="24"/>
        <w:lang w:eastAsia="en-GB"/>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rPr>
        <w:szCs w:val="24"/>
        <w:lang w:eastAsia="en-GB"/>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rPr>
        <w:szCs w:val="24"/>
        <w:lang w:eastAsia="en-GB"/>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rPr>
        <w:szCs w:val="24"/>
        <w:lang w:eastAsia="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szCs w:val="24"/>
        <w:lang w:eastAsia="en-GB"/>
      </w:rPr>
    </w:pPr>
    <w:r>
      <w:rPr>
        <w:rFonts w:ascii="TimesLT" w:hAnsi="TimesLT"/>
        <w:szCs w:val="24"/>
        <w:lang w:eastAsia="en-GB"/>
      </w:rPr>
      <w:fldChar w:fldCharType="begin"/>
    </w:r>
    <w:r>
      <w:rPr>
        <w:rFonts w:ascii="TimesLT" w:hAnsi="TimesLT"/>
        <w:szCs w:val="24"/>
        <w:lang w:eastAsia="en-GB"/>
      </w:rPr>
      <w:instrText xml:space="preserve">PAGE  </w:instrText>
    </w:r>
    <w:r>
      <w:rPr>
        <w:rFonts w:ascii="TimesLT" w:hAnsi="TimesLT"/>
        <w:szCs w:val="24"/>
        <w:lang w:eastAsia="en-GB"/>
      </w:rPr>
      <w:fldChar w:fldCharType="separate"/>
    </w:r>
    <w:r>
      <w:rPr>
        <w:rFonts w:ascii="TimesLT" w:hAnsi="TimesLT"/>
        <w:szCs w:val="24"/>
        <w:lang w:eastAsia="en-GB"/>
      </w:rPr>
      <w:t>6</w:t>
    </w:r>
    <w:r>
      <w:rPr>
        <w:rFonts w:ascii="TimesLT" w:hAnsi="TimesLT"/>
        <w:szCs w:val="24"/>
        <w:lang w:eastAsia="en-GB"/>
      </w:rPr>
      <w:fldChar w:fldCharType="end"/>
    </w:r>
  </w:p>
  <w:p>
    <w:pPr>
      <w:tabs>
        <w:tab w:val="center" w:pos="4153"/>
        <w:tab w:val="right" w:pos="8306"/>
      </w:tabs>
      <w:rPr>
        <w:rFonts w:ascii="TimesLT" w:hAnsi="TimesLT"/>
        <w:szCs w:val="24"/>
        <w:lang w:eastAsia="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page" w:x="6421" w:y="-18"/>
      <w:tabs>
        <w:tab w:val="center" w:pos="4153"/>
        <w:tab w:val="right" w:pos="8306"/>
      </w:tabs>
      <w:rPr>
        <w:rFonts w:ascii="TimesLT" w:hAnsi="TimesLT"/>
        <w:szCs w:val="24"/>
        <w:lang w:eastAsia="en-GB"/>
      </w:rPr>
    </w:pPr>
    <w:r>
      <w:rPr>
        <w:rFonts w:ascii="TimesLT" w:hAnsi="TimesLT"/>
        <w:szCs w:val="24"/>
        <w:lang w:eastAsia="en-GB"/>
      </w:rPr>
      <w:fldChar w:fldCharType="begin"/>
    </w:r>
    <w:r>
      <w:rPr>
        <w:rFonts w:ascii="TimesLT" w:hAnsi="TimesLT"/>
        <w:szCs w:val="24"/>
        <w:lang w:eastAsia="en-GB"/>
      </w:rPr>
      <w:instrText xml:space="preserve">PAGE  </w:instrText>
    </w:r>
    <w:r>
      <w:rPr>
        <w:rFonts w:ascii="TimesLT" w:hAnsi="TimesLT"/>
        <w:szCs w:val="24"/>
        <w:lang w:eastAsia="en-GB"/>
      </w:rPr>
      <w:fldChar w:fldCharType="separate"/>
    </w:r>
    <w:r>
      <w:rPr>
        <w:rFonts w:ascii="TimesLT" w:hAnsi="TimesLT"/>
        <w:szCs w:val="24"/>
        <w:lang w:eastAsia="en-GB"/>
      </w:rPr>
      <w:t>2</w:t>
    </w:r>
    <w:r>
      <w:rPr>
        <w:rFonts w:ascii="TimesLT" w:hAnsi="TimesLT"/>
        <w:szCs w:val="24"/>
        <w:lang w:eastAsia="en-GB"/>
      </w:rPr>
      <w:fldChar w:fldCharType="end"/>
    </w:r>
  </w:p>
  <w:p>
    <w:pPr>
      <w:tabs>
        <w:tab w:val="center" w:pos="4153"/>
        <w:tab w:val="right" w:pos="8306"/>
      </w:tabs>
      <w:rPr>
        <w:rFonts w:ascii="TimesLT" w:hAnsi="TimesLT"/>
        <w:szCs w:val="24"/>
        <w:lang w:eastAsia="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szCs w:val="24"/>
        <w:lang w:eastAsia="en-GB"/>
      </w:rPr>
    </w:pPr>
    <w:r>
      <w:rPr>
        <w:rFonts w:ascii="TimesLT" w:hAnsi="TimesLT"/>
        <w:szCs w:val="24"/>
        <w:lang w:eastAsia="en-GB"/>
      </w:rPr>
      <w:fldChar w:fldCharType="begin"/>
    </w:r>
    <w:r>
      <w:rPr>
        <w:rFonts w:ascii="TimesLT" w:hAnsi="TimesLT"/>
        <w:szCs w:val="24"/>
        <w:lang w:eastAsia="en-GB"/>
      </w:rPr>
      <w:instrText xml:space="preserve">PAGE  </w:instrText>
    </w:r>
    <w:r>
      <w:rPr>
        <w:rFonts w:ascii="TimesLT" w:hAnsi="TimesLT"/>
        <w:szCs w:val="24"/>
        <w:lang w:eastAsia="en-GB"/>
      </w:rPr>
      <w:fldChar w:fldCharType="separate"/>
    </w:r>
    <w:r>
      <w:rPr>
        <w:rFonts w:ascii="TimesLT" w:hAnsi="TimesLT"/>
        <w:szCs w:val="24"/>
        <w:lang w:eastAsia="en-GB"/>
      </w:rPr>
      <w:t>6</w:t>
    </w:r>
    <w:r>
      <w:rPr>
        <w:rFonts w:ascii="TimesLT" w:hAnsi="TimesLT"/>
        <w:szCs w:val="24"/>
        <w:lang w:eastAsia="en-GB"/>
      </w:rPr>
      <w:fldChar w:fldCharType="end"/>
    </w:r>
  </w:p>
  <w:p>
    <w:pPr>
      <w:tabs>
        <w:tab w:val="center" w:pos="4153"/>
        <w:tab w:val="right" w:pos="8306"/>
      </w:tabs>
      <w:rPr>
        <w:rFonts w:ascii="TimesLT" w:hAnsi="TimesLT"/>
        <w:szCs w:val="24"/>
        <w:lang w:eastAsia="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page" w:x="6421" w:y="-18"/>
      <w:tabs>
        <w:tab w:val="center" w:pos="4153"/>
        <w:tab w:val="right" w:pos="8306"/>
      </w:tabs>
      <w:rPr>
        <w:rFonts w:ascii="TimesLT" w:hAnsi="TimesLT"/>
        <w:szCs w:val="24"/>
        <w:lang w:eastAsia="en-GB"/>
      </w:rPr>
    </w:pPr>
    <w:r>
      <w:rPr>
        <w:rFonts w:ascii="TimesLT" w:hAnsi="TimesLT"/>
        <w:szCs w:val="24"/>
        <w:lang w:eastAsia="en-GB"/>
      </w:rPr>
      <w:fldChar w:fldCharType="begin"/>
    </w:r>
    <w:r>
      <w:rPr>
        <w:rFonts w:ascii="TimesLT" w:hAnsi="TimesLT"/>
        <w:szCs w:val="24"/>
        <w:lang w:eastAsia="en-GB"/>
      </w:rPr>
      <w:instrText xml:space="preserve">PAGE  </w:instrText>
    </w:r>
    <w:r>
      <w:rPr>
        <w:rFonts w:ascii="TimesLT" w:hAnsi="TimesLT"/>
        <w:szCs w:val="24"/>
        <w:lang w:eastAsia="en-GB"/>
      </w:rPr>
      <w:fldChar w:fldCharType="separate"/>
    </w:r>
    <w:r>
      <w:rPr>
        <w:rFonts w:ascii="TimesLT" w:hAnsi="TimesLT"/>
        <w:szCs w:val="24"/>
        <w:lang w:eastAsia="en-GB"/>
      </w:rPr>
      <w:t>2</w:t>
    </w:r>
    <w:r>
      <w:rPr>
        <w:rFonts w:ascii="TimesLT" w:hAnsi="TimesLT"/>
        <w:szCs w:val="24"/>
        <w:lang w:eastAsia="en-GB"/>
      </w:rPr>
      <w:fldChar w:fldCharType="end"/>
    </w:r>
  </w:p>
  <w:p>
    <w:pPr>
      <w:tabs>
        <w:tab w:val="center" w:pos="4153"/>
        <w:tab w:val="right" w:pos="8306"/>
      </w:tabs>
      <w:rPr>
        <w:rFonts w:ascii="TimesLT" w:hAnsi="TimesLT"/>
        <w:szCs w:val="24"/>
        <w:lang w:eastAsia="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4"/>
  <w:proofState w:spelling="clean"/>
  <w:defaultTabStop w:val="1298"/>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40B81"/>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35.xml"/>
  <Relationship Id="rId11" Type="http://schemas.openxmlformats.org/officeDocument/2006/relationships/footer" Target="footer34.xml"/>
  <Relationship Id="rId12" Type="http://schemas.openxmlformats.org/officeDocument/2006/relationships/footer" Target="footer35.xml"/>
  <Relationship Id="rId13" Type="http://schemas.openxmlformats.org/officeDocument/2006/relationships/header" Target="header36.xml"/>
  <Relationship Id="rId14" Type="http://schemas.openxmlformats.org/officeDocument/2006/relationships/footer" Target="footer36.xml"/>
  <Relationship Id="rId15" Type="http://schemas.openxmlformats.org/officeDocument/2006/relationships/header" Target="header40.xml"/>
  <Relationship Id="rId16" Type="http://schemas.openxmlformats.org/officeDocument/2006/relationships/image" Target="media/image1.png"/>
  <Relationship Id="rId17"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34.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_rels/activeX3.xml.rels><?xml version="1.0" encoding="UTF-8"?>

<Relationships xmlns="http://schemas.openxmlformats.org/package/2006/relationships">
  <Relationship Id="rId1" Type="http://schemas.microsoft.com/office/2006/relationships/activeXControlBinary" Target="activeX4.bin"/>
</Relationships>

</file>

<file path=word/activeX/_rels/activeX4.xml.rels><?xml version="1.0" encoding="UTF-8"?>

<Relationships xmlns="http://schemas.openxmlformats.org/package/2006/relationships">
  <Relationship Id="rId1" Type="http://schemas.microsoft.com/office/2006/relationships/activeXControlBinary" Target="activeX5.bin"/>
</Relationships>

</file>

<file path=word/activeX/_rels/activeX5.xml.rels><?xml version="1.0" encoding="UTF-8"?>

<Relationships xmlns="http://schemas.openxmlformats.org/package/2006/relationships">
  <Relationship Id="rId1" Type="http://schemas.microsoft.com/office/2006/relationships/activeXControlBinary" Target="activeX6.bin"/>
</Relationships>

</file>

<file path=word/activeX/_rels/activeX6.xml.rels><?xml version="1.0" encoding="UTF-8"?>

<Relationships xmlns="http://schemas.openxmlformats.org/package/2006/relationships">
  <Relationship Id="rId1" Type="http://schemas.microsoft.com/office/2006/relationships/activeXControlBinary" Target="activeX7.bin"/>
</Relationships>

</file>

<file path=word/activeX/_rels/activeX7.xml.rels><?xml version="1.0" encoding="UTF-8"?>

<Relationships xmlns="http://schemas.openxmlformats.org/package/2006/relationships">
  <Relationship Id="rId1" Type="http://schemas.microsoft.com/office/2006/relationships/activeXControlBinary" Target="activeX8.bin"/>
</Relationships>

</file>

<file path=word/activeX/_rels/activeX8.xml.rels><?xml version="1.0" encoding="UTF-8"?>

<Relationships xmlns="http://schemas.openxmlformats.org/package/2006/relationships">
  <Relationship Id="rId1" Type="http://schemas.microsoft.com/office/2006/relationships/activeXControlBinary" Target="activeX9.bin"/>
</Relationships>

</file>

<file path=word/activeX/_rels/activeX9.xml.rels><?xml version="1.0" encoding="UTF-8"?>

<Relationships xmlns="http://schemas.openxmlformats.org/package/2006/relationships">
  <Relationship Id="rId1" Type="http://schemas.microsoft.com/office/2006/relationships/activeXControlBinary" Target="activeX10.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2fe856fd9b74bbcb4f0b11e2c71e06a" PartId="071705a445f54cea9bd0877bba3a2d90">
    <Part Type="preambule" DocPartId="9f66030662e642a8834122ac6c62553b" PartId="41a7c52a67fd468fadaf9e163795d7b3"/>
    <Part Type="punktas" Nr="1" Abbr="1 p." DocPartId="48466db4b121493193fbdc06f97cabed" PartId="7895e23a889147b4b38bb0014644440a"/>
    <Part Type="punktas" Nr="2" Abbr="2 p." DocPartId="b20700aed1e6412290051d54e8eca8bb" PartId="008ccb0e42c94167909b983e9bb1a446"/>
    <Part Type="signatura" DocPartId="bddeeee9a3004fa2a02c92580706e4e0" PartId="4783226bad8b43c28c54bd7bc9935ba9"/>
  </Part>
  <Part Type="patvirtinta" Title="ŽAISLŲ SAUGOS TECHNINIS REGLAMENTAS" DocPartId="713184a1974f46e887a67f23c78ca5cc" PartId="80bf26fab7034f59a270f5b8a1202c4c">
    <Part Type="skyrius" Nr="1" Title="„I SKYRIUS BENDROSIOS NUOSTATOS“." DocPartId="5c2780dece8f426a8f762bc13b83be67" PartId="8950faf8972a4fbbbc3956861c737b7c">
      <Part Type="punktas" Nr="1" Abbr="1 p." DocPartId="a4788d9a65e3417d89afdf235218d28c" PartId="968d4ff1f459449c8a95b4dbca29196a"/>
      <Part Type="punktas" Nr="2" Abbr="2 p." DocPartId="8f87563fe4ed40dda2a0ba6341c37d14" PartId="17c2fc9f915b450fa26ebb9cc0a22048"/>
      <Part Type="punktas" Nr="3" Abbr="3 p." DocPartId="eff174a1a2df46d5afcee65c843591d4" PartId="93af888e67164fcb8196b627a3fa7024">
        <Part Type="punktas" Nr="3.1" Abbr="3.1 p." DocPartId="88ec2dfd68584cf7bc2ca0ad0a526ff8" PartId="5353da7c8da84264909a66f64127ec2b"/>
        <Part Type="punktas" Nr="3.2" Abbr="3.2 p." DocPartId="f9816dffa0164ba48363e0d1fb693d67" PartId="5a4ab13f13f74a0c8363b60c4fcd972c"/>
        <Part Type="punktas" Nr="3.3" Abbr="3.3 p." DocPartId="b5ee050d069c41ae8e9e95efcc8cd72b" PartId="2c464477b5b84f7db0457f275a4eac3c"/>
        <Part Type="punktas" Nr="3.4" Abbr="3.4 p." DocPartId="e517bf2cbb734452808e7a48c7837c02" PartId="2b889eb24ef1423cb229f73a696499bd"/>
        <Part Type="punktas" Nr="3.5" Abbr="3.5 p." DocPartId="68ac90cf9ba14714bc5e37980b0feeb4" PartId="869bc64f044a4a708bc79fbc8b6d9ecb"/>
      </Part>
      <Part Type="punktas" Nr="4" Abbr="4 p." DocPartId="924ea6c508484e1b88e91674c7e3fcdc" PartId="86b410af3eea4fc89fda3bde728b2896">
        <Part Type="papunktis" Nr="4.1" Abbr="4.1 pp." DocPartId="ff7781a8916c45f0b2986da28bfd5d10" PartId="b1acbf47dbf74f0ea4dc229215589e07"/>
        <Part Type="papunktis" Nr="4.2" Abbr="4.2 pp." DocPartId="d5bbb2a0e0894e5fa1891bc987583cbf" PartId="d7d685bd82ad4a83af9203536ba8668b"/>
        <Part Type="papunktis" Nr="4.3" Abbr="4.3 pp." DocPartId="20ad515647a0422a8b7894482a0aeabf" PartId="b34390d802fc4b058d4788dc1092a38f"/>
        <Part Type="papunktis" Nr="4.4" Abbr="4.4 pp." DocPartId="996de961ca5d42b8837dd24e1dea3252" PartId="00077cd3fc0645109f77a5633a1bb99e"/>
        <Part Type="papunktis" Nr="4.5" Abbr="4.5 pp." DocPartId="4bc8e4b3a84c48b2ae6fe50011ddf2a2" PartId="dca7ad46923d4cb8a74497c052271857"/>
        <Part Type="papunktis" Nr="4.6" Abbr="4.6 pp." DocPartId="d96e4ac144424dbea72945ee811ebfb9" PartId="beef4a111a4242c58c7c03d68d3917d2"/>
        <Part Type="papunktis" Nr="4.7" Abbr="4.7 pp." DocPartId="0a32b1cb01414b5ba6d126c462e27fbe" PartId="ea76574d8787439986bf5f8c21745f3e"/>
        <Part Type="papunktis" Nr="4.8" Abbr="4.8 pp." DocPartId="1e116e55f81c40de89c5af038d729817" PartId="21b56b6253da469e9239a2a190703854"/>
        <Part Type="papunktis" Nr="4.9" Abbr="4.9 pp." DocPartId="b5c22e0c954f45b49cf692568a617b31" PartId="3407ce3c43f34292977fe726010547c5"/>
        <Part Type="papunktis" Nr="4.10" Abbr="4.10 pp." DocPartId="da71e8cf39b04944a5ffce71f1ea1cc1" PartId="a368da1d027d4828b765b5075dda8fa0"/>
        <Part Type="papunktis" Nr="4.11" Abbr="4.11 pp." DocPartId="666b042087b44907849b10ab0179fc22" PartId="4089eee332134b289691c6e0c461f929"/>
        <Part Type="papunktis" Nr="4.12" Abbr="4.12 pp." DocPartId="499ddbc57189416d87b531da2293302a" PartId="219a135f94764aca99538986a878676d"/>
        <Part Type="papunktis" Nr="4.13" Abbr="4.13 pp." DocPartId="9c36c073c54f448fb918af163e28129b" PartId="6fbbb44bd0da48eb85b008f17d7ddfb7"/>
        <Part Type="papunktis" Nr="4.14" Abbr="4.14 pp." DocPartId="ac8f038ff2e448aa8c6201912dc28b30" PartId="750afe08994c4cc0bf76ebdb4f125d8c"/>
        <Part Type="papunktis" Nr="4.15" Abbr="4.15 pp." DocPartId="608f6e0c581e47fab48357f21dbacea8" PartId="f4bdddadd6e44164a13dadbe697b095c"/>
        <Part Type="papunktis" Nr="4.16" Abbr="4.16 pp." DocPartId="fce134873c094f12955a5389f3ec2463" PartId="43decb5be96843a0b16e4d9e3ad74ed2"/>
        <Part Type="papunktis" Nr="4.17" Abbr="4.17 pp." DocPartId="f99aa6b9881b49ed91059d2db7bd78e8" PartId="16d4c3713bc84d33899ba3846e04d661"/>
        <Part Type="papunktis" Nr="4.18" Abbr="4.18 pp." DocPartId="b5875549753246488e2e7c29c2aabfb0" PartId="4e98110f1a424aea8eeaa1616107253e"/>
        <Part Type="papunktis" Nr="4.19" Abbr="4.19 pp." DocPartId="b7c9481ba5114975b153989cd9f362f5" PartId="a88ec0c45a1447da8ad5e78d29c52746"/>
        <Part Type="papunktis" Nr="4.20" Abbr="4.20 pp." DocPartId="dc0b087ad427425c84464ccdcae04ee1" PartId="8987cfaff8d944918efd8b406f635082"/>
        <Part Type="papunktis" Nr="4.21" Abbr="4.21 pp." DocPartId="e0753d016a3f4d438cdd90e2b806d91a" PartId="ab90e2e357984f6da3f9a8be99a6de74"/>
        <Part Type="papunktis" Nr="4.22" Abbr="4.22 pp." DocPartId="c409be6a013d4a71966d90da7178c268" PartId="ff5f4e592a954907b0d4e8b6a1eadc67"/>
        <Part Type="papunktis" Nr="4.23" Abbr="4.23 pp." DocPartId="0859dfb50fed4efb8cf55863a4982950" PartId="a5475cd2ea7d4384a244ba80f8a9d91e"/>
        <Part Type="papunktis" Nr="4.24" Abbr="4.24 pp." DocPartId="1472ca3623724f2faab7312c66540453" PartId="99b3c0199d4f464fbc5b6e1a23d2c256"/>
        <Part Type="papunktis" Nr="4.25" Abbr="4.25 pp." DocPartId="940b823bc21a4f3b9816c92ee42762ee" PartId="0bc31720564641acaf32f632f11397dd"/>
        <Part Type="papunktis" Nr="4.26" Abbr="4.26 pp." DocPartId="60510f1f5a8d4a448599bd8bfef0cfbe" PartId="e27d1e8d6447453aa531f9f603409a23"/>
        <Part Type="papunktis" Nr="4.27" Abbr="4.27 pp." DocPartId="7656a695fbc34acb86117ce0cd83d900" PartId="a33dda602a444456ac75cc271e9b04cf"/>
        <Part Type="papunktis" Nr="4.28" Abbr="4.28 pp." DocPartId="0486543c13904eaea5daec272d7545e8" PartId="2287aeef72c2499a888f3d8bbeeeb4d9"/>
        <Part Type="papunktis" Nr="4.29" Abbr="4.29 pp." DocPartId="117981791bad4bb48fa934663c59fcbc" PartId="543554647f6d4c9fa6b1bd72a00298c8"/>
      </Part>
      <Part Type="punktas" Nr="4-1" Abbr="4-1 p." DocPartId="b4649bce3d8f4441b6205233bbf7208c" PartId="f3f588fe051f4261906de496f913cdcc"/>
      <Part Type="punktas" Nr="5" Abbr="5 p." DocPartId="e63b4ab15065488a990eaaa7191b6ba2" PartId="07b15bdb17ec4894a173db4bad8f5cb0"/>
      <Part Type="punktas" Nr="6" Abbr="6 p." DocPartId="450614e612bc4db28f8ff3dbfb6d5fb2" PartId="7c5cba991c0c446db752a10b521fa598"/>
    </Part>
    <Part Type="skyrius" Nr="2" Title="„II SKYRIUS EKONOMINĖS VEIKLOS VYKDYTOJŲ PAREIGOS“." DocPartId="00961f62f9e144769f6a99bd5d0fa997" PartId="767bc8d48faa435bbcebb8d204ab7a6b">
      <Part Type="punktas" Nr="7" Abbr="7 p." DocPartId="9b6d7af5112e4369a1b0e09d7339f925" PartId="c0a0b84705b84654be9184e0cfa3d4b7">
        <Part Type="punktas" Nr="7.1" Abbr="7.1 p." DocPartId="a4a9810dcfcf4897abd7591862087156" PartId="c0ca583fcc2c4f0bbae0e1d5b015b057"/>
        <Part Type="punktas" Nr="7.2" Abbr="7.2 p." DocPartId="5c9bb5147b114e88b83b199253be14a3" PartId="7ce92236dfa14061859bec3b1069b4c6"/>
        <Part Type="punktas" Nr="7.3" Abbr="7.3 p." DocPartId="fca2633b54604670aeebfba366e42d99" PartId="37be501bed1048c39620ba92f27bb38a"/>
        <Part Type="punktas" Nr="7.4" Abbr="7.4 p." DocPartId="00ce822e0c42426989b17f3c60c65553" PartId="2c1b1ef41c9e4baea614d0820b6d3190"/>
        <Part Type="punktas" Nr="7.5" Abbr="7.5 p." DocPartId="89e781c122b045dca80fda49927cf096" PartId="222265258650487f845c89b84b3fb916"/>
        <Part Type="punktas" Nr="7.6" Abbr="7.6 p." DocPartId="23d83cd1f9514d81ad286f4f2e2922c1" PartId="dfe8822ba0c84f1f91b6b5c4d710bacb"/>
        <Part Type="punktas" Nr="7.7" Abbr="7.7 p." DocPartId="7289b7dec2564c888b146fceea27074c" PartId="c4a510f3f63943d48e20ebdd30ee7b71"/>
        <Part Type="punktas" Nr="7.8" Abbr="7.8 p." DocPartId="9d5911ef071744a2a2e87753041d7cf4" PartId="5d03c9e88fa24ca3a9365b687abb5ea6"/>
        <Part Type="punktas" Nr="7.9" Abbr="7.9 p." DocPartId="5100547bb7354ba89c7954114d9aa3d4" PartId="47ca3bef6cd84d848ff6208f6baa8d47"/>
      </Part>
      <Part Type="punktas" Nr="8" Abbr="8 p." DocPartId="dba0b408697c4132924eb7295dc45027" PartId="3c4e0df1aa0f4f609b504a600769ecce">
        <Part Type="punktas" Nr="8.1" Abbr="8.1 p." DocPartId="1d7e535135b34cb99c3e552a595794c6" PartId="cbf6d40ec47d420a80068b4f4eab672c"/>
        <Part Type="punktas" Nr="8.2" Abbr="8.2 p." DocPartId="fdc5d3cc6bf3475c8f4c7e625b53816d" PartId="eea52bde0e184520b9d2ebf91a03916b"/>
        <Part Type="punktas" Nr="8.3" Abbr="8.3 p." DocPartId="7803a33a2d584d0396cc5456009cec8e" PartId="668b0f43118e48ccb400bda28beb1db4">
          <Part Type="papunktis" Nr="8.3.1" Abbr="8.3.1 pp." DocPartId="10ef1a5d75054ffe872498a81aac6c7c" PartId="5d9f8d9003cc41aab74b24035d74e372"/>
          <Part Type="papunktis" Nr="8.3.2" Abbr="8.3.2 pp." DocPartId="efcbed50bd264345b8264f17b65105b4" PartId="665bfb32139d42ff86085a150c153d66"/>
          <Part Type="papunktis" Nr="8.3.3" Abbr="8.3.3 pp." DocPartId="5c6f28ac006f43bb88b05f5eeb0ebac5" PartId="2b781bb6ea3e468bbea49a5e30cc9bb0"/>
        </Part>
      </Part>
      <Part Type="punktas" Nr="9" Abbr="9 p." DocPartId="41bd41f4a6a24a8a9bc96f75a63f4550" PartId="9716bfb0eff24229bdb0d261cf542b35">
        <Part Type="punktas" Nr="9.1" Abbr="9.1 p." DocPartId="5ac0fbfe2d0841e390be0c2f56bec3dd" PartId="0fd1184d6f6144ac9a0c298f1bba8ead"/>
        <Part Type="punktas" Nr="9.2" Abbr="9.2 p." DocPartId="b4534f8e003a413e99776b6ea04047ba" PartId="f1fc21ac32024c44ba603507443bd616"/>
        <Part Type="punktas" Nr="9.3" Abbr="9.3 p." DocPartId="ec4f29e4cde941cf95cb8d54cefc0429" PartId="fef3b8ed580c4b0bbb705952a707a4f8"/>
        <Part Type="punktas" Nr="9.4" Abbr="9.4 p." DocPartId="469179e62e234aa6bf5f5a0e99bd4e18" PartId="a9c9fd9fdd884d60ae44a37ca833bc2c"/>
        <Part Type="punktas" Nr="9.5" Abbr="9.5 p." DocPartId="42a6e8c05d8249c5ae7ad3e8ebc19397" PartId="026280430f194ea594252d985ee0828a"/>
        <Part Type="punktas" Nr="9.6" Abbr="9.6 p." DocPartId="3c7b2b4bc4034b4ca631b9b13850356b" PartId="f307fd0fb8044d8d8906a7fcaa685876"/>
        <Part Type="punktas" Nr="9.7" Abbr="9.7 p." DocPartId="91972e52a941426b9ec7ec80087794a7" PartId="4e2b01497273431e999b6b0a7d575ec3"/>
        <Part Type="punktas" Nr="9.8" Abbr="9.8 p." DocPartId="710c22a6a8b446beaf1b6eeb0ee4e430" PartId="2e77f49466494e30801a6e831baf4726"/>
        <Part Type="punktas" Nr="9.9" Abbr="9.9 p." DocPartId="02fdf54bc18e4022abd28ca17fa254e6" PartId="48c2ce6003534a76845caaa777ceb8ac"/>
        <Part Type="punktas" Nr="9.10" Abbr="9.10 p." DocPartId="ff67eeea06b94c1ca80e2c2f4836806b" PartId="9f4eac4ed3e649a3a9aa4ffad06b2e74"/>
      </Part>
      <Part Type="punktas" Nr="10" Abbr="10 p." DocPartId="dbf9f75bb63441e5a9b21bbc722bc6f6" PartId="18fef478bcb84f8c9ba00d97cbb0e156">
        <Part Type="punktas" Nr="10.1" Abbr="10.1 p." DocPartId="6923f6fca0fb4de184192ec0b103bd56" PartId="3e461791370c4574ae8dcd23f1657f24"/>
        <Part Type="punktas" Nr="10.2" Abbr="10.2 p." DocPartId="df91b6f32ea144e799f5da8f5e9824de" PartId="da26a5a1f2b448418aaa23cebacf780d"/>
        <Part Type="punktas" Nr="10.3" Abbr="10.3 p." DocPartId="11632602afc547dba7dc76660758e3a5" PartId="74e2beefe3de408b8414fba28f996793"/>
        <Part Type="punktas" Nr="10.4" Abbr="10.4 p." DocPartId="a1579d504c4c400fb662c2def334916f" PartId="1ca29a3eb10c4c098c1c20d3779f5ca8"/>
        <Part Type="punktas" Nr="10.5" Abbr="10.5 p." DocPartId="455525a31b6c4d409f2cad1ee855cf0f" PartId="b1100a8eaee0478e9fbb135728a78ac3"/>
        <Part Type="punktas" Nr="10.6" Abbr="10.6 p." DocPartId="e194ae5df3fe4bb68c9053595c2b3e28" PartId="35a05cba309a47598fb2a203df84ecb0"/>
      </Part>
      <Part Type="punktas" Nr="11" Abbr="11 p." DocPartId="41beba0df90e48bdb514def5342b7be2" PartId="29d8c5a4e47c418ea1fd7c7dc509cb38"/>
      <Part Type="punktas" Nr="12" Abbr="12 p." DocPartId="c90a5fb7fc5b43a2bd0675987e32cc11" PartId="12522d9033f949e5a0ef87a864bf071f">
        <Part Type="punktas" Nr="12.1" Abbr="12.1 p." DocPartId="2a208bec1d92481b89cea873d04a3078" PartId="2c1f16b149df4502b76de6f101e893b5">
          <Part Type="punktas" Nr="12.1.1" Abbr="12.1.1 p." DocPartId="4154d13d3505478e93cb7494ad5fca17" PartId="dccd15d4d18d4d39b490f6cdb1965962"/>
          <Part Type="punktas" Nr="12.1.2" Abbr="12.1.2 p." DocPartId="7c2d935644484245a2b8d5ce878e12ba" PartId="2e969b09f10b45b3bbcb18c19856670b"/>
        </Part>
        <Part Type="punktas" Nr="12.2" Abbr="12.2 p." DocPartId="86e216172b4d48f5a894eee105716265" PartId="50afb036ef11474188428c16c8d847b9"/>
      </Part>
    </Part>
    <Part Type="skyrius" Nr="3" Title="„III SKYRIUS ŽAISLŲ ATITIKTIS“." DocPartId="14e76fff96e44a30b1033f420348deae" PartId="058c668c79f14a90a080a3360f6b144b">
      <Part Type="punktas" Nr="13" Abbr="13 p." DocPartId="0440d3084a5f4f528ef2ea9b9f374d8a" PartId="882006b6f388421eb722cfd79e79a83f">
        <Part Type="punktas" Nr="13.1" Abbr="13.1 p." DocPartId="b15a62388a664df8a165a7e3ca79d659" PartId="ebba3cb0f704404f9b8b78c01903de99"/>
        <Part Type="punktas" Nr="13.2" Abbr="13.2 p." DocPartId="7814e5fc42084a0bb656bb20f66ebf53" PartId="0b4e5301ef1c4450bbe16f4f9efcecc5"/>
        <Part Type="punktas" Nr="13.3" Abbr="13.3 p." DocPartId="88ed5caa57a74aaf9909431cd92243f6" PartId="37ccdc6cccbb4d7a8d72f8b5e2e2d1eb"/>
        <Part Type="punktas" Nr="13.4" Abbr="13.4 p." DocPartId="b595a04485644b58ab3f47e33a14da27" PartId="dc155a5039534495be1fb20cc0eb7542"/>
      </Part>
      <Part Type="punktas" Nr="14" Abbr="14 p." DocPartId="f07584d1a38848cdab1c20870c633e6c" PartId="c88152d8576f447ea8fbc124e68f455c">
        <Part Type="punktas" Nr="14.1" Abbr="14.1 p." DocPartId="c10dde55f43e4ce6b6a682c6aa0ee0e0" PartId="f93521fed762449da5f443fa21642a41"/>
        <Part Type="punktas" Nr="14.2" Abbr="14.2 p." DocPartId="b43b44663d0348ae98b9c91b1debff67" PartId="5a77ac0afa1c4961a61e7e7c5d1b04d5"/>
        <Part Type="punktas" Nr="14.3" Abbr="14.3 p." DocPartId="96f5e14e06e94e5db0e8912a83e29b50" PartId="029c34931a9b40c9aa0eab9d8f3029ec"/>
        <Part Type="punktas" Nr="14.4" Abbr="14.4 p." DocPartId="6e5c0e6f01c84f04a887177004409403" PartId="8d22ab4b36cc4aecac04e3449e0f0ae1"/>
        <Part Type="punktas" Nr="14.5" Abbr="14.5 p." DocPartId="d4bcd48e669e42b0a7ba72676caa4348" PartId="7add52e7e2a040f7942a8ca221b55a7c"/>
        <Part Type="punktas" Nr="14.6" Abbr="14.6 p." DocPartId="15fde7ac57244fe980a186f03f5adc1c" PartId="814b13912a114ee3a62ea7af35c76ea9"/>
        <Part Type="punktas" Nr="14.7" Abbr="14.7 p." DocPartId="eb589f6e0a8f4d428062062ee487b15f" PartId="5a648fd1dd0a439f8a938957647ea5ab"/>
      </Part>
      <Part Type="punktas" Nr="15" Abbr="15 p." DocPartId="f1791abed3b54939b88022ccfb31c051" PartId="1b59ce5ad8444ad6838a1702b9667610"/>
      <Part Type="punktas" Nr="16" Abbr="16 p." DocPartId="1d59fc62a385442abcd043550c157192" PartId="85083ef746ca449796475802a57eaeee"/>
      <Part Type="punktas" Nr="17" Abbr="17 p." DocPartId="01045c7dde834361b85ae3bad2bfad2d" PartId="7745f5fed77844fcb16d708e8cd5c8d6"/>
    </Part>
    <Part Type="skyrius" Nr="4" Title="„IV SKYRIUS EB ATITIKTIES DEKLARACIJA“." DocPartId="c2956a4dd4504e88bb1bb2b89a579a1b" PartId="433a4da91dbd4a8d9d6244ffff950758">
      <Part Type="punktas" Nr="18" Abbr="18 p." DocPartId="60e844bfc9ef4d59baba5590aea14019" PartId="bffea4f828b540bfb9b96b8b21411804"/>
      <Part Type="punktas" Nr="19" Abbr="19 p." DocPartId="b009edc36a704593bc6e3fe0e457fa66" PartId="56a30d7988084254a2d653efa1e69b72"/>
      <Part Type="punktas" Nr="20" Abbr="20 p." DocPartId="b1b0bbb2fb524d5aa47f6cc31fac2b31" PartId="89c04be5caf3455fad5effcf37b9b26f"/>
    </Part>
    <Part Type="skyrius" Nr="5" Title="„V SKYRIUS BENDRIEJI ŽYMĖJIMO ŽENKLU CE PRINCIPAI, TAISYKLĖS IR SĄLYGOS“." DocPartId="59bd51f6b3c840758cb1f42f134065e3" PartId="d90528bd89ea4c06af1dc5f82d80a4fd">
      <Part Type="punktas" Nr="21" Abbr="21 p." DocPartId="66feb1c12d434e2e97511639e4fee531" PartId="a9bff983c18945b6b30aa49466f3329e"/>
      <Part Type="punktas" Nr="22" Abbr="22 p." DocPartId="0072a563595f45a584ce3beb2749069d" PartId="c0737281a96b45ea9ac6b3b6a2a59fb5"/>
      <Part Type="punktas" Nr="23" Abbr="23 p." DocPartId="d6201755263743788179f13d4fbcd2d0" PartId="8ca678ffbfdc4a0e9288cdc2de17e553"/>
      <Part Type="punktas" Nr="24" Abbr="24 p." DocPartId="609ef3b1993a47868fa5fb201c2a7de4" PartId="a8a358dae9954f88997844daad14e7a1"/>
      <Part Type="punktas" Nr="25" Abbr="25 p." DocPartId="a762879894eb4153b45ed4c2dedc3aec" PartId="ac0dc3eade7a468e9238a7cf5cc6cf86"/>
      <Part Type="punktas" Nr="26" Abbr="26 p." DocPartId="cbf2b576bffb43b6b7251ad462eb9b41" PartId="7f155a65b1c34194a45500681344ee57"/>
      <Part Type="punktas" Nr="27" Abbr="27 p." DocPartId="fbaae2a25a544c68beb39fa34341590d" PartId="a4f22f680dc049d4adb7d92a23dfd50a"/>
    </Part>
    <Part Type="skyrius" Nr="6" Title="„VI SKYRIUS ATITIKTIES ĮVERTINIMAS IR REIKALAVIMAI NOTIFIKUOTOSIOMS ĮSTAIGOMS“." DocPartId="5e0bbe9f73ed47b6b47adfb074444abe" PartId="b25f8246ccae440dba43ace4dc0f25be">
      <Part Type="punktas" Nr="28" Abbr="28 p." DocPartId="e7234d2c37b4497ebc3c3d4bc47ff847" PartId="a82954401fd141ad8867eccf9c2199e0"/>
      <Part Type="punktas" Nr="29" Abbr="29 p." DocPartId="3133508fe25747ff8af547f92c625949" PartId="628b31be9ff34ff6bada963da05ae0a3"/>
      <Part Type="punktas" Nr="30" Abbr="30 p." DocPartId="be4c162555b3402eb7530b6eca43dd2b" PartId="29bab3fe27704f358c64b1437d7bf85b"/>
      <Part Type="punktas" Nr="31" Abbr="31 p." DocPartId="830766cb484d45deaae438eaa7e5fa57" PartId="1b187e7c39d5439ea66f0ddf804a9e26">
        <Part Type="punktas" Nr="31.1" Abbr="31.1 p." DocPartId="c897d9965cdf4ad991f2d83a24d25bad" PartId="fc1a675077ea4dc49718e22e15927618"/>
        <Part Type="punktas" Nr="31.2" Abbr="31.2 p." DocPartId="b70192381f704017931a44dca78aa380" PartId="4e871cc54ac944dba22aa5a7257b6893"/>
        <Part Type="punktas" Nr="31.3" Abbr="31.3 p." DocPartId="2f0f2cad3efc40c3aa57ca3833b11a1b" PartId="ba001b05d2374020a62a7c15b9ca4ef7"/>
        <Part Type="punktas" Nr="31.4" Abbr="31.4 p." DocPartId="10fec15796b34f4eb0bec7d8f3d4cf3d" PartId="281acc2d55074e7cae81a971c826108a"/>
      </Part>
      <Part Type="punktas" Nr="32" Abbr="32 p." DocPartId="bf7ab4de9bd4431cbe5e065f5e366150" PartId="2793bd18f72b41b9a443e4a31561a5ac">
        <Part Type="punktas" Nr="32.1" Abbr="32.1 p." DocPartId="7651818b8cf248b2a4e5d6352592eaa4" PartId="fb027f7786ca4d3eb29e9b5436897c35"/>
        <Part Type="punktas" Nr="32.2" Abbr="32.2 p." DocPartId="beeea0695445400d9bfd3c1b4321a32e" PartId="44a00bcb6acf4444bd3c555fcce83c6b"/>
        <Part Type="punktas" Nr="32.3" Abbr="32.3 p." DocPartId="6cb458fc4e17408e8bf6ef6eef643cb5" PartId="ceb7ac3b3563425ab68acd6f02cc35ed"/>
        <Part Type="punktas" Nr="32.4" Abbr="32.4 p." DocPartId="826598844c2744dbb187ded4bab6009d" PartId="828308abd10c4e9c813ed565b3d5cbc3"/>
        <Part Type="punktas" Nr="32.5" Abbr="32.5 p." DocPartId="8db5958c9c4f4835996ed3297e9990f1" PartId="8617d5cfbde2413f967654ed09985bd0"/>
        <Part Type="punktas" Nr="32.6" Abbr="32.6 p." DocPartId="6cb2f16a46f8437b8d6c3bdb1b216b8a" PartId="9214a26264214841b67df7208035ef90"/>
        <Part Type="punktas" Nr="32.7" Abbr="32.7 p." DocPartId="ae72e0fb748c480b85e2697399c72795" PartId="a08733648d854589baf864b8af5eba99">
          <Part Type="punktas" Nr="32.7.1" Abbr="32.7.1 p." DocPartId="1f2f5b101cd643409a31c01b9f8ea99e" PartId="4ca25436415a42f3903737ba5189be05"/>
          <Part Type="punktas" Nr="32.7.2" Abbr="32.7.2 p." DocPartId="969e3c4a0d3d427d9eaf21b53536d7e6" PartId="5845ac8a2c6843a2901233cd242ee3b7"/>
          <Part Type="punktas" Nr="32.7.3" Abbr="32.7.3 p." DocPartId="f66f076c960d4e1eb34733397d230e8f" PartId="2bff87dc7690419d8c456b6316310999"/>
        </Part>
        <Part Type="punktas" Nr="32.8" Abbr="32.8 p." DocPartId="b8e06fd2d90d4e208201af7c450615e4" PartId="484945f1f0b64d40acf48376b79e3a2e"/>
        <Part Type="punktas" Nr="32.9" Abbr="32.9 p." DocPartId="20fa2d73313a455093720124cbc707b9" PartId="64df364e22ef4f8c957623241b5457f5">
          <Part Type="punktas" Nr="32.9.1" Abbr="32.9.1 p." DocPartId="374095ea6af04df6bce87accf77b8c2e" PartId="9e6cc74746134f8c8fc43ef77ae8ba52"/>
          <Part Type="punktas" Nr="32.9.2" Abbr="32.9.2 p." DocPartId="55de350d068549c5b504270a7a91d5bd" PartId="1dd9befacf404c28a2736bd531c4ff81"/>
          <Part Type="punktas" Nr="32.9.3" Abbr="32.9.3 p." DocPartId="23c1b54fd1bb4984a19b0e62521d441a" PartId="e05e890bb4c44e0db5a7974d232e0e84"/>
          <Part Type="punktas" Nr="32.9.4" Abbr="32.9.4 p." DocPartId="98a90958c1cb47a1ab3bf96425dba739" PartId="c262470611ff48dd9dcc1e0b8a58fae8"/>
        </Part>
        <Part Type="punktas" Nr="32.10" Abbr="32.10 p." DocPartId="9cfcceae708c4a4db44706eafdf5ab0f" PartId="f00d72373aa84ceeb222993a1ec6443f"/>
        <Part Type="punktas" Nr="32.11" Abbr="32.11 p." DocPartId="9803832a767f442091414e881a4ba94c" PartId="8f812502f56342eea7e9c6accc470f12"/>
        <Part Type="punktas" Nr="32.12" Abbr="32.12 p." DocPartId="dda4ca6d95c8438b9c0dd6651c000841" PartId="09199a3e299444afa1508b8f2a3862cf"/>
        <Part Type="punktas" Nr="32.13" Abbr="32.13 p." DocPartId="345e7c587e69422e83d093411987df33" PartId="f3fd091ea1be42d78496e1dff55a0070"/>
      </Part>
      <Part Type="punktas" Nr="33" Abbr="33 p." DocPartId="dc0ecc75310f41cebffa8205fec66240" PartId="4c292f6a9884402eb44f4411c440460d"/>
      <Part Type="punktas" Nr="34" Abbr="34 p." DocPartId="b9f246efce6e4fe48353a2d4773855e4" PartId="724ca147dc38481097620408c09cbb9a">
        <Part Type="punktas" Nr="34.1" Abbr="34.1 p." DocPartId="23c06028130b421aa91e24fff87ba90c" PartId="3315ce9ad3dd4bb196b22099d9b41544"/>
        <Part Type="punktas" Nr="34.2" Abbr="34.2 p." DocPartId="12f075c37f9541c4b16b576a10e9c439" PartId="9ee5fe98d8cd4fc18149d3c8a659fd81"/>
        <Part Type="punktas" Nr="34.3" Abbr="34.3 p." DocPartId="8b0fc9032da741bb91266d36f95047c4" PartId="d6811747d2f349a2b9495d0fd1b0251d"/>
        <Part Type="punktas" Nr="34.4" Abbr="34.4 p." DocPartId="b98dbfc1e58040e5a208159cc4e93cec" PartId="ad85e5fbfc4e489db4f582e15c810935"/>
      </Part>
      <Part Type="punktas" Nr="35" Abbr="35 p." DocPartId="6b4d4b75ac5d46b28840683bb869e2bd" PartId="a02a92b6ffc541daaac3154c58e88e7b"/>
      <Part Type="punktas" Nr="36" Abbr="36 p." DocPartId="c6263cd82ca8471a9f7c991ca630e8d6" PartId="b5fa491efbd64f449db5bba9cd5d00ee"/>
      <Part Type="punktas" Nr="37" Abbr="37 p." DocPartId="4c4e394f8c204a7cba0dee00b2c94558" PartId="de55588fccc64a1cb49345a1bce7a693"/>
      <Part Type="punktas" Nr="38" Abbr="38 p." DocPartId="8997eaa35f364c78b5e6a2875c5d761f" PartId="ac728486a27b4c0fa51bf5fd3241a1ac"/>
      <Part Type="punktas" Nr="39" Abbr="39 p." DocPartId="8ab44532c7f041f288ef5a565dc3af49" PartId="4b6bc9c6f4c540558014557e514d0488"/>
      <Part Type="punktas" Nr="40" Abbr="40 p." DocPartId="caae03cd4a5a43cc9ef74d97c4d938a7" PartId="2df2e9812ce24ddc912fc315e9b7fde5"/>
      <Part Type="punktas" Nr="41" Abbr="41 p." DocPartId="9cd4fd8880d24b5eab1842695195ce77" PartId="2561a1b71cdb4b6c87f6cff82fe51264"/>
      <Part Type="punktas" Nr="42" Abbr="42 p." DocPartId="1728deeb4034422299f8771e77ece2d3" PartId="50a3ccfb23ff46908dbcfbd30fa4c3e8"/>
      <Part Type="punktas" Nr="43" Abbr="43 p." DocPartId="25d4483518564550a2b3ca16fe0ea0bc" PartId="96ea03b747834ac5919371bbcb0ae6a4">
        <Part Type="punktas" Nr="43.1" Abbr="43.1 p." DocPartId="f12244b83a8a43be9c788a10e09cc564" PartId="f49ffca41c6a49f6961b63aeabcc0c05"/>
        <Part Type="punktas" Nr="43.2" Abbr="43.2 p." DocPartId="c58d2487b042420e9979687377c16873" PartId="0383d95ba2d9422b8d89da3e928b870f"/>
        <Part Type="punktas" Nr="43.3" Abbr="43.3 p." DocPartId="2250bc65591a468e9d0e92764932ad0f" PartId="39a5799baf494d2d8aa6823880abdcc2"/>
        <Part Type="punktas" Nr="43.4" Abbr="43.4 p." DocPartId="1ff30093a20247fbad3a8666a9125859" PartId="d9d976c66eec4fa389c308988aeec747"/>
        <Part Type="punktas" Nr="43.5" Abbr="43.5 p." DocPartId="0a7ecd79e8fa4040b7a503f3242f9ffb" PartId="181f63125e6d40e3a63193017bb438ca"/>
      </Part>
      <Part Type="punktas" Nr="44" Abbr="44 p." DocPartId="7f7acf2037c349f3b36f278523dd6847" PartId="f436c6c4337f485395355aa9a9f7209c">
        <Part Type="punktas" Nr="44.1" Abbr="44.1 p." DocPartId="d9e63eec57704420a0f8b47e4937819d" PartId="10196b75b8934b509d6e031d3f00a07f">
          <Part Type="punktas" Nr="44.1.1" Abbr="44.1.1 p." DocPartId="99356616222a4c459267fc90d2af9fbd" PartId="b357e10ba31441e5ab1acaf501c0ac90"/>
          <Part Type="punktas" Nr="44.1.2" Abbr="44.1.2 p." DocPartId="7f28a5013de04734aa9477fc837407d6" PartId="20a6a2fe174f4d0fab77725973abcc39"/>
          <Part Type="punktas" Nr="44.1.3" Abbr="44.1.3 p." DocPartId="86ea113fa0514e6588d80bb1eb857a72" PartId="7ac4280283f44f82bb7cb61b4f7003ad"/>
          <Part Type="punktas" Nr="44.1.4" Abbr="44.1.4 p." DocPartId="e301f570b2dc4c35b560fdb9498d7c02" PartId="58875d1887b44c338b0514a522271f3a"/>
        </Part>
        <Part Type="punktas" Nr="44.2" Abbr="44.2 p." DocPartId="c0a04c344cd14a24b1ef991fa23d37ee" PartId="2667de89ed934b2a8075b888f84f2fcd"/>
      </Part>
    </Part>
    <Part Type="skyrius" Nr="7" Title="„VII SKYRIUS EB TIPO TYRIMAS“." DocPartId="dc34d6a5aa42486a9b12215aa6483fdb" PartId="361b4f31771241fc8b504e3b8a25cb4d">
      <Part Type="punktas" Nr="45" Abbr="45 p." DocPartId="d22d14b0911042d0bfaeda8a87531e83" PartId="78ee57430e134830bd2d2f7daeed1772"/>
      <Part Type="punktas" Nr="46" Abbr="46 p." DocPartId="92b7a6c7984243ef86fda304ac5272df" PartId="adab9542316a4f1ead28d63c2bbe3c4f"/>
      <Part Type="punktas" Nr="47" Abbr="47 p." DocPartId="89e1df59bfd24206894becbb54c49922" PartId="c696386b5c1a401b92bc576c36fb584b"/>
      <Part Type="punktas" Nr="48" Abbr="48 p." DocPartId="c76b7e93986742eda7da586a89251aa9" PartId="28b70480fcf64819847fc3dbbab810aa"/>
      <Part Type="punktas" Nr="49" Abbr="49 p." DocPartId="0ac6d7926ec44e58a252eef6b0da1c7a" PartId="f1cb7bc85f1a4f82bb9b73d90be1d172"/>
      <Part Type="punktas" Nr="50" Abbr="50 p." DocPartId="2fea14cfbaef41a0ade95fa2cfdbb2c1" PartId="88082c9c886c40fe912d1be4ebeca68a"/>
      <Part Type="punktas" Nr="51" Abbr="51 p." DocPartId="c36e963a6ca442d685635ec335807628" PartId="a7d87a66d0eb413d80de156a3afbd467"/>
      <Part Type="punktas" Nr="52" Abbr="52 p." DocPartId="218f532bca4848239e3d2a22f37bff8c" PartId="55a0fe384ead4e4cbe43ee7e595e4192"/>
    </Part>
    <Part Type="skyrius" Nr="8" Title="„VIII SKYRIUS TECHNINIAI DOKUMENTAI“." DocPartId="a8a574eafcbd4790b629c2ff9e6bf08d" PartId="4cd880172efb4bf5913e9c9652456119">
      <Part Type="punktas" Nr="53" Abbr="53 p." DocPartId="3c7b72be9e1b40938fda44e1e7a7c9ab" PartId="d45a17ed955341518795adafc61e50a5"/>
      <Part Type="punktas" Nr="54" Abbr="54 p." DocPartId="51e706f04d57405b82e295fca8b705f6" PartId="4d11df5ba31e47df949b396be56d657b"/>
      <Part Type="punktas" Nr="55" Abbr="55 p." DocPartId="d96fb10b5dce420ba38a116ab69fd59c" PartId="8a2d24cc6f6b42738e56d6cc14db0783"/>
      <Part Type="punktas" Nr="56" Abbr="56 p." DocPartId="c89006598d8c4a368246bbc8fbfd30ea" PartId="8848c765bda54302b0d6930d2a97e93d"/>
    </Part>
    <Part Type="skyrius" Nr="9" Title="„IX SKYRIUS RINKOS PRIEŽIŪROS REIKALAVIMAI“." DocPartId="d84946d72a904097844d8f5d8068d0a1" PartId="b2480a6d641a48878ce748c90e538e77">
      <Part Type="punktas" Nr="57" Abbr="57 p." DocPartId="69f3e06336394061943a47391049a458" PartId="7f988b68c972474aba5396982313f6ee"/>
      <Part Type="punktas" Nr="58" Abbr="58 p." DocPartId="c06f437078bc4919bc499e8842e6e32c" PartId="904fde87aad04923897ac09d38ebd973"/>
      <Part Type="punktas" Nr="59" Abbr="59 p." DocPartId="f9ffb15bac644ccf92bbd73debb598f4" PartId="1e03b01efdfe491e85cab69ce9ce05c5"/>
      <Part Type="punktas" Nr="60" Abbr="60 p." DocPartId="d0de342bf6504ea0a565879c6413ab59" PartId="0dfe67a36d514b7f8a7fe035c26a3a15"/>
      <Part Type="punktas" Nr="61" Abbr="61 p." DocPartId="b0f906aaeed145ddb614b24415b1b98f" PartId="72ce57bf9b7b4d5685440521b8f19cc9"/>
      <Part Type="punktas" Nr="62" Abbr="62 p." DocPartId="d9737816b067461a98d0783fc5c347f6" PartId="c0678ab9131346e09caafba89c64b3e4"/>
      <Part Type="punktas" Nr="63" Abbr="63 p." DocPartId="69b10513b99f443aaa3d6faf577f26d4" PartId="ace1928779924fe69e64343617366142"/>
      <Part Type="punktas" Nr="64" Abbr="64 p." DocPartId="ef8568caf1ee4f11aa3c315f51153cd7" PartId="e0d77f66d47742ab8f2af636753380a2"/>
      <Part Type="punktas" Nr="65" Abbr="65 p." DocPartId="65bc8f8df1764358aad6bb75b16895dd" PartId="d2361524c78d462e82ce4abc01ccd71d"/>
      <Part Type="punktas" Nr="66" Abbr="66 p." DocPartId="fe57a6041b9143beac24b11efe8a0d2e" PartId="9284dfcff155413dbdcb8471a0e6c607">
        <Part Type="punktas" Nr="66.1" Abbr="66.1 p." DocPartId="dfbc6d277eac431fb810f93e5ac722d9" PartId="fadf794bf5484baf8eab0dd63bf50b0f"/>
        <Part Type="punktas" Nr="66.2" Abbr="66.2 p." DocPartId="3c6199374218427f9e59872500e923cb" PartId="0546d7e17d4740f9a69497120939bd97"/>
      </Part>
      <Part Type="punktas" Nr="67" Abbr="67 p." DocPartId="1bda71e736fc412bab5168dc831821c1" PartId="412b2cbf19a74d76a10d693636509e6f"/>
      <Part Type="punktas" Nr="68" Abbr="68 p." DocPartId="6e61677eca794873932b4ba169d8cd69" PartId="1141c97ba61f425da759cbe47133e519"/>
      <Part Type="punktas" Nr="69" Abbr="69 p." DocPartId="e3a0af5f2bbf46419af82fb0c691a37f" PartId="896325cca69a42f0b73785b41f2fcf62"/>
      <Part Type="punktas" Nr="70" Abbr="70 p." DocPartId="4d99b1bfe3054c8d8b985b40e8426cc4" PartId="627f93944dd1414db6dd0b8da17809f4"/>
      <Part Type="punktas" Nr="71" Abbr="71 p." DocPartId="be10d9c4fab94186a0a90011b9d5da2d" PartId="2d0ddda55cd84cc0a3d53763df1225c1">
        <Part Type="papunktis" Nr="71.1" Abbr="71.1 pp." DocPartId="2c77811b85a54f5f9f2c9d196f212944" PartId="02dc9a30a25b49cf99689475fdf31a8e"/>
        <Part Type="papunktis" Nr="71.2" Abbr="71.2 pp." DocPartId="b68f84b1b30f432ea96a36a190847cb5" PartId="7769e4caff934be9876c026b9056fa25"/>
      </Part>
    </Part>
    <Part Type="skyrius" Nr="10" Title="„X SKYRIUS OFICIALI NEATITIKTIS“." DocPartId="40e2be1916964de596fd713f350e7ad1" PartId="96197d9294a74aff9f91e2a0414b39f0">
      <Part Type="punktas" Nr="72" Abbr="72 p." DocPartId="f961a806968f47fd9b90596dbc169bbd" PartId="dc173a2eea1744918fbddf43b6b06074">
        <Part Type="punktas" Nr="72.1" Abbr="72.1 p." DocPartId="5830de3905f448fb957d77dae31ffa1b" PartId="aed47c14efa5452fa4e03f887f9010d7"/>
        <Part Type="punktas" Nr="72.2" Abbr="72.2 p." DocPartId="5266931905354a82a08cfa0fbb13b116" PartId="c0e3b08704784cad90310e723231ac1e"/>
        <Part Type="punktas" Nr="72.3" Abbr="72.3 p." DocPartId="b898a6664d8145c0bc5cc76d6384ad90" PartId="ba9c847b60764a5d8c92c3c3f2db272d"/>
        <Part Type="punktas" Nr="72.4" Abbr="72.4 p." DocPartId="c0b8ed6d7293445cb42ea69cf219673e" PartId="76bf58f24a774404be6e67c95f4f2d71"/>
        <Part Type="punktas" Nr="72.5" Abbr="72.5 p." DocPartId="f5c376ead53147d6ac6f54d942fc88ee" PartId="7c95d697370f49bab730aa4da28c56e7"/>
      </Part>
      <Part Type="punktas" Nr="73" Abbr="73 p." DocPartId="de2e2204b965486988c1da8583c75fa4" PartId="5e2933e922d54c06b7e1ae101abe2dd4"/>
    </Part>
    <Part Type="skyrius" Nr="11" Title="„XI SKYRIUS SPECIFINĖS ADMINISTRACINĖS NUOSTATOS“." DocPartId="75508c22b589409081462006a32b168d" PartId="ae1e73a8c7f84395b1a2a271289849e6">
      <Part Type="punktas" Nr="74" Abbr="74 p." DocPartId="e3bc0560988d47e09da056b7a4fc5995" PartId="702a460e88f9413d8cc88f8fd60a6ba9"/>
      <Part Type="punktas" Nr="75" Abbr="75 p." DocPartId="0a8f84ad49e14e1f88ce1c17d809b35e" PartId="dcfbe37ecc754e4ba2436c93fbc17ed7"/>
      <Part Type="punktas" Nr="76" Abbr="76 p." DocPartId="6a5aa5fa1c8544d9a67b24d2b1043b9a" PartId="d500c20aa9c84230b5dc798ec9ab6dd2"/>
    </Part>
    <Part Type="pabaiga" DocPartId="ec466e8a2ba04535be20f5b8772c03d7" PartId="187c529311f148579d1f3de0ec832f19"/>
  </Part>
  <Part Type="priedas" Nr="1" Abbr="1 pr." Title="GAMINIŲ, KURIE NĖRA LAIKOMI ŽAISLAIS PAGAL ŽAISLŲ SAUGOS TECHNINĮ REGLAMENTĄ, SĄRAŠAS" DocPartId="c1af4143e9c945bd9c0434b8f2cf0c88" PartId="7ff9126342534f62ab8f130af0650f0c">
    <Part Type="punktas" Nr="1" Abbr="1 pr. 1 p." DocPartId="518aa37c6aea4fa6aa956f1c0697c151" PartId="5bb88d2e8df846f68160b418aa867268"/>
    <Part Type="punktas" Nr="2" Abbr="1 pr. 2 p." DocPartId="f24c94a59bd74c8fb55bd1fd8d0bd1ef" PartId="bde99cc165174cfe94cda098878ddd1e">
      <Part Type="punktas" Nr="2.1" Abbr="1 pr. 2.1 p." DocPartId="e152abcd394649cd9866dd5f56425a54" PartId="5ff6b4c3456f425b96a4b7380d761fa2"/>
      <Part Type="punktas" Nr="2.2" Abbr="1 pr. 2.2 p." DocPartId="bcdcc775b2ac4fc3b75b044224c64a10" PartId="02cbc424d3dd4fc395d41237f4cc43e4"/>
      <Part Type="punktas" Nr="2.3" Abbr="1 pr. 2.3 p." DocPartId="9d9387dcbfaa4bc5b1350508df1ab0c4" PartId="57cc304dfecc46eeb4bc2dada7dea730"/>
      <Part Type="punktas" Nr="2.4" Abbr="1 pr. 2.4 p." DocPartId="b64948aae7cf493883419f3441c1e836" PartId="c13b0652aa0e4f159af6a7d365644c1a"/>
      <Part Type="punktas" Nr="2.5" Abbr="1 pr. 2.5 p." DocPartId="ed2a39b827c34c4ca71282bdc8c7137e" PartId="1578048d7a234da49034aa57432f653f"/>
    </Part>
    <Part Type="punktas" Nr="3" Abbr="1 pr. 3 p." DocPartId="dbe45182b83747e1a416016915a2510c" PartId="de65fed1545142fea1ab2c3785ae6e3b"/>
    <Part Type="punktas" Nr="4" Abbr="1 pr. 4 p." DocPartId="10c077c13cf7459487961b9be0c01987" PartId="a8e5b1b9d763411eb5f45ff88283bc5f"/>
    <Part Type="punktas" Nr="5" Abbr="1 pr. 5 p." DocPartId="7a7b199ad8724b06aa26a4b6f21685f9" PartId="59397dc7f426452786f0477859bd833b"/>
    <Part Type="punktas" Nr="6" Abbr="1 pr. 6 p." DocPartId="1b33bf8b34994ce2a310d722150cc346" PartId="1a72cf4f13ef4734bdf8da4bed9db4f7"/>
    <Part Type="punktas" Nr="7" Abbr="1 pr. 7 p." DocPartId="5533c8c9766d466c9b95b51ce03dbbc2" PartId="fa7e26cdec6c462cb2a250c8bffbdfa9"/>
    <Part Type="punktas" Nr="8" Abbr="1 pr. 8 p." DocPartId="9e04e175b42249e4a85d6760b41ae324" PartId="59e36c2315b94401a9e599fdd6c2ba24"/>
    <Part Type="punktas" Nr="9" Abbr="1 pr. 9 p." DocPartId="b5669c8a62654d73b5734f89a1f71117" PartId="1f3a694200144385aed123045b8282df"/>
    <Part Type="punktas" Nr="10" Abbr="1 pr. 10 p." DocPartId="8c7282786de84f8fb358989d5ab5e402" PartId="47b8fff7cc3f492a86d1e8eceedb9962"/>
    <Part Type="punktas" Nr="11" Abbr="1 pr. 11 p." DocPartId="0fb2b1e0e6a047d5bb0bc881230b3177" PartId="1473c2ec4a3442bb90c53ed628a79599"/>
    <Part Type="punktas" Nr="12" Abbr="1 pr. 12 p." DocPartId="565b6857bd2c4efd973ad1689449d088" PartId="7446f133579f49109f6598e327b70360"/>
    <Part Type="punktas" Nr="13" Abbr="1 pr. 13 p." DocPartId="2d10ca9137fd46898615915d54afbe50" PartId="3cca7d11635b48e29276417a33cd29b5"/>
    <Part Type="punktas" Nr="14" Abbr="1 pr. 14 p." DocPartId="5bcd084dcf2b4f7da946a240cb523c45" PartId="010dd6b4b6a34cccbe4789abcf288a34"/>
    <Part Type="punktas" Nr="15" Abbr="1 pr. 15 p." DocPartId="adb2be47514e4130be28792b61a454ac" PartId="89eeec28e01a4073b02af0a7af27c0d3"/>
    <Part Type="punktas" Nr="16" Abbr="1 pr. 16 p." DocPartId="404604deb1c1494f8e037cfbd95a8cb8" PartId="57121d49681d482ca871995a8bb50632"/>
    <Part Type="punktas" Nr="17" Abbr="1 pr. 17 p." DocPartId="2e890f04de0a442a929e93301c0d6c37" PartId="29a21521bceb440e9d8dccfec9f7aae7"/>
    <Part Type="punktas" Nr="18" Abbr="1 pr. 18 p." DocPartId="4f9434f542dc4b39a779954918e1d807" PartId="8c770d7b7ca54faba166bcbe70d3ca77"/>
    <Part Type="punktas" Nr="19" Abbr="1 pr. 19 p." DocPartId="c40ba46934cd4a21b4709fe7824fcc1e" PartId="36b104197b3d4bda8501df2f7f332fb8"/>
    <Part Type="pabaiga" DocPartId="d11f8806525c41e1a5eefbd50cbe84c5" PartId="160b4600f16d4eb49dbafbb91d24faad"/>
  </Part>
  <Part Type="priedas" Nr="2" Abbr="2 pr." Title="SPECIALIŲJŲ SAUGOS REIKALAVIMŲ APRAŠAS" DocPartId="0476a6ed0b7142a2b3152b736888204c" PartId="e6d7c2b16ba64e23ae7f22aa71d681e9">
    <Part Type="skyrius" Nr="1" Title="„I SKYRIUS BENDROSIOS NUOSTATOS“." DocPartId="f2a893aa097f428681a3515237aad94a" PartId="a178a93f288d4734b97d0ca031ace102">
      <Part Type="punktas" Nr="1" Abbr="2 pr. 1 p." DocPartId="00309deafd144d72b2c179fbdbed09bd" PartId="9158c015c14e4bf0bf58ae93cb4937a0"/>
    </Part>
    <Part Type="skyrius" Nr="2" Title="„II SKYRIUS FIZIKINĖS IR MECHANINĖS SAVYBĖS“." DocPartId="17be15cb0df740c68c34886a70319415" PartId="ce4a2782620a437c833c7fff38edc580">
      <Part Type="punktas" Nr="2" Abbr="2 pr. 2 p." DocPartId="8c1cd10f63df4c7e828433557ac8f0ba" PartId="3d8c0b34f51840a1a602fad3e24623a9"/>
      <Part Type="punktas" Nr="3" Abbr="2 pr. 3 p." DocPartId="ae7560f8e7f04c1183d66f0a6ef1bfac" PartId="920ec2abf8db430b9e93eb4818888aa3"/>
      <Part Type="punktas" Nr="4" Abbr="2 pr. 4 p." DocPartId="021ea08ced3c4e15b28a6e0cee8edf50" PartId="8c6c90c13c444b7d829412391fae2560"/>
      <Part Type="punktas" Nr="5" Abbr="2 pr. 5 p." DocPartId="6c155cb5a81f4bfc98ca7eeb13ba854e" PartId="15c28134f8514aa2a082756c5b4463e6"/>
      <Part Type="punktas" Nr="6" Abbr="2 pr. 6 p." DocPartId="a98a9d0cde87410ebb12e79adef9f1fb" PartId="adcf89dc28e246178d3b88ca5d72aabd"/>
      <Part Type="punktas" Nr="7" Abbr="2 pr. 7 p." DocPartId="fac11a3365544e33b0acae540469bfc4" PartId="23fb0ce8eaa0453084b7776a5443b538"/>
      <Part Type="punktas" Nr="8" Abbr="2 pr. 8 p." DocPartId="f83d8694a50f44d68e64ce6d20c80bf3" PartId="083d8a368f174d70876a15d5c6165093"/>
      <Part Type="punktas" Nr="9" Abbr="2 pr. 9 p." DocPartId="624b4564422c4999a3feb8e3869edd6d" PartId="798c53e468ba4a9482cea8e1e70b16ef"/>
      <Part Type="punktas" Nr="10" Abbr="2 pr. 10 p." DocPartId="3dbd41a69ee34383a657cfa8be4a8aa9" PartId="50c58feeff3947b2b5030233ad3c94e8"/>
      <Part Type="punktas" Nr="11" Abbr="2 pr. 11 p." DocPartId="0a6ca992f1384b90a8a29c75aac562dd" PartId="2ea5fce1bd9e4d14b85d1808005a4a26"/>
      <Part Type="punktas" Nr="12" Abbr="2 pr. 12 p." DocPartId="ae060a4b710347be83f97d695a21d36d" PartId="44a79682ee4a4214a40d42285bab175a"/>
      <Part Type="punktas" Nr="13" Abbr="2 pr. 13 p." DocPartId="2513a8d515cf4684be8c0dd4119721df" PartId="9f50a20bd8394dac8f727bae85d84723"/>
      <Part Type="punktas" Nr="14" Abbr="2 pr. 14 p." DocPartId="5598b19e99e649f6a0a5c97b82dd0311" PartId="a56e6b5371484b6cb2b44f63889b320c"/>
      <Part Type="punktas" Nr="15" Abbr="2 pr. 15 p." DocPartId="1cae3a79319446b5b1561d15bc9eb87b" PartId="069094ae34f74f79b5273afb5509e0ec"/>
      <Part Type="punktas" Nr="16" Abbr="2 pr. 16 p." DocPartId="c3ace0ec997e4cd9877ac7ce0c0642b1" PartId="8e295571475c4c87b1a92cb2d6e4bcab"/>
      <Part Type="punktas" Nr="17" Abbr="2 pr. 17 p." DocPartId="fd78762a24f847119fe1c95b05912c0b" PartId="f7b57d1c6af54b1e9148e1a991a169bf">
        <Part Type="punktas" Nr="17.1" Abbr="2 pr. 17.1 p." DocPartId="dea08ce08d224f3eb167109256038ccd" PartId="d5834add2d3a4b8bb44aeb7b7fd19e35"/>
        <Part Type="punktas" Nr="17.2" Abbr="2 pr. 17.2 p." DocPartId="d683c85bb96a4150a815afed181d7cba" PartId="f1dc55ede3404f7196f4b06327bb0421"/>
      </Part>
      <Part Type="punktas" Nr="18" Abbr="2 pr. 18 p." DocPartId="5d5642b5de014fc3adf223fcaa53bb49" PartId="863034b7cc04414785972c86f37590b1"/>
      <Part Type="punktas" Nr="19" Abbr="2 pr. 19 p." DocPartId="2c0d81597aab4c4faa6b6aaf10e7d189" PartId="d6411991036d4b8fb3d1656be95fe626"/>
    </Part>
    <Part Type="skyrius" Nr="3" Title="„III SKYRIUS DEGUMAS“." DocPartId="36be6413f800494ead552fe44f951e1a" PartId="d7ac46a1764e4f998920740abbd41f56">
      <Part Type="punktas" Nr="20" Abbr="2 pr. 20 p." DocPartId="b4f5fdf1f694410e93f85d0ce843a158" PartId="7ef25cabaea84136b2e3b659518c004b">
        <Part Type="punktas" Nr="20.1" Abbr="2 pr. 20.1 p." DocPartId="a14f2d80a14f41e7955285b636822ce8" PartId="94e032f019804e5b936f538212b60b17"/>
        <Part Type="punktas" Nr="20.2" Abbr="2 pr. 20.2 p." DocPartId="4dee5151b2ab42ed99395956ea8c2302" PartId="9c4d1a26839440289003548a54e37aac"/>
        <Part Type="punktas" Nr="20.3" Abbr="2 pr. 20.3 p." DocPartId="75fa5674f7f0494fbd531f8e14c7e8fc" PartId="6c68d2c5be3747149979b56bd63b8200"/>
        <Part Type="punktas" Nr="20.4" Abbr="2 pr. 20.4 p." DocPartId="6fa526af9587423180bb3c16ab795fd1" PartId="84da3245f24e4e1ea7702e35cee3ca71"/>
      </Part>
      <Part Type="punktas" Nr="21" Abbr="2 pr. 21 p." DocPartId="a3247a67e5aa444e8f5c6b27f738407f" PartId="4e4779aee1c0484fb1444a61c714bfe9"/>
      <Part Type="punktas" Nr="22" Abbr="2 pr. 22 p." DocPartId="89287f4679f441c0b7d5e6b4964ba78d" PartId="1fedcfe836a143fe9f96071cf018966b"/>
      <Part Type="punktas" Nr="23" Abbr="2 pr. 23 p." DocPartId="6f41d039b3ed435ea3200cd04a10257b" PartId="41118f6d0cf44a5e896743423c66eda0">
        <Part Type="punktas" Nr="23.1" Abbr="2 pr. 23.1 p." DocPartId="77cbe127ecf746288a849d5f5f762cac" PartId="2c1a5f0715414ae4a8da2d11d4f32ed0"/>
        <Part Type="punktas" Nr="23.2" Abbr="2 pr. 23.2 p." DocPartId="85de217577344548b787d94376e457ee" PartId="1c346b3b72ae43388a8140e246e5de71"/>
        <Part Type="punktas" Nr="23.3" Abbr="2 pr. 23.3 p." DocPartId="c37bd0202478467699f4a3b181557835" PartId="62080ec2bf434868a1856553622a3e61"/>
      </Part>
    </Part>
    <Part Type="skyrius" Nr="4" Title="„IV SKYRIUS CHEMINĖS SAVYBĖS“." DocPartId="5ad41f84f28a4628b9523d49e977a77d" PartId="47a71607d055490e95f0fc6db20af6cb">
      <Part Type="punktas" Nr="24" Abbr="2 pr. 24 p." DocPartId="6ac2bbee3b2547be9f2febaded3fb31a" PartId="3fa16a87ed0b4451a9c8fc89c3738af9"/>
      <Part Type="punktas" Nr="25" Abbr="2 pr. 25 p." DocPartId="a6e81dccd1374a0aa7b7fa0b8a47808f" PartId="01c1bc04c9be4763b3533c96cffcd922"/>
      <Part Type="punktas" Nr="26" Abbr="2 pr. 26 p." DocPartId="327f934d524647da8a6212fb20513311" PartId="513d24932bd840149a76f14bc73bc928"/>
      <Part Type="punktas" Nr="27" Abbr="2 pr. 27 p." DocPartId="567615b51ea84e078362897720dd86fb" PartId="370de254e24d48389b9483930cdd5f73">
        <Part Type="punktas" Nr="27.1" Abbr="2 pr. 27.1 p." DocPartId="0dcf7853c0db48338d3b845d7a4f8ab2" PartId="55c1ab60a5914135af327cb1f3f11c36"/>
        <Part Type="punktas" Nr="27.2" Abbr="2 pr. 27.2 p." DocPartId="7daeb934e634463f934149af8a570620" PartId="56462b0581964a39b4b9d07907a87ca6"/>
        <Part Type="punktas" Nr="27.3" Abbr="2 pr. 27.3 p." DocPartId="40834083c0054cb6a33a3dad4efe1788" PartId="b3128838835147a5a8935431329e7c2a"/>
      </Part>
      <Part Type="punktas" Nr="28" Abbr="2 pr. 28 p." DocPartId="327b0dafb48d4dcb8eb489457ee9fe66" PartId="564826a30be54e87a1fe12102914ec4c">
        <Part Type="punktas" Nr="28.1" Abbr="2 pr. 28.1 p." DocPartId="debe86531c8043a8922395f67398dfaa" PartId="dc08b4a5034041b38be6269bf98dd008"/>
        <Part Type="punktas" Nr="28.2" Abbr="2 pr. 28.2 p." DocPartId="a01b03ec8f994036b881f81af14455cc" PartId="83c63350a4b84fc7bca84ba83d87d1a3"/>
        <Part Type="punktas" Nr="28.3" Abbr="2 pr. 28.3 p." DocPartId="9c315f85ec3e43fbb1b92bff9e7854e1" PartId="93dd6237a9034c97a4e7991dcf8c321c"/>
      </Part>
      <Part Type="punktas" Nr="29" Abbr="2 pr. 29 p." DocPartId="6b56b36522b84fbebb871c20857d93b1" PartId="24af35760b084058b10fca86158cb0e2">
        <Part Type="punktas" Nr="29.1" Abbr="29.1 p." DocPartId="2588e37a32164a99b35b7d29d38ef354" PartId="a7d9cbe200bc43679317e0d55a69b23f"/>
        <Part Type="punktas" Nr="29.2" Abbr="2 pr. 29.2 p." DocPartId="b30abc3a5291425cb7a2bc79a8a86b75" PartId="8a5dd6746c3a4b6cb4471513b8a12da3"/>
        <Part Type="punktas" Nr="29.3" Abbr="29.3 p." DocPartId="229c9ed2b468433587cc17e8937e4ae7" PartId="058e17c439fa4534817c9fd92f37df42"/>
      </Part>
      <Part Type="punktas" Nr="30" Abbr="2 pr. 30 p." DocPartId="116b79738d7f476ba9ad3a3b9e9aa7f2" PartId="5624735830cc42e3ab81854b9740fd23">
        <Part Type="punktas" Nr="30.1" Abbr="2 pr. 30.1 p." DocPartId="b8e350fdaa654fb19e442a3c4fc75d59" PartId="536173038240477b9317b50dbadd6fcf"/>
        <Part Type="punktas" Nr="30.2" Abbr="2 pr. 30.2 p." DocPartId="3712515babb64cfd864f4885716934c5" PartId="653222a560134c91b56c6830d84ea8ad"/>
      </Part>
      <Part Type="punktas" Nr="31" Abbr="2 pr. 31 p." DocPartId="5510b12f82744812a756abd17cece217" PartId="646d744e0643438c93f10c2c92ddc327"/>
      <Part Type="punktas" Nr="32" Abbr="2 pr. 32 p." DocPartId="42a5410295dd4676ab13be61e79a5191" PartId="df153c353d624dec99257e8bba58772f">
        <Part Type="punktas" Nr="32.1" Abbr="2 pr. 32.1 p." DocPartId="ecafbba7698f4b7ab4dcada138a4f116" PartId="dc7e3d77264f4a50839dfde9ad807e64"/>
        <Part Type="punktas" Nr="32.2" Abbr="2 pr. 32.2 p." DocPartId="31598fc3489a474b84a7d926ddf4b542" PartId="092a5fe61aa94870830890812e10a66b"/>
        <Part Type="punktas" Nr="32.3" Abbr="2 pr. 32.3 p." DocPartId="3c861fd1c6b34f45bfe6cfa731c78aa4" PartId="2d3815e01bd64d02b462119b8f5f7548"/>
      </Part>
      <Part Type="punktas" Nr="33" Abbr="2 pr. 33 p." DocPartId="5343636e613f42eb8ad7b23fb871b3b1" PartId="0a5c84a2f4cc492494dc74745a31420e"/>
      <Part Type="punktas" Nr="34" Abbr="2 pr. 34 p." DocPartId="4732565bba9e40dcbcc8cfebc7b730b1" PartId="48e231523c554695a4b9d8b1d5940931"/>
      <Part Type="punktas" Nr="35" Abbr="2 pr. 35 p." DocPartId="09c6d9cdbf50438ca2c3ac8b4ae9bd9a" PartId="adfe9425ea914e79abde22f094cf37bd">
        <Part Type="lentele" DocPartId="6306a1e398b440b8bcdc487f83497c93" PartId="c0235ac94dbe46828cfbaccb81ddc682"/>
      </Part>
      <Part Type="punktas" Nr="36" Abbr="2 pr. 36 p." DocPartId="4d7a627b72b148a0bd9d2041bf25d77c" PartId="2219f08818e1498a97289b9c4c59fdb2">
        <Part Type="lentele" DocPartId="45f367fe01cb4aa59c27135559bc00ea" PartId="1da02114b64144f09ed98dbc30f9324b"/>
      </Part>
      <Part Type="punktas" Nr="37" Abbr="2 pr. 37 p." DocPartId="b39d07b893bf49058e5e47819ed782a2" PartId="4bcc3e4a6bb34405a78b56c616c02bb2">
        <Part Type="punktas" Nr="37.1" Abbr="2 pr. 37.1 p." DocPartId="5370df0fd59147c680eb3b5b8f4200bf" PartId="f0ed5728d92741498cf8e94183fefbb3"/>
        <Part Type="punktas" Nr="37.2" Abbr="2 pr. 37.2 p." DocPartId="0cc822705b8944f3bfca78a1ce128d42" PartId="e67918a890d845d2a06be433beb06612"/>
        <Part Type="punktas" Nr="37.3" Abbr="2 pr. 37.3 p." DocPartId="cb1e823559244fffb453591c1b97e052" PartId="dd92b7f3496a43fdb23d4f6da9bbe17d"/>
      </Part>
      <Part Type="punktas" Nr="38" Abbr="2 pr. 38 p." DocPartId="52bcd0cf4f914537b337206b9a400453" PartId="8af37caa6f834ce78efb90db3fea206f"/>
      <Part Type="punktas" Nr="38-1" Abbr="38-1 p." DocPartId="beda2d7934d3493289da4fb471e1c412" PartId="d7204cb594d746ebb716b0996fc11760">
        <Part Type="punktas" Nr="38-1.1" Abbr="38-1.1 p." DocPartId="9969e51f78ab41a7b725e5400089a4a0" PartId="782f93c2b49d4954858896ad3a12d2c1"/>
        <Part Type="punktas" Nr="38-1.2" Abbr="38-1.2 p." DocPartId="45a5ff361e764d30a56453e098900459" PartId="566fbdff8c32499a970f4832b645a33c"/>
      </Part>
    </Part>
    <Part Type="skyrius" Nr="5" Title="„V SKYRIUS ELEKTRINĖS SAVYBĖS“" DocPartId="ac826d00d48a4065b175111e379f45f5" PartId="7f8ecd3b65d841799faedaabc5de9024">
      <Part Type="punktas" Nr="39" Abbr="2 pr. 39 p." DocPartId="e8070055125947b0975af571ce74fe2d" PartId="5a1e9d42047944bf92b5884c9b4a9793"/>
      <Part Type="punktas" Nr="40" Abbr="2 pr. 40 p." DocPartId="7443df11ebd04677b7f94b86b9b8a99b" PartId="cb86aa68620443a0ad2a55c4bc8099b2"/>
      <Part Type="punktas" Nr="41" Abbr="2 pr. 41 p." DocPartId="87e5b3eab09a40a08b64e9d333618bd8" PartId="ead53390a17f4d1982f9225af5ad4d40"/>
      <Part Type="punktas" Nr="42" Abbr="2 pr. 42 p." DocPartId="78e2794fc90640fda286fbfe74c6c8f5" PartId="a1cb1ccbbdc04154ada68d540f53e1bf"/>
      <Part Type="punktas" Nr="43" Abbr="2 pr. 43 p." DocPartId="72ba3bd74c9d4018975ed6dc2364d17a" PartId="54cabe6e4ca64303b4def0a8aebee8f9"/>
      <Part Type="punktas" Nr="44" Abbr="2 pr. 44 p." DocPartId="5f2ccf0789494b52888e10d9de8093b5" PartId="9101a2fcff0f4dd78f441f505d36be5f"/>
      <Part Type="punktas" Nr="45" Abbr="2 pr. 45 p." DocPartId="e4c5a64bce2544aaa2aafaeda0303735" PartId="24f1f1a6a1404b8b916a42e82bdf0ac6"/>
      <Part Type="punktas" Nr="46" Abbr="2 pr. 46 p." DocPartId="9a459e5e03d04a658aac00326c47b681" PartId="a3a8eddd1fac4f7eac6fa7b600df7447"/>
      <Part Type="punktas" Nr="47" Abbr="2 pr. 47 p." DocPartId="54817d843cb541919e02f87a98bb0322" PartId="0088a73eb8774789a3580b347b19483f"/>
    </Part>
    <Part Type="skyrius" Nr="6" Title="„VI SKYRIUS HIGIENA“." DocPartId="40406e9dd9a54125895f032979aa2ece" PartId="922fb1b7b4f04036ae70af093a0b82c9">
      <Part Type="punktas" Nr="48" Abbr="2 pr. 48 p." DocPartId="f1d8a33446a94d21b9dbfa21f6bf9ad9" PartId="f8896813694f4196b1ba9656b85a31d8"/>
      <Part Type="punktas" Nr="49" Abbr="2 pr. 49 p." DocPartId="caf2bd9792e64c08951c711c52b462ed" PartId="b428b77b42dd4ee1bc1697e4ec8ab1f7"/>
    </Part>
    <Part Type="skyrius" Nr="7" Title="„VII SKYRIUS RADIOAKTYVUMAS“." DocPartId="6fe2a02bf4bf4e6c805aa95d3bbd215b" PartId="20a63725e532439dada944985f7359a0">
      <Part Type="punktas" Nr="50" Abbr="2 pr. 50 p." DocPartId="27dfcad339514ef89cd1ac342e03f75b" PartId="f5a2e4b152674358a6826905837f4599"/>
    </Part>
    <Part Type="pabaiga" DocPartId="a138ba59ab4f462ab830f35dc13d0732" PartId="a16f6a4577f94b1cad1dbb51954132a0"/>
  </Part>
  <Part Type="priedas" Nr="3" Abbr="3 pr." Title="KANCEROGENINIŲ, MUTAGENINIŲ ARBA TOKSIŠKŲ REPRODUKCIJAI (CMR) MEDŽIAGŲ IR JŲ GALIMO PANAUDOJIMO PAGAL ŽAISLŲ SAUGOS TECHNINIO REGLAMENTO 2 PRIEDO 27–31 PUNKTUS SĄRAŠAS" DocPartId="9791b765fd3c46a29ad40f878146172d" PartId="321f6fede7734fb69edac58c04a016b8">
    <Part Type="pabaiga" DocPartId="5edc242fea1542c4ad260caf50e25149" PartId="74e5985a3c8947bf96f745b45749c359"/>
  </Part>
  <Part Type="priedas" Nr="4" Abbr="4 pr." Title="MEDŽIAGŲ IR MIŠINIŲ KLASIFIKAVIMO SĄRAŠAS" DocPartId="e2611b20f511449495105aac863097f4" PartId="79605f15249f45eba27504c5a504b4c9">
    <Part Type="punktas" Nr="1" Abbr="4 pr. 1 p." DocPartId="0e02309d75304683a6681a44935fed89" PartId="0bea3f94b6ff44ccaac1d073b609999f">
      <Part Type="punktas" Nr="1.1" Abbr="4 pr. 1.1 p." DocPartId="7fbeac1bf1004b86a6849a6d969ac1ae" PartId="cbdc7839bc4642eea8dee8f0b7ed7ce7"/>
      <Part Type="punktas" Nr="1.2" Abbr="4 pr. 1.2 p." DocPartId="d9ab263422aa4e2091aa29d667e44498" PartId="a5b1541751c441e8aea7f37da5b6968a">
        <Part Type="punktas" Nr="1.2.1" Abbr="4 pr. 1.2.1 p." DocPartId="e7fd321e63fa4a428bcba6957110a956" PartId="f729674f6dbb4f9b878471e91ebaba67">
          <Part Type="punktas" Nr="1.2.1.1" Abbr="4 pr. 1.2.1.1 p." DocPartId="949ca4477fa044699252422d14a4285a" PartId="2ae20af7e54e4ea096e1448f8ca44260"/>
          <Part Type="punktas" Nr="1.2.1.2" Abbr="4 pr. 1.2.1.2 p." DocPartId="cce4dad25350446cb706d4cd59b2d76d" PartId="20587593c67849c7b1ce87fab0987f45"/>
          <Part Type="punktas" Nr="1.2.1.3" Abbr="4 pr. 1.2.1.3 p." DocPartId="1e32f5816c8b4d349d8324c2df9eb1a1" PartId="4574efe9d62643b28e282ae331250a36"/>
          <Part Type="punktas" Nr="1.2.1.4" Abbr="4 pr. 1.2.1.4 p." DocPartId="57862bf53fe14d4789bba7272dab6866" PartId="0b792b8aaae4401ebd5637279db553f9"/>
        </Part>
      </Part>
    </Part>
    <Part Type="punktas" Nr="2" Abbr="4 pr. 2 p." DocPartId="99f13849367448288904241637c3595a" PartId="154e75796571452095209e18aee49139"/>
    <Part Type="punktas" Nr="3" Abbr="4 pr. 3 p." DocPartId="952adddb2de84cd8a613aabc2b02195d" PartId="021bf7d42c72494cb257bdb7a641a10e">
      <Part Type="punktas" Nr="3.1" Abbr="4 pr. 3.1 p." DocPartId="eba5cb142fd9460c8c7a013955c717da" PartId="c8d2e721abfd4d1b9e86fc5fddc0ac67"/>
      <Part Type="punktas" Nr="3.2" Abbr="4 pr. 3.2 p." DocPartId="b70b4acf8b18405089bccf0492ac2ad2" PartId="3c5a733cda7d4a8982c0743fda515fc5"/>
      <Part Type="punktas" Nr="3.3" Abbr="4 pr. 3.3 p." DocPartId="d4a2cc776c7444de835e81eae6757650" PartId="04d45431adfd445cb97a4367ea4d48a4"/>
    </Part>
    <Part Type="punktas" Nr="4" Abbr="4 pr. 4 p." DocPartId="583ee174a07746d689b2f4da60a70a5e" PartId="688997f2c147490a8f9726679f45bf3f">
      <Part Type="punktas" Nr="4.1" Abbr="4 pr. 4.1 p." DocPartId="3be7dba188ef41bfa30720aab270310e" PartId="6ecc96d7200b43efb7d0f10c7c550d8f"/>
      <Part Type="punktas" Nr="4.2" Abbr="4 pr. 4.2 p." DocPartId="c837c7518c5b4ebba6822b1ca72d8d7c" PartId="a222d254938e41a7a2128f750c980523"/>
      <Part Type="punktas" Nr="4.3" Abbr="4 pr. 4.3 p." DocPartId="f0c0c0edb0394850b59794e95ff58e55" PartId="f3f74cf1be4b4987afc8ee2412b9df20"/>
    </Part>
    <Part Type="punktas" Nr="5" Abbr="4 pr. 5 p." DocPartId="79c5771088384c188ba4b05a8dad0380" PartId="8c9151bda5d946889467cfbdb38378a9">
      <Part Type="punktas" Nr="5.1" Abbr="4 pr. 5.1 p." DocPartId="f79b2ea99c384d92b16a9ffb91acd588" PartId="517bc8fec7574047bfd11c3ac7c259bc"/>
      <Part Type="punktas" Nr="5.2" Abbr="4 pr. 5.2 p." DocPartId="f5df21f9ed0544f38a48bfc910920c51" PartId="7ed3258e458245c09de3da2dd74bd7bb"/>
    </Part>
    <Part Type="punktas" Nr="6" Abbr="4 pr. 6 p." DocPartId="8c40cf61843449169151b110abad96da" PartId="8ecaff76f5c449ceb3819d6afd3e38a4"/>
    <Part Type="pabaiga" DocPartId="9c852a2ed1484c4cbbc3263f858897aa" PartId="cef98b09d28042bc8f460b828fe359e6"/>
  </Part>
  <Part Type="priedas" Nr="5" Abbr="5 pr." Title="SPECIALIŲJŲ CHEMINIŲ MEDŽIAGŲ, KURIOS NAUDOJAMOS ŽAISLAMS, GAMINAMIEMS JAUNESNIEMS NEGU 36 MĖNESIŲ AMŽIAUS VAIKAMS, ARBA ŽAISLAMS, SKIRTIEMS DĖTI Į BURNĄ, RIBINIŲ VERČIŲ SĄRAŠAS" DocPartId="1300f934284e44dd89436410a196855f" PartId="07ae2adb1090454aa1710c57af03cbb1">
    <Part Type="pabaiga" DocPartId="54f8a9a3f51d47478a6cc155f7de6cc7" PartId="5d3bbd10dede4d04867ddc25b411fc73"/>
  </Part>
  <Part Type="priedas" Nr="6" Abbr="6 pr." Title="(Deklaracijos formos pavyzdys)" DocPartId="f29524fb96b84a929b1f4a5df41861fc" PartId="73517636b8274da68d704c4673f634ce">
    <Part Type="pabaiga" DocPartId="724d10e573ea4c63ac383cfc4b051e64" PartId="8f10f7858bf9403d86e05750420b7b3f"/>
  </Part>
  <Part Type="priedas" Nr="7" Abbr="7 pr." Title="TECHNINIŲ DOKUMENTŲ APRAŠAS" DocPartId="50015a5f6aaf4ffd9114fe6b30204875" PartId="ccf8011a593c430d8149d611b79938a4">
    <Part Type="punktas" Nr="1" Abbr="7 pr. 1 p." DocPartId="01ee06083fab40eaba0cd63c94c79133" PartId="fbb2edfd78114868873e2c922ed125fa">
      <Part Type="punktas" Nr="1.1" Abbr="7 pr. 1.1 p." DocPartId="198a553d41ad4babb3ee9598673de58e" PartId="f239ebc4ac9446fbab5f2253238f9b12"/>
      <Part Type="punktas" Nr="1.2" Abbr="7 pr. 1.2 p." DocPartId="06cce81bc55b4007894b214bf31bfc23" PartId="f57de7a89f694029856c6cadef925195"/>
      <Part Type="punktas" Nr="1.3" Abbr="7 pr. 1.3 p." DocPartId="c70289acc3f242bb88036b0c15b3c936" PartId="23d9f5f8655641de9650f552020f0338"/>
      <Part Type="punktas" Nr="1.4" Abbr="7 pr. 1.4 p." DocPartId="5f2a1969e8664ac79ea3e1cb9ccab074" PartId="7ed5cff832d44ea7aacfc3cdb1f5007c"/>
      <Part Type="punktas" Nr="1.5" Abbr="7 pr. 1.5 p." DocPartId="f7b2a36f3c1d47afa59c96ee00e96388" PartId="62f01d66a8a846d7bb5dd669b4c5470c"/>
      <Part Type="punktas" Nr="1.6" Abbr="7 pr. 1.6 p." DocPartId="591d88f6a3314bcbae7618bb37aca0b1" PartId="e013e8897feb453696ec38bc7cdc1380"/>
      <Part Type="punktas" Nr="1.7" Abbr="7 pr. 1.7 p." DocPartId="0762db498fc140f782cb46d4d209836b" PartId="3fc1665344614a9e95eecbdda3702830"/>
      <Part Type="punktas" Nr="1.8" Abbr="7 pr. 1.8 p." DocPartId="0f614fa838a34c9cbe30f96c1873cef6" PartId="850ca7cf4b1543bfbc1f254a9d38cc5a"/>
    </Part>
    <Part Type="pabaiga" DocPartId="5ca29492618149fa868a62302afd1a07" PartId="76dae6c6d22d4f7b8072c8a71633218e"/>
  </Part>
  <Part Type="priedas" Nr="8" Abbr="8 pr." Title="ĮSPĖJIMŲ, NURODYTŲ ŽAISLŲ SAUGOS TECHNINIO REGLAMENTO 14 PUNKTE, APRAŠAS" DocPartId="6796879d78954d4eb627c71d1751e4c5" PartId="28c80cde400d4f9fbc4ce75ec3a3f84d">
    <Part Type="skyrius" Nr="1" Title="„I SKYRIUS BENDRO POBŪDŽIO ĮSPĖJIMAI“." DocPartId="82a2dd37fcba40f8b9926680cdde7d93" PartId="13968421d19a4a44abc29675feee9e25">
      <Part Type="punktas" Nr="1" Abbr="8 pr. 1 p." DocPartId="f8d6540f1c47437bb3a917116d627688" PartId="b00e6cd9f2ec437298c9917b96c2b3ab"/>
      <Part Type="punktas" Nr="2" Abbr="8 pr. 2 p." DocPartId="b69cb907cccb44b78465f3b31df64ebb" PartId="28e5ca80db4e43e5936dd5103f186d44"/>
    </Part>
    <Part Type="skyrius" Nr="2" Title="„II SKYRIUS SPECIALŪS ĮSPĖJIMAI IR NURODYMAI, KOKIŲ ATSARGUMO PRIEMONIŲ REIKIA LAIKYTIS NAUDOJANT TAM TIKRŲ KATEGORIJŲ ŽAISLUS“." DocPartId="4aefa72a32ad4648bdbd3c83554baec3" PartId="6b539d7b8d0d4c8f853fa8cc256ac77d">
      <Part Type="punktas" Nr="3" Abbr="8 pr. 3 p." DocPartId="8933215815e445e09f1c2afdf7f216ea" PartId="70111487909b42ceaf31c4a83f6dfcc1">
        <Part Type="punktas" Nr="3.1" Abbr="8 pr. 3.1 p." DocPartId="6d46df30800e47ffa5b69dffcc077e4c" PartId="c80741e1642f4af5a0b0606eb5576e0d"/>
        <Part Type="punktas" Nr="3.2" Abbr="8 pr. 3.2 p." DocPartId="54dc8c4aeee44ec89041e5d0f88a1a7e" PartId="8a375ca09a81409ca9f9ec07daa172d7"/>
        <Part Type="punktas" Nr="3.3" Abbr="8 pr. 3.3 p." DocPartId="d7f31a6ef79a4ebba1a8a3efc1e118ab" PartId="3664b40011e64131b8e63b76fcc16956"/>
      </Part>
      <Part Type="punktas" Nr="4" Abbr="8 pr. 4 p." DocPartId="34268cad07724cbeb956a31e1f1a4ae6" PartId="6de45603d6794f3eb1b37a81156b12a5">
        <Part Type="punktas" Nr="4.1" Abbr="8 pr. 4.1 p." DocPartId="a1f641cb07be49219b26fde61cd08bf1" PartId="6bc67109320a4444a4c1f40fb241645a"/>
        <Part Type="punktas" Nr="4.2" Abbr="8 pr. 4.2 p." DocPartId="ee3c8295a25640959beaf588d2f7c39a" PartId="2726d819abe944959f73e4e9bda7bc91"/>
        <Part Type="punktas" Nr="4.3" Abbr="8 pr. 4.3 p." DocPartId="cd336826a14243dca497c0152f331253" PartId="060bd6e8e3504c6aa4b3131f9d932eae"/>
      </Part>
      <Part Type="punktas" Nr="5" Abbr="8 pr. 5 p." DocPartId="0322239ba2eb468590b54aec8a709efe" PartId="ab04f32125b84977a25d67a567eadeaa">
        <Part Type="punktas" Nr="5.1" Abbr="8 pr. 5.1 p." DocPartId="4f90d7fbb9404451b9b14dbfba6a7789" PartId="c7dd72051b6c4a84b6a5769aae61fd19"/>
        <Part Type="punktas" Nr="5.2" Abbr="8 pr. 5.2 p." DocPartId="67b2172cc9cd4965a521ba3d955506c9" PartId="4c1fb0727f3f404a9ad879bd5f1f0fbf"/>
      </Part>
      <Part Type="punktas" Nr="6" Abbr="8 pr. 6 p." DocPartId="d56333611e06453c9b9487d7e8678580" PartId="2319b47e002d462dbcec5bc5569913e8">
        <Part Type="punktas" Nr="6.1" Abbr="8 pr. 6.1 p." DocPartId="0d536cae6bc543f9ad2db99eb9f3de98" PartId="be961344afae42cebe12e0652fb867fe"/>
        <Part Type="punktas" Nr="6.2" Abbr="8 pr. 6.2 p." DocPartId="6237f0b68486407fbcb0c1389e644e6c" PartId="138e8fb5ee9c419ebc99288d28c160eb"/>
        <Part Type="punktas" Nr="6.3" Abbr="8 pr. 6.3 p." DocPartId="882111091c5744c0a513b48a4aea20a6" PartId="32359ee5aa3345a5ad1ca5ca3c9fb493"/>
      </Part>
      <Part Type="punktas" Nr="7" Abbr="8 pr. 7 p." DocPartId="1fe80a1fa9d947988a3f665c33b66d88" PartId="78824f07788e4a9483ff62d36b4a680d">
        <Part Type="punktas" Nr="7.1" Abbr="8 pr. 7.1 p." DocPartId="22c4381117c84dffb31cb2478da910f1" PartId="930a063633cd4bbd9897d6eb95cefb6d"/>
        <Part Type="punktas" Nr="7.2" Abbr="8 pr. 7.2 p." DocPartId="77fc00df47014726ad1c014b8ededb49" PartId="dca87bd438bd4f7e9f1735c85bb04bfd"/>
      </Part>
      <Part Type="punktas" Nr="8" Abbr="8 pr. 8 p." DocPartId="49eaa45e53a443d691031c08f9a2a9a2" PartId="f5aa2dcf979f4847a655bca5581e755b"/>
      <Part Type="punktas" Nr="9" Abbr="8 pr. 9 p." DocPartId="39a97810c875475b8738f8029b248437" PartId="6e26941be60b4bcd83d0c161e7e6fd86"/>
      <Part Type="punktas" Nr="10" Abbr="8 pr. 10 p." DocPartId="7b1a19590ed541e0b7876e8956db0a60" PartId="54a064ac54004720aa92785febf9ff1a"/>
      <Part Type="punktas" Nr="11" Abbr="8 pr. 11 p." DocPartId="ca0f307449da40f9a622760ebe59d764" PartId="48b8ebd6935c4f02b9c6d41997096e4f"/>
      <Part Type="punktas" Nr="12" Abbr="8 pr. 12 p." DocPartId="2e34973059974c86b3371f6449439b55" PartId="e57bcfeabcaf496c83447057d808378c"/>
    </Part>
    <Part Type="pabaiga" DocPartId="dec2887011a84c4f9cf9450f587c8952" PartId="a258851f7d71414f9cab5d9e7556df13"/>
  </Part>
</Parts>
</file>

<file path=customXml/itemProps1.xml><?xml version="1.0" encoding="utf-8"?>
<ds:datastoreItem xmlns:ds="http://schemas.openxmlformats.org/officeDocument/2006/customXml" ds:itemID="{BB6D962D-E478-4E1E-8773-703B65F40952}">
  <ds:schemaRefs>
    <ds:schemaRef ds:uri="http://lrs.lt/TAIS/DocParts"/>
  </ds:schemaRefs>
</ds:datastoreItem>
</file>

<file path=docProps/app.xml><?xml version="1.0" encoding="utf-8"?>
<Properties xmlns="http://schemas.openxmlformats.org/officeDocument/2006/extended-properties">
  <Template>Normal.dotm</Template>
  <TotalTime>114</TotalTime>
  <Pages>36</Pages>
  <Words>61036</Words>
  <Characters>34792</Characters>
  <Application>Microsoft Office Word</Application>
  <DocSecurity>0</DocSecurity>
  <Lines>289</Lines>
  <Paragraphs>191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ŪKIO MINISTRO</vt:lpstr>
    </vt:vector>
  </TitlesOfParts>
  <Company/>
  <LinksUpToDate>false</LinksUpToDate>
  <CharactersWithSpaces>95637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2015-08-05T07:40:00Z</dcterms:created>
  <dc:creator>Rima</dc:creator>
  <lastModifiedBy>GUMBYTĖ Danguolė</lastModifiedBy>
  <dcterms:modified xsi:type="dcterms:W3CDTF">2021-09-22T08:06:00Z</dcterms:modified>
  <revision>49</revision>
  <dc:title>LIETUVOS RESPUBLIKOS ŪKIO MINISTRO</dc:title>
</coreProperties>
</file>