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webSettings.xml" ContentType="application/vnd.openxmlformats-officedocument.wordprocessingml.webSettings+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4f89536091bb47d6b3680204af463fe8"/>
        <w:lock w:val="sdtLocked"/>
        <w:richText/>
      </w:sdtPr>
      <w:sdtContent>
        <w:p>
          <w:pPr>
            <w:jc w:val="both"/>
            <w:rPr>
              <w:rFonts w:ascii="Times New Roman" w:hAnsi="Times New Roman"/>
            </w:rPr>
          </w:pPr>
          <w:r>
            <w:rPr>
              <w:rFonts w:ascii="Times New Roman" w:hAnsi="Times New Roman"/>
              <w:b/>
              <w:i/>
            </w:rPr>
            <w:t>Suvestinė redakcija nuo 2018-12-01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2011, Nr. </w:t>
          </w:r>
          <w:fldSimple w:instr="HYPERLINK https://www.e-tar.lt/portal/legalAct.html?documentId=TAR.7B7BACF28A33">
            <w:r w:rsidRPr="00532B9F">
              <w:rPr>
                <w:rFonts w:ascii="Times New Roman" w:eastAsia="MS Mincho" w:hAnsi="Times New Roman"/>
                <w:sz w:val="20"/>
                <w:i/>
                <w:iCs/>
                <w:color w:val="0000FF" w:themeColor="hyperlink"/>
                <w:u w:val="single"/>
              </w:rPr>
              <w:t>30-1416</w:t>
            </w:r>
          </w:fldSimple>
          <w:r>
            <w:rPr>
              <w:rFonts w:ascii="Times New Roman" w:eastAsia="MS Mincho" w:hAnsi="Times New Roman"/>
              <w:sz w:val="20"/>
              <w:i/>
              <w:iCs/>
            </w:rPr>
            <w:t>, i. k. 111301MISAK00D1-201</w:t>
          </w:r>
        </w:p>
        <w:p>
          <w:pPr>
            <w:jc w:val="both"/>
            <w:rPr>
              <w:rFonts w:ascii="Times New Roman" w:hAnsi="Times New Roman"/>
              <w:sz w:val="20"/>
            </w:rPr>
          </w:pPr>
        </w:p>
        <w:p>
          <w:pPr>
            <w:widowControl w:val="0"/>
            <w:suppressAutoHyphens/>
            <w:jc w:val="center"/>
            <w:rPr>
              <w:color w:val="000000"/>
              <w:szCs w:val="24"/>
              <w:lang w:eastAsia="lt-LT"/>
            </w:rPr>
          </w:pPr>
          <w:r>
            <w:rPr>
              <w:color w:val="000000"/>
              <w:szCs w:val="24"/>
              <w:lang w:eastAsia="lt-LT"/>
            </w:rPr>
            <w:t>LIETUVOS RESPUBLIKOS APLINKOS MINISTRO</w:t>
          </w:r>
        </w:p>
        <w:p>
          <w:pPr>
            <w:widowControl w:val="0"/>
            <w:suppressAutoHyphens/>
            <w:jc w:val="center"/>
            <w:rPr>
              <w:color w:val="000000"/>
              <w:spacing w:val="60"/>
              <w:szCs w:val="24"/>
              <w:lang w:eastAsia="lt-LT"/>
            </w:rPr>
          </w:pPr>
          <w:r>
            <w:rPr>
              <w:color w:val="000000"/>
              <w:spacing w:val="60"/>
              <w:szCs w:val="24"/>
              <w:lang w:eastAsia="lt-LT"/>
            </w:rPr>
            <w:t>ĮSAKYMAS</w:t>
          </w:r>
        </w:p>
        <w:p>
          <w:pPr>
            <w:widowControl w:val="0"/>
            <w:suppressAutoHyphens/>
            <w:jc w:val="center"/>
            <w:rPr>
              <w:color w:val="000000"/>
              <w:szCs w:val="24"/>
              <w:lang w:eastAsia="lt-LT"/>
            </w:rPr>
          </w:pPr>
        </w:p>
        <w:p>
          <w:pPr>
            <w:widowControl w:val="0"/>
            <w:suppressAutoHyphens/>
            <w:jc w:val="center"/>
            <w:rPr>
              <w:b/>
              <w:bCs/>
              <w:caps/>
              <w:color w:val="000000"/>
              <w:szCs w:val="24"/>
              <w:lang w:eastAsia="lt-LT"/>
            </w:rPr>
          </w:pPr>
          <w:r>
            <w:rPr>
              <w:b/>
              <w:bCs/>
              <w:caps/>
              <w:color w:val="000000"/>
              <w:szCs w:val="24"/>
              <w:lang w:eastAsia="lt-LT"/>
            </w:rPr>
            <w:t>DĖL SAVIVALDYBIŲ APLINKOS APSAUGOS RĖMIMO SPECIALIOSIOS PROGRAMOS PRIEMONIŲ VYKDYMO PATIKRINIMO TVARKOS APRAŠO, SAVIVALDYBIŲ APLINKOS APSAUGOS RĖMIMO SPECIALIOSIOS PROGRAMOS PRIEMONIŲ VYKDYMO ATASKAITOS FORMOS IR SAVIVALDYBIŲ APLINKOS APSAUGOS RĖMIMO SPECIALIOSIOS PROGRAMOS PRIEMONIŲ VYKDYMO ATASKAITOS FORMOS PILDYMO TAISYKLIŲ PATVIRTINIMO</w:t>
          </w:r>
        </w:p>
        <w:p>
          <w:pPr>
            <w:widowControl w:val="0"/>
            <w:suppressAutoHyphens/>
            <w:jc w:val="center"/>
            <w:rPr>
              <w:color w:val="000000"/>
              <w:szCs w:val="24"/>
              <w:lang w:eastAsia="lt-LT"/>
            </w:rPr>
          </w:pPr>
        </w:p>
        <w:p>
          <w:pPr>
            <w:widowControl w:val="0"/>
            <w:suppressAutoHyphens/>
            <w:jc w:val="center"/>
            <w:rPr>
              <w:color w:val="000000"/>
              <w:szCs w:val="24"/>
              <w:lang w:eastAsia="lt-LT"/>
            </w:rPr>
          </w:pPr>
          <w:r>
            <w:rPr>
              <w:color w:val="000000"/>
              <w:szCs w:val="24"/>
              <w:lang w:eastAsia="lt-LT"/>
            </w:rPr>
            <w:t>2011 m. kovo 4 d. Nr. D1-201</w:t>
          </w:r>
        </w:p>
        <w:p>
          <w:pPr>
            <w:widowControl w:val="0"/>
            <w:suppressAutoHyphens/>
            <w:jc w:val="center"/>
            <w:rPr>
              <w:color w:val="000000"/>
              <w:szCs w:val="24"/>
              <w:lang w:eastAsia="lt-LT"/>
            </w:rPr>
          </w:pPr>
          <w:r>
            <w:rPr>
              <w:color w:val="000000"/>
              <w:szCs w:val="24"/>
              <w:lang w:eastAsia="lt-LT"/>
            </w:rPr>
            <w:t>Vilnius</w:t>
          </w:r>
        </w:p>
        <w:p>
          <w:pPr>
            <w:widowControl w:val="0"/>
            <w:suppressAutoHyphens/>
            <w:jc w:val="both"/>
            <w:rPr>
              <w:color w:val="000000"/>
              <w:szCs w:val="24"/>
              <w:lang w:eastAsia="lt-LT"/>
            </w:rPr>
          </w:pPr>
        </w:p>
        <w:sdt>
          <w:sdtPr>
            <w:alias w:val="preambule"/>
            <w:tag w:val="part_3578d02ad59a47f3a33146e350d3459b"/>
            <w:lock w:val="sdtLocked"/>
            <w:richText/>
          </w:sdtPr>
          <w:sdtContent>
            <w:p>
              <w:pPr>
                <w:widowControl w:val="0"/>
                <w:suppressAutoHyphens/>
                <w:ind w:firstLine="567"/>
                <w:jc w:val="both"/>
                <w:rPr>
                  <w:color w:val="000000"/>
                  <w:szCs w:val="24"/>
                  <w:lang w:eastAsia="lt-LT"/>
                </w:rPr>
              </w:pPr>
              <w:r>
                <w:rPr>
                  <w:color w:val="000000"/>
                  <w:szCs w:val="24"/>
                  <w:lang w:eastAsia="lt-LT"/>
                </w:rPr>
                <w:t xml:space="preserve">Vadovaudamasis Lietuvos Respublikos savivaldybių aplinkos apsaugos rėmimo specialiosios programos įstatymo (Žin., 2003, Nr. </w:t>
              </w:r>
              <w:hyperlink r:id="rId10" w:tgtFrame="_blank" w:history="1">
                <w:r>
                  <w:rPr>
                    <w:color w:val="0000FF" w:themeColor="hyperlink"/>
                    <w:szCs w:val="24"/>
                    <w:u w:val="single"/>
                    <w:lang w:eastAsia="lt-LT"/>
                  </w:rPr>
                  <w:t>61-2760</w:t>
                </w:r>
              </w:hyperlink>
              <w:r>
                <w:rPr>
                  <w:color w:val="000000"/>
                  <w:szCs w:val="24"/>
                  <w:lang w:eastAsia="lt-LT"/>
                </w:rPr>
                <w:t>) 4 straipsnio 3 dalimi:</w:t>
              </w:r>
            </w:p>
          </w:sdtContent>
        </w:sdt>
        <w:sdt>
          <w:sdtPr>
            <w:alias w:val="1 p."/>
            <w:tag w:val="part_73ea12e8b910474691ebc706023f38d0"/>
            <w:lock w:val="sdtLocked"/>
            <w:richText/>
          </w:sdtPr>
          <w:sdtContent>
            <w:p>
              <w:pPr>
                <w:widowControl w:val="0"/>
                <w:suppressAutoHyphens/>
                <w:ind w:firstLine="567"/>
                <w:jc w:val="both"/>
                <w:rPr>
                  <w:color w:val="000000"/>
                  <w:szCs w:val="24"/>
                  <w:lang w:eastAsia="lt-LT"/>
                </w:rPr>
              </w:pPr>
              <w:sdt>
                <w:sdtPr>
                  <w:alias w:val="Numeris"/>
                  <w:tag w:val="nr_73ea12e8b910474691ebc706023f38d0"/>
                  <w:lock w:val="sdtLocked"/>
                  <w:richText/>
                </w:sdtPr>
                <w:sdtContent>
                  <w:r>
                    <w:rPr>
                      <w:color w:val="000000"/>
                      <w:szCs w:val="24"/>
                      <w:lang w:eastAsia="lt-LT"/>
                    </w:rPr>
                    <w:t>1</w:t>
                  </w:r>
                </w:sdtContent>
              </w:sdt>
              <w:r>
                <w:rPr>
                  <w:color w:val="000000"/>
                  <w:szCs w:val="24"/>
                  <w:lang w:eastAsia="lt-LT"/>
                </w:rPr>
                <w:t xml:space="preserve">. </w:t>
              </w:r>
              <w:r>
                <w:rPr>
                  <w:color w:val="000000"/>
                  <w:spacing w:val="60"/>
                  <w:szCs w:val="24"/>
                  <w:lang w:eastAsia="lt-LT"/>
                </w:rPr>
                <w:t>Tvirtin</w:t>
              </w:r>
              <w:r>
                <w:rPr>
                  <w:color w:val="000000"/>
                  <w:szCs w:val="24"/>
                  <w:lang w:eastAsia="lt-LT"/>
                </w:rPr>
                <w:t>u:</w:t>
              </w:r>
            </w:p>
            <w:sdt>
              <w:sdtPr>
                <w:alias w:val="1.1 p."/>
                <w:tag w:val="part_8a3676e1ba6f4992b331df286ed3ee96"/>
                <w:lock w:val="sdtLocked"/>
                <w:richText/>
              </w:sdtPr>
              <w:sdtContent>
                <w:p>
                  <w:pPr>
                    <w:widowControl w:val="0"/>
                    <w:suppressAutoHyphens/>
                    <w:ind w:firstLine="567"/>
                    <w:jc w:val="both"/>
                    <w:rPr>
                      <w:color w:val="000000"/>
                      <w:szCs w:val="24"/>
                      <w:lang w:eastAsia="lt-LT"/>
                    </w:rPr>
                  </w:pPr>
                  <w:sdt>
                    <w:sdtPr>
                      <w:alias w:val="Numeris"/>
                      <w:tag w:val="nr_8a3676e1ba6f4992b331df286ed3ee96"/>
                      <w:lock w:val="sdtLocked"/>
                      <w:richText/>
                    </w:sdtPr>
                    <w:sdtContent>
                      <w:r>
                        <w:rPr>
                          <w:color w:val="000000"/>
                          <w:szCs w:val="24"/>
                          <w:lang w:eastAsia="lt-LT"/>
                        </w:rPr>
                        <w:t>1.1</w:t>
                      </w:r>
                    </w:sdtContent>
                  </w:sdt>
                  <w:r>
                    <w:rPr>
                      <w:color w:val="000000"/>
                      <w:szCs w:val="24"/>
                      <w:lang w:eastAsia="lt-LT"/>
                    </w:rPr>
                    <w:t>. Savivaldybių aplinkos apsaugos rėmimo specialiosios programos priemonių vykdymo patikrinimo tvarkos aprašą (pridedama);</w:t>
                  </w:r>
                </w:p>
              </w:sdtContent>
            </w:sdt>
            <w:sdt>
              <w:sdtPr>
                <w:alias w:val="1.2 p."/>
                <w:tag w:val="part_1e64c4a66d954cc39870396aeb79ed09"/>
                <w:lock w:val="sdtLocked"/>
                <w:richText/>
              </w:sdtPr>
              <w:sdtContent>
                <w:p>
                  <w:pPr>
                    <w:widowControl w:val="0"/>
                    <w:suppressAutoHyphens/>
                    <w:ind w:firstLine="567"/>
                    <w:jc w:val="both"/>
                    <w:rPr>
                      <w:color w:val="000000"/>
                      <w:szCs w:val="24"/>
                      <w:lang w:eastAsia="lt-LT"/>
                    </w:rPr>
                  </w:pPr>
                  <w:sdt>
                    <w:sdtPr>
                      <w:alias w:val="Numeris"/>
                      <w:tag w:val="nr_1e64c4a66d954cc39870396aeb79ed09"/>
                      <w:lock w:val="sdtLocked"/>
                      <w:richText/>
                    </w:sdtPr>
                    <w:sdtContent>
                      <w:r>
                        <w:rPr>
                          <w:color w:val="000000"/>
                          <w:szCs w:val="24"/>
                          <w:lang w:eastAsia="lt-LT"/>
                        </w:rPr>
                        <w:t>1.2</w:t>
                      </w:r>
                    </w:sdtContent>
                  </w:sdt>
                  <w:r>
                    <w:rPr>
                      <w:color w:val="000000"/>
                      <w:szCs w:val="24"/>
                      <w:lang w:eastAsia="lt-LT"/>
                    </w:rPr>
                    <w:t>. Savivaldybių aplinkos apsaugos rėmimo specialiosios programos priemonių vykdymo ataskaitos formą (pridedama);</w:t>
                  </w:r>
                </w:p>
              </w:sdtContent>
            </w:sdt>
            <w:sdt>
              <w:sdtPr>
                <w:alias w:val="1.3 p."/>
                <w:tag w:val="part_ff4b60a819004c978d06dc30ebf18738"/>
                <w:lock w:val="sdtLocked"/>
                <w:richText/>
              </w:sdtPr>
              <w:sdtContent>
                <w:p>
                  <w:pPr>
                    <w:widowControl w:val="0"/>
                    <w:suppressAutoHyphens/>
                    <w:ind w:firstLine="567"/>
                    <w:jc w:val="both"/>
                    <w:rPr>
                      <w:color w:val="000000"/>
                      <w:szCs w:val="24"/>
                      <w:lang w:eastAsia="lt-LT"/>
                    </w:rPr>
                  </w:pPr>
                  <w:sdt>
                    <w:sdtPr>
                      <w:alias w:val="Numeris"/>
                      <w:tag w:val="nr_ff4b60a819004c978d06dc30ebf18738"/>
                      <w:lock w:val="sdtLocked"/>
                      <w:richText/>
                    </w:sdtPr>
                    <w:sdtContent>
                      <w:r>
                        <w:rPr>
                          <w:color w:val="000000"/>
                          <w:szCs w:val="24"/>
                          <w:lang w:eastAsia="lt-LT"/>
                        </w:rPr>
                        <w:t>1.3</w:t>
                      </w:r>
                    </w:sdtContent>
                  </w:sdt>
                  <w:r>
                    <w:rPr>
                      <w:color w:val="000000"/>
                      <w:szCs w:val="24"/>
                      <w:lang w:eastAsia="lt-LT"/>
                    </w:rPr>
                    <w:t>. Savivaldybių aplinkos apsaugos rėmimo specialiosios programos priemonių vykdymo ataskaitos formos pildymo taisykles (pridedama).</w:t>
                  </w:r>
                </w:p>
              </w:sdtContent>
            </w:sdt>
          </w:sdtContent>
        </w:sdt>
        <w:sdt>
          <w:sdtPr>
            <w:alias w:val="2 p."/>
            <w:tag w:val="part_0532d8214647460a943d139d3d9ca64f"/>
            <w:lock w:val="sdtLocked"/>
            <w:richText/>
          </w:sdtPr>
          <w:sdtContent>
            <w:p>
              <w:pPr>
                <w:widowControl w:val="0"/>
                <w:suppressAutoHyphens/>
                <w:ind w:firstLine="567"/>
                <w:jc w:val="both"/>
                <w:rPr>
                  <w:color w:val="000000"/>
                  <w:szCs w:val="24"/>
                  <w:lang w:eastAsia="lt-LT"/>
                </w:rPr>
              </w:pPr>
              <w:sdt>
                <w:sdtPr>
                  <w:alias w:val="Numeris"/>
                  <w:tag w:val="nr_0532d8214647460a943d139d3d9ca64f"/>
                  <w:lock w:val="sdtLocked"/>
                  <w:richText/>
                </w:sdtPr>
                <w:sdtContent>
                  <w:r>
                    <w:rPr>
                      <w:color w:val="000000"/>
                      <w:szCs w:val="24"/>
                      <w:lang w:eastAsia="lt-LT"/>
                    </w:rPr>
                    <w:t>2</w:t>
                  </w:r>
                </w:sdtContent>
              </w:sdt>
              <w:r>
                <w:rPr>
                  <w:color w:val="000000"/>
                  <w:szCs w:val="24"/>
                  <w:lang w:eastAsia="lt-LT"/>
                </w:rPr>
                <w:t xml:space="preserve">. </w:t>
              </w:r>
              <w:r>
                <w:rPr>
                  <w:color w:val="000000"/>
                  <w:spacing w:val="60"/>
                  <w:szCs w:val="24"/>
                  <w:lang w:eastAsia="lt-LT"/>
                </w:rPr>
                <w:t>Pripažįstu</w:t>
              </w:r>
              <w:r>
                <w:rPr>
                  <w:color w:val="000000"/>
                  <w:szCs w:val="24"/>
                  <w:lang w:eastAsia="lt-LT"/>
                </w:rPr>
                <w:t xml:space="preserve"> netekusiais galios:</w:t>
              </w:r>
            </w:p>
            <w:sdt>
              <w:sdtPr>
                <w:alias w:val="2.1 p."/>
                <w:tag w:val="part_1257a599ddb3441ea10c147179a819b3"/>
                <w:lock w:val="sdtLocked"/>
                <w:richText/>
              </w:sdtPr>
              <w:sdtContent>
                <w:p>
                  <w:pPr>
                    <w:widowControl w:val="0"/>
                    <w:suppressAutoHyphens/>
                    <w:ind w:firstLine="567"/>
                    <w:jc w:val="both"/>
                    <w:rPr>
                      <w:color w:val="000000"/>
                      <w:szCs w:val="24"/>
                      <w:lang w:eastAsia="lt-LT"/>
                    </w:rPr>
                  </w:pPr>
                  <w:sdt>
                    <w:sdtPr>
                      <w:alias w:val="Numeris"/>
                      <w:tag w:val="nr_1257a599ddb3441ea10c147179a819b3"/>
                      <w:lock w:val="sdtLocked"/>
                      <w:richText/>
                    </w:sdtPr>
                    <w:sdtContent>
                      <w:r>
                        <w:rPr>
                          <w:color w:val="000000"/>
                          <w:szCs w:val="24"/>
                          <w:lang w:eastAsia="lt-LT"/>
                        </w:rPr>
                        <w:t>2.1</w:t>
                      </w:r>
                    </w:sdtContent>
                  </w:sdt>
                  <w:r>
                    <w:rPr>
                      <w:color w:val="000000"/>
                      <w:szCs w:val="24"/>
                      <w:lang w:eastAsia="lt-LT"/>
                    </w:rPr>
                    <w:t xml:space="preserve">. Lietuvos Respublikos aplinkos ministro 2003 m. lapkričio 5 d. įsakymą Nr. 533 „Dėl Savivaldybių aplinkos apsaugos rėmimo specialiosios programos ataskaitos apie programos priemonių vykdymą formos, jos pildymo instrukcijos bei aplinkosaugos priemonių sąrašo patvirtinimo“ (Žin., 2003, Nr. </w:t>
                  </w:r>
                  <w:hyperlink r:id="rId11" w:tgtFrame="_blank" w:history="1">
                    <w:r>
                      <w:rPr>
                        <w:color w:val="0000FF" w:themeColor="hyperlink"/>
                        <w:szCs w:val="24"/>
                        <w:u w:val="single"/>
                        <w:lang w:eastAsia="lt-LT"/>
                      </w:rPr>
                      <w:t>108-4842</w:t>
                    </w:r>
                  </w:hyperlink>
                  <w:r>
                    <w:rPr>
                      <w:color w:val="000000"/>
                      <w:szCs w:val="24"/>
                      <w:lang w:eastAsia="lt-LT"/>
                    </w:rPr>
                    <w:t xml:space="preserve">; 2004, Nr. </w:t>
                  </w:r>
                  <w:hyperlink r:id="rId12" w:tgtFrame="_blank" w:history="1">
                    <w:r>
                      <w:rPr>
                        <w:color w:val="0000FF" w:themeColor="hyperlink"/>
                        <w:szCs w:val="24"/>
                        <w:u w:val="single"/>
                        <w:lang w:eastAsia="lt-LT"/>
                      </w:rPr>
                      <w:t>50-1682</w:t>
                    </w:r>
                  </w:hyperlink>
                  <w:r>
                    <w:rPr>
                      <w:color w:val="000000"/>
                      <w:szCs w:val="24"/>
                      <w:lang w:eastAsia="lt-LT"/>
                    </w:rPr>
                    <w:t>);</w:t>
                  </w:r>
                </w:p>
              </w:sdtContent>
            </w:sdt>
            <w:sdt>
              <w:sdtPr>
                <w:alias w:val="2.2 p."/>
                <w:tag w:val="part_024d11f563514b2cb77a8b0b45000b87"/>
                <w:lock w:val="sdtLocked"/>
                <w:richText/>
              </w:sdtPr>
              <w:sdtContent>
                <w:p>
                  <w:pPr>
                    <w:widowControl w:val="0"/>
                    <w:suppressAutoHyphens/>
                    <w:ind w:firstLine="567"/>
                    <w:jc w:val="both"/>
                    <w:rPr>
                      <w:color w:val="000000"/>
                      <w:spacing w:val="-2"/>
                      <w:szCs w:val="24"/>
                      <w:lang w:eastAsia="lt-LT"/>
                    </w:rPr>
                  </w:pPr>
                  <w:sdt>
                    <w:sdtPr>
                      <w:alias w:val="Numeris"/>
                      <w:tag w:val="nr_024d11f563514b2cb77a8b0b45000b87"/>
                      <w:lock w:val="sdtLocked"/>
                      <w:richText/>
                    </w:sdtPr>
                    <w:sdtContent>
                      <w:r>
                        <w:rPr>
                          <w:color w:val="000000"/>
                          <w:spacing w:val="-2"/>
                          <w:szCs w:val="24"/>
                          <w:lang w:eastAsia="lt-LT"/>
                        </w:rPr>
                        <w:t>2.2</w:t>
                      </w:r>
                    </w:sdtContent>
                  </w:sdt>
                  <w:r>
                    <w:rPr>
                      <w:color w:val="000000"/>
                      <w:spacing w:val="-2"/>
                      <w:szCs w:val="24"/>
                      <w:lang w:eastAsia="lt-LT"/>
                    </w:rPr>
                    <w:t xml:space="preserve">. Lietuvos Respublikos aplinkos ministro 2005 m. gruodžio 28 d. įsakymą Nr. D1-637 „Dėl Savivaldybių aplinkos apsaugos rėmimo specialiosios programos lėšų panaudojimo patikrinimo rekomendacijų patvirtinimo“ (Žin., 2006, Nr. </w:t>
                  </w:r>
                  <w:hyperlink r:id="rId13" w:tgtFrame="_blank" w:history="1">
                    <w:r>
                      <w:rPr>
                        <w:color w:val="0000FF" w:themeColor="hyperlink"/>
                        <w:spacing w:val="-2"/>
                        <w:szCs w:val="24"/>
                        <w:u w:val="single"/>
                        <w:lang w:eastAsia="lt-LT"/>
                      </w:rPr>
                      <w:t>8-291</w:t>
                    </w:r>
                  </w:hyperlink>
                  <w:r>
                    <w:rPr>
                      <w:color w:val="000000"/>
                      <w:spacing w:val="-2"/>
                      <w:szCs w:val="24"/>
                      <w:lang w:eastAsia="lt-LT"/>
                    </w:rPr>
                    <w:t>).</w:t>
                  </w:r>
                </w:p>
              </w:sdtContent>
            </w:sdt>
          </w:sdtContent>
        </w:sdt>
        <w:sdt>
          <w:sdtPr>
            <w:alias w:val="3 p."/>
            <w:tag w:val="part_5420b79ba8fb4f93b273eafd6c57996d"/>
            <w:lock w:val="sdtLocked"/>
            <w:richText/>
          </w:sdtPr>
          <w:sdtContent>
            <w:p>
              <w:pPr>
                <w:widowControl w:val="0"/>
                <w:suppressAutoHyphens/>
                <w:ind w:firstLine="567"/>
                <w:jc w:val="both"/>
                <w:rPr>
                  <w:color w:val="000000"/>
                  <w:szCs w:val="24"/>
                  <w:lang w:eastAsia="lt-LT"/>
                </w:rPr>
              </w:pPr>
              <w:sdt>
                <w:sdtPr>
                  <w:alias w:val="Numeris"/>
                  <w:tag w:val="nr_5420b79ba8fb4f93b273eafd6c57996d"/>
                  <w:lock w:val="sdtLocked"/>
                  <w:richText/>
                </w:sdtPr>
                <w:sdtContent>
                  <w:r>
                    <w:rPr>
                      <w:color w:val="000000"/>
                      <w:szCs w:val="24"/>
                      <w:lang w:eastAsia="lt-LT"/>
                    </w:rPr>
                    <w:t>3</w:t>
                  </w:r>
                </w:sdtContent>
              </w:sdt>
              <w:r>
                <w:rPr>
                  <w:color w:val="000000"/>
                  <w:szCs w:val="24"/>
                  <w:lang w:eastAsia="lt-LT"/>
                </w:rPr>
                <w:t xml:space="preserve">. </w:t>
              </w:r>
              <w:r>
                <w:rPr>
                  <w:color w:val="000000"/>
                  <w:spacing w:val="60"/>
                  <w:szCs w:val="24"/>
                  <w:lang w:eastAsia="lt-LT"/>
                </w:rPr>
                <w:t>Nustata</w:t>
              </w:r>
              <w:r>
                <w:rPr>
                  <w:color w:val="000000"/>
                  <w:szCs w:val="24"/>
                  <w:lang w:eastAsia="lt-LT"/>
                </w:rPr>
                <w:t>u, kad šis įsakymas įsigalioja 2012 m. sausio 1 d.</w:t>
              </w:r>
            </w:p>
            <w:p>
              <w:pPr>
                <w:widowControl w:val="0"/>
                <w:suppressAutoHyphens/>
                <w:jc w:val="both"/>
                <w:rPr>
                  <w:color w:val="000000"/>
                  <w:szCs w:val="24"/>
                  <w:lang w:eastAsia="lt-LT"/>
                </w:rPr>
              </w:pPr>
            </w:p>
          </w:sdtContent>
        </w:sdt>
        <w:sdt>
          <w:sdtPr>
            <w:alias w:val="signatura"/>
            <w:tag w:val="part_7e8510c3b3e14d7889f489da63245d04"/>
            <w:lock w:val="sdtLocked"/>
            <w:richText/>
          </w:sdtPr>
          <w:sdtContent>
            <w:p>
              <w:pPr>
                <w:widowControl w:val="0"/>
                <w:tabs>
                  <w:tab w:val="right" w:pos="9071"/>
                </w:tabs>
                <w:suppressAutoHyphens/>
                <w:rPr>
                  <w:caps/>
                  <w:color w:val="000000"/>
                  <w:szCs w:val="24"/>
                  <w:lang w:eastAsia="lt-LT"/>
                </w:rPr>
              </w:pPr>
              <w:r>
                <w:rPr>
                  <w:caps/>
                  <w:color w:val="000000"/>
                  <w:szCs w:val="24"/>
                  <w:lang w:eastAsia="lt-LT"/>
                </w:rPr>
                <w:t>Aplinkos ministras</w:t>
                <w:tab/>
                <w:t>Gediminas Kazlauskas</w:t>
              </w:r>
            </w:p>
          </w:sdtContent>
        </w:sdt>
      </w:sdtContent>
    </w:sdt>
    <w:sdt>
      <w:sdtPr>
        <w:alias w:val="patvirtinta"/>
        <w:tag w:val="part_bdce57844a6e4507ae81845fa9da647c"/>
        <w:lock w:val="sdtLocked"/>
        <w:richText/>
      </w:sdtPr>
      <w:sdtContent>
        <w:p>
          <w:pPr>
            <w:tabs>
              <w:tab w:val="right" w:pos="9639"/>
            </w:tabs>
            <w:sectPr>
              <w:headerReference w:type="default" r:id="rId14"/>
              <w:footnotePr>
                <w:pos w:val="beneathText"/>
              </w:footnotePr>
              <w:pgSz w:w="11905" w:h="16837"/>
              <w:pgMar w:top="1701" w:right="567" w:bottom="1134" w:left="1701" w:header="567" w:footer="567" w:gutter="0"/>
              <w:pgNumType w:start="1"/>
              <w:cols w:space="1296"/>
              <w:titlePg/>
              <w:docGrid w:linePitch="360"/>
            </w:sectPr>
          </w:pPr>
        </w:p>
        <w:p>
          <w:pPr>
            <w:tabs>
              <w:tab w:val="right" w:pos="9639"/>
            </w:tabs>
            <w:ind w:firstLine="5953"/>
            <w:rPr>
              <w:caps/>
              <w:szCs w:val="24"/>
            </w:rPr>
          </w:pPr>
          <w:r>
            <w:rPr>
              <w:caps/>
              <w:szCs w:val="24"/>
            </w:rPr>
            <w:t>PATVIRTINTA</w:t>
          </w:r>
        </w:p>
        <w:p>
          <w:pPr>
            <w:tabs>
              <w:tab w:val="left" w:pos="1304"/>
              <w:tab w:val="left" w:pos="1457"/>
              <w:tab w:val="left" w:pos="1604"/>
              <w:tab w:val="left" w:pos="1757"/>
            </w:tabs>
            <w:ind w:left="5953"/>
            <w:rPr>
              <w:szCs w:val="24"/>
            </w:rPr>
          </w:pPr>
          <w:r>
            <w:rPr>
              <w:szCs w:val="24"/>
            </w:rPr>
            <w:t>Lietuvos Respublikos aplinkos ministro 2011 m. kovo 4 d. įsakymu Nr. D1-201</w:t>
          </w:r>
        </w:p>
        <w:p>
          <w:pPr>
            <w:tabs>
              <w:tab w:val="left" w:pos="1304"/>
              <w:tab w:val="left" w:pos="1457"/>
              <w:tab w:val="left" w:pos="1604"/>
              <w:tab w:val="left" w:pos="1757"/>
            </w:tabs>
            <w:ind w:left="5953"/>
            <w:rPr>
              <w:szCs w:val="24"/>
            </w:rPr>
          </w:pPr>
          <w:r>
            <w:rPr>
              <w:szCs w:val="24"/>
            </w:rPr>
            <w:t>(Lietuvos Respublikos aplinkos ministro 2018 m. gegužės 8 d. įsakymo Nr. D1-372 redakcija)</w:t>
          </w:r>
        </w:p>
        <w:p>
          <w:pPr>
            <w:jc w:val="both"/>
            <w:rPr>
              <w:szCs w:val="24"/>
            </w:rPr>
          </w:pPr>
        </w:p>
        <w:p>
          <w:pPr>
            <w:keepLines/>
            <w:widowControl w:val="0"/>
            <w:suppressAutoHyphens/>
            <w:jc w:val="center"/>
            <w:rPr>
              <w:rFonts w:ascii="Thorndale" w:eastAsia="Andale Sans UI" w:hAnsi="Thorndale" w:cs="Tahoma"/>
              <w:b/>
              <w:bCs/>
              <w:caps/>
              <w:color w:val="000000"/>
              <w:szCs w:val="24"/>
              <w:lang w:bidi="en-US"/>
            </w:rPr>
          </w:pPr>
          <w:sdt>
            <w:sdtPr>
              <w:alias w:val="Pavadinimas"/>
              <w:tag w:val="title_bdce57844a6e4507ae81845fa9da647c"/>
              <w:lock w:val="sdtLocked"/>
              <w:richText/>
            </w:sdtPr>
            <w:sdtContent>
              <w:r>
                <w:rPr>
                  <w:rFonts w:ascii="Thorndale" w:eastAsia="Andale Sans UI" w:hAnsi="Thorndale" w:cs="Tahoma"/>
                  <w:b/>
                  <w:bCs/>
                  <w:caps/>
                  <w:color w:val="000000"/>
                  <w:szCs w:val="24"/>
                  <w:lang w:bidi="en-US"/>
                </w:rPr>
                <w:t>SAVIVALDYBIŲ APLINKOS APSAUGOS RĖMIMO SPECIALIOSIOS PROGRAMOS PRIEMONIŲ VYKDYMO PATIKRINIMO TVARKOS APRAŠAS</w:t>
              </w:r>
            </w:sdtContent>
          </w:sdt>
        </w:p>
        <w:p>
          <w:pPr>
            <w:widowControl w:val="0"/>
            <w:suppressAutoHyphens/>
            <w:jc w:val="both"/>
            <w:rPr>
              <w:rFonts w:ascii="Thorndale" w:eastAsia="Andale Sans UI" w:hAnsi="Thorndale" w:cs="Tahoma"/>
              <w:color w:val="000000"/>
              <w:szCs w:val="24"/>
              <w:lang w:bidi="en-US"/>
            </w:rPr>
          </w:pPr>
        </w:p>
        <w:sdt>
          <w:sdtPr>
            <w:alias w:val="skyrius"/>
            <w:tag w:val="part_9aee1b2777af4700a541d2c6238069e7"/>
            <w:lock w:val="sdtLocked"/>
            <w:richText/>
          </w:sdtPr>
          <w:sdtContent>
            <w:p>
              <w:pPr>
                <w:keepLines/>
                <w:widowControl w:val="0"/>
                <w:suppressAutoHyphens/>
                <w:jc w:val="center"/>
                <w:rPr>
                  <w:rFonts w:ascii="Thorndale" w:eastAsia="Andale Sans UI" w:hAnsi="Thorndale" w:cs="Tahoma"/>
                  <w:b/>
                  <w:bCs/>
                  <w:caps/>
                  <w:color w:val="000000"/>
                  <w:szCs w:val="24"/>
                  <w:lang w:bidi="en-US"/>
                </w:rPr>
              </w:pPr>
              <w:sdt>
                <w:sdtPr>
                  <w:alias w:val="Numeris"/>
                  <w:tag w:val="nr_9aee1b2777af4700a541d2c6238069e7"/>
                  <w:lock w:val="sdtLocked"/>
                  <w:richText/>
                </w:sdtPr>
                <w:sdtContent>
                  <w:r>
                    <w:rPr>
                      <w:rFonts w:ascii="Thorndale" w:eastAsia="Andale Sans UI" w:hAnsi="Thorndale" w:cs="Tahoma"/>
                      <w:b/>
                      <w:bCs/>
                      <w:caps/>
                      <w:color w:val="000000"/>
                      <w:szCs w:val="24"/>
                      <w:lang w:bidi="en-US"/>
                    </w:rPr>
                    <w:t>I</w:t>
                  </w:r>
                </w:sdtContent>
              </w:sdt>
              <w:r>
                <w:rPr>
                  <w:rFonts w:ascii="Thorndale" w:eastAsia="Andale Sans UI" w:hAnsi="Thorndale" w:cs="Tahoma"/>
                  <w:b/>
                  <w:bCs/>
                  <w:caps/>
                  <w:color w:val="000000"/>
                  <w:szCs w:val="24"/>
                  <w:lang w:bidi="en-US"/>
                </w:rPr>
                <w:t xml:space="preserve">. </w:t>
              </w:r>
              <w:sdt>
                <w:sdtPr>
                  <w:alias w:val="Pavadinimas"/>
                  <w:tag w:val="title_9aee1b2777af4700a541d2c6238069e7"/>
                  <w:lock w:val="sdtLocked"/>
                  <w:richText/>
                </w:sdtPr>
                <w:sdtContent>
                  <w:r>
                    <w:rPr>
                      <w:rFonts w:ascii="Thorndale" w:eastAsia="Andale Sans UI" w:hAnsi="Thorndale" w:cs="Tahoma"/>
                      <w:b/>
                      <w:bCs/>
                      <w:caps/>
                      <w:color w:val="000000"/>
                      <w:szCs w:val="24"/>
                      <w:lang w:bidi="en-US"/>
                    </w:rPr>
                    <w:t>BENDROSIOS NUOSTATOS</w:t>
                  </w:r>
                </w:sdtContent>
              </w:sdt>
            </w:p>
            <w:p>
              <w:pPr>
                <w:widowControl w:val="0"/>
                <w:suppressAutoHyphens/>
                <w:jc w:val="both"/>
                <w:rPr>
                  <w:rFonts w:ascii="Thorndale" w:eastAsia="Andale Sans UI" w:hAnsi="Thorndale" w:cs="Tahoma"/>
                  <w:color w:val="000000"/>
                  <w:szCs w:val="24"/>
                  <w:lang w:bidi="en-US"/>
                </w:rPr>
              </w:pPr>
            </w:p>
            <w:sdt>
              <w:sdtPr>
                <w:alias w:val="1 p."/>
                <w:tag w:val="part_24817bf0eb5f4837a8a6212da324c9a4"/>
                <w:lock w:val="sdtLocked"/>
                <w:richText/>
              </w:sdtPr>
              <w:sdtContent>
                <w:p>
                  <w:pPr>
                    <w:widowControl w:val="0"/>
                    <w:suppressAutoHyphens/>
                    <w:ind w:firstLine="567"/>
                    <w:jc w:val="both"/>
                    <w:rPr>
                      <w:rFonts w:ascii="Thorndale" w:eastAsia="Andale Sans UI" w:hAnsi="Thorndale" w:cs="Tahoma"/>
                      <w:color w:val="000000"/>
                      <w:szCs w:val="24"/>
                      <w:lang w:bidi="en-US"/>
                    </w:rPr>
                  </w:pPr>
                  <w:sdt>
                    <w:sdtPr>
                      <w:alias w:val="Numeris"/>
                      <w:tag w:val="nr_24817bf0eb5f4837a8a6212da324c9a4"/>
                      <w:lock w:val="sdtLocked"/>
                      <w:richText/>
                    </w:sdtPr>
                    <w:sdtContent>
                      <w:r>
                        <w:rPr>
                          <w:rFonts w:ascii="Thorndale" w:eastAsia="Andale Sans UI" w:hAnsi="Thorndale" w:cs="Tahoma"/>
                          <w:color w:val="000000"/>
                          <w:szCs w:val="24"/>
                          <w:lang w:bidi="en-US"/>
                        </w:rPr>
                        <w:t>1</w:t>
                      </w:r>
                    </w:sdtContent>
                  </w:sdt>
                  <w:r>
                    <w:rPr>
                      <w:rFonts w:ascii="Thorndale" w:eastAsia="Andale Sans UI" w:hAnsi="Thorndale" w:cs="Tahoma"/>
                      <w:color w:val="000000"/>
                      <w:szCs w:val="24"/>
                      <w:lang w:bidi="en-US"/>
                    </w:rPr>
                    <w:t>. Savivaldybių aplinkos apsaugos rėmimo specialiosios programos (toliau – Programa) lėšų panaudojimo patikrinimo tvarkos aprašas (toliau – Tvarkos aprašas) nustato Programos priemonių vykdymo ataskaitos (toliau – Ataskaita) pateikimo tvarką ir pagrindinius Aplinkos apsaugos departamento prie Aplinkos ministerijos (toliau – AAD) vykdomos Programos kontrolės principus.</w:t>
                  </w:r>
                </w:p>
              </w:sdtContent>
            </w:sdt>
            <w:sdt>
              <w:sdtPr>
                <w:alias w:val="2 p."/>
                <w:tag w:val="part_4516630818a64ac783f34faf2bcba29a"/>
                <w:lock w:val="sdtLocked"/>
                <w:richText/>
              </w:sdtPr>
              <w:sdtContent>
                <w:p>
                  <w:pPr>
                    <w:widowControl w:val="0"/>
                    <w:suppressAutoHyphens/>
                    <w:ind w:firstLine="567"/>
                    <w:jc w:val="both"/>
                    <w:rPr>
                      <w:rFonts w:ascii="Thorndale" w:eastAsia="Andale Sans UI" w:hAnsi="Thorndale" w:cs="Tahoma"/>
                      <w:color w:val="000000"/>
                      <w:szCs w:val="24"/>
                      <w:lang w:bidi="en-US"/>
                    </w:rPr>
                  </w:pPr>
                  <w:sdt>
                    <w:sdtPr>
                      <w:alias w:val="Numeris"/>
                      <w:tag w:val="nr_4516630818a64ac783f34faf2bcba29a"/>
                      <w:lock w:val="sdtLocked"/>
                      <w:richText/>
                    </w:sdtPr>
                    <w:sdtContent>
                      <w:r>
                        <w:rPr>
                          <w:rFonts w:ascii="Thorndale" w:eastAsia="Andale Sans UI" w:hAnsi="Thorndale" w:cs="Tahoma"/>
                          <w:color w:val="000000"/>
                          <w:szCs w:val="24"/>
                          <w:lang w:bidi="en-US"/>
                        </w:rPr>
                        <w:t>2</w:t>
                      </w:r>
                    </w:sdtContent>
                  </w:sdt>
                  <w:r>
                    <w:rPr>
                      <w:rFonts w:ascii="Thorndale" w:eastAsia="Andale Sans UI" w:hAnsi="Thorndale" w:cs="Tahoma"/>
                      <w:color w:val="000000"/>
                      <w:szCs w:val="24"/>
                      <w:lang w:bidi="en-US"/>
                    </w:rPr>
                    <w:t>. Šis aprašas parengtas vadovaujantis Lietuvos Respublikos savivaldybių aplinkos apsaugos rėmimo specialiosios programos įstatymu.</w:t>
                  </w:r>
                </w:p>
              </w:sdtContent>
            </w:sdt>
            <w:sdt>
              <w:sdtPr>
                <w:alias w:val="3 p."/>
                <w:tag w:val="part_af067f9f409e415a9884b72ecbf053ec"/>
                <w:lock w:val="sdtLocked"/>
                <w:richText/>
              </w:sdtPr>
              <w:sdtContent>
                <w:p>
                  <w:pPr>
                    <w:widowControl w:val="0"/>
                    <w:suppressAutoHyphens/>
                    <w:ind w:firstLine="567"/>
                    <w:jc w:val="both"/>
                    <w:rPr>
                      <w:rFonts w:ascii="Thorndale" w:eastAsia="Andale Sans UI" w:hAnsi="Thorndale" w:cs="Tahoma"/>
                      <w:color w:val="000000"/>
                      <w:szCs w:val="24"/>
                      <w:lang w:bidi="en-US"/>
                    </w:rPr>
                  </w:pPr>
                  <w:sdt>
                    <w:sdtPr>
                      <w:alias w:val="Numeris"/>
                      <w:tag w:val="nr_af067f9f409e415a9884b72ecbf053ec"/>
                      <w:lock w:val="sdtLocked"/>
                      <w:richText/>
                    </w:sdtPr>
                    <w:sdtContent>
                      <w:r>
                        <w:rPr>
                          <w:rFonts w:ascii="Thorndale" w:eastAsia="Andale Sans UI" w:hAnsi="Thorndale" w:cs="Tahoma"/>
                          <w:color w:val="000000"/>
                          <w:szCs w:val="24"/>
                          <w:lang w:bidi="en-US"/>
                        </w:rPr>
                        <w:t>3</w:t>
                      </w:r>
                    </w:sdtContent>
                  </w:sdt>
                  <w:r>
                    <w:rPr>
                      <w:rFonts w:ascii="Thorndale" w:eastAsia="Andale Sans UI" w:hAnsi="Thorndale" w:cs="Tahoma"/>
                      <w:color w:val="000000"/>
                      <w:szCs w:val="24"/>
                      <w:lang w:bidi="en-US"/>
                    </w:rPr>
                    <w:t>. Tvarkos aprašo tikslas – užtikrinti Programos lėšų panaudojimą pagal tikslinę paskirtį ir AAD vykdomos kontrolės efektyvumą.</w:t>
                  </w:r>
                </w:p>
                <w:p>
                  <w:pPr>
                    <w:widowControl w:val="0"/>
                    <w:suppressAutoHyphens/>
                    <w:ind w:firstLine="567"/>
                    <w:jc w:val="both"/>
                    <w:rPr>
                      <w:rFonts w:ascii="Thorndale" w:eastAsia="Andale Sans UI" w:hAnsi="Thorndale" w:cs="Tahoma"/>
                      <w:color w:val="000000"/>
                      <w:szCs w:val="24"/>
                      <w:lang w:bidi="en-US"/>
                    </w:rPr>
                  </w:pPr>
                </w:p>
              </w:sdtContent>
            </w:sdt>
          </w:sdtContent>
        </w:sdt>
        <w:sdt>
          <w:sdtPr>
            <w:alias w:val="skyrius"/>
            <w:tag w:val="part_705b7b3446f348838d2eef42b81e597f"/>
            <w:lock w:val="sdtLocked"/>
            <w:richText/>
          </w:sdtPr>
          <w:sdtContent>
            <w:p>
              <w:pPr>
                <w:keepLines/>
                <w:widowControl w:val="0"/>
                <w:suppressAutoHyphens/>
                <w:jc w:val="center"/>
                <w:rPr>
                  <w:rFonts w:ascii="Thorndale" w:eastAsia="Andale Sans UI" w:hAnsi="Thorndale" w:cs="Tahoma"/>
                  <w:b/>
                  <w:bCs/>
                  <w:caps/>
                  <w:color w:val="000000"/>
                  <w:szCs w:val="24"/>
                  <w:lang w:bidi="en-US"/>
                </w:rPr>
              </w:pPr>
              <w:sdt>
                <w:sdtPr>
                  <w:alias w:val="Numeris"/>
                  <w:tag w:val="nr_705b7b3446f348838d2eef42b81e597f"/>
                  <w:lock w:val="sdtLocked"/>
                  <w:richText/>
                </w:sdtPr>
                <w:sdtContent>
                  <w:r>
                    <w:rPr>
                      <w:rFonts w:ascii="Thorndale" w:eastAsia="Andale Sans UI" w:hAnsi="Thorndale" w:cs="Tahoma"/>
                      <w:b/>
                      <w:bCs/>
                      <w:caps/>
                      <w:color w:val="000000"/>
                      <w:szCs w:val="24"/>
                      <w:lang w:bidi="en-US"/>
                    </w:rPr>
                    <w:t>II</w:t>
                  </w:r>
                </w:sdtContent>
              </w:sdt>
              <w:r>
                <w:rPr>
                  <w:rFonts w:ascii="Thorndale" w:eastAsia="Andale Sans UI" w:hAnsi="Thorndale" w:cs="Tahoma"/>
                  <w:b/>
                  <w:bCs/>
                  <w:caps/>
                  <w:color w:val="000000"/>
                  <w:szCs w:val="24"/>
                  <w:lang w:bidi="en-US"/>
                </w:rPr>
                <w:t xml:space="preserve">. </w:t>
              </w:r>
              <w:sdt>
                <w:sdtPr>
                  <w:alias w:val="Pavadinimas"/>
                  <w:tag w:val="title_705b7b3446f348838d2eef42b81e597f"/>
                  <w:lock w:val="sdtLocked"/>
                  <w:richText/>
                </w:sdtPr>
                <w:sdtContent>
                  <w:r>
                    <w:rPr>
                      <w:rFonts w:ascii="Thorndale" w:eastAsia="Andale Sans UI" w:hAnsi="Thorndale" w:cs="Tahoma"/>
                      <w:b/>
                      <w:bCs/>
                      <w:caps/>
                      <w:color w:val="000000"/>
                      <w:szCs w:val="24"/>
                      <w:lang w:bidi="en-US"/>
                    </w:rPr>
                    <w:t>ATASKAITOS PATEIKIMAS IR ATASKAITOJE PATEIKTŲ DUOMENŲ PATIKRINIMAS</w:t>
                  </w:r>
                </w:sdtContent>
              </w:sdt>
            </w:p>
            <w:p>
              <w:pPr>
                <w:widowControl w:val="0"/>
                <w:suppressAutoHyphens/>
                <w:ind w:firstLine="567"/>
                <w:jc w:val="both"/>
                <w:rPr>
                  <w:rFonts w:ascii="Thorndale" w:eastAsia="Andale Sans UI" w:hAnsi="Thorndale" w:cs="Tahoma"/>
                  <w:color w:val="000000"/>
                  <w:szCs w:val="24"/>
                  <w:lang w:bidi="en-US"/>
                </w:rPr>
              </w:pPr>
            </w:p>
            <w:sdt>
              <w:sdtPr>
                <w:alias w:val="4 p."/>
                <w:tag w:val="part_d3287f299d744639ad0743296975705a"/>
                <w:lock w:val="sdtLocked"/>
                <w:richText/>
              </w:sdtPr>
              <w:sdtContent>
                <w:p>
                  <w:pPr>
                    <w:widowControl w:val="0"/>
                    <w:suppressAutoHyphens/>
                    <w:ind w:firstLine="567"/>
                    <w:jc w:val="both"/>
                    <w:rPr>
                      <w:rFonts w:ascii="Thorndale" w:eastAsia="Andale Sans UI" w:hAnsi="Thorndale" w:cs="Tahoma"/>
                      <w:color w:val="000000"/>
                      <w:szCs w:val="24"/>
                      <w:lang w:bidi="en-US"/>
                    </w:rPr>
                  </w:pPr>
                  <w:sdt>
                    <w:sdtPr>
                      <w:alias w:val="Numeris"/>
                      <w:tag w:val="nr_d3287f299d744639ad0743296975705a"/>
                      <w:lock w:val="sdtLocked"/>
                      <w:richText/>
                    </w:sdtPr>
                    <w:sdtContent>
                      <w:r>
                        <w:rPr>
                          <w:rFonts w:ascii="Thorndale" w:eastAsia="Andale Sans UI" w:hAnsi="Thorndale" w:cs="Tahoma"/>
                          <w:color w:val="000000"/>
                          <w:szCs w:val="24"/>
                          <w:lang w:bidi="en-US"/>
                        </w:rPr>
                        <w:t>4</w:t>
                      </w:r>
                    </w:sdtContent>
                  </w:sdt>
                  <w:r>
                    <w:rPr>
                      <w:rFonts w:ascii="Thorndale" w:eastAsia="Andale Sans UI" w:hAnsi="Thorndale" w:cs="Tahoma"/>
                      <w:color w:val="000000"/>
                      <w:szCs w:val="24"/>
                      <w:lang w:bidi="en-US"/>
                    </w:rPr>
                    <w:t>. Savivaldybė ne vėliau kaip iki kovo 1 d. pateikia AAD savivaldybės tarybos sprendimu patvirtintą Ataskaitą kartu su šio sprendimo kopija.</w:t>
                  </w:r>
                </w:p>
              </w:sdtContent>
            </w:sdt>
            <w:sdt>
              <w:sdtPr>
                <w:alias w:val="5 p."/>
                <w:tag w:val="part_55cf4d28b2da4aaeb2f30ea8a9769e37"/>
                <w:lock w:val="sdtLocked"/>
                <w:richText/>
              </w:sdtPr>
              <w:sdtContent>
                <w:p>
                  <w:pPr>
                    <w:widowControl w:val="0"/>
                    <w:suppressAutoHyphens/>
                    <w:ind w:firstLine="567"/>
                    <w:jc w:val="both"/>
                    <w:rPr>
                      <w:rFonts w:ascii="Thorndale" w:eastAsia="Andale Sans UI" w:hAnsi="Thorndale" w:cs="Tahoma"/>
                      <w:color w:val="000000"/>
                      <w:szCs w:val="24"/>
                      <w:lang w:bidi="en-US"/>
                    </w:rPr>
                  </w:pPr>
                  <w:sdt>
                    <w:sdtPr>
                      <w:alias w:val="Numeris"/>
                      <w:tag w:val="nr_55cf4d28b2da4aaeb2f30ea8a9769e37"/>
                      <w:lock w:val="sdtLocked"/>
                      <w:richText/>
                    </w:sdtPr>
                    <w:sdtContent>
                      <w:r>
                        <w:rPr>
                          <w:rFonts w:ascii="Thorndale" w:eastAsia="Andale Sans UI" w:hAnsi="Thorndale" w:cs="Tahoma"/>
                          <w:color w:val="000000"/>
                          <w:szCs w:val="24"/>
                          <w:lang w:bidi="en-US"/>
                        </w:rPr>
                        <w:t>5</w:t>
                      </w:r>
                    </w:sdtContent>
                  </w:sdt>
                  <w:r>
                    <w:rPr>
                      <w:rFonts w:ascii="Thorndale" w:eastAsia="Andale Sans UI" w:hAnsi="Thorndale" w:cs="Tahoma"/>
                      <w:color w:val="000000"/>
                      <w:szCs w:val="24"/>
                      <w:lang w:bidi="en-US"/>
                    </w:rPr>
                    <w:t>. AAD priimtą Ataskaitą patikrina ir ne vėliau kaip per 20 darbo dienų nuo Ataskaitos priėmimo dienos pateikia Ataskaitos kopiją Aplinkos ministerijai, informuodamas Aplinkos ministeriją apie detalaus Ataskaitoje pateiktų duomenų patikrinimo tikslingumą (informuojama, ar bus atliekamas detalus patikrinimas).</w:t>
                  </w:r>
                </w:p>
              </w:sdtContent>
            </w:sdt>
            <w:sdt>
              <w:sdtPr>
                <w:alias w:val="6 p."/>
                <w:tag w:val="part_418c753b7b6248b895cabb3895b27af7"/>
                <w:lock w:val="sdtLocked"/>
                <w:richText/>
              </w:sdtPr>
              <w:sdtContent>
                <w:p>
                  <w:pPr>
                    <w:widowControl w:val="0"/>
                    <w:suppressAutoHyphens/>
                    <w:ind w:firstLine="567"/>
                    <w:jc w:val="both"/>
                    <w:rPr>
                      <w:rFonts w:ascii="Thorndale" w:eastAsia="Andale Sans UI" w:hAnsi="Thorndale" w:cs="Tahoma"/>
                      <w:color w:val="000000"/>
                      <w:szCs w:val="24"/>
                      <w:lang w:bidi="en-US"/>
                    </w:rPr>
                  </w:pPr>
                  <w:sdt>
                    <w:sdtPr>
                      <w:alias w:val="Numeris"/>
                      <w:tag w:val="nr_418c753b7b6248b895cabb3895b27af7"/>
                      <w:lock w:val="sdtLocked"/>
                      <w:richText/>
                    </w:sdtPr>
                    <w:sdtContent>
                      <w:r>
                        <w:rPr>
                          <w:rFonts w:ascii="Thorndale" w:eastAsia="Andale Sans UI" w:hAnsi="Thorndale" w:cs="Tahoma"/>
                          <w:color w:val="000000"/>
                          <w:szCs w:val="24"/>
                          <w:lang w:bidi="en-US"/>
                        </w:rPr>
                        <w:t>6</w:t>
                      </w:r>
                    </w:sdtContent>
                  </w:sdt>
                  <w:r>
                    <w:rPr>
                      <w:rFonts w:ascii="Thorndale" w:eastAsia="Andale Sans UI" w:hAnsi="Thorndale" w:cs="Tahoma"/>
                      <w:color w:val="000000"/>
                      <w:szCs w:val="24"/>
                      <w:lang w:bidi="en-US"/>
                    </w:rPr>
                    <w:t>. AAD atlieka detalų Ataskaitoje pateiktų duomenų patikrinimą, kai:</w:t>
                  </w:r>
                </w:p>
                <w:sdt>
                  <w:sdtPr>
                    <w:alias w:val="6.1 pp."/>
                    <w:tag w:val="part_8c1283cea4c94ee6bda7b5c6ac75b08b"/>
                    <w:lock w:val="sdtLocked"/>
                    <w:richText/>
                  </w:sdtPr>
                  <w:sdtContent>
                    <w:p>
                      <w:pPr>
                        <w:widowControl w:val="0"/>
                        <w:suppressAutoHyphens/>
                        <w:ind w:firstLine="567"/>
                        <w:jc w:val="both"/>
                        <w:rPr>
                          <w:rFonts w:ascii="Thorndale" w:eastAsia="Andale Sans UI" w:hAnsi="Thorndale" w:cs="Tahoma"/>
                          <w:color w:val="000000"/>
                          <w:szCs w:val="24"/>
                          <w:lang w:bidi="en-US"/>
                        </w:rPr>
                      </w:pPr>
                      <w:sdt>
                        <w:sdtPr>
                          <w:alias w:val="Numeris"/>
                          <w:tag w:val="nr_8c1283cea4c94ee6bda7b5c6ac75b08b"/>
                          <w:lock w:val="sdtLocked"/>
                          <w:richText/>
                        </w:sdtPr>
                        <w:sdtContent>
                          <w:r>
                            <w:rPr>
                              <w:rFonts w:ascii="Thorndale" w:eastAsia="Andale Sans UI" w:hAnsi="Thorndale" w:cs="Tahoma"/>
                              <w:color w:val="000000"/>
                              <w:szCs w:val="24"/>
                              <w:lang w:bidi="en-US"/>
                            </w:rPr>
                            <w:t>6.1</w:t>
                          </w:r>
                        </w:sdtContent>
                      </w:sdt>
                      <w:r>
                        <w:rPr>
                          <w:rFonts w:ascii="Thorndale" w:eastAsia="Andale Sans UI" w:hAnsi="Thorndale" w:cs="Tahoma"/>
                          <w:color w:val="000000"/>
                          <w:szCs w:val="24"/>
                          <w:lang w:bidi="en-US"/>
                        </w:rPr>
                        <w:t>. paaiškėja faktai ir (ar) kyla įtarimai, kad savivaldybė Programos lėšas panaudojo Savivaldybių aplinkos apsaugos rėmimo specialiosios programos įstatyme nenumatytiems tikslams ir (ar),</w:t>
                      </w:r>
                    </w:p>
                  </w:sdtContent>
                </w:sdt>
                <w:sdt>
                  <w:sdtPr>
                    <w:alias w:val="6.2 pp."/>
                    <w:tag w:val="part_d66abb83719c424f8b3f4c9aa051914c"/>
                    <w:lock w:val="sdtLocked"/>
                    <w:richText/>
                  </w:sdtPr>
                  <w:sdtContent>
                    <w:p>
                      <w:pPr>
                        <w:widowControl w:val="0"/>
                        <w:suppressAutoHyphens/>
                        <w:ind w:firstLine="567"/>
                        <w:jc w:val="both"/>
                        <w:rPr>
                          <w:rFonts w:ascii="Thorndale" w:eastAsia="Andale Sans UI" w:hAnsi="Thorndale" w:cs="Tahoma"/>
                          <w:color w:val="000000"/>
                          <w:szCs w:val="24"/>
                          <w:lang w:bidi="en-US"/>
                        </w:rPr>
                      </w:pPr>
                      <w:sdt>
                        <w:sdtPr>
                          <w:alias w:val="Numeris"/>
                          <w:tag w:val="nr_d66abb83719c424f8b3f4c9aa051914c"/>
                          <w:lock w:val="sdtLocked"/>
                          <w:richText/>
                        </w:sdtPr>
                        <w:sdtContent>
                          <w:r>
                            <w:rPr>
                              <w:rFonts w:ascii="Thorndale" w:eastAsia="Andale Sans UI" w:hAnsi="Thorndale" w:cs="Tahoma"/>
                              <w:color w:val="000000"/>
                              <w:szCs w:val="24"/>
                              <w:lang w:bidi="en-US"/>
                            </w:rPr>
                            <w:t>6.2</w:t>
                          </w:r>
                        </w:sdtContent>
                      </w:sdt>
                      <w:r>
                        <w:rPr>
                          <w:rFonts w:ascii="Thorndale" w:eastAsia="Andale Sans UI" w:hAnsi="Thorndale" w:cs="Tahoma"/>
                          <w:color w:val="000000"/>
                          <w:szCs w:val="24"/>
                          <w:lang w:bidi="en-US"/>
                        </w:rPr>
                        <w:t>. savivaldybė nepateikė Ataskaitos šio Tvarkos aprašo 4 punkte nustatytu terminu ir (ar),</w:t>
                      </w:r>
                    </w:p>
                  </w:sdtContent>
                </w:sdt>
                <w:sdt>
                  <w:sdtPr>
                    <w:alias w:val="6.3 pp."/>
                    <w:tag w:val="part_80e43e7079674db0a2ebade5f7a64cb9"/>
                    <w:lock w:val="sdtLocked"/>
                    <w:richText/>
                  </w:sdtPr>
                  <w:sdtContent>
                    <w:p>
                      <w:pPr>
                        <w:widowControl w:val="0"/>
                        <w:suppressAutoHyphens/>
                        <w:ind w:firstLine="567"/>
                        <w:jc w:val="both"/>
                        <w:rPr>
                          <w:rFonts w:ascii="Thorndale" w:eastAsia="Andale Sans UI" w:hAnsi="Thorndale" w:cs="Tahoma"/>
                          <w:color w:val="000000"/>
                          <w:szCs w:val="24"/>
                          <w:lang w:bidi="en-US"/>
                        </w:rPr>
                      </w:pPr>
                      <w:sdt>
                        <w:sdtPr>
                          <w:alias w:val="Numeris"/>
                          <w:tag w:val="nr_80e43e7079674db0a2ebade5f7a64cb9"/>
                          <w:lock w:val="sdtLocked"/>
                          <w:richText/>
                        </w:sdtPr>
                        <w:sdtContent>
                          <w:r>
                            <w:rPr>
                              <w:rFonts w:ascii="Thorndale" w:eastAsia="Andale Sans UI" w:hAnsi="Thorndale" w:cs="Tahoma"/>
                              <w:color w:val="000000"/>
                              <w:szCs w:val="24"/>
                              <w:lang w:bidi="en-US"/>
                            </w:rPr>
                            <w:t>6.3</w:t>
                          </w:r>
                        </w:sdtContent>
                      </w:sdt>
                      <w:r>
                        <w:rPr>
                          <w:rFonts w:ascii="Thorndale" w:eastAsia="Andale Sans UI" w:hAnsi="Thorndale" w:cs="Tahoma"/>
                          <w:color w:val="000000"/>
                          <w:szCs w:val="24"/>
                          <w:lang w:bidi="en-US"/>
                        </w:rPr>
                        <w:t>. Ataskaita užpildyta nesilaikant Savivaldybių aplinkos apsaugos rėmimo specialiosios programos priemonių vykdymo ataskaitos formos pildymo taisyklių.</w:t>
                      </w:r>
                    </w:p>
                  </w:sdtContent>
                </w:sdt>
              </w:sdtContent>
            </w:sdt>
            <w:sdt>
              <w:sdtPr>
                <w:alias w:val="7 p."/>
                <w:tag w:val="part_06775ac097af44c7b26fadb041d556e3"/>
                <w:lock w:val="sdtLocked"/>
                <w:richText/>
              </w:sdtPr>
              <w:sdtContent>
                <w:p>
                  <w:pPr>
                    <w:widowControl w:val="0"/>
                    <w:suppressAutoHyphens/>
                    <w:ind w:firstLine="567"/>
                    <w:jc w:val="both"/>
                    <w:rPr>
                      <w:rFonts w:ascii="Thorndale" w:eastAsia="Andale Sans UI" w:hAnsi="Thorndale" w:cs="Tahoma"/>
                      <w:color w:val="000000"/>
                      <w:szCs w:val="24"/>
                      <w:lang w:bidi="en-US"/>
                    </w:rPr>
                  </w:pPr>
                  <w:sdt>
                    <w:sdtPr>
                      <w:alias w:val="Numeris"/>
                      <w:tag w:val="nr_06775ac097af44c7b26fadb041d556e3"/>
                      <w:lock w:val="sdtLocked"/>
                      <w:richText/>
                    </w:sdtPr>
                    <w:sdtContent>
                      <w:r>
                        <w:rPr>
                          <w:rFonts w:ascii="Thorndale" w:eastAsia="Andale Sans UI" w:hAnsi="Thorndale" w:cs="Tahoma"/>
                          <w:color w:val="000000"/>
                          <w:szCs w:val="24"/>
                          <w:lang w:bidi="en-US"/>
                        </w:rPr>
                        <w:t>7</w:t>
                      </w:r>
                    </w:sdtContent>
                  </w:sdt>
                  <w:r>
                    <w:rPr>
                      <w:rFonts w:ascii="Thorndale" w:eastAsia="Andale Sans UI" w:hAnsi="Thorndale" w:cs="Tahoma"/>
                      <w:color w:val="000000"/>
                      <w:szCs w:val="24"/>
                      <w:lang w:bidi="en-US"/>
                    </w:rPr>
                    <w:t>. Detalų patikrinimą AAD atlieka savo iniciatyva arba Aplinkos ministerijos pavedimu.</w:t>
                  </w:r>
                </w:p>
              </w:sdtContent>
            </w:sdt>
            <w:sdt>
              <w:sdtPr>
                <w:alias w:val="8 p."/>
                <w:tag w:val="part_a31792693ad74d03b13cbb8efa7977cd"/>
                <w:lock w:val="sdtLocked"/>
                <w:richText/>
              </w:sdtPr>
              <w:sdtContent>
                <w:p>
                  <w:pPr>
                    <w:widowControl w:val="0"/>
                    <w:suppressAutoHyphens/>
                    <w:ind w:firstLine="567"/>
                    <w:jc w:val="both"/>
                    <w:rPr>
                      <w:rFonts w:ascii="Thorndale" w:eastAsia="Andale Sans UI" w:hAnsi="Thorndale" w:cs="Tahoma"/>
                      <w:color w:val="000000"/>
                      <w:szCs w:val="24"/>
                      <w:lang w:bidi="en-US"/>
                    </w:rPr>
                  </w:pPr>
                  <w:sdt>
                    <w:sdtPr>
                      <w:alias w:val="Numeris"/>
                      <w:tag w:val="nr_a31792693ad74d03b13cbb8efa7977cd"/>
                      <w:lock w:val="sdtLocked"/>
                      <w:richText/>
                    </w:sdtPr>
                    <w:sdtContent>
                      <w:r>
                        <w:rPr>
                          <w:rFonts w:ascii="Thorndale" w:eastAsia="Andale Sans UI" w:hAnsi="Thorndale" w:cs="Tahoma"/>
                          <w:color w:val="000000"/>
                          <w:szCs w:val="24"/>
                          <w:lang w:bidi="en-US"/>
                        </w:rPr>
                        <w:t>8</w:t>
                      </w:r>
                    </w:sdtContent>
                  </w:sdt>
                  <w:r>
                    <w:rPr>
                      <w:rFonts w:ascii="Thorndale" w:eastAsia="Andale Sans UI" w:hAnsi="Thorndale" w:cs="Tahoma"/>
                      <w:color w:val="000000"/>
                      <w:szCs w:val="24"/>
                      <w:lang w:bidi="en-US"/>
                    </w:rPr>
                    <w:t>. Patikrinimą atlieka AAD direktoriaus įsakymu įgalioti asmenys.</w:t>
                  </w:r>
                </w:p>
              </w:sdtContent>
            </w:sdt>
            <w:sdt>
              <w:sdtPr>
                <w:alias w:val="9 p."/>
                <w:tag w:val="part_aaca22dda2b4482483f56aa068e9ede7"/>
                <w:lock w:val="sdtLocked"/>
                <w:richText/>
              </w:sdtPr>
              <w:sdtContent>
                <w:p>
                  <w:pPr>
                    <w:widowControl w:val="0"/>
                    <w:suppressAutoHyphens/>
                    <w:ind w:firstLine="567"/>
                    <w:jc w:val="both"/>
                    <w:rPr>
                      <w:rFonts w:ascii="Thorndale" w:eastAsia="Andale Sans UI" w:hAnsi="Thorndale" w:cs="Tahoma"/>
                      <w:color w:val="000000"/>
                      <w:szCs w:val="24"/>
                      <w:lang w:bidi="en-US"/>
                    </w:rPr>
                  </w:pPr>
                  <w:sdt>
                    <w:sdtPr>
                      <w:alias w:val="Numeris"/>
                      <w:tag w:val="nr_aaca22dda2b4482483f56aa068e9ede7"/>
                      <w:lock w:val="sdtLocked"/>
                      <w:richText/>
                    </w:sdtPr>
                    <w:sdtContent>
                      <w:r>
                        <w:rPr>
                          <w:rFonts w:ascii="Thorndale" w:eastAsia="Andale Sans UI" w:hAnsi="Thorndale" w:cs="Tahoma"/>
                          <w:color w:val="000000"/>
                          <w:szCs w:val="24"/>
                          <w:lang w:bidi="en-US"/>
                        </w:rPr>
                        <w:t>9</w:t>
                      </w:r>
                    </w:sdtContent>
                  </w:sdt>
                  <w:r>
                    <w:rPr>
                      <w:rFonts w:ascii="Thorndale" w:eastAsia="Andale Sans UI" w:hAnsi="Thorndale" w:cs="Tahoma"/>
                      <w:color w:val="000000"/>
                      <w:szCs w:val="24"/>
                      <w:lang w:bidi="en-US"/>
                    </w:rPr>
                    <w:t>. Patikrinime turi teisę dalyvauti savivaldybės administracijos direktoriaus įsakymu paskirti asmenys, atsakingi už Programos koordinavimą.</w:t>
                  </w:r>
                </w:p>
              </w:sdtContent>
            </w:sdt>
            <w:sdt>
              <w:sdtPr>
                <w:alias w:val="10 p."/>
                <w:tag w:val="part_c2dcfbf5ef8644dcaed62163145db1c7"/>
                <w:lock w:val="sdtLocked"/>
                <w:richText/>
              </w:sdtPr>
              <w:sdtContent>
                <w:p>
                  <w:pPr>
                    <w:widowControl w:val="0"/>
                    <w:suppressAutoHyphens/>
                    <w:ind w:firstLine="567"/>
                    <w:jc w:val="both"/>
                    <w:rPr>
                      <w:rFonts w:ascii="Thorndale" w:eastAsia="Andale Sans UI" w:hAnsi="Thorndale" w:cs="Tahoma"/>
                      <w:color w:val="000000"/>
                      <w:spacing w:val="-2"/>
                      <w:szCs w:val="24"/>
                      <w:lang w:bidi="en-US"/>
                    </w:rPr>
                  </w:pPr>
                  <w:sdt>
                    <w:sdtPr>
                      <w:alias w:val="Numeris"/>
                      <w:tag w:val="nr_c2dcfbf5ef8644dcaed62163145db1c7"/>
                      <w:lock w:val="sdtLocked"/>
                      <w:richText/>
                    </w:sdtPr>
                    <w:sdtContent>
                      <w:r>
                        <w:rPr>
                          <w:rFonts w:ascii="Thorndale" w:eastAsia="Andale Sans UI" w:hAnsi="Thorndale" w:cs="Tahoma"/>
                          <w:color w:val="000000"/>
                          <w:spacing w:val="-2"/>
                          <w:szCs w:val="24"/>
                          <w:lang w:bidi="en-US"/>
                        </w:rPr>
                        <w:t>10</w:t>
                      </w:r>
                    </w:sdtContent>
                  </w:sdt>
                  <w:r>
                    <w:rPr>
                      <w:rFonts w:ascii="Thorndale" w:eastAsia="Andale Sans UI" w:hAnsi="Thorndale" w:cs="Tahoma"/>
                      <w:color w:val="000000"/>
                      <w:spacing w:val="-2"/>
                      <w:szCs w:val="24"/>
                      <w:lang w:bidi="en-US"/>
                    </w:rPr>
                    <w:t>. Tikrinantys asmenys patikrinimo metu susipažįsta su buhalterinės apskaitos dokumentacija, susijusia su Programos lėšomis (mokėjimo pavedimai, sutartys, darbų atlikimo aktai ir kiti dokumentai), prireikus apžiūri aplinkosaugos objektus vietoje.</w:t>
                  </w:r>
                </w:p>
              </w:sdtContent>
            </w:sdt>
            <w:sdt>
              <w:sdtPr>
                <w:alias w:val="11 p."/>
                <w:tag w:val="part_b5632cdd808849a695416220a32aea49"/>
                <w:lock w:val="sdtLocked"/>
                <w:richText/>
              </w:sdtPr>
              <w:sdtContent>
                <w:p>
                  <w:pPr>
                    <w:widowControl w:val="0"/>
                    <w:suppressAutoHyphens/>
                    <w:ind w:firstLine="567"/>
                    <w:jc w:val="both"/>
                    <w:rPr>
                      <w:rFonts w:ascii="Thorndale" w:eastAsia="Andale Sans UI" w:hAnsi="Thorndale" w:cs="Tahoma"/>
                      <w:color w:val="000000"/>
                      <w:szCs w:val="24"/>
                      <w:lang w:bidi="en-US"/>
                    </w:rPr>
                  </w:pPr>
                  <w:sdt>
                    <w:sdtPr>
                      <w:alias w:val="Numeris"/>
                      <w:tag w:val="nr_b5632cdd808849a695416220a32aea49"/>
                      <w:lock w:val="sdtLocked"/>
                      <w:richText/>
                    </w:sdtPr>
                    <w:sdtContent>
                      <w:r>
                        <w:rPr>
                          <w:rFonts w:ascii="Thorndale" w:eastAsia="Andale Sans UI" w:hAnsi="Thorndale" w:cs="Tahoma"/>
                          <w:color w:val="000000"/>
                          <w:szCs w:val="24"/>
                          <w:lang w:bidi="en-US"/>
                        </w:rPr>
                        <w:t>11</w:t>
                      </w:r>
                    </w:sdtContent>
                  </w:sdt>
                  <w:r>
                    <w:rPr>
                      <w:rFonts w:ascii="Thorndale" w:eastAsia="Andale Sans UI" w:hAnsi="Thorndale" w:cs="Tahoma"/>
                      <w:color w:val="000000"/>
                      <w:szCs w:val="24"/>
                      <w:lang w:bidi="en-US"/>
                    </w:rPr>
                    <w:t>. Patikrinimo rezultatai įforminami Programos priemonių vykdymo patikrinimo aktu (toliau – Patikrinimo aktas) pagal šio Tvarkos aprašo priede pateiktą patikrinimo akto formą. Patikrinimo akto lentelė, jei nustatomas pažeidimas (-ai), užpildoma taip: 1 stulpelyje nurodomas eilės numeris; 2 stulpelyje nurodomas priemonės, kurios įgyvendinimui nebuvo galima naudoti Programos lėšų ar kurią įgyvendinant buvo padaryti kiti pažeidimai, pavadinimas; 3 stulpelyje aprašoma pažeidimo esmė; 4 stulpelyje nurodomas teisės aktas, kuris buvo pažeistas įgyvendinant priemonę (pavadinimas, straipsnis, jo dalis ir punktas); 5 stulpelyje nurodoma netinkamai panaudotų lėšų suma. Patikrinimo akte taip pat nurodoma AAD siūloma išieškoti lėšų suma ir įmokos kodas, kuriuo pervedamos lėšos Valstybinei mokesčių inspekcijai (toliau – VMI). Šio Tvarkos aprašo tvirtinimo metu lėšos pervedamos įmokos kodu 5440.</w:t>
                  </w:r>
                </w:p>
              </w:sdtContent>
            </w:sdt>
            <w:sdt>
              <w:sdtPr>
                <w:alias w:val="12 p."/>
                <w:tag w:val="part_525d7cb03ea7478cb328e6e647431753"/>
                <w:lock w:val="sdtLocked"/>
                <w:richText/>
              </w:sdtPr>
              <w:sdtContent>
                <w:p>
                  <w:pPr>
                    <w:widowControl w:val="0"/>
                    <w:suppressAutoHyphens/>
                    <w:ind w:firstLine="567"/>
                    <w:jc w:val="both"/>
                    <w:rPr>
                      <w:rFonts w:ascii="Thorndale" w:eastAsia="Andale Sans UI" w:hAnsi="Thorndale" w:cs="Tahoma"/>
                      <w:color w:val="000000"/>
                      <w:szCs w:val="24"/>
                      <w:lang w:bidi="en-US"/>
                    </w:rPr>
                  </w:pPr>
                  <w:sdt>
                    <w:sdtPr>
                      <w:alias w:val="Numeris"/>
                      <w:tag w:val="nr_525d7cb03ea7478cb328e6e647431753"/>
                      <w:lock w:val="sdtLocked"/>
                      <w:richText/>
                    </w:sdtPr>
                    <w:sdtContent>
                      <w:r>
                        <w:rPr>
                          <w:rFonts w:ascii="Thorndale" w:eastAsia="Andale Sans UI" w:hAnsi="Thorndale" w:cs="Tahoma"/>
                          <w:color w:val="000000"/>
                          <w:szCs w:val="24"/>
                          <w:lang w:bidi="en-US"/>
                        </w:rPr>
                        <w:t>12</w:t>
                      </w:r>
                    </w:sdtContent>
                  </w:sdt>
                  <w:r>
                    <w:rPr>
                      <w:rFonts w:ascii="Thorndale" w:eastAsia="Andale Sans UI" w:hAnsi="Thorndale" w:cs="Tahoma"/>
                      <w:color w:val="000000"/>
                      <w:szCs w:val="24"/>
                      <w:lang w:bidi="en-US"/>
                    </w:rPr>
                    <w:t>. Jei atlikus patikrinimą nenustatoma jokių pažeidimų, tai nurodoma po Patikrinimo akto lentele, įrašant žodžius „Pažeidimų nenustatyta“. Šiuo atveju lentelė nepildoma.</w:t>
                  </w:r>
                </w:p>
              </w:sdtContent>
            </w:sdt>
            <w:sdt>
              <w:sdtPr>
                <w:alias w:val="13 p."/>
                <w:tag w:val="part_c6d36377a8ec4ff38aad728bd3ddc904"/>
                <w:lock w:val="sdtLocked"/>
                <w:richText/>
              </w:sdtPr>
              <w:sdtContent>
                <w:p>
                  <w:pPr>
                    <w:widowControl w:val="0"/>
                    <w:suppressAutoHyphens/>
                    <w:ind w:firstLine="567"/>
                    <w:jc w:val="both"/>
                    <w:rPr>
                      <w:rFonts w:ascii="Thorndale" w:eastAsia="Andale Sans UI" w:hAnsi="Thorndale" w:cs="Tahoma"/>
                      <w:color w:val="000000"/>
                      <w:szCs w:val="24"/>
                      <w:lang w:bidi="en-US"/>
                    </w:rPr>
                  </w:pPr>
                  <w:sdt>
                    <w:sdtPr>
                      <w:alias w:val="Numeris"/>
                      <w:tag w:val="nr_c6d36377a8ec4ff38aad728bd3ddc904"/>
                      <w:lock w:val="sdtLocked"/>
                      <w:richText/>
                    </w:sdtPr>
                    <w:sdtContent>
                      <w:r>
                        <w:rPr>
                          <w:rFonts w:ascii="Thorndale" w:eastAsia="Andale Sans UI" w:hAnsi="Thorndale" w:cs="Tahoma"/>
                          <w:color w:val="000000"/>
                          <w:szCs w:val="24"/>
                          <w:lang w:bidi="en-US"/>
                        </w:rPr>
                        <w:t>13</w:t>
                      </w:r>
                    </w:sdtContent>
                  </w:sdt>
                  <w:r>
                    <w:rPr>
                      <w:rFonts w:ascii="Thorndale" w:eastAsia="Andale Sans UI" w:hAnsi="Thorndale" w:cs="Tahoma"/>
                      <w:color w:val="000000"/>
                      <w:szCs w:val="24"/>
                      <w:lang w:bidi="en-US"/>
                    </w:rPr>
                    <w:t>. Patikrinimo aktą pasirašo patikrinimą atlikę bei patikrinime dalyvavę asmenys. Su patikrinimo aktu supažindinamas savivaldybės administracijos direktorius, kuris parašu patvirtina, kad susipažino.</w:t>
                  </w:r>
                </w:p>
              </w:sdtContent>
            </w:sdt>
            <w:sdt>
              <w:sdtPr>
                <w:alias w:val="14 p."/>
                <w:tag w:val="part_053759bc1e0842609c669ca4ee2d777d"/>
                <w:lock w:val="sdtLocked"/>
                <w:richText/>
              </w:sdtPr>
              <w:sdtContent>
                <w:p>
                  <w:pPr>
                    <w:widowControl w:val="0"/>
                    <w:suppressAutoHyphens/>
                    <w:ind w:firstLine="567"/>
                    <w:jc w:val="both"/>
                    <w:rPr>
                      <w:rFonts w:ascii="Thorndale" w:eastAsia="Andale Sans UI" w:hAnsi="Thorndale" w:cs="Tahoma"/>
                      <w:color w:val="000000"/>
                      <w:spacing w:val="-2"/>
                      <w:szCs w:val="24"/>
                      <w:lang w:bidi="en-US"/>
                    </w:rPr>
                  </w:pPr>
                  <w:sdt>
                    <w:sdtPr>
                      <w:alias w:val="Numeris"/>
                      <w:tag w:val="nr_053759bc1e0842609c669ca4ee2d777d"/>
                      <w:lock w:val="sdtLocked"/>
                      <w:richText/>
                    </w:sdtPr>
                    <w:sdtContent>
                      <w:r>
                        <w:rPr>
                          <w:rFonts w:ascii="Thorndale" w:eastAsia="Andale Sans UI" w:hAnsi="Thorndale" w:cs="Tahoma"/>
                          <w:color w:val="000000"/>
                          <w:spacing w:val="-2"/>
                          <w:szCs w:val="24"/>
                          <w:lang w:bidi="en-US"/>
                        </w:rPr>
                        <w:t>14</w:t>
                      </w:r>
                    </w:sdtContent>
                  </w:sdt>
                  <w:r>
                    <w:rPr>
                      <w:rFonts w:ascii="Thorndale" w:eastAsia="Andale Sans UI" w:hAnsi="Thorndale" w:cs="Tahoma"/>
                      <w:color w:val="000000"/>
                      <w:spacing w:val="-2"/>
                      <w:szCs w:val="24"/>
                      <w:lang w:bidi="en-US"/>
                    </w:rPr>
                    <w:t>. Tais atvejais, kai patikrinime dalyvavę asmenys atsisako pasirašyti Patikrinimo aktą, atsisakymas fiksuojamas patikrinimo akte žodžiais „atsisakė pasirašyti“ ir tai patvirtinama dviejų kviestų AAD ir (ar) savivaldybės atstovų parašais. Jei aktą atsisako pasirašyti savivaldybės administracijos direktorius, atsisakymas fiksuojamas Patikrinimo akte ta pačia tvarka.</w:t>
                  </w:r>
                </w:p>
              </w:sdtContent>
            </w:sdt>
            <w:sdt>
              <w:sdtPr>
                <w:alias w:val="15 p."/>
                <w:tag w:val="part_794193747e6d401bbd973d751648aecb"/>
                <w:lock w:val="sdtLocked"/>
                <w:richText/>
              </w:sdtPr>
              <w:sdtContent>
                <w:p>
                  <w:pPr>
                    <w:widowControl w:val="0"/>
                    <w:suppressAutoHyphens/>
                    <w:ind w:firstLine="567"/>
                    <w:jc w:val="both"/>
                    <w:rPr>
                      <w:rFonts w:ascii="Thorndale" w:eastAsia="Andale Sans UI" w:hAnsi="Thorndale" w:cs="Tahoma"/>
                      <w:color w:val="000000"/>
                      <w:szCs w:val="24"/>
                      <w:lang w:bidi="en-US"/>
                    </w:rPr>
                  </w:pPr>
                  <w:sdt>
                    <w:sdtPr>
                      <w:alias w:val="Numeris"/>
                      <w:tag w:val="nr_794193747e6d401bbd973d751648aecb"/>
                      <w:lock w:val="sdtLocked"/>
                      <w:richText/>
                    </w:sdtPr>
                    <w:sdtContent>
                      <w:r>
                        <w:rPr>
                          <w:rFonts w:ascii="Thorndale" w:eastAsia="Andale Sans UI" w:hAnsi="Thorndale" w:cs="Tahoma"/>
                          <w:color w:val="000000"/>
                          <w:szCs w:val="24"/>
                          <w:lang w:bidi="en-US"/>
                        </w:rPr>
                        <w:t>15</w:t>
                      </w:r>
                    </w:sdtContent>
                  </w:sdt>
                  <w:r>
                    <w:rPr>
                      <w:rFonts w:ascii="Thorndale" w:eastAsia="Andale Sans UI" w:hAnsi="Thorndale" w:cs="Tahoma"/>
                      <w:color w:val="000000"/>
                      <w:szCs w:val="24"/>
                      <w:lang w:bidi="en-US"/>
                    </w:rPr>
                    <w:t>. Patikrinimo akto originalas saugomas AAD, o jo kopija per 10 darbo dienų nuo akto pasirašymo dienos pateikiama atitinkamai savivaldybei ir Aplinkos ministerijai.</w:t>
                  </w:r>
                </w:p>
              </w:sdtContent>
            </w:sdt>
            <w:sdt>
              <w:sdtPr>
                <w:alias w:val="16 p."/>
                <w:tag w:val="part_c2449f5dd05e4e41b8aeb4aa33844623"/>
                <w:lock w:val="sdtLocked"/>
                <w:richText/>
              </w:sdtPr>
              <w:sdtContent>
                <w:p>
                  <w:pPr>
                    <w:widowControl w:val="0"/>
                    <w:suppressAutoHyphens/>
                    <w:ind w:firstLine="567"/>
                    <w:jc w:val="both"/>
                    <w:rPr>
                      <w:rFonts w:ascii="Thorndale" w:eastAsia="Andale Sans UI" w:hAnsi="Thorndale" w:cs="Tahoma"/>
                      <w:color w:val="000000"/>
                      <w:szCs w:val="24"/>
                      <w:lang w:bidi="en-US"/>
                    </w:rPr>
                  </w:pPr>
                  <w:sdt>
                    <w:sdtPr>
                      <w:alias w:val="Numeris"/>
                      <w:tag w:val="nr_c2449f5dd05e4e41b8aeb4aa33844623"/>
                      <w:lock w:val="sdtLocked"/>
                      <w:richText/>
                    </w:sdtPr>
                    <w:sdtContent>
                      <w:r>
                        <w:rPr>
                          <w:rFonts w:ascii="Thorndale" w:eastAsia="Andale Sans UI" w:hAnsi="Thorndale" w:cs="Tahoma"/>
                          <w:color w:val="000000"/>
                          <w:szCs w:val="24"/>
                          <w:lang w:bidi="en-US"/>
                        </w:rPr>
                        <w:t>16</w:t>
                      </w:r>
                    </w:sdtContent>
                  </w:sdt>
                  <w:r>
                    <w:rPr>
                      <w:rFonts w:ascii="Thorndale" w:eastAsia="Andale Sans UI" w:hAnsi="Thorndale" w:cs="Tahoma"/>
                      <w:color w:val="000000"/>
                      <w:szCs w:val="24"/>
                      <w:lang w:bidi="en-US"/>
                    </w:rPr>
                    <w:t>. Aplinkos ministerija, gavusi Patikrinimo akto kopiją, kreipiasi į VMI dėl Programos lėšų, panaudotų pažeidžiant Lietuvos Respublikos savivaldybių aplinkos apsaugos rėmimo specialiosios programos įstatymo ir kitų teisės aktų, reglamentuojančių Programos lėšų panaudojimą, nuostatas, išieškojimo.</w:t>
                  </w:r>
                </w:p>
              </w:sdtContent>
            </w:sdt>
            <w:sdt>
              <w:sdtPr>
                <w:alias w:val="17 p."/>
                <w:tag w:val="part_2740c69d5a8343fe8186b960e0242286"/>
                <w:lock w:val="sdtLocked"/>
                <w:richText/>
              </w:sdtPr>
              <w:sdtContent>
                <w:p>
                  <w:pPr>
                    <w:widowControl w:val="0"/>
                    <w:suppressAutoHyphens/>
                    <w:ind w:firstLine="567"/>
                    <w:jc w:val="both"/>
                    <w:rPr>
                      <w:rFonts w:ascii="Thorndale" w:eastAsia="Andale Sans UI" w:hAnsi="Thorndale" w:cs="Tahoma"/>
                      <w:color w:val="000000"/>
                      <w:szCs w:val="24"/>
                      <w:lang w:bidi="en-US"/>
                    </w:rPr>
                  </w:pPr>
                  <w:sdt>
                    <w:sdtPr>
                      <w:alias w:val="Numeris"/>
                      <w:tag w:val="nr_2740c69d5a8343fe8186b960e0242286"/>
                      <w:lock w:val="sdtLocked"/>
                      <w:richText/>
                    </w:sdtPr>
                    <w:sdtContent>
                      <w:r>
                        <w:rPr>
                          <w:rFonts w:ascii="Thorndale" w:eastAsia="Andale Sans UI" w:hAnsi="Thorndale" w:cs="Tahoma"/>
                          <w:color w:val="000000"/>
                          <w:szCs w:val="24"/>
                          <w:lang w:bidi="en-US"/>
                        </w:rPr>
                        <w:t>17</w:t>
                      </w:r>
                    </w:sdtContent>
                  </w:sdt>
                  <w:r>
                    <w:rPr>
                      <w:rFonts w:ascii="Thorndale" w:eastAsia="Andale Sans UI" w:hAnsi="Thorndale" w:cs="Tahoma"/>
                      <w:color w:val="000000"/>
                      <w:szCs w:val="24"/>
                      <w:lang w:bidi="en-US"/>
                    </w:rPr>
                    <w:t>. Aplinkos ministerija, kreipdamasi į VMI dėl lėšų išieškojimo, nurodo patikrinimo akto numerį ir datą, savivaldybės, iš kurios išieškomos lėšos, pavadinimą, Lietuvos Respublikos savivaldybių aplinkos apsaugos rėmimo specialiosios programos įstatymo straipsnį (-ius), kuriuo (-iais) vadovaudamasi teikia išieškoti lėšas, teikiamą išieškoti lėšų sumą, įmokos kodą, programos pavadinimą, kur turi būti pervedamos išieškomos lėšos, ir prašymą informuoti Aplinkos ministeriją apie išieškotas lėšas pagal pateiktą teikimą.</w:t>
                  </w:r>
                </w:p>
                <w:p>
                  <w:pPr>
                    <w:widowControl w:val="0"/>
                    <w:suppressAutoHyphens/>
                    <w:ind w:firstLine="567"/>
                    <w:jc w:val="both"/>
                    <w:rPr>
                      <w:rFonts w:ascii="Thorndale" w:eastAsia="Andale Sans UI" w:hAnsi="Thorndale" w:cs="Tahoma"/>
                      <w:color w:val="000000"/>
                      <w:szCs w:val="24"/>
                      <w:lang w:bidi="en-US"/>
                    </w:rPr>
                  </w:pPr>
                </w:p>
              </w:sdtContent>
            </w:sdt>
          </w:sdtContent>
        </w:sdt>
        <w:sdt>
          <w:sdtPr>
            <w:alias w:val="skyrius"/>
            <w:tag w:val="part_1d28e464bd734a598c87fb4995ad6f20"/>
            <w:lock w:val="sdtLocked"/>
            <w:richText/>
          </w:sdtPr>
          <w:sdtContent>
            <w:p>
              <w:pPr>
                <w:keepLines/>
                <w:widowControl w:val="0"/>
                <w:suppressAutoHyphens/>
                <w:jc w:val="center"/>
                <w:rPr>
                  <w:rFonts w:ascii="Thorndale" w:eastAsia="Andale Sans UI" w:hAnsi="Thorndale" w:cs="Tahoma"/>
                  <w:b/>
                  <w:bCs/>
                  <w:caps/>
                  <w:color w:val="000000"/>
                  <w:szCs w:val="24"/>
                  <w:lang w:bidi="en-US"/>
                </w:rPr>
              </w:pPr>
              <w:sdt>
                <w:sdtPr>
                  <w:alias w:val="Numeris"/>
                  <w:tag w:val="nr_1d28e464bd734a598c87fb4995ad6f20"/>
                  <w:lock w:val="sdtLocked"/>
                  <w:richText/>
                </w:sdtPr>
                <w:sdtContent>
                  <w:r>
                    <w:rPr>
                      <w:rFonts w:ascii="Thorndale" w:eastAsia="Andale Sans UI" w:hAnsi="Thorndale" w:cs="Tahoma"/>
                      <w:b/>
                      <w:bCs/>
                      <w:caps/>
                      <w:color w:val="000000"/>
                      <w:szCs w:val="24"/>
                      <w:lang w:bidi="en-US"/>
                    </w:rPr>
                    <w:t>III</w:t>
                  </w:r>
                </w:sdtContent>
              </w:sdt>
              <w:r>
                <w:rPr>
                  <w:rFonts w:ascii="Thorndale" w:eastAsia="Andale Sans UI" w:hAnsi="Thorndale" w:cs="Tahoma"/>
                  <w:b/>
                  <w:bCs/>
                  <w:caps/>
                  <w:color w:val="000000"/>
                  <w:szCs w:val="24"/>
                  <w:lang w:bidi="en-US"/>
                </w:rPr>
                <w:t xml:space="preserve">. </w:t>
              </w:r>
              <w:sdt>
                <w:sdtPr>
                  <w:alias w:val="Pavadinimas"/>
                  <w:tag w:val="title_1d28e464bd734a598c87fb4995ad6f20"/>
                  <w:lock w:val="sdtLocked"/>
                  <w:richText/>
                </w:sdtPr>
                <w:sdtContent>
                  <w:r>
                    <w:rPr>
                      <w:rFonts w:ascii="Thorndale" w:eastAsia="Andale Sans UI" w:hAnsi="Thorndale" w:cs="Tahoma"/>
                      <w:b/>
                      <w:bCs/>
                      <w:caps/>
                      <w:color w:val="000000"/>
                      <w:szCs w:val="24"/>
                      <w:lang w:bidi="en-US"/>
                    </w:rPr>
                    <w:t>BAIGIAMOSIOS NUOSTATOS</w:t>
                  </w:r>
                </w:sdtContent>
              </w:sdt>
            </w:p>
            <w:p>
              <w:pPr>
                <w:widowControl w:val="0"/>
                <w:suppressAutoHyphens/>
                <w:ind w:firstLine="567"/>
                <w:jc w:val="both"/>
                <w:rPr>
                  <w:rFonts w:ascii="Thorndale" w:eastAsia="Andale Sans UI" w:hAnsi="Thorndale" w:cs="Tahoma"/>
                  <w:color w:val="000000"/>
                  <w:szCs w:val="24"/>
                  <w:lang w:bidi="en-US"/>
                </w:rPr>
              </w:pPr>
            </w:p>
            <w:sdt>
              <w:sdtPr>
                <w:alias w:val="18 p."/>
                <w:tag w:val="part_91a85dd396de44d78e883ec7720a7451"/>
                <w:lock w:val="sdtLocked"/>
                <w:richText/>
              </w:sdtPr>
              <w:sdtContent>
                <w:p>
                  <w:pPr>
                    <w:widowControl w:val="0"/>
                    <w:suppressAutoHyphens/>
                    <w:ind w:firstLine="567"/>
                    <w:jc w:val="both"/>
                    <w:rPr>
                      <w:rFonts w:ascii="Thorndale" w:eastAsia="Andale Sans UI" w:hAnsi="Thorndale" w:cs="Tahoma"/>
                      <w:color w:val="000000"/>
                      <w:szCs w:val="24"/>
                      <w:lang w:bidi="en-US"/>
                    </w:rPr>
                  </w:pPr>
                  <w:sdt>
                    <w:sdtPr>
                      <w:alias w:val="Numeris"/>
                      <w:tag w:val="nr_91a85dd396de44d78e883ec7720a7451"/>
                      <w:lock w:val="sdtLocked"/>
                      <w:richText/>
                    </w:sdtPr>
                    <w:sdtContent>
                      <w:r>
                        <w:rPr>
                          <w:rFonts w:ascii="Thorndale" w:eastAsia="Andale Sans UI" w:hAnsi="Thorndale" w:cs="Tahoma"/>
                          <w:color w:val="000000"/>
                          <w:szCs w:val="24"/>
                          <w:lang w:bidi="en-US"/>
                        </w:rPr>
                        <w:t>18</w:t>
                      </w:r>
                    </w:sdtContent>
                  </w:sdt>
                  <w:r>
                    <w:rPr>
                      <w:rFonts w:ascii="Thorndale" w:eastAsia="Andale Sans UI" w:hAnsi="Thorndale" w:cs="Tahoma"/>
                      <w:color w:val="000000"/>
                      <w:szCs w:val="24"/>
                      <w:lang w:bidi="en-US"/>
                    </w:rPr>
                    <w:t>. Ginčai, kylantys dėl šio Tvarkos aprašo pažeidimų, sprendžiami Lietuvos Respublikos įstatymų nustatyta tvarka.</w:t>
                  </w:r>
                </w:p>
              </w:sdtContent>
            </w:sdt>
            <w:sdt>
              <w:sdtPr>
                <w:alias w:val="19 p."/>
                <w:tag w:val="part_db00635493ad49f8bb9ac9cf4e78155e"/>
                <w:lock w:val="sdtLocked"/>
                <w:richText/>
              </w:sdtPr>
              <w:sdtContent>
                <w:p>
                  <w:pPr>
                    <w:widowControl w:val="0"/>
                    <w:suppressAutoHyphens/>
                    <w:ind w:firstLine="567"/>
                    <w:jc w:val="both"/>
                    <w:rPr>
                      <w:rFonts w:ascii="Thorndale" w:eastAsia="Andale Sans UI" w:hAnsi="Thorndale" w:cs="Tahoma"/>
                      <w:color w:val="000000"/>
                      <w:szCs w:val="24"/>
                      <w:lang w:bidi="en-US"/>
                    </w:rPr>
                  </w:pPr>
                  <w:sdt>
                    <w:sdtPr>
                      <w:alias w:val="Numeris"/>
                      <w:tag w:val="nr_db00635493ad49f8bb9ac9cf4e78155e"/>
                      <w:lock w:val="sdtLocked"/>
                      <w:richText/>
                    </w:sdtPr>
                    <w:sdtContent>
                      <w:r>
                        <w:rPr>
                          <w:rFonts w:ascii="Thorndale" w:eastAsia="Andale Sans UI" w:hAnsi="Thorndale" w:cs="Tahoma"/>
                          <w:color w:val="000000"/>
                          <w:szCs w:val="24"/>
                          <w:lang w:bidi="en-US"/>
                        </w:rPr>
                        <w:t>19</w:t>
                      </w:r>
                    </w:sdtContent>
                  </w:sdt>
                  <w:r>
                    <w:rPr>
                      <w:rFonts w:ascii="Thorndale" w:eastAsia="Andale Sans UI" w:hAnsi="Thorndale" w:cs="Tahoma"/>
                      <w:color w:val="000000"/>
                      <w:szCs w:val="24"/>
                      <w:lang w:bidi="en-US"/>
                    </w:rPr>
                    <w:t>. Pasikeitus šiame Tvarkos apraše nurodytiems teisės aktams, tiesiogiai taikomos naujos tų teisės aktų nuostatos.</w:t>
                  </w:r>
                </w:p>
                <w:p>
                  <w:pPr>
                    <w:widowControl w:val="0"/>
                    <w:suppressAutoHyphens/>
                    <w:jc w:val="both"/>
                    <w:rPr>
                      <w:rFonts w:ascii="Thorndale" w:eastAsia="Andale Sans UI" w:hAnsi="Thorndale" w:cs="Tahoma"/>
                      <w:color w:val="000000"/>
                      <w:szCs w:val="24"/>
                      <w:lang w:bidi="en-US"/>
                    </w:rPr>
                  </w:pPr>
                </w:p>
              </w:sdtContent>
            </w:sdt>
          </w:sdtContent>
        </w:sdt>
        <w:sdt>
          <w:sdtPr>
            <w:alias w:val="pabaiga"/>
            <w:tag w:val="part_c6857febe9ae41afad934bf6a22194ed"/>
            <w:lock w:val="sdtLocked"/>
            <w:richText/>
          </w:sdtPr>
          <w:sdtContent>
            <w:p>
              <w:pPr>
                <w:widowControl w:val="0"/>
                <w:suppressAutoHyphens/>
                <w:jc w:val="center"/>
              </w:pPr>
              <w:r>
                <w:rPr>
                  <w:rFonts w:ascii="Thorndale" w:eastAsia="Andale Sans UI" w:hAnsi="Thorndale" w:cs="Tahoma"/>
                  <w:color w:val="000000"/>
                  <w:szCs w:val="24"/>
                  <w:lang w:bidi="en-US"/>
                </w:rPr>
                <w:t>_________________</w:t>
              </w:r>
            </w:p>
          </w:sdtContent>
        </w:sdt>
      </w:sdtContent>
    </w:sdt>
    <w:sdt>
      <w:sdtPr>
        <w:alias w:val="pr."/>
        <w:tag w:val="part_9d4c07fd7d354e10826cec27b47ec620"/>
        <w:lock w:val="sdtLocked"/>
        <w:richText/>
      </w:sdtPr>
      <w:sdtContent>
        <w:p>
          <w:pPr>
            <w:widowControl w:val="0"/>
            <w:tabs>
              <w:tab w:val="left" w:pos="12333"/>
            </w:tabs>
            <w:suppressAutoHyphens/>
            <w:sectPr>
              <w:footnotePr>
                <w:pos w:val="beneathText"/>
              </w:footnotePr>
              <w:pgSz w:w="11905" w:h="16837"/>
              <w:pgMar w:top="1701" w:right="567" w:bottom="1134" w:left="1701" w:header="567" w:footer="567" w:gutter="0"/>
              <w:pgNumType w:start="1"/>
              <w:cols w:space="1296"/>
              <w:titlePg/>
              <w:docGrid w:linePitch="360"/>
            </w:sectPr>
          </w:pPr>
        </w:p>
        <w:p>
          <w:pPr>
            <w:widowControl w:val="0"/>
            <w:tabs>
              <w:tab w:val="left" w:pos="12333"/>
            </w:tabs>
            <w:suppressAutoHyphens/>
            <w:ind w:left="4535"/>
            <w:rPr>
              <w:rFonts w:ascii="Thorndale" w:eastAsia="Andale Sans UI" w:hAnsi="Thorndale" w:cs="Tahoma"/>
              <w:szCs w:val="24"/>
              <w:lang w:bidi="en-US"/>
            </w:rPr>
          </w:pPr>
          <w:r>
            <w:rPr>
              <w:rFonts w:ascii="Thorndale" w:eastAsia="Andale Sans UI" w:hAnsi="Thorndale" w:cs="Tahoma"/>
              <w:szCs w:val="24"/>
              <w:lang w:bidi="en-US"/>
            </w:rPr>
            <w:t>Savivaldybių aplinkos apsaugos rėmimo specialiosios programos priemonių vykdymo patikrinimo tvarkos aprašo</w:t>
          </w:r>
        </w:p>
        <w:p>
          <w:pPr>
            <w:widowControl w:val="0"/>
            <w:tabs>
              <w:tab w:val="left" w:pos="12333"/>
            </w:tabs>
            <w:ind w:left="4535"/>
            <w:rPr>
              <w:rFonts w:ascii="Thorndale" w:eastAsia="Andale Sans UI" w:hAnsi="Thorndale" w:cs="Tahoma"/>
              <w:szCs w:val="24"/>
              <w:lang w:bidi="en-US"/>
            </w:rPr>
          </w:pPr>
          <w:r>
            <w:rPr>
              <w:rFonts w:ascii="Thorndale" w:eastAsia="Andale Sans UI" w:hAnsi="Thorndale" w:cs="Tahoma"/>
              <w:szCs w:val="24"/>
              <w:lang w:bidi="en-US"/>
            </w:rPr>
            <w:t>priedas</w:t>
          </w:r>
        </w:p>
        <w:p>
          <w:pPr>
            <w:widowControl w:val="0"/>
            <w:tabs>
              <w:tab w:val="left" w:pos="12333"/>
            </w:tabs>
            <w:rPr>
              <w:rFonts w:ascii="Thorndale" w:eastAsia="Andale Sans UI" w:hAnsi="Thorndale" w:cs="Tahoma"/>
              <w:szCs w:val="24"/>
              <w:lang w:bidi="en-US"/>
            </w:rPr>
          </w:pPr>
        </w:p>
        <w:p>
          <w:pPr>
            <w:widowControl w:val="0"/>
            <w:tabs>
              <w:tab w:val="left" w:pos="12333"/>
            </w:tabs>
            <w:rPr>
              <w:rFonts w:ascii="Thorndale" w:eastAsia="Andale Sans UI" w:hAnsi="Thorndale" w:cs="Tahoma"/>
              <w:szCs w:val="24"/>
              <w:lang w:bidi="en-US"/>
            </w:rPr>
          </w:pPr>
          <w:r>
            <w:rPr>
              <w:rFonts w:ascii="Thorndale" w:eastAsia="Andale Sans UI" w:hAnsi="Thorndale" w:cs="Tahoma"/>
              <w:szCs w:val="24"/>
              <w:lang w:bidi="en-US"/>
            </w:rPr>
            <w:t>LIETUVOS RESPUBLIKOS APLINKOS MINISTERIJOS</w:t>
          </w:r>
        </w:p>
        <w:p>
          <w:pPr>
            <w:widowControl w:val="0"/>
            <w:tabs>
              <w:tab w:val="left" w:pos="1418"/>
            </w:tabs>
            <w:rPr>
              <w:rFonts w:ascii="Thorndale" w:eastAsia="Andale Sans UI" w:hAnsi="Thorndale" w:cs="Tahoma"/>
              <w:szCs w:val="24"/>
              <w:lang w:bidi="en-US"/>
            </w:rPr>
          </w:pPr>
          <w:r>
            <w:rPr>
              <w:rFonts w:ascii="Thorndale" w:eastAsia="Andale Sans UI" w:hAnsi="Thorndale" w:cs="Tahoma"/>
              <w:szCs w:val="24"/>
              <w:lang w:bidi="en-US"/>
            </w:rPr>
            <w:t>APLINKOS APSAUGOS DEPARTAMENTAS</w:t>
          </w:r>
        </w:p>
        <w:p>
          <w:pPr>
            <w:widowControl w:val="0"/>
            <w:tabs>
              <w:tab w:val="left" w:pos="1418"/>
            </w:tabs>
            <w:rPr>
              <w:rFonts w:ascii="Thorndale" w:eastAsia="Andale Sans UI" w:hAnsi="Thorndale" w:cs="Tahoma"/>
              <w:szCs w:val="24"/>
              <w:lang w:bidi="en-US"/>
            </w:rPr>
          </w:pPr>
        </w:p>
        <w:p>
          <w:pPr>
            <w:widowControl w:val="0"/>
            <w:jc w:val="center"/>
            <w:rPr>
              <w:rFonts w:ascii="Thorndale" w:eastAsia="Andale Sans UI" w:hAnsi="Thorndale" w:cs="Tahoma"/>
              <w:b/>
              <w:szCs w:val="24"/>
              <w:lang w:bidi="en-US"/>
            </w:rPr>
          </w:pPr>
          <w:r>
            <w:rPr>
              <w:rFonts w:ascii="Thorndale" w:eastAsia="Andale Sans UI" w:hAnsi="Thorndale" w:cs="Tahoma"/>
              <w:b/>
              <w:szCs w:val="24"/>
              <w:lang w:bidi="en-US"/>
            </w:rPr>
            <w:t>SAVIVALDYBIŲ APLINKOS APSAUGOS RĖMIMO SPECIALIOSIOS PROGRAMOS PRIEMONIŲ VYKDYMO PATIKRINIMO AKTAS</w:t>
          </w:r>
        </w:p>
        <w:p>
          <w:pPr>
            <w:widowControl w:val="0"/>
            <w:jc w:val="center"/>
            <w:rPr>
              <w:rFonts w:ascii="Thorndale" w:eastAsia="Andale Sans UI" w:hAnsi="Thorndale" w:cs="Tahoma"/>
              <w:b/>
              <w:szCs w:val="24"/>
              <w:lang w:bidi="en-US"/>
            </w:rPr>
          </w:pPr>
        </w:p>
        <w:p>
          <w:pPr>
            <w:widowControl w:val="0"/>
            <w:tabs>
              <w:tab w:val="left" w:pos="567"/>
              <w:tab w:val="left" w:pos="1418"/>
              <w:tab w:val="left" w:pos="2127"/>
            </w:tabs>
            <w:jc w:val="center"/>
            <w:rPr>
              <w:rFonts w:ascii="Thorndale" w:eastAsia="Andale Sans UI" w:hAnsi="Thorndale" w:cs="Tahoma"/>
              <w:szCs w:val="24"/>
              <w:lang w:bidi="en-US"/>
            </w:rPr>
          </w:pPr>
          <w:r>
            <w:rPr>
              <w:rFonts w:ascii="Thorndale" w:eastAsia="Andale Sans UI" w:hAnsi="Thorndale" w:cs="Tahoma"/>
              <w:szCs w:val="24"/>
              <w:lang w:bidi="en-US"/>
            </w:rPr>
            <w:t>20 ___ m. _____ mėn. __ d.</w:t>
          </w:r>
        </w:p>
        <w:p>
          <w:pPr>
            <w:widowControl w:val="0"/>
            <w:tabs>
              <w:tab w:val="left" w:pos="567"/>
              <w:tab w:val="left" w:pos="1418"/>
              <w:tab w:val="left" w:pos="2127"/>
            </w:tabs>
            <w:jc w:val="center"/>
            <w:rPr>
              <w:rFonts w:ascii="Thorndale" w:eastAsia="Andale Sans UI" w:hAnsi="Thorndale" w:cs="Tahoma"/>
              <w:szCs w:val="24"/>
              <w:lang w:bidi="en-US"/>
            </w:rPr>
          </w:pPr>
          <w:r>
            <w:rPr>
              <w:rFonts w:ascii="Thorndale" w:eastAsia="Andale Sans UI" w:hAnsi="Thorndale" w:cs="Tahoma"/>
              <w:szCs w:val="24"/>
              <w:lang w:bidi="en-US"/>
            </w:rPr>
            <w:t>____________</w:t>
          </w:r>
        </w:p>
        <w:p>
          <w:pPr>
            <w:widowControl w:val="0"/>
            <w:tabs>
              <w:tab w:val="left" w:pos="567"/>
              <w:tab w:val="left" w:pos="1418"/>
              <w:tab w:val="left" w:pos="2127"/>
            </w:tabs>
            <w:jc w:val="center"/>
            <w:rPr>
              <w:rFonts w:ascii="Thorndale" w:eastAsia="Andale Sans UI" w:hAnsi="Thorndale" w:cs="Tahoma"/>
              <w:sz w:val="22"/>
              <w:szCs w:val="24"/>
              <w:lang w:bidi="en-US"/>
            </w:rPr>
          </w:pPr>
          <w:r>
            <w:rPr>
              <w:rFonts w:ascii="Thorndale" w:eastAsia="Andale Sans UI" w:hAnsi="Thorndale" w:cs="Tahoma"/>
              <w:sz w:val="22"/>
              <w:szCs w:val="24"/>
              <w:lang w:bidi="en-US"/>
            </w:rPr>
            <w:t>(vieta)</w:t>
          </w:r>
        </w:p>
        <w:p>
          <w:pPr>
            <w:widowControl w:val="0"/>
            <w:tabs>
              <w:tab w:val="left" w:leader="underscore" w:pos="8641"/>
            </w:tabs>
            <w:jc w:val="both"/>
            <w:rPr>
              <w:rFonts w:ascii="Thorndale" w:eastAsia="Andale Sans UI" w:hAnsi="Thorndale" w:cs="Tahoma"/>
              <w:szCs w:val="24"/>
              <w:lang w:bidi="en-US"/>
            </w:rPr>
          </w:pPr>
        </w:p>
        <w:p>
          <w:pPr>
            <w:widowControl w:val="0"/>
            <w:tabs>
              <w:tab w:val="right" w:leader="underscore" w:pos="9072"/>
            </w:tabs>
            <w:jc w:val="both"/>
            <w:rPr>
              <w:rFonts w:ascii="Thorndale" w:eastAsia="Andale Sans UI" w:hAnsi="Thorndale" w:cs="Tahoma"/>
              <w:szCs w:val="24"/>
              <w:lang w:bidi="en-US"/>
            </w:rPr>
          </w:pPr>
          <w:r>
            <w:rPr>
              <w:rFonts w:ascii="Thorndale" w:eastAsia="Andale Sans UI" w:hAnsi="Thorndale" w:cs="Tahoma"/>
              <w:szCs w:val="24"/>
              <w:lang w:bidi="en-US"/>
            </w:rPr>
            <w:t xml:space="preserve">Patikrinimą atliko </w:t>
            <w:tab/>
          </w:r>
        </w:p>
        <w:p>
          <w:pPr>
            <w:widowControl w:val="0"/>
            <w:tabs>
              <w:tab w:val="left" w:leader="underscore" w:pos="8641"/>
              <w:tab w:val="right" w:leader="underscore" w:pos="9072"/>
            </w:tabs>
            <w:ind w:left="1800" w:firstLine="2736"/>
            <w:rPr>
              <w:rFonts w:ascii="Thorndale" w:eastAsia="Andale Sans UI" w:hAnsi="Thorndale" w:cs="Tahoma"/>
              <w:sz w:val="22"/>
              <w:szCs w:val="24"/>
              <w:lang w:bidi="en-US"/>
            </w:rPr>
          </w:pPr>
          <w:r>
            <w:rPr>
              <w:rFonts w:ascii="Thorndale" w:eastAsia="Andale Sans UI" w:hAnsi="Thorndale" w:cs="Tahoma"/>
              <w:sz w:val="22"/>
              <w:szCs w:val="24"/>
              <w:lang w:bidi="en-US"/>
            </w:rPr>
            <w:t>(pareigos, vardas, pavardė)</w:t>
          </w:r>
        </w:p>
        <w:p>
          <w:pPr>
            <w:widowControl w:val="0"/>
            <w:tabs>
              <w:tab w:val="right" w:leader="underscore" w:pos="9072"/>
            </w:tabs>
            <w:rPr>
              <w:rFonts w:ascii="Thorndale" w:eastAsia="Andale Sans UI" w:hAnsi="Thorndale" w:cs="Tahoma"/>
              <w:szCs w:val="24"/>
              <w:u w:val="single"/>
              <w:lang w:bidi="en-US"/>
            </w:rPr>
          </w:pPr>
          <w:r>
            <w:rPr>
              <w:rFonts w:ascii="Thorndale" w:eastAsia="Andale Sans UI" w:hAnsi="Thorndale" w:cs="Tahoma"/>
              <w:szCs w:val="24"/>
              <w:lang w:bidi="en-US"/>
            </w:rPr>
            <w:t>Patikrinime dalyvavo</w:t>
          </w:r>
          <w:r>
            <w:rPr>
              <w:rFonts w:ascii="Thorndale" w:eastAsia="Andale Sans UI" w:hAnsi="Thorndale" w:cs="Tahoma"/>
              <w:sz w:val="18"/>
              <w:szCs w:val="24"/>
              <w:lang w:bidi="en-US"/>
            </w:rPr>
            <w:t xml:space="preserve"> </w:t>
            <w:tab/>
          </w:r>
        </w:p>
        <w:p>
          <w:pPr>
            <w:widowControl w:val="0"/>
            <w:tabs>
              <w:tab w:val="left" w:leader="underscore" w:pos="8641"/>
            </w:tabs>
            <w:ind w:left="2160" w:firstLine="2093"/>
            <w:rPr>
              <w:rFonts w:ascii="Thorndale" w:eastAsia="Andale Sans UI" w:hAnsi="Thorndale" w:cs="Tahoma"/>
              <w:sz w:val="22"/>
              <w:szCs w:val="24"/>
              <w:lang w:bidi="en-US"/>
            </w:rPr>
          </w:pPr>
          <w:r>
            <w:rPr>
              <w:rFonts w:ascii="Thorndale" w:eastAsia="Andale Sans UI" w:hAnsi="Thorndale" w:cs="Tahoma"/>
              <w:sz w:val="22"/>
              <w:szCs w:val="24"/>
              <w:lang w:bidi="en-US"/>
            </w:rPr>
            <w:t>(institucija, pareigos, vardas, pavardė)</w:t>
          </w:r>
        </w:p>
        <w:p>
          <w:pPr>
            <w:widowControl w:val="0"/>
            <w:rPr>
              <w:rFonts w:ascii="Thorndale" w:eastAsia="Andale Sans UI" w:hAnsi="Thorndale" w:cs="Tahoma"/>
              <w:szCs w:val="24"/>
              <w:lang w:bidi="en-US"/>
            </w:rPr>
          </w:pPr>
        </w:p>
        <w:p>
          <w:pPr>
            <w:widowControl w:val="0"/>
            <w:tabs>
              <w:tab w:val="left" w:leader="underscore" w:pos="8641"/>
            </w:tabs>
            <w:jc w:val="both"/>
            <w:rPr>
              <w:rFonts w:ascii="Thorndale" w:eastAsia="Andale Sans UI" w:hAnsi="Thorndale" w:cs="Tahoma"/>
              <w:szCs w:val="24"/>
              <w:lang w:bidi="en-US"/>
            </w:rPr>
          </w:pPr>
          <w:r>
            <w:rPr>
              <w:rFonts w:ascii="Thorndale" w:eastAsia="Andale Sans UI" w:hAnsi="Thorndale" w:cs="Tahoma"/>
              <w:szCs w:val="24"/>
              <w:lang w:bidi="en-US"/>
            </w:rPr>
            <w:t>Patikrinus ______________ miesto (rajono) savivaldybės 20 ___ m. aplinkos apsaugos rėmimo specialiosios programos lėšų panaudojimą priemonių vykdymui, nustatyti šie pažeidimai:</w:t>
          </w:r>
        </w:p>
        <w:p>
          <w:pPr>
            <w:widowControl w:val="0"/>
            <w:tabs>
              <w:tab w:val="left" w:leader="underscore" w:pos="8641"/>
            </w:tabs>
            <w:rPr>
              <w:rFonts w:ascii="Thorndale" w:eastAsia="Andale Sans UI" w:hAnsi="Thorndale" w:cs="Tahoma"/>
              <w:szCs w:val="24"/>
              <w:lang w:bidi="en-US"/>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9"/>
            <w:gridCol w:w="2481"/>
            <w:gridCol w:w="2464"/>
            <w:gridCol w:w="2412"/>
            <w:gridCol w:w="1144"/>
          </w:tblGrid>
          <w:tr>
            <w:tc>
              <w:tcPr>
                <w:tcW w:w="571" w:type="dxa"/>
              </w:tcPr>
              <w:p>
                <w:pPr>
                  <w:widowControl w:val="0"/>
                  <w:jc w:val="center"/>
                  <w:rPr>
                    <w:rFonts w:ascii="Thorndale" w:eastAsia="Andale Sans UI" w:hAnsi="Thorndale" w:cs="Tahoma"/>
                    <w:b/>
                    <w:sz w:val="22"/>
                    <w:szCs w:val="24"/>
                    <w:lang w:bidi="en-US"/>
                  </w:rPr>
                </w:pPr>
                <w:r>
                  <w:rPr>
                    <w:rFonts w:ascii="Thorndale" w:eastAsia="Andale Sans UI" w:hAnsi="Thorndale" w:cs="Tahoma"/>
                    <w:b/>
                    <w:sz w:val="22"/>
                    <w:szCs w:val="24"/>
                    <w:lang w:bidi="en-US"/>
                  </w:rPr>
                  <w:t>Eil. Nr.</w:t>
                </w:r>
              </w:p>
            </w:tc>
            <w:tc>
              <w:tcPr>
                <w:tcW w:w="2558" w:type="dxa"/>
              </w:tcPr>
              <w:p>
                <w:pPr>
                  <w:widowControl w:val="0"/>
                  <w:jc w:val="center"/>
                  <w:rPr>
                    <w:rFonts w:ascii="Thorndale" w:eastAsia="Andale Sans UI" w:hAnsi="Thorndale" w:cs="Tahoma"/>
                    <w:b/>
                    <w:sz w:val="22"/>
                    <w:szCs w:val="24"/>
                    <w:lang w:bidi="en-US"/>
                  </w:rPr>
                </w:pPr>
                <w:r>
                  <w:rPr>
                    <w:rFonts w:ascii="Thorndale" w:eastAsia="Andale Sans UI" w:hAnsi="Thorndale" w:cs="Tahoma"/>
                    <w:b/>
                    <w:sz w:val="22"/>
                    <w:szCs w:val="24"/>
                    <w:lang w:bidi="en-US"/>
                  </w:rPr>
                  <w:t>Priemonė</w:t>
                </w:r>
              </w:p>
            </w:tc>
            <w:tc>
              <w:tcPr>
                <w:tcW w:w="2531" w:type="dxa"/>
              </w:tcPr>
              <w:p>
                <w:pPr>
                  <w:widowControl w:val="0"/>
                  <w:jc w:val="center"/>
                  <w:rPr>
                    <w:rFonts w:ascii="Thorndale" w:eastAsia="Andale Sans UI" w:hAnsi="Thorndale" w:cs="Tahoma"/>
                    <w:b/>
                    <w:sz w:val="22"/>
                    <w:szCs w:val="24"/>
                    <w:lang w:bidi="en-US"/>
                  </w:rPr>
                </w:pPr>
                <w:r>
                  <w:rPr>
                    <w:rFonts w:ascii="Thorndale" w:eastAsia="Andale Sans UI" w:hAnsi="Thorndale" w:cs="Tahoma"/>
                    <w:b/>
                    <w:sz w:val="22"/>
                    <w:szCs w:val="24"/>
                    <w:lang w:bidi="en-US"/>
                  </w:rPr>
                  <w:t>Pažeidimas</w:t>
                </w:r>
              </w:p>
            </w:tc>
            <w:tc>
              <w:tcPr>
                <w:tcW w:w="2469" w:type="dxa"/>
              </w:tcPr>
              <w:p>
                <w:pPr>
                  <w:widowControl w:val="0"/>
                  <w:jc w:val="center"/>
                  <w:rPr>
                    <w:rFonts w:ascii="Thorndale" w:eastAsia="Andale Sans UI" w:hAnsi="Thorndale" w:cs="Tahoma"/>
                    <w:b/>
                    <w:sz w:val="22"/>
                    <w:szCs w:val="24"/>
                    <w:lang w:bidi="en-US"/>
                  </w:rPr>
                </w:pPr>
                <w:r>
                  <w:rPr>
                    <w:rFonts w:ascii="Thorndale" w:eastAsia="Andale Sans UI" w:hAnsi="Thorndale" w:cs="Tahoma"/>
                    <w:b/>
                    <w:sz w:val="22"/>
                    <w:szCs w:val="24"/>
                    <w:lang w:bidi="en-US"/>
                  </w:rPr>
                  <w:t>Pagrindimas</w:t>
                </w:r>
              </w:p>
            </w:tc>
            <w:tc>
              <w:tcPr>
                <w:tcW w:w="1159" w:type="dxa"/>
              </w:tcPr>
              <w:p>
                <w:pPr>
                  <w:widowControl w:val="0"/>
                  <w:jc w:val="center"/>
                  <w:rPr>
                    <w:rFonts w:ascii="Thorndale" w:eastAsia="Andale Sans UI" w:hAnsi="Thorndale" w:cs="Tahoma"/>
                    <w:b/>
                    <w:sz w:val="22"/>
                    <w:szCs w:val="24"/>
                    <w:lang w:bidi="en-US"/>
                  </w:rPr>
                </w:pPr>
                <w:r>
                  <w:rPr>
                    <w:rFonts w:ascii="Thorndale" w:eastAsia="Andale Sans UI" w:hAnsi="Thorndale" w:cs="Tahoma"/>
                    <w:b/>
                    <w:sz w:val="22"/>
                    <w:szCs w:val="24"/>
                    <w:lang w:bidi="en-US"/>
                  </w:rPr>
                  <w:t>Skirtos lėšos, Eur</w:t>
                </w:r>
              </w:p>
            </w:tc>
          </w:tr>
          <w:tr>
            <w:tc>
              <w:tcPr>
                <w:tcW w:w="571" w:type="dxa"/>
              </w:tcPr>
              <w:p>
                <w:pPr>
                  <w:widowControl w:val="0"/>
                  <w:ind w:left="360"/>
                  <w:rPr>
                    <w:rFonts w:ascii="Thorndale" w:eastAsia="Andale Sans UI" w:hAnsi="Thorndale" w:cs="Tahoma"/>
                    <w:sz w:val="22"/>
                    <w:szCs w:val="24"/>
                    <w:lang w:bidi="en-US"/>
                  </w:rPr>
                </w:pPr>
              </w:p>
            </w:tc>
            <w:tc>
              <w:tcPr>
                <w:tcW w:w="2558" w:type="dxa"/>
              </w:tcPr>
              <w:p>
                <w:pPr>
                  <w:widowControl w:val="0"/>
                  <w:rPr>
                    <w:rFonts w:ascii="Thorndale" w:eastAsia="Andale Sans UI" w:hAnsi="Thorndale" w:cs="Tahoma"/>
                    <w:sz w:val="22"/>
                    <w:szCs w:val="24"/>
                    <w:lang w:bidi="en-US"/>
                  </w:rPr>
                </w:pPr>
              </w:p>
            </w:tc>
            <w:tc>
              <w:tcPr>
                <w:tcW w:w="2531" w:type="dxa"/>
              </w:tcPr>
              <w:p>
                <w:pPr>
                  <w:widowControl w:val="0"/>
                  <w:rPr>
                    <w:rFonts w:ascii="Thorndale" w:eastAsia="Andale Sans UI" w:hAnsi="Thorndale" w:cs="Tahoma"/>
                    <w:sz w:val="22"/>
                    <w:szCs w:val="24"/>
                    <w:lang w:bidi="en-US"/>
                  </w:rPr>
                </w:pPr>
              </w:p>
            </w:tc>
            <w:tc>
              <w:tcPr>
                <w:tcW w:w="2469" w:type="dxa"/>
              </w:tcPr>
              <w:p>
                <w:pPr>
                  <w:widowControl w:val="0"/>
                  <w:rPr>
                    <w:rFonts w:ascii="Thorndale" w:eastAsia="Andale Sans UI" w:hAnsi="Thorndale" w:cs="Tahoma"/>
                    <w:sz w:val="22"/>
                    <w:szCs w:val="24"/>
                    <w:lang w:bidi="en-US"/>
                  </w:rPr>
                </w:pPr>
              </w:p>
            </w:tc>
            <w:tc>
              <w:tcPr>
                <w:tcW w:w="1159" w:type="dxa"/>
              </w:tcPr>
              <w:p>
                <w:pPr>
                  <w:widowControl w:val="0"/>
                  <w:rPr>
                    <w:rFonts w:ascii="Thorndale" w:eastAsia="Andale Sans UI" w:hAnsi="Thorndale" w:cs="Tahoma"/>
                    <w:sz w:val="22"/>
                    <w:szCs w:val="24"/>
                    <w:lang w:bidi="en-US"/>
                  </w:rPr>
                </w:pPr>
              </w:p>
            </w:tc>
          </w:tr>
          <w:tr>
            <w:tc>
              <w:tcPr>
                <w:tcW w:w="571" w:type="dxa"/>
              </w:tcPr>
              <w:p>
                <w:pPr>
                  <w:widowControl w:val="0"/>
                  <w:jc w:val="center"/>
                  <w:rPr>
                    <w:rFonts w:ascii="Thorndale" w:eastAsia="Andale Sans UI" w:hAnsi="Thorndale" w:cs="Tahoma"/>
                    <w:sz w:val="22"/>
                    <w:szCs w:val="24"/>
                    <w:lang w:bidi="en-US"/>
                  </w:rPr>
                </w:pPr>
              </w:p>
            </w:tc>
            <w:tc>
              <w:tcPr>
                <w:tcW w:w="2558" w:type="dxa"/>
              </w:tcPr>
              <w:p>
                <w:pPr>
                  <w:widowControl w:val="0"/>
                  <w:rPr>
                    <w:rFonts w:ascii="Thorndale" w:eastAsia="Andale Sans UI" w:hAnsi="Thorndale" w:cs="Tahoma"/>
                    <w:sz w:val="22"/>
                    <w:szCs w:val="24"/>
                    <w:lang w:bidi="en-US"/>
                  </w:rPr>
                </w:pPr>
              </w:p>
            </w:tc>
            <w:tc>
              <w:tcPr>
                <w:tcW w:w="2531" w:type="dxa"/>
              </w:tcPr>
              <w:p>
                <w:pPr>
                  <w:widowControl w:val="0"/>
                  <w:rPr>
                    <w:rFonts w:ascii="Thorndale" w:eastAsia="Andale Sans UI" w:hAnsi="Thorndale" w:cs="Tahoma"/>
                    <w:sz w:val="22"/>
                    <w:szCs w:val="24"/>
                    <w:lang w:bidi="en-US"/>
                  </w:rPr>
                </w:pPr>
              </w:p>
            </w:tc>
            <w:tc>
              <w:tcPr>
                <w:tcW w:w="2469" w:type="dxa"/>
              </w:tcPr>
              <w:p>
                <w:pPr>
                  <w:widowControl w:val="0"/>
                  <w:rPr>
                    <w:rFonts w:ascii="Thorndale" w:eastAsia="Andale Sans UI" w:hAnsi="Thorndale" w:cs="Tahoma"/>
                    <w:sz w:val="22"/>
                    <w:szCs w:val="24"/>
                    <w:lang w:bidi="en-US"/>
                  </w:rPr>
                </w:pPr>
              </w:p>
            </w:tc>
            <w:tc>
              <w:tcPr>
                <w:tcW w:w="1159" w:type="dxa"/>
              </w:tcPr>
              <w:p>
                <w:pPr>
                  <w:widowControl w:val="0"/>
                  <w:rPr>
                    <w:rFonts w:ascii="Thorndale" w:eastAsia="Andale Sans UI" w:hAnsi="Thorndale" w:cs="Tahoma"/>
                    <w:sz w:val="22"/>
                    <w:szCs w:val="24"/>
                    <w:lang w:bidi="en-US"/>
                  </w:rPr>
                </w:pPr>
              </w:p>
            </w:tc>
          </w:tr>
        </w:tbl>
        <w:p>
          <w:pPr>
            <w:widowControl w:val="0"/>
            <w:rPr>
              <w:rFonts w:ascii="Thorndale" w:eastAsia="Andale Sans UI" w:hAnsi="Thorndale" w:cs="Tahoma"/>
              <w:szCs w:val="24"/>
              <w:lang w:bidi="en-US"/>
            </w:rPr>
          </w:pPr>
        </w:p>
        <w:p>
          <w:pPr>
            <w:widowControl w:val="0"/>
            <w:jc w:val="both"/>
            <w:rPr>
              <w:rFonts w:ascii="Thorndale" w:eastAsia="Andale Sans UI" w:hAnsi="Thorndale" w:cs="Tahoma"/>
              <w:szCs w:val="24"/>
              <w:lang w:bidi="en-US"/>
            </w:rPr>
          </w:pPr>
          <w:r>
            <w:rPr>
              <w:rFonts w:ascii="Thorndale" w:eastAsia="Andale Sans UI" w:hAnsi="Thorndale" w:cs="Tahoma"/>
              <w:szCs w:val="24"/>
              <w:lang w:bidi="en-US"/>
            </w:rPr>
            <w:t>Siūloma išieškoti ______________ Lt suma, kuri turi būti pervesta į Aplinkos apsaugos rėmimo programą, įmokos kodas _____________.</w:t>
          </w:r>
        </w:p>
        <w:p>
          <w:pPr>
            <w:widowControl w:val="0"/>
            <w:rPr>
              <w:rFonts w:ascii="Thorndale" w:eastAsia="Andale Sans UI" w:hAnsi="Thorndale" w:cs="Tahoma"/>
              <w:szCs w:val="24"/>
              <w:lang w:bidi="en-US"/>
            </w:rPr>
          </w:pPr>
        </w:p>
        <w:p>
          <w:pPr>
            <w:widowControl w:val="0"/>
            <w:rPr>
              <w:rFonts w:ascii="Thorndale" w:eastAsia="Andale Sans UI" w:hAnsi="Thorndale" w:cs="Tahoma"/>
              <w:szCs w:val="24"/>
              <w:lang w:bidi="en-US"/>
            </w:rPr>
          </w:pPr>
          <w:r>
            <w:rPr>
              <w:rFonts w:ascii="Thorndale" w:eastAsia="Andale Sans UI" w:hAnsi="Thorndale" w:cs="Tahoma"/>
              <w:szCs w:val="24"/>
              <w:lang w:bidi="en-US"/>
            </w:rPr>
            <w:t>Patikrinimą atlikusiųjų parašai:</w:t>
          </w:r>
        </w:p>
        <w:p>
          <w:pPr>
            <w:widowControl w:val="0"/>
            <w:tabs>
              <w:tab w:val="left" w:pos="1985"/>
              <w:tab w:val="left" w:pos="8505"/>
            </w:tabs>
            <w:rPr>
              <w:rFonts w:ascii="Thorndale" w:eastAsia="Andale Sans UI" w:hAnsi="Thorndale" w:cs="Tahoma"/>
              <w:szCs w:val="24"/>
              <w:u w:val="single"/>
              <w:lang w:bidi="en-US"/>
            </w:rPr>
          </w:pPr>
        </w:p>
        <w:tbl>
          <w:tblPr>
            <w:tblW w:w="9070" w:type="dxa"/>
            <w:tblLook w:val="01E0" w:firstRow="1" w:lastRow="1" w:firstColumn="1" w:lastColumn="1" w:noHBand="0" w:noVBand="0"/>
          </w:tblPr>
          <w:tblGrid>
            <w:gridCol w:w="4788"/>
            <w:gridCol w:w="240"/>
            <w:gridCol w:w="4042"/>
          </w:tblGrid>
          <w:tr>
            <w:trPr>
              <w:trHeight w:val="270"/>
            </w:trPr>
            <w:tc>
              <w:tcPr>
                <w:tcW w:w="4788" w:type="dxa"/>
                <w:tcBorders>
                  <w:top w:val="single" w:sz="4" w:space="0" w:color="auto"/>
                  <w:bottom w:val="single" w:sz="4" w:space="0" w:color="auto"/>
                </w:tcBorders>
              </w:tcPr>
              <w:p>
                <w:pPr>
                  <w:widowControl w:val="0"/>
                  <w:tabs>
                    <w:tab w:val="left" w:pos="1985"/>
                    <w:tab w:val="left" w:pos="8505"/>
                  </w:tabs>
                  <w:jc w:val="center"/>
                  <w:rPr>
                    <w:rFonts w:ascii="Thorndale" w:eastAsia="Andale Sans UI" w:hAnsi="Thorndale" w:cs="Tahoma"/>
                    <w:sz w:val="22"/>
                    <w:szCs w:val="24"/>
                    <w:lang w:bidi="en-US"/>
                  </w:rPr>
                </w:pPr>
                <w:r>
                  <w:rPr>
                    <w:rFonts w:ascii="Thorndale" w:eastAsia="Andale Sans UI" w:hAnsi="Thorndale" w:cs="Tahoma"/>
                    <w:sz w:val="22"/>
                    <w:szCs w:val="24"/>
                    <w:lang w:bidi="en-US"/>
                  </w:rPr>
                  <w:t>(pareigos, vardas, pavardė)</w:t>
                </w:r>
              </w:p>
            </w:tc>
            <w:tc>
              <w:tcPr>
                <w:tcW w:w="240" w:type="dxa"/>
              </w:tcPr>
              <w:p>
                <w:pPr>
                  <w:widowControl w:val="0"/>
                  <w:tabs>
                    <w:tab w:val="left" w:pos="1985"/>
                    <w:tab w:val="left" w:pos="8505"/>
                  </w:tabs>
                  <w:jc w:val="center"/>
                  <w:rPr>
                    <w:rFonts w:ascii="Thorndale" w:eastAsia="Andale Sans UI" w:hAnsi="Thorndale" w:cs="Tahoma"/>
                    <w:sz w:val="22"/>
                    <w:szCs w:val="24"/>
                    <w:u w:val="single"/>
                    <w:lang w:bidi="en-US"/>
                  </w:rPr>
                </w:pPr>
              </w:p>
            </w:tc>
            <w:tc>
              <w:tcPr>
                <w:tcW w:w="4042" w:type="dxa"/>
                <w:tcBorders>
                  <w:top w:val="single" w:sz="4" w:space="0" w:color="auto"/>
                  <w:bottom w:val="single" w:sz="4" w:space="0" w:color="auto"/>
                </w:tcBorders>
              </w:tcPr>
              <w:p>
                <w:pPr>
                  <w:widowControl w:val="0"/>
                  <w:tabs>
                    <w:tab w:val="left" w:pos="1985"/>
                    <w:tab w:val="left" w:pos="8505"/>
                  </w:tabs>
                  <w:jc w:val="center"/>
                  <w:rPr>
                    <w:rFonts w:ascii="Thorndale" w:eastAsia="Andale Sans UI" w:hAnsi="Thorndale" w:cs="Tahoma"/>
                    <w:sz w:val="22"/>
                    <w:szCs w:val="24"/>
                    <w:lang w:bidi="en-US"/>
                  </w:rPr>
                </w:pPr>
                <w:r>
                  <w:rPr>
                    <w:rFonts w:ascii="Thorndale" w:eastAsia="Andale Sans UI" w:hAnsi="Thorndale" w:cs="Tahoma"/>
                    <w:sz w:val="22"/>
                    <w:szCs w:val="24"/>
                    <w:lang w:bidi="en-US"/>
                  </w:rPr>
                  <w:t>(parašas, data)</w:t>
                </w:r>
              </w:p>
            </w:tc>
          </w:tr>
          <w:tr>
            <w:trPr>
              <w:trHeight w:val="270"/>
            </w:trPr>
            <w:tc>
              <w:tcPr>
                <w:tcW w:w="4788" w:type="dxa"/>
                <w:tcBorders>
                  <w:top w:val="single" w:sz="4" w:space="0" w:color="auto"/>
                  <w:bottom w:val="single" w:sz="4" w:space="0" w:color="auto"/>
                </w:tcBorders>
              </w:tcPr>
              <w:p>
                <w:pPr>
                  <w:widowControl w:val="0"/>
                  <w:tabs>
                    <w:tab w:val="left" w:pos="1985"/>
                    <w:tab w:val="left" w:pos="8505"/>
                  </w:tabs>
                  <w:jc w:val="center"/>
                  <w:rPr>
                    <w:rFonts w:ascii="Thorndale" w:eastAsia="Andale Sans UI" w:hAnsi="Thorndale" w:cs="Tahoma"/>
                    <w:sz w:val="22"/>
                    <w:szCs w:val="24"/>
                    <w:lang w:bidi="en-US"/>
                  </w:rPr>
                </w:pPr>
                <w:r>
                  <w:rPr>
                    <w:rFonts w:ascii="Thorndale" w:eastAsia="Andale Sans UI" w:hAnsi="Thorndale" w:cs="Tahoma"/>
                    <w:sz w:val="22"/>
                    <w:szCs w:val="24"/>
                    <w:lang w:bidi="en-US"/>
                  </w:rPr>
                  <w:t>(pareigos, vardas, pavardė)</w:t>
                </w:r>
              </w:p>
            </w:tc>
            <w:tc>
              <w:tcPr>
                <w:tcW w:w="240" w:type="dxa"/>
              </w:tcPr>
              <w:p>
                <w:pPr>
                  <w:widowControl w:val="0"/>
                  <w:tabs>
                    <w:tab w:val="left" w:pos="1985"/>
                    <w:tab w:val="left" w:pos="8505"/>
                  </w:tabs>
                  <w:jc w:val="center"/>
                  <w:rPr>
                    <w:rFonts w:ascii="Thorndale" w:eastAsia="Andale Sans UI" w:hAnsi="Thorndale" w:cs="Tahoma"/>
                    <w:sz w:val="22"/>
                    <w:szCs w:val="24"/>
                    <w:u w:val="single"/>
                    <w:lang w:bidi="en-US"/>
                  </w:rPr>
                </w:pPr>
              </w:p>
            </w:tc>
            <w:tc>
              <w:tcPr>
                <w:tcW w:w="4042" w:type="dxa"/>
                <w:tcBorders>
                  <w:top w:val="single" w:sz="4" w:space="0" w:color="auto"/>
                  <w:bottom w:val="single" w:sz="4" w:space="0" w:color="auto"/>
                </w:tcBorders>
              </w:tcPr>
              <w:p>
                <w:pPr>
                  <w:widowControl w:val="0"/>
                  <w:tabs>
                    <w:tab w:val="left" w:pos="1985"/>
                    <w:tab w:val="left" w:pos="8505"/>
                  </w:tabs>
                  <w:jc w:val="center"/>
                  <w:rPr>
                    <w:rFonts w:ascii="Thorndale" w:eastAsia="Andale Sans UI" w:hAnsi="Thorndale" w:cs="Tahoma"/>
                    <w:sz w:val="22"/>
                    <w:szCs w:val="24"/>
                    <w:lang w:bidi="en-US"/>
                  </w:rPr>
                </w:pPr>
                <w:r>
                  <w:rPr>
                    <w:rFonts w:ascii="Thorndale" w:eastAsia="Andale Sans UI" w:hAnsi="Thorndale" w:cs="Tahoma"/>
                    <w:sz w:val="22"/>
                    <w:szCs w:val="24"/>
                    <w:lang w:bidi="en-US"/>
                  </w:rPr>
                  <w:t>(parašas, data)</w:t>
                </w:r>
              </w:p>
            </w:tc>
          </w:tr>
          <w:tr>
            <w:trPr>
              <w:trHeight w:val="270"/>
            </w:trPr>
            <w:tc>
              <w:tcPr>
                <w:tcW w:w="4788" w:type="dxa"/>
                <w:tcBorders>
                  <w:top w:val="single" w:sz="4" w:space="0" w:color="auto"/>
                  <w:bottom w:val="single" w:sz="4" w:space="0" w:color="auto"/>
                </w:tcBorders>
              </w:tcPr>
              <w:p>
                <w:pPr>
                  <w:widowControl w:val="0"/>
                  <w:tabs>
                    <w:tab w:val="left" w:pos="1985"/>
                    <w:tab w:val="left" w:pos="8505"/>
                  </w:tabs>
                  <w:jc w:val="center"/>
                  <w:rPr>
                    <w:rFonts w:ascii="Thorndale" w:eastAsia="Andale Sans UI" w:hAnsi="Thorndale" w:cs="Tahoma"/>
                    <w:sz w:val="22"/>
                    <w:szCs w:val="24"/>
                    <w:u w:val="single"/>
                    <w:lang w:bidi="en-US"/>
                  </w:rPr>
                </w:pPr>
              </w:p>
            </w:tc>
            <w:tc>
              <w:tcPr>
                <w:tcW w:w="240" w:type="dxa"/>
              </w:tcPr>
              <w:p>
                <w:pPr>
                  <w:widowControl w:val="0"/>
                  <w:tabs>
                    <w:tab w:val="left" w:pos="1985"/>
                    <w:tab w:val="left" w:pos="8505"/>
                  </w:tabs>
                  <w:jc w:val="center"/>
                  <w:rPr>
                    <w:rFonts w:ascii="Thorndale" w:eastAsia="Andale Sans UI" w:hAnsi="Thorndale" w:cs="Tahoma"/>
                    <w:sz w:val="22"/>
                    <w:szCs w:val="24"/>
                    <w:u w:val="single"/>
                    <w:lang w:bidi="en-US"/>
                  </w:rPr>
                </w:pPr>
              </w:p>
            </w:tc>
            <w:tc>
              <w:tcPr>
                <w:tcW w:w="4042" w:type="dxa"/>
                <w:tcBorders>
                  <w:top w:val="single" w:sz="4" w:space="0" w:color="auto"/>
                  <w:bottom w:val="single" w:sz="4" w:space="0" w:color="auto"/>
                </w:tcBorders>
              </w:tcPr>
              <w:p>
                <w:pPr>
                  <w:widowControl w:val="0"/>
                  <w:tabs>
                    <w:tab w:val="left" w:pos="1985"/>
                    <w:tab w:val="left" w:pos="8505"/>
                  </w:tabs>
                  <w:jc w:val="center"/>
                  <w:rPr>
                    <w:rFonts w:ascii="Thorndale" w:eastAsia="Andale Sans UI" w:hAnsi="Thorndale" w:cs="Tahoma"/>
                    <w:sz w:val="22"/>
                    <w:szCs w:val="24"/>
                    <w:u w:val="single"/>
                    <w:lang w:bidi="en-US"/>
                  </w:rPr>
                </w:pPr>
              </w:p>
            </w:tc>
          </w:tr>
          <w:tr>
            <w:trPr>
              <w:trHeight w:val="270"/>
            </w:trPr>
            <w:tc>
              <w:tcPr>
                <w:tcW w:w="4788" w:type="dxa"/>
                <w:tcBorders>
                  <w:top w:val="single" w:sz="4" w:space="0" w:color="auto"/>
                </w:tcBorders>
              </w:tcPr>
              <w:p>
                <w:pPr>
                  <w:widowControl w:val="0"/>
                  <w:tabs>
                    <w:tab w:val="left" w:pos="1985"/>
                    <w:tab w:val="left" w:pos="8505"/>
                  </w:tabs>
                  <w:jc w:val="center"/>
                  <w:rPr>
                    <w:rFonts w:ascii="Thorndale" w:eastAsia="Andale Sans UI" w:hAnsi="Thorndale" w:cs="Tahoma"/>
                    <w:sz w:val="22"/>
                    <w:szCs w:val="24"/>
                    <w:u w:val="single"/>
                    <w:lang w:bidi="en-US"/>
                  </w:rPr>
                </w:pPr>
              </w:p>
            </w:tc>
            <w:tc>
              <w:tcPr>
                <w:tcW w:w="240" w:type="dxa"/>
              </w:tcPr>
              <w:p>
                <w:pPr>
                  <w:widowControl w:val="0"/>
                  <w:tabs>
                    <w:tab w:val="left" w:pos="1985"/>
                    <w:tab w:val="left" w:pos="8505"/>
                  </w:tabs>
                  <w:jc w:val="center"/>
                  <w:rPr>
                    <w:rFonts w:ascii="Thorndale" w:eastAsia="Andale Sans UI" w:hAnsi="Thorndale" w:cs="Tahoma"/>
                    <w:sz w:val="22"/>
                    <w:szCs w:val="24"/>
                    <w:u w:val="single"/>
                    <w:lang w:bidi="en-US"/>
                  </w:rPr>
                </w:pPr>
              </w:p>
            </w:tc>
            <w:tc>
              <w:tcPr>
                <w:tcW w:w="4042" w:type="dxa"/>
                <w:tcBorders>
                  <w:top w:val="single" w:sz="4" w:space="0" w:color="auto"/>
                </w:tcBorders>
              </w:tcPr>
              <w:p>
                <w:pPr>
                  <w:widowControl w:val="0"/>
                  <w:tabs>
                    <w:tab w:val="left" w:pos="1985"/>
                    <w:tab w:val="left" w:pos="8505"/>
                  </w:tabs>
                  <w:jc w:val="center"/>
                  <w:rPr>
                    <w:rFonts w:ascii="Thorndale" w:eastAsia="Andale Sans UI" w:hAnsi="Thorndale" w:cs="Tahoma"/>
                    <w:sz w:val="22"/>
                    <w:szCs w:val="24"/>
                    <w:u w:val="single"/>
                    <w:lang w:bidi="en-US"/>
                  </w:rPr>
                </w:pPr>
              </w:p>
            </w:tc>
          </w:tr>
        </w:tbl>
        <w:p>
          <w:pPr>
            <w:widowControl w:val="0"/>
            <w:tabs>
              <w:tab w:val="left" w:pos="1985"/>
              <w:tab w:val="left" w:pos="8505"/>
            </w:tabs>
            <w:rPr>
              <w:rFonts w:ascii="Thorndale" w:eastAsia="Andale Sans UI" w:hAnsi="Thorndale" w:cs="Tahoma"/>
              <w:szCs w:val="24"/>
              <w:u w:val="single"/>
              <w:lang w:bidi="en-US"/>
            </w:rPr>
          </w:pPr>
        </w:p>
        <w:p>
          <w:pPr>
            <w:widowControl w:val="0"/>
            <w:tabs>
              <w:tab w:val="left" w:pos="10206"/>
            </w:tabs>
            <w:rPr>
              <w:rFonts w:ascii="Thorndale" w:eastAsia="Andale Sans UI" w:hAnsi="Thorndale" w:cs="Tahoma"/>
              <w:szCs w:val="24"/>
              <w:lang w:bidi="en-US"/>
            </w:rPr>
          </w:pPr>
          <w:r>
            <w:rPr>
              <w:rFonts w:ascii="Thorndale" w:eastAsia="Andale Sans UI" w:hAnsi="Thorndale" w:cs="Tahoma"/>
              <w:szCs w:val="24"/>
              <w:lang w:bidi="en-US"/>
            </w:rPr>
            <w:t>Patikrinime dalyvavusiųjų parašai:</w:t>
          </w:r>
        </w:p>
        <w:p>
          <w:pPr>
            <w:widowControl w:val="0"/>
            <w:tabs>
              <w:tab w:val="left" w:pos="6237"/>
              <w:tab w:val="left" w:pos="7655"/>
              <w:tab w:val="left" w:pos="10206"/>
            </w:tabs>
            <w:rPr>
              <w:rFonts w:ascii="Thorndale" w:eastAsia="Andale Sans UI" w:hAnsi="Thorndale" w:cs="Tahoma"/>
              <w:szCs w:val="24"/>
              <w:u w:val="single"/>
              <w:lang w:bidi="en-US"/>
            </w:rPr>
          </w:pPr>
        </w:p>
        <w:tbl>
          <w:tblPr>
            <w:tblW w:w="9070" w:type="dxa"/>
            <w:tblLook w:val="01E0" w:firstRow="1" w:lastRow="1" w:firstColumn="1" w:lastColumn="1" w:noHBand="0" w:noVBand="0"/>
          </w:tblPr>
          <w:tblGrid>
            <w:gridCol w:w="4788"/>
            <w:gridCol w:w="240"/>
            <w:gridCol w:w="4042"/>
          </w:tblGrid>
          <w:tr>
            <w:trPr>
              <w:trHeight w:val="270"/>
            </w:trPr>
            <w:tc>
              <w:tcPr>
                <w:tcW w:w="4788" w:type="dxa"/>
                <w:tcBorders>
                  <w:top w:val="single" w:sz="4" w:space="0" w:color="auto"/>
                  <w:bottom w:val="single" w:sz="4" w:space="0" w:color="auto"/>
                </w:tcBorders>
              </w:tcPr>
              <w:p>
                <w:pPr>
                  <w:widowControl w:val="0"/>
                  <w:tabs>
                    <w:tab w:val="left" w:pos="1985"/>
                    <w:tab w:val="left" w:pos="8505"/>
                  </w:tabs>
                  <w:jc w:val="center"/>
                  <w:rPr>
                    <w:rFonts w:ascii="Thorndale" w:eastAsia="Andale Sans UI" w:hAnsi="Thorndale" w:cs="Tahoma"/>
                    <w:sz w:val="22"/>
                    <w:szCs w:val="24"/>
                    <w:lang w:bidi="en-US"/>
                  </w:rPr>
                </w:pPr>
                <w:r>
                  <w:rPr>
                    <w:rFonts w:ascii="Thorndale" w:eastAsia="Andale Sans UI" w:hAnsi="Thorndale" w:cs="Tahoma"/>
                    <w:sz w:val="22"/>
                    <w:szCs w:val="24"/>
                    <w:lang w:bidi="en-US"/>
                  </w:rPr>
                  <w:t>(institucija, pareigos, vardas, pavardė)</w:t>
                </w:r>
              </w:p>
            </w:tc>
            <w:tc>
              <w:tcPr>
                <w:tcW w:w="240" w:type="dxa"/>
              </w:tcPr>
              <w:p>
                <w:pPr>
                  <w:widowControl w:val="0"/>
                  <w:tabs>
                    <w:tab w:val="left" w:pos="1985"/>
                    <w:tab w:val="left" w:pos="8505"/>
                  </w:tabs>
                  <w:jc w:val="center"/>
                  <w:rPr>
                    <w:rFonts w:ascii="Thorndale" w:eastAsia="Andale Sans UI" w:hAnsi="Thorndale" w:cs="Tahoma"/>
                    <w:sz w:val="22"/>
                    <w:szCs w:val="24"/>
                    <w:u w:val="single"/>
                    <w:lang w:bidi="en-US"/>
                  </w:rPr>
                </w:pPr>
              </w:p>
            </w:tc>
            <w:tc>
              <w:tcPr>
                <w:tcW w:w="4042" w:type="dxa"/>
                <w:tcBorders>
                  <w:top w:val="single" w:sz="4" w:space="0" w:color="auto"/>
                  <w:bottom w:val="single" w:sz="4" w:space="0" w:color="auto"/>
                </w:tcBorders>
              </w:tcPr>
              <w:p>
                <w:pPr>
                  <w:widowControl w:val="0"/>
                  <w:tabs>
                    <w:tab w:val="left" w:pos="1985"/>
                    <w:tab w:val="left" w:pos="8505"/>
                  </w:tabs>
                  <w:jc w:val="center"/>
                  <w:rPr>
                    <w:rFonts w:ascii="Thorndale" w:eastAsia="Andale Sans UI" w:hAnsi="Thorndale" w:cs="Tahoma"/>
                    <w:sz w:val="22"/>
                    <w:szCs w:val="24"/>
                    <w:lang w:bidi="en-US"/>
                  </w:rPr>
                </w:pPr>
                <w:r>
                  <w:rPr>
                    <w:rFonts w:ascii="Thorndale" w:eastAsia="Andale Sans UI" w:hAnsi="Thorndale" w:cs="Tahoma"/>
                    <w:sz w:val="22"/>
                    <w:szCs w:val="24"/>
                    <w:lang w:bidi="en-US"/>
                  </w:rPr>
                  <w:t>(parašas, data)</w:t>
                </w:r>
              </w:p>
            </w:tc>
          </w:tr>
          <w:tr>
            <w:trPr>
              <w:trHeight w:val="270"/>
            </w:trPr>
            <w:tc>
              <w:tcPr>
                <w:tcW w:w="4788" w:type="dxa"/>
                <w:tcBorders>
                  <w:top w:val="single" w:sz="4" w:space="0" w:color="auto"/>
                  <w:bottom w:val="single" w:sz="4" w:space="0" w:color="auto"/>
                </w:tcBorders>
              </w:tcPr>
              <w:p>
                <w:pPr>
                  <w:widowControl w:val="0"/>
                  <w:tabs>
                    <w:tab w:val="left" w:pos="1985"/>
                    <w:tab w:val="left" w:pos="8505"/>
                  </w:tabs>
                  <w:jc w:val="center"/>
                  <w:rPr>
                    <w:rFonts w:ascii="Thorndale" w:eastAsia="Andale Sans UI" w:hAnsi="Thorndale" w:cs="Tahoma"/>
                    <w:sz w:val="22"/>
                    <w:szCs w:val="24"/>
                    <w:lang w:bidi="en-US"/>
                  </w:rPr>
                </w:pPr>
                <w:r>
                  <w:rPr>
                    <w:rFonts w:ascii="Thorndale" w:eastAsia="Andale Sans UI" w:hAnsi="Thorndale" w:cs="Tahoma"/>
                    <w:sz w:val="22"/>
                    <w:szCs w:val="24"/>
                    <w:lang w:bidi="en-US"/>
                  </w:rPr>
                  <w:t>(institucija, pareigos, vardas, pavardė)</w:t>
                </w:r>
              </w:p>
            </w:tc>
            <w:tc>
              <w:tcPr>
                <w:tcW w:w="240" w:type="dxa"/>
              </w:tcPr>
              <w:p>
                <w:pPr>
                  <w:widowControl w:val="0"/>
                  <w:tabs>
                    <w:tab w:val="left" w:pos="1985"/>
                    <w:tab w:val="left" w:pos="8505"/>
                  </w:tabs>
                  <w:jc w:val="center"/>
                  <w:rPr>
                    <w:rFonts w:ascii="Thorndale" w:eastAsia="Andale Sans UI" w:hAnsi="Thorndale" w:cs="Tahoma"/>
                    <w:sz w:val="22"/>
                    <w:szCs w:val="24"/>
                    <w:u w:val="single"/>
                    <w:lang w:bidi="en-US"/>
                  </w:rPr>
                </w:pPr>
              </w:p>
            </w:tc>
            <w:tc>
              <w:tcPr>
                <w:tcW w:w="4042" w:type="dxa"/>
                <w:tcBorders>
                  <w:top w:val="single" w:sz="4" w:space="0" w:color="auto"/>
                  <w:bottom w:val="single" w:sz="4" w:space="0" w:color="auto"/>
                </w:tcBorders>
              </w:tcPr>
              <w:p>
                <w:pPr>
                  <w:widowControl w:val="0"/>
                  <w:tabs>
                    <w:tab w:val="left" w:pos="1985"/>
                    <w:tab w:val="left" w:pos="8505"/>
                  </w:tabs>
                  <w:jc w:val="center"/>
                  <w:rPr>
                    <w:rFonts w:ascii="Thorndale" w:eastAsia="Andale Sans UI" w:hAnsi="Thorndale" w:cs="Tahoma"/>
                    <w:sz w:val="22"/>
                    <w:szCs w:val="24"/>
                    <w:lang w:bidi="en-US"/>
                  </w:rPr>
                </w:pPr>
                <w:r>
                  <w:rPr>
                    <w:rFonts w:ascii="Thorndale" w:eastAsia="Andale Sans UI" w:hAnsi="Thorndale" w:cs="Tahoma"/>
                    <w:sz w:val="22"/>
                    <w:szCs w:val="24"/>
                    <w:lang w:bidi="en-US"/>
                  </w:rPr>
                  <w:t>(parašas, data)</w:t>
                </w:r>
              </w:p>
            </w:tc>
          </w:tr>
          <w:tr>
            <w:trPr>
              <w:trHeight w:val="270"/>
            </w:trPr>
            <w:tc>
              <w:tcPr>
                <w:tcW w:w="4788" w:type="dxa"/>
                <w:tcBorders>
                  <w:top w:val="single" w:sz="4" w:space="0" w:color="auto"/>
                  <w:bottom w:val="single" w:sz="4" w:space="0" w:color="auto"/>
                </w:tcBorders>
              </w:tcPr>
              <w:p>
                <w:pPr>
                  <w:widowControl w:val="0"/>
                  <w:tabs>
                    <w:tab w:val="left" w:pos="1985"/>
                    <w:tab w:val="left" w:pos="8505"/>
                  </w:tabs>
                  <w:jc w:val="center"/>
                  <w:rPr>
                    <w:rFonts w:ascii="Thorndale" w:eastAsia="Andale Sans UI" w:hAnsi="Thorndale" w:cs="Tahoma"/>
                    <w:sz w:val="22"/>
                    <w:szCs w:val="24"/>
                    <w:u w:val="single"/>
                    <w:lang w:bidi="en-US"/>
                  </w:rPr>
                </w:pPr>
              </w:p>
            </w:tc>
            <w:tc>
              <w:tcPr>
                <w:tcW w:w="240" w:type="dxa"/>
              </w:tcPr>
              <w:p>
                <w:pPr>
                  <w:widowControl w:val="0"/>
                  <w:tabs>
                    <w:tab w:val="left" w:pos="1985"/>
                    <w:tab w:val="left" w:pos="8505"/>
                  </w:tabs>
                  <w:jc w:val="center"/>
                  <w:rPr>
                    <w:rFonts w:ascii="Thorndale" w:eastAsia="Andale Sans UI" w:hAnsi="Thorndale" w:cs="Tahoma"/>
                    <w:sz w:val="22"/>
                    <w:szCs w:val="24"/>
                    <w:u w:val="single"/>
                    <w:lang w:bidi="en-US"/>
                  </w:rPr>
                </w:pPr>
              </w:p>
            </w:tc>
            <w:tc>
              <w:tcPr>
                <w:tcW w:w="4042" w:type="dxa"/>
                <w:tcBorders>
                  <w:top w:val="single" w:sz="4" w:space="0" w:color="auto"/>
                  <w:bottom w:val="single" w:sz="4" w:space="0" w:color="auto"/>
                </w:tcBorders>
              </w:tcPr>
              <w:p>
                <w:pPr>
                  <w:widowControl w:val="0"/>
                  <w:tabs>
                    <w:tab w:val="left" w:pos="1985"/>
                    <w:tab w:val="left" w:pos="8505"/>
                  </w:tabs>
                  <w:jc w:val="center"/>
                  <w:rPr>
                    <w:rFonts w:ascii="Thorndale" w:eastAsia="Andale Sans UI" w:hAnsi="Thorndale" w:cs="Tahoma"/>
                    <w:sz w:val="22"/>
                    <w:szCs w:val="24"/>
                    <w:u w:val="single"/>
                    <w:lang w:bidi="en-US"/>
                  </w:rPr>
                </w:pPr>
              </w:p>
            </w:tc>
          </w:tr>
          <w:tr>
            <w:trPr>
              <w:trHeight w:val="270"/>
            </w:trPr>
            <w:tc>
              <w:tcPr>
                <w:tcW w:w="4788" w:type="dxa"/>
                <w:tcBorders>
                  <w:top w:val="single" w:sz="4" w:space="0" w:color="auto"/>
                </w:tcBorders>
              </w:tcPr>
              <w:p>
                <w:pPr>
                  <w:widowControl w:val="0"/>
                  <w:tabs>
                    <w:tab w:val="left" w:pos="1985"/>
                    <w:tab w:val="left" w:pos="8505"/>
                  </w:tabs>
                  <w:jc w:val="center"/>
                  <w:rPr>
                    <w:rFonts w:ascii="Thorndale" w:eastAsia="Andale Sans UI" w:hAnsi="Thorndale" w:cs="Tahoma"/>
                    <w:sz w:val="22"/>
                    <w:szCs w:val="24"/>
                    <w:u w:val="single"/>
                    <w:lang w:bidi="en-US"/>
                  </w:rPr>
                </w:pPr>
              </w:p>
            </w:tc>
            <w:tc>
              <w:tcPr>
                <w:tcW w:w="240" w:type="dxa"/>
              </w:tcPr>
              <w:p>
                <w:pPr>
                  <w:widowControl w:val="0"/>
                  <w:tabs>
                    <w:tab w:val="left" w:pos="1985"/>
                    <w:tab w:val="left" w:pos="8505"/>
                  </w:tabs>
                  <w:jc w:val="center"/>
                  <w:rPr>
                    <w:rFonts w:ascii="Thorndale" w:eastAsia="Andale Sans UI" w:hAnsi="Thorndale" w:cs="Tahoma"/>
                    <w:sz w:val="22"/>
                    <w:szCs w:val="24"/>
                    <w:u w:val="single"/>
                    <w:lang w:bidi="en-US"/>
                  </w:rPr>
                </w:pPr>
              </w:p>
            </w:tc>
            <w:tc>
              <w:tcPr>
                <w:tcW w:w="4042" w:type="dxa"/>
                <w:tcBorders>
                  <w:top w:val="single" w:sz="4" w:space="0" w:color="auto"/>
                </w:tcBorders>
              </w:tcPr>
              <w:p>
                <w:pPr>
                  <w:widowControl w:val="0"/>
                  <w:tabs>
                    <w:tab w:val="left" w:pos="1985"/>
                    <w:tab w:val="left" w:pos="8505"/>
                  </w:tabs>
                  <w:jc w:val="center"/>
                  <w:rPr>
                    <w:rFonts w:ascii="Thorndale" w:eastAsia="Andale Sans UI" w:hAnsi="Thorndale" w:cs="Tahoma"/>
                    <w:sz w:val="22"/>
                    <w:szCs w:val="24"/>
                    <w:u w:val="single"/>
                    <w:lang w:bidi="en-US"/>
                  </w:rPr>
                </w:pPr>
              </w:p>
            </w:tc>
          </w:tr>
        </w:tbl>
        <w:p>
          <w:pPr>
            <w:widowControl w:val="0"/>
            <w:tabs>
              <w:tab w:val="left" w:pos="6237"/>
              <w:tab w:val="left" w:pos="7655"/>
              <w:tab w:val="left" w:pos="10206"/>
            </w:tabs>
            <w:rPr>
              <w:rFonts w:ascii="Thorndale" w:eastAsia="Andale Sans UI" w:hAnsi="Thorndale" w:cs="Tahoma"/>
              <w:szCs w:val="24"/>
              <w:u w:val="single"/>
              <w:lang w:bidi="en-US"/>
            </w:rPr>
          </w:pPr>
        </w:p>
        <w:p>
          <w:pPr>
            <w:widowControl w:val="0"/>
            <w:tabs>
              <w:tab w:val="left" w:pos="6237"/>
              <w:tab w:val="left" w:pos="7655"/>
              <w:tab w:val="left" w:pos="10206"/>
            </w:tabs>
            <w:rPr>
              <w:rFonts w:ascii="Thorndale" w:eastAsia="Andale Sans UI" w:hAnsi="Thorndale" w:cs="Tahoma"/>
              <w:szCs w:val="24"/>
              <w:lang w:bidi="en-US"/>
            </w:rPr>
          </w:pPr>
          <w:r>
            <w:rPr>
              <w:rFonts w:ascii="Thorndale" w:eastAsia="Andale Sans UI" w:hAnsi="Thorndale" w:cs="Tahoma"/>
              <w:szCs w:val="24"/>
              <w:lang w:bidi="en-US"/>
            </w:rPr>
            <w:t>Susipažinau:</w:t>
          </w:r>
        </w:p>
        <w:p>
          <w:pPr>
            <w:widowControl w:val="0"/>
            <w:tabs>
              <w:tab w:val="left" w:pos="1701"/>
              <w:tab w:val="left" w:pos="3261"/>
            </w:tabs>
            <w:rPr>
              <w:rFonts w:ascii="Thorndale" w:eastAsia="Andale Sans UI" w:hAnsi="Thorndale" w:cs="Tahoma"/>
              <w:szCs w:val="24"/>
              <w:lang w:bidi="en-US"/>
            </w:rPr>
          </w:pPr>
        </w:p>
        <w:tbl>
          <w:tblPr>
            <w:tblW w:w="9070" w:type="dxa"/>
            <w:tblLook w:val="01E0" w:firstRow="1" w:lastRow="1" w:firstColumn="1" w:lastColumn="1" w:noHBand="0" w:noVBand="0"/>
          </w:tblPr>
          <w:tblGrid>
            <w:gridCol w:w="3588"/>
            <w:gridCol w:w="3225"/>
            <w:gridCol w:w="2257"/>
          </w:tblGrid>
          <w:tr>
            <w:tc>
              <w:tcPr>
                <w:tcW w:w="3588" w:type="dxa"/>
              </w:tcPr>
              <w:p>
                <w:pPr>
                  <w:widowControl w:val="0"/>
                  <w:tabs>
                    <w:tab w:val="left" w:pos="1985"/>
                    <w:tab w:val="left" w:pos="8505"/>
                  </w:tabs>
                  <w:rPr>
                    <w:rFonts w:ascii="Thorndale" w:eastAsia="Andale Sans UI" w:hAnsi="Thorndale" w:cs="Tahoma"/>
                    <w:szCs w:val="24"/>
                    <w:u w:val="single"/>
                    <w:lang w:bidi="en-US"/>
                  </w:rPr>
                </w:pPr>
                <w:r>
                  <w:rPr>
                    <w:rFonts w:ascii="Thorndale" w:eastAsia="Andale Sans UI" w:hAnsi="Thorndale" w:cs="Tahoma"/>
                    <w:szCs w:val="24"/>
                    <w:u w:val="single"/>
                    <w:lang w:bidi="en-US"/>
                  </w:rPr>
                  <w:t xml:space="preserve">______________ </w:t>
                </w:r>
                <w:r>
                  <w:rPr>
                    <w:rFonts w:ascii="Thorndale" w:eastAsia="Andale Sans UI" w:hAnsi="Thorndale" w:cs="Tahoma"/>
                    <w:szCs w:val="24"/>
                    <w:lang w:bidi="en-US"/>
                  </w:rPr>
                  <w:t>savivaldybės administracijos direktorius</w:t>
                </w:r>
              </w:p>
            </w:tc>
            <w:tc>
              <w:tcPr>
                <w:tcW w:w="3225" w:type="dxa"/>
              </w:tcPr>
              <w:p>
                <w:pPr>
                  <w:widowControl w:val="0"/>
                  <w:tabs>
                    <w:tab w:val="left" w:pos="1985"/>
                    <w:tab w:val="left" w:pos="8505"/>
                  </w:tabs>
                  <w:jc w:val="center"/>
                  <w:rPr>
                    <w:rFonts w:ascii="Thorndale" w:eastAsia="Andale Sans UI" w:hAnsi="Thorndale" w:cs="Tahoma"/>
                    <w:szCs w:val="24"/>
                    <w:u w:val="single"/>
                    <w:lang w:bidi="en-US"/>
                  </w:rPr>
                </w:pPr>
                <w:r>
                  <w:rPr>
                    <w:rFonts w:ascii="Thorndale" w:eastAsia="Andale Sans UI" w:hAnsi="Thorndale" w:cs="Tahoma"/>
                    <w:szCs w:val="24"/>
                    <w:u w:val="single"/>
                    <w:lang w:bidi="en-US"/>
                  </w:rPr>
                  <w:t>___________________</w:t>
                </w:r>
              </w:p>
              <w:p>
                <w:pPr>
                  <w:widowControl w:val="0"/>
                  <w:tabs>
                    <w:tab w:val="left" w:pos="1985"/>
                    <w:tab w:val="left" w:pos="8505"/>
                  </w:tabs>
                  <w:jc w:val="center"/>
                  <w:rPr>
                    <w:rFonts w:ascii="Thorndale" w:eastAsia="Andale Sans UI" w:hAnsi="Thorndale" w:cs="Tahoma"/>
                    <w:szCs w:val="24"/>
                    <w:u w:val="single"/>
                    <w:lang w:bidi="en-US"/>
                  </w:rPr>
                </w:pPr>
                <w:r>
                  <w:rPr>
                    <w:rFonts w:ascii="Thorndale" w:eastAsia="Andale Sans UI" w:hAnsi="Thorndale" w:cs="Tahoma"/>
                    <w:sz w:val="22"/>
                    <w:szCs w:val="24"/>
                    <w:lang w:bidi="en-US"/>
                  </w:rPr>
                  <w:t>(vardas, pavardė)</w:t>
                </w:r>
              </w:p>
            </w:tc>
            <w:tc>
              <w:tcPr>
                <w:tcW w:w="2257" w:type="dxa"/>
              </w:tcPr>
              <w:p>
                <w:pPr>
                  <w:widowControl w:val="0"/>
                  <w:tabs>
                    <w:tab w:val="left" w:pos="1985"/>
                    <w:tab w:val="left" w:pos="8505"/>
                  </w:tabs>
                  <w:jc w:val="center"/>
                  <w:rPr>
                    <w:rFonts w:ascii="Thorndale" w:eastAsia="Andale Sans UI" w:hAnsi="Thorndale" w:cs="Tahoma"/>
                    <w:szCs w:val="24"/>
                    <w:u w:val="single"/>
                    <w:lang w:bidi="en-US"/>
                  </w:rPr>
                </w:pPr>
                <w:r>
                  <w:rPr>
                    <w:rFonts w:ascii="Thorndale" w:eastAsia="Andale Sans UI" w:hAnsi="Thorndale" w:cs="Tahoma"/>
                    <w:szCs w:val="24"/>
                    <w:u w:val="single"/>
                    <w:lang w:bidi="en-US"/>
                  </w:rPr>
                  <w:t>________________</w:t>
                </w:r>
              </w:p>
              <w:p>
                <w:pPr>
                  <w:widowControl w:val="0"/>
                  <w:tabs>
                    <w:tab w:val="left" w:pos="1985"/>
                    <w:tab w:val="left" w:pos="8505"/>
                  </w:tabs>
                  <w:jc w:val="center"/>
                  <w:rPr>
                    <w:rFonts w:ascii="Thorndale" w:eastAsia="Andale Sans UI" w:hAnsi="Thorndale" w:cs="Tahoma"/>
                    <w:szCs w:val="24"/>
                    <w:u w:val="single"/>
                    <w:lang w:bidi="en-US"/>
                  </w:rPr>
                </w:pPr>
                <w:r>
                  <w:rPr>
                    <w:rFonts w:ascii="Thorndale" w:eastAsia="Andale Sans UI" w:hAnsi="Thorndale" w:cs="Tahoma"/>
                    <w:sz w:val="22"/>
                    <w:szCs w:val="24"/>
                    <w:lang w:bidi="en-US"/>
                  </w:rPr>
                  <w:t>(parašas, data)</w:t>
                </w:r>
              </w:p>
            </w:tc>
          </w:tr>
        </w:tbl>
        <w:p>
          <w:pPr>
            <w:widowControl w:val="0"/>
            <w:tabs>
              <w:tab w:val="left" w:pos="1701"/>
              <w:tab w:val="left" w:pos="3261"/>
            </w:tabs>
            <w:rPr>
              <w:rFonts w:ascii="Thorndale" w:eastAsia="Andale Sans UI" w:hAnsi="Thorndale" w:cs="Tahoma"/>
              <w:szCs w:val="24"/>
              <w:lang w:bidi="en-US"/>
            </w:rPr>
          </w:pPr>
        </w:p>
        <w:p>
          <w:pPr>
            <w:widowControl w:val="0"/>
            <w:tabs>
              <w:tab w:val="left" w:pos="2268"/>
              <w:tab w:val="left" w:pos="8505"/>
            </w:tabs>
            <w:jc w:val="center"/>
            <w:rPr>
              <w:caps/>
              <w:color w:val="000000"/>
              <w:szCs w:val="24"/>
              <w:lang w:eastAsia="lt-LT"/>
            </w:rPr>
          </w:pPr>
          <w:r>
            <w:rPr>
              <w:rFonts w:ascii="Thorndale" w:eastAsia="Andale Sans UI" w:hAnsi="Thorndale" w:cs="Tahoma"/>
              <w:szCs w:val="24"/>
              <w:lang w:bidi="en-US"/>
            </w:rPr>
            <w:t>_________________</w:t>
          </w:r>
        </w:p>
      </w:sdtContent>
    </w:sdt>
    <w:sdt>
      <w:sdtPr>
        <w:alias w:val="frm."/>
        <w:tag w:val="part_18388129c8bd4d7fa890c91bb9bb7505"/>
        <w:lock w:val="sdtLocked"/>
        <w:richText/>
      </w:sdtPr>
      <w:sdtContent>
        <w:p>
          <w:pPr>
            <w:shd w:val="clear" w:color="000000" w:fill="auto"/>
            <w:tabs>
              <w:tab w:val="left" w:pos="1304"/>
              <w:tab w:val="left" w:pos="1457"/>
              <w:tab w:val="left" w:pos="1604"/>
              <w:tab w:val="left" w:pos="1757"/>
            </w:tabs>
            <w:ind w:left="4535"/>
            <w:sectPr>
              <w:pgSz w:w="11907" w:h="16840" w:code="9"/>
              <w:pgMar w:top="1134" w:right="1134" w:bottom="1134" w:left="1701" w:header="567" w:footer="284" w:gutter="0"/>
              <w:pgNumType w:start="1"/>
              <w:cols w:space="1296"/>
              <w:titlePg/>
              <w:docGrid w:linePitch="360"/>
            </w:sectPr>
          </w:pPr>
        </w:p>
        <w:p>
          <w:pPr>
            <w:shd w:val="clear" w:color="000000" w:fill="auto"/>
            <w:tabs>
              <w:tab w:val="left" w:pos="1304"/>
              <w:tab w:val="left" w:pos="1457"/>
              <w:tab w:val="left" w:pos="1604"/>
              <w:tab w:val="left" w:pos="1757"/>
            </w:tabs>
            <w:ind w:left="4535"/>
            <w:rPr>
              <w:szCs w:val="24"/>
            </w:rPr>
          </w:pPr>
          <w:r>
            <w:rPr>
              <w:szCs w:val="24"/>
            </w:rPr>
            <w:t>Forma patvirtinta</w:t>
          </w:r>
        </w:p>
        <w:p>
          <w:pPr>
            <w:shd w:val="clear" w:color="000000" w:fill="auto"/>
            <w:tabs>
              <w:tab w:val="left" w:pos="1304"/>
              <w:tab w:val="left" w:pos="1457"/>
              <w:tab w:val="left" w:pos="1604"/>
              <w:tab w:val="left" w:pos="1757"/>
            </w:tabs>
            <w:ind w:left="4535"/>
            <w:rPr>
              <w:szCs w:val="24"/>
            </w:rPr>
          </w:pPr>
          <w:r>
            <w:rPr>
              <w:szCs w:val="24"/>
            </w:rPr>
            <w:t xml:space="preserve">Lietuvos Respublikos aplinkos ministro </w:t>
          </w:r>
        </w:p>
        <w:p>
          <w:pPr>
            <w:shd w:val="clear" w:color="000000" w:fill="auto"/>
            <w:tabs>
              <w:tab w:val="left" w:pos="1304"/>
              <w:tab w:val="left" w:pos="1457"/>
              <w:tab w:val="left" w:pos="1604"/>
              <w:tab w:val="left" w:pos="1757"/>
            </w:tabs>
            <w:ind w:left="4535"/>
            <w:rPr>
              <w:szCs w:val="24"/>
            </w:rPr>
          </w:pPr>
          <w:r>
            <w:rPr>
              <w:szCs w:val="24"/>
            </w:rPr>
            <w:t>2011 m. kovo 4 d. įsakymu Nr. D1-201</w:t>
          </w:r>
        </w:p>
        <w:p>
          <w:pPr>
            <w:shd w:val="clear" w:color="000000" w:fill="auto"/>
            <w:tabs>
              <w:tab w:val="left" w:pos="1304"/>
              <w:tab w:val="left" w:pos="1457"/>
              <w:tab w:val="left" w:pos="1604"/>
              <w:tab w:val="left" w:pos="1757"/>
            </w:tabs>
            <w:rPr>
              <w:szCs w:val="24"/>
            </w:rPr>
          </w:pPr>
        </w:p>
        <w:p>
          <w:pPr>
            <w:shd w:val="clear" w:color="000000" w:fill="auto"/>
            <w:jc w:val="center"/>
            <w:rPr>
              <w:b/>
              <w:szCs w:val="24"/>
              <w:lang w:eastAsia="lt-LT"/>
            </w:rPr>
          </w:pPr>
          <w:sdt>
            <w:sdtPr>
              <w:alias w:val="Pavadinimas"/>
              <w:tag w:val="title_18388129c8bd4d7fa890c91bb9bb7505"/>
              <w:lock w:val="sdtLocked"/>
              <w:richText/>
            </w:sdtPr>
            <w:sdtContent>
              <w:r>
                <w:rPr>
                  <w:b/>
                  <w:szCs w:val="24"/>
                  <w:lang w:eastAsia="lt-LT"/>
                </w:rPr>
                <w:t>__________________________ SAVIVALDYBĖS ADMINISTRACIJA</w:t>
              </w:r>
            </w:sdtContent>
          </w:sdt>
        </w:p>
        <w:p>
          <w:pPr>
            <w:shd w:val="clear" w:color="000000" w:fill="auto"/>
            <w:jc w:val="center"/>
            <w:rPr>
              <w:sz w:val="22"/>
              <w:szCs w:val="24"/>
              <w:lang w:eastAsia="lt-LT"/>
            </w:rPr>
          </w:pPr>
          <w:r>
            <w:rPr>
              <w:sz w:val="22"/>
              <w:szCs w:val="24"/>
              <w:lang w:eastAsia="lt-LT"/>
            </w:rPr>
            <w:t>(savivaldybės pavadinimas)</w:t>
            <w:tab/>
            <w:tab/>
            <w:tab/>
            <w:tab/>
          </w:r>
        </w:p>
        <w:p>
          <w:pPr>
            <w:shd w:val="clear" w:color="000000" w:fill="auto"/>
            <w:tabs>
              <w:tab w:val="left" w:pos="1304"/>
              <w:tab w:val="left" w:pos="1457"/>
              <w:tab w:val="left" w:pos="1604"/>
              <w:tab w:val="left" w:pos="1757"/>
            </w:tabs>
            <w:rPr>
              <w:szCs w:val="24"/>
            </w:rPr>
          </w:pPr>
        </w:p>
        <w:p>
          <w:pPr>
            <w:shd w:val="clear" w:color="000000" w:fill="auto"/>
            <w:tabs>
              <w:tab w:val="left" w:pos="1304"/>
              <w:tab w:val="left" w:pos="1457"/>
              <w:tab w:val="left" w:pos="1604"/>
              <w:tab w:val="left" w:pos="1757"/>
            </w:tabs>
            <w:ind w:left="4535"/>
            <w:rPr>
              <w:szCs w:val="24"/>
            </w:rPr>
          </w:pPr>
          <w:r>
            <w:rPr>
              <w:szCs w:val="24"/>
            </w:rPr>
            <w:t>PATVIRTINTA</w:t>
          </w:r>
        </w:p>
        <w:p>
          <w:pPr>
            <w:shd w:val="clear" w:color="000000" w:fill="auto"/>
            <w:tabs>
              <w:tab w:val="left" w:pos="1304"/>
              <w:tab w:val="left" w:pos="1457"/>
              <w:tab w:val="left" w:pos="1604"/>
              <w:tab w:val="left" w:pos="1757"/>
            </w:tabs>
            <w:ind w:left="4535"/>
            <w:rPr>
              <w:szCs w:val="24"/>
            </w:rPr>
          </w:pPr>
          <w:r>
            <w:rPr>
              <w:szCs w:val="24"/>
            </w:rPr>
            <w:t>_________ miesto/rajono savivaldybės tarybos 20_ m. ___ _ d. sprendimu Nr. __</w:t>
          </w:r>
        </w:p>
        <w:p>
          <w:pPr>
            <w:shd w:val="clear" w:color="000000" w:fill="auto"/>
            <w:rPr>
              <w:szCs w:val="24"/>
              <w:lang w:eastAsia="lt-LT"/>
            </w:rPr>
          </w:pPr>
        </w:p>
        <w:p>
          <w:pPr>
            <w:shd w:val="clear" w:color="000000" w:fill="auto"/>
            <w:jc w:val="center"/>
            <w:rPr>
              <w:b/>
              <w:szCs w:val="24"/>
              <w:lang w:eastAsia="lt-LT"/>
            </w:rPr>
          </w:pPr>
          <w:r>
            <w:rPr>
              <w:b/>
              <w:szCs w:val="24"/>
              <w:lang w:eastAsia="lt-LT"/>
            </w:rPr>
            <w:t>SAVIVALDYBIŲ APLINKOS APSAUGOS RĖMIMO SPECIALIOSIOS PROGRAMOS ________ METŲ PRIEMONIŲ VYKDYMO ATASKAITA</w:t>
          </w:r>
        </w:p>
        <w:p>
          <w:pPr>
            <w:shd w:val="clear" w:color="000000" w:fill="auto"/>
            <w:jc w:val="both"/>
            <w:rPr>
              <w:b/>
              <w:szCs w:val="24"/>
            </w:rPr>
          </w:pPr>
        </w:p>
        <w:sdt>
          <w:sdtPr>
            <w:alias w:val="frm. 1 p."/>
            <w:tag w:val="part_d4d2a64f384a4d06946a6d2fba8c1095"/>
            <w:lock w:val="sdtLocked"/>
            <w:richText/>
          </w:sdtPr>
          <w:sdtContent>
            <w:p>
              <w:pPr>
                <w:ind w:firstLine="567"/>
                <w:jc w:val="both"/>
                <w:rPr>
                  <w:b/>
                  <w:szCs w:val="24"/>
                </w:rPr>
              </w:pPr>
              <w:sdt>
                <w:sdtPr>
                  <w:alias w:val="Numeris"/>
                  <w:tag w:val="nr_d4d2a64f384a4d06946a6d2fba8c1095"/>
                  <w:lock w:val="sdtLocked"/>
                  <w:richText/>
                </w:sdtPr>
                <w:sdtContent>
                  <w:r>
                    <w:rPr>
                      <w:b/>
                      <w:szCs w:val="24"/>
                    </w:rPr>
                    <w:t>1</w:t>
                  </w:r>
                </w:sdtContent>
              </w:sdt>
              <w:r>
                <w:rPr>
                  <w:b/>
                  <w:szCs w:val="24"/>
                </w:rPr>
                <w:t>. Informacija apie Savivaldybių aplinkos apsaugos rėmimo specialiosios programos (toliau – Programa) lėšas</w:t>
              </w:r>
            </w:p>
            <w:p>
              <w:pPr>
                <w:jc w:val="both"/>
                <w:rPr>
                  <w:b/>
                  <w:szCs w:val="24"/>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87"/>
                <w:gridCol w:w="6945"/>
                <w:gridCol w:w="1338"/>
              </w:tblGrid>
              <w:tr>
                <w:tc>
                  <w:tcPr>
                    <w:tcW w:w="796" w:type="dxa"/>
                  </w:tcPr>
                  <w:p>
                    <w:pPr>
                      <w:jc w:val="center"/>
                      <w:rPr>
                        <w:b/>
                        <w:sz w:val="22"/>
                        <w:szCs w:val="24"/>
                      </w:rPr>
                    </w:pPr>
                    <w:r>
                      <w:rPr>
                        <w:b/>
                        <w:sz w:val="22"/>
                        <w:szCs w:val="24"/>
                      </w:rPr>
                      <w:t>Eil. Nr.</w:t>
                    </w:r>
                  </w:p>
                </w:tc>
                <w:tc>
                  <w:tcPr>
                    <w:tcW w:w="7132" w:type="dxa"/>
                  </w:tcPr>
                  <w:p>
                    <w:pPr>
                      <w:ind w:firstLine="312"/>
                      <w:jc w:val="center"/>
                      <w:rPr>
                        <w:b/>
                        <w:sz w:val="22"/>
                        <w:szCs w:val="24"/>
                      </w:rPr>
                    </w:pPr>
                    <w:r>
                      <w:rPr>
                        <w:b/>
                        <w:sz w:val="22"/>
                        <w:szCs w:val="24"/>
                      </w:rPr>
                      <w:t>(1) Programos finansavimo šaltiniai</w:t>
                    </w:r>
                  </w:p>
                </w:tc>
                <w:tc>
                  <w:tcPr>
                    <w:tcW w:w="1360" w:type="dxa"/>
                  </w:tcPr>
                  <w:p>
                    <w:pPr>
                      <w:jc w:val="center"/>
                      <w:rPr>
                        <w:b/>
                        <w:sz w:val="22"/>
                        <w:szCs w:val="24"/>
                      </w:rPr>
                    </w:pPr>
                    <w:r>
                      <w:rPr>
                        <w:b/>
                        <w:sz w:val="22"/>
                        <w:szCs w:val="24"/>
                      </w:rPr>
                      <w:t>Lėšos Eur</w:t>
                    </w:r>
                  </w:p>
                </w:tc>
              </w:tr>
              <w:tr>
                <w:tc>
                  <w:tcPr>
                    <w:tcW w:w="796" w:type="dxa"/>
                  </w:tcPr>
                  <w:p>
                    <w:pPr>
                      <w:widowControl w:val="0"/>
                      <w:suppressAutoHyphens/>
                      <w:rPr>
                        <w:sz w:val="22"/>
                        <w:szCs w:val="24"/>
                      </w:rPr>
                    </w:pPr>
                    <w:r>
                      <w:rPr>
                        <w:sz w:val="22"/>
                        <w:szCs w:val="24"/>
                      </w:rPr>
                      <w:t>1.1.</w:t>
                    </w:r>
                  </w:p>
                </w:tc>
                <w:tc>
                  <w:tcPr>
                    <w:tcW w:w="7132" w:type="dxa"/>
                  </w:tcPr>
                  <w:p>
                    <w:pPr>
                      <w:widowControl w:val="0"/>
                      <w:suppressAutoHyphens/>
                      <w:rPr>
                        <w:sz w:val="22"/>
                        <w:szCs w:val="24"/>
                      </w:rPr>
                    </w:pPr>
                    <w:r>
                      <w:rPr>
                        <w:sz w:val="22"/>
                        <w:szCs w:val="24"/>
                      </w:rPr>
                      <w:t>Mokesčiai už teršalų išmetimą į aplinką</w:t>
                    </w:r>
                  </w:p>
                </w:tc>
                <w:tc>
                  <w:tcPr>
                    <w:tcW w:w="1360" w:type="dxa"/>
                  </w:tcPr>
                  <w:p>
                    <w:pPr>
                      <w:widowControl w:val="0"/>
                      <w:suppressAutoHyphens/>
                      <w:jc w:val="both"/>
                      <w:rPr>
                        <w:sz w:val="22"/>
                        <w:szCs w:val="24"/>
                      </w:rPr>
                    </w:pPr>
                  </w:p>
                </w:tc>
              </w:tr>
              <w:tr>
                <w:tc>
                  <w:tcPr>
                    <w:tcW w:w="796" w:type="dxa"/>
                  </w:tcPr>
                  <w:p>
                    <w:pPr>
                      <w:widowControl w:val="0"/>
                      <w:suppressAutoHyphens/>
                      <w:rPr>
                        <w:sz w:val="22"/>
                        <w:szCs w:val="24"/>
                      </w:rPr>
                    </w:pPr>
                    <w:r>
                      <w:rPr>
                        <w:sz w:val="22"/>
                        <w:szCs w:val="24"/>
                      </w:rPr>
                      <w:t>1.2.</w:t>
                    </w:r>
                  </w:p>
                </w:tc>
                <w:tc>
                  <w:tcPr>
                    <w:tcW w:w="7132" w:type="dxa"/>
                  </w:tcPr>
                  <w:p>
                    <w:pPr>
                      <w:widowControl w:val="0"/>
                      <w:suppressAutoHyphens/>
                      <w:rPr>
                        <w:sz w:val="22"/>
                        <w:szCs w:val="24"/>
                      </w:rPr>
                    </w:pPr>
                    <w:r>
                      <w:rPr>
                        <w:sz w:val="22"/>
                        <w:szCs w:val="24"/>
                      </w:rPr>
                      <w:t>Mokesčiai už valstybinius gamtos išteklius (naudingąsias iškasenas, vandenį, statybinį gruntą ir angliavandenilius)</w:t>
                    </w:r>
                  </w:p>
                </w:tc>
                <w:tc>
                  <w:tcPr>
                    <w:tcW w:w="1360" w:type="dxa"/>
                  </w:tcPr>
                  <w:p>
                    <w:pPr>
                      <w:widowControl w:val="0"/>
                      <w:suppressAutoHyphens/>
                      <w:jc w:val="both"/>
                      <w:rPr>
                        <w:sz w:val="22"/>
                        <w:szCs w:val="24"/>
                      </w:rPr>
                    </w:pPr>
                  </w:p>
                </w:tc>
              </w:tr>
              <w:tr>
                <w:tc>
                  <w:tcPr>
                    <w:tcW w:w="796" w:type="dxa"/>
                  </w:tcPr>
                  <w:p>
                    <w:pPr>
                      <w:widowControl w:val="0"/>
                      <w:suppressAutoHyphens/>
                      <w:rPr>
                        <w:sz w:val="22"/>
                        <w:szCs w:val="24"/>
                      </w:rPr>
                    </w:pPr>
                    <w:r>
                      <w:rPr>
                        <w:sz w:val="22"/>
                        <w:szCs w:val="24"/>
                      </w:rPr>
                      <w:t>1.3.</w:t>
                    </w:r>
                  </w:p>
                </w:tc>
                <w:tc>
                  <w:tcPr>
                    <w:tcW w:w="7132" w:type="dxa"/>
                  </w:tcPr>
                  <w:p>
                    <w:pPr>
                      <w:widowControl w:val="0"/>
                      <w:suppressAutoHyphens/>
                      <w:rPr>
                        <w:sz w:val="22"/>
                        <w:szCs w:val="24"/>
                      </w:rPr>
                    </w:pPr>
                    <w:r>
                      <w:rPr>
                        <w:sz w:val="22"/>
                        <w:szCs w:val="24"/>
                      </w:rPr>
                      <w:t>Lėšos, gautos kaip želdinių atkuriamosios vertės kompensacija</w:t>
                    </w:r>
                  </w:p>
                </w:tc>
                <w:tc>
                  <w:tcPr>
                    <w:tcW w:w="1360" w:type="dxa"/>
                  </w:tcPr>
                  <w:p>
                    <w:pPr>
                      <w:widowControl w:val="0"/>
                      <w:suppressAutoHyphens/>
                      <w:jc w:val="both"/>
                      <w:rPr>
                        <w:sz w:val="22"/>
                        <w:szCs w:val="24"/>
                      </w:rPr>
                    </w:pPr>
                  </w:p>
                </w:tc>
              </w:tr>
              <w:tr>
                <w:tc>
                  <w:tcPr>
                    <w:tcW w:w="796" w:type="dxa"/>
                  </w:tcPr>
                  <w:p>
                    <w:pPr>
                      <w:widowControl w:val="0"/>
                      <w:suppressAutoHyphens/>
                      <w:rPr>
                        <w:sz w:val="22"/>
                        <w:szCs w:val="24"/>
                      </w:rPr>
                    </w:pPr>
                    <w:r>
                      <w:rPr>
                        <w:sz w:val="22"/>
                        <w:szCs w:val="24"/>
                      </w:rPr>
                      <w:t>1.4.</w:t>
                    </w:r>
                  </w:p>
                </w:tc>
                <w:tc>
                  <w:tcPr>
                    <w:tcW w:w="7132" w:type="dxa"/>
                  </w:tcPr>
                  <w:p>
                    <w:pPr>
                      <w:widowControl w:val="0"/>
                      <w:suppressAutoHyphens/>
                      <w:rPr>
                        <w:sz w:val="22"/>
                        <w:szCs w:val="24"/>
                      </w:rPr>
                    </w:pPr>
                    <w:r>
                      <w:rPr>
                        <w:sz w:val="22"/>
                        <w:szCs w:val="24"/>
                      </w:rPr>
                      <w:t>Savanoriškos juridinių ir fizinių asmenų įmokos ir kitos teisėtai gautos lėšos</w:t>
                    </w:r>
                  </w:p>
                </w:tc>
                <w:tc>
                  <w:tcPr>
                    <w:tcW w:w="1360" w:type="dxa"/>
                  </w:tcPr>
                  <w:p>
                    <w:pPr>
                      <w:widowControl w:val="0"/>
                      <w:suppressAutoHyphens/>
                      <w:jc w:val="both"/>
                      <w:rPr>
                        <w:sz w:val="22"/>
                        <w:szCs w:val="24"/>
                      </w:rPr>
                    </w:pPr>
                  </w:p>
                </w:tc>
              </w:tr>
              <w:tr>
                <w:tc>
                  <w:tcPr>
                    <w:tcW w:w="796" w:type="dxa"/>
                  </w:tcPr>
                  <w:p>
                    <w:pPr>
                      <w:widowControl w:val="0"/>
                      <w:suppressAutoHyphens/>
                      <w:rPr>
                        <w:sz w:val="22"/>
                        <w:szCs w:val="24"/>
                      </w:rPr>
                    </w:pPr>
                    <w:r>
                      <w:rPr>
                        <w:sz w:val="22"/>
                        <w:szCs w:val="24"/>
                      </w:rPr>
                      <w:t>1.5.</w:t>
                    </w:r>
                  </w:p>
                </w:tc>
                <w:tc>
                  <w:tcPr>
                    <w:tcW w:w="7132" w:type="dxa"/>
                  </w:tcPr>
                  <w:p>
                    <w:pPr>
                      <w:widowControl w:val="0"/>
                      <w:suppressAutoHyphens/>
                      <w:rPr>
                        <w:sz w:val="22"/>
                        <w:szCs w:val="24"/>
                      </w:rPr>
                    </w:pPr>
                    <w:r>
                      <w:rPr>
                        <w:sz w:val="22"/>
                        <w:szCs w:val="24"/>
                      </w:rPr>
                      <w:t>Iš viso (1.1 + 1.2 + 1.3 + 1.4):</w:t>
                    </w:r>
                  </w:p>
                </w:tc>
                <w:tc>
                  <w:tcPr>
                    <w:tcW w:w="1360" w:type="dxa"/>
                  </w:tcPr>
                  <w:p>
                    <w:pPr>
                      <w:widowControl w:val="0"/>
                      <w:suppressAutoHyphens/>
                      <w:jc w:val="both"/>
                      <w:rPr>
                        <w:sz w:val="22"/>
                        <w:szCs w:val="24"/>
                      </w:rPr>
                    </w:pPr>
                  </w:p>
                </w:tc>
              </w:tr>
              <w:tr>
                <w:tc>
                  <w:tcPr>
                    <w:tcW w:w="796" w:type="dxa"/>
                  </w:tcPr>
                  <w:p>
                    <w:pPr>
                      <w:widowControl w:val="0"/>
                      <w:suppressAutoHyphens/>
                      <w:rPr>
                        <w:color w:val="000000"/>
                        <w:sz w:val="22"/>
                        <w:szCs w:val="24"/>
                      </w:rPr>
                    </w:pPr>
                    <w:r>
                      <w:rPr>
                        <w:color w:val="000000"/>
                        <w:sz w:val="22"/>
                        <w:szCs w:val="24"/>
                      </w:rPr>
                      <w:t>1.6.</w:t>
                    </w:r>
                  </w:p>
                </w:tc>
                <w:tc>
                  <w:tcPr>
                    <w:tcW w:w="7132" w:type="dxa"/>
                  </w:tcPr>
                  <w:p>
                    <w:pPr>
                      <w:widowControl w:val="0"/>
                      <w:suppressAutoHyphens/>
                      <w:rPr>
                        <w:color w:val="000000"/>
                        <w:sz w:val="22"/>
                        <w:szCs w:val="24"/>
                      </w:rPr>
                    </w:pPr>
                    <w:r>
                      <w:rPr>
                        <w:sz w:val="22"/>
                        <w:szCs w:val="24"/>
                      </w:rPr>
                      <w:t>Mokesčiai, sumokėti už medžiojamųjų gyvūnų išteklių naudojimą</w:t>
                    </w:r>
                  </w:p>
                </w:tc>
                <w:tc>
                  <w:tcPr>
                    <w:tcW w:w="1360" w:type="dxa"/>
                  </w:tcPr>
                  <w:p>
                    <w:pPr>
                      <w:widowControl w:val="0"/>
                      <w:suppressAutoHyphens/>
                      <w:jc w:val="both"/>
                      <w:rPr>
                        <w:sz w:val="22"/>
                        <w:szCs w:val="24"/>
                      </w:rPr>
                    </w:pPr>
                  </w:p>
                </w:tc>
              </w:tr>
              <w:tr>
                <w:tc>
                  <w:tcPr>
                    <w:tcW w:w="796" w:type="dxa"/>
                  </w:tcPr>
                  <w:p>
                    <w:pPr>
                      <w:widowControl w:val="0"/>
                      <w:suppressAutoHyphens/>
                      <w:rPr>
                        <w:color w:val="000000"/>
                        <w:sz w:val="22"/>
                        <w:szCs w:val="24"/>
                      </w:rPr>
                    </w:pPr>
                    <w:r>
                      <w:rPr>
                        <w:color w:val="000000"/>
                        <w:sz w:val="22"/>
                        <w:szCs w:val="24"/>
                      </w:rPr>
                      <w:t>1.7.</w:t>
                    </w:r>
                  </w:p>
                </w:tc>
                <w:tc>
                  <w:tcPr>
                    <w:tcW w:w="7132" w:type="dxa"/>
                  </w:tcPr>
                  <w:p>
                    <w:pPr>
                      <w:widowControl w:val="0"/>
                      <w:suppressAutoHyphens/>
                      <w:rPr>
                        <w:color w:val="000000"/>
                        <w:sz w:val="22"/>
                        <w:szCs w:val="24"/>
                      </w:rPr>
                    </w:pPr>
                    <w:r>
                      <w:rPr>
                        <w:sz w:val="22"/>
                        <w:szCs w:val="24"/>
                      </w:rPr>
                      <w:t xml:space="preserve">Ankstesnio ataskaitinio laikotarpio ataskaitos atitinkamų lėšų likutis </w:t>
                    </w:r>
                  </w:p>
                </w:tc>
                <w:tc>
                  <w:tcPr>
                    <w:tcW w:w="1360" w:type="dxa"/>
                  </w:tcPr>
                  <w:p>
                    <w:pPr>
                      <w:widowControl w:val="0"/>
                      <w:suppressAutoHyphens/>
                      <w:jc w:val="both"/>
                      <w:rPr>
                        <w:sz w:val="22"/>
                        <w:szCs w:val="24"/>
                      </w:rPr>
                    </w:pPr>
                  </w:p>
                </w:tc>
              </w:tr>
              <w:tr>
                <w:tc>
                  <w:tcPr>
                    <w:tcW w:w="796" w:type="dxa"/>
                  </w:tcPr>
                  <w:p>
                    <w:pPr>
                      <w:widowControl w:val="0"/>
                      <w:suppressAutoHyphens/>
                      <w:rPr>
                        <w:sz w:val="22"/>
                        <w:szCs w:val="24"/>
                      </w:rPr>
                    </w:pPr>
                    <w:r>
                      <w:rPr>
                        <w:sz w:val="22"/>
                        <w:szCs w:val="24"/>
                      </w:rPr>
                      <w:t>1.8.</w:t>
                    </w:r>
                  </w:p>
                </w:tc>
                <w:tc>
                  <w:tcPr>
                    <w:tcW w:w="7132" w:type="dxa"/>
                  </w:tcPr>
                  <w:p>
                    <w:pPr>
                      <w:widowControl w:val="0"/>
                      <w:suppressAutoHyphens/>
                      <w:rPr>
                        <w:sz w:val="22"/>
                        <w:szCs w:val="24"/>
                      </w:rPr>
                    </w:pPr>
                    <w:r>
                      <w:rPr>
                        <w:sz w:val="22"/>
                        <w:szCs w:val="24"/>
                      </w:rPr>
                      <w:t>Iš viso (1.6 + 1.7):</w:t>
                    </w:r>
                  </w:p>
                </w:tc>
                <w:tc>
                  <w:tcPr>
                    <w:tcW w:w="1360" w:type="dxa"/>
                  </w:tcPr>
                  <w:p>
                    <w:pPr>
                      <w:widowControl w:val="0"/>
                      <w:suppressAutoHyphens/>
                      <w:jc w:val="both"/>
                      <w:rPr>
                        <w:sz w:val="22"/>
                        <w:szCs w:val="24"/>
                      </w:rPr>
                    </w:pPr>
                  </w:p>
                </w:tc>
              </w:tr>
              <w:tr>
                <w:tc>
                  <w:tcPr>
                    <w:tcW w:w="796" w:type="dxa"/>
                  </w:tcPr>
                  <w:p>
                    <w:pPr>
                      <w:widowControl w:val="0"/>
                      <w:suppressAutoHyphens/>
                      <w:rPr>
                        <w:sz w:val="22"/>
                        <w:szCs w:val="24"/>
                      </w:rPr>
                    </w:pPr>
                    <w:r>
                      <w:rPr>
                        <w:sz w:val="22"/>
                        <w:szCs w:val="24"/>
                      </w:rPr>
                      <w:t>1.9.</w:t>
                    </w:r>
                  </w:p>
                </w:tc>
                <w:tc>
                  <w:tcPr>
                    <w:tcW w:w="7132" w:type="dxa"/>
                  </w:tcPr>
                  <w:p>
                    <w:pPr>
                      <w:widowControl w:val="0"/>
                      <w:suppressAutoHyphens/>
                      <w:rPr>
                        <w:sz w:val="22"/>
                        <w:szCs w:val="24"/>
                      </w:rPr>
                    </w:pPr>
                    <w:r>
                      <w:rPr>
                        <w:sz w:val="22"/>
                        <w:szCs w:val="24"/>
                      </w:rPr>
                      <w:t>Faktinės ataskaitinio laikotarpio Programos lėšos (1.5 + 1.8)</w:t>
                    </w:r>
                  </w:p>
                </w:tc>
                <w:tc>
                  <w:tcPr>
                    <w:tcW w:w="1360" w:type="dxa"/>
                  </w:tcPr>
                  <w:p>
                    <w:pPr>
                      <w:widowControl w:val="0"/>
                      <w:suppressAutoHyphens/>
                      <w:jc w:val="both"/>
                      <w:rPr>
                        <w:sz w:val="22"/>
                        <w:szCs w:val="24"/>
                      </w:rPr>
                    </w:pPr>
                  </w:p>
                </w:tc>
              </w:tr>
            </w:tbl>
            <w:p>
              <w:pPr>
                <w:jc w:val="both"/>
                <w:rPr>
                  <w:b/>
                  <w:szCs w:val="24"/>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95"/>
                <w:gridCol w:w="7057"/>
                <w:gridCol w:w="1318"/>
              </w:tblGrid>
              <w:tr>
                <w:trPr>
                  <w:tblHeader/>
                </w:trPr>
                <w:tc>
                  <w:tcPr>
                    <w:tcW w:w="696" w:type="dxa"/>
                  </w:tcPr>
                  <w:p>
                    <w:pPr>
                      <w:jc w:val="center"/>
                      <w:rPr>
                        <w:b/>
                        <w:sz w:val="22"/>
                        <w:szCs w:val="24"/>
                      </w:rPr>
                    </w:pPr>
                    <w:r>
                      <w:rPr>
                        <w:b/>
                        <w:sz w:val="22"/>
                        <w:szCs w:val="24"/>
                      </w:rPr>
                      <w:t>Eil. Nr.</w:t>
                    </w:r>
                  </w:p>
                </w:tc>
                <w:tc>
                  <w:tcPr>
                    <w:tcW w:w="7255" w:type="dxa"/>
                  </w:tcPr>
                  <w:p>
                    <w:pPr>
                      <w:ind w:firstLine="312"/>
                      <w:jc w:val="center"/>
                      <w:rPr>
                        <w:b/>
                        <w:sz w:val="22"/>
                        <w:szCs w:val="24"/>
                      </w:rPr>
                    </w:pPr>
                    <w:r>
                      <w:rPr>
                        <w:b/>
                        <w:color w:val="000000"/>
                        <w:sz w:val="22"/>
                        <w:szCs w:val="24"/>
                      </w:rPr>
                      <w:t>(2) Savivaldybės visuomenės sveikatos rėmimo specialiajai programai skirtinos lėšos</w:t>
                    </w:r>
                  </w:p>
                </w:tc>
                <w:tc>
                  <w:tcPr>
                    <w:tcW w:w="1337" w:type="dxa"/>
                  </w:tcPr>
                  <w:p>
                    <w:pPr>
                      <w:jc w:val="center"/>
                      <w:rPr>
                        <w:b/>
                        <w:sz w:val="22"/>
                        <w:szCs w:val="24"/>
                      </w:rPr>
                    </w:pPr>
                    <w:r>
                      <w:rPr>
                        <w:b/>
                        <w:sz w:val="22"/>
                        <w:szCs w:val="24"/>
                      </w:rPr>
                      <w:t>Lėšos, Eur</w:t>
                    </w:r>
                  </w:p>
                </w:tc>
              </w:tr>
              <w:tr>
                <w:tc>
                  <w:tcPr>
                    <w:tcW w:w="696" w:type="dxa"/>
                  </w:tcPr>
                  <w:p>
                    <w:pPr>
                      <w:widowControl w:val="0"/>
                      <w:suppressAutoHyphens/>
                      <w:rPr>
                        <w:sz w:val="22"/>
                        <w:szCs w:val="24"/>
                      </w:rPr>
                    </w:pPr>
                    <w:r>
                      <w:rPr>
                        <w:sz w:val="22"/>
                        <w:szCs w:val="24"/>
                      </w:rPr>
                      <w:t>1.10.</w:t>
                    </w:r>
                  </w:p>
                </w:tc>
                <w:tc>
                  <w:tcPr>
                    <w:tcW w:w="7255" w:type="dxa"/>
                  </w:tcPr>
                  <w:p>
                    <w:pPr>
                      <w:widowControl w:val="0"/>
                      <w:suppressAutoHyphens/>
                      <w:rPr>
                        <w:sz w:val="22"/>
                        <w:szCs w:val="24"/>
                      </w:rPr>
                    </w:pPr>
                    <w:r>
                      <w:rPr>
                        <w:sz w:val="22"/>
                        <w:szCs w:val="24"/>
                      </w:rPr>
                      <w:t xml:space="preserve">20 procentų Savivaldybių aplinkos apsaugos rėmimo specialiosios programos lėšų, neįskaitant įplaukų už </w:t>
                    </w:r>
                    <w:r>
                      <w:rPr>
                        <w:color w:val="000000"/>
                        <w:sz w:val="22"/>
                        <w:szCs w:val="24"/>
                      </w:rPr>
                      <w:t>medžioklės plotų naudotojų mokesčius, mokamus įstatymų nustatytomis proporcijomis ir tvarka už medžiojamųjų gyvūnų išteklių naudojimą</w:t>
                    </w:r>
                  </w:p>
                </w:tc>
                <w:tc>
                  <w:tcPr>
                    <w:tcW w:w="1337" w:type="dxa"/>
                  </w:tcPr>
                  <w:p>
                    <w:pPr>
                      <w:widowControl w:val="0"/>
                      <w:suppressAutoHyphens/>
                      <w:jc w:val="both"/>
                      <w:rPr>
                        <w:sz w:val="22"/>
                        <w:szCs w:val="24"/>
                      </w:rPr>
                    </w:pPr>
                  </w:p>
                </w:tc>
              </w:tr>
              <w:tr>
                <w:tc>
                  <w:tcPr>
                    <w:tcW w:w="696" w:type="dxa"/>
                  </w:tcPr>
                  <w:p>
                    <w:pPr>
                      <w:widowControl w:val="0"/>
                      <w:suppressAutoHyphens/>
                      <w:rPr>
                        <w:sz w:val="22"/>
                        <w:szCs w:val="24"/>
                      </w:rPr>
                    </w:pPr>
                    <w:r>
                      <w:rPr>
                        <w:sz w:val="22"/>
                        <w:szCs w:val="24"/>
                      </w:rPr>
                      <w:t>1.11.</w:t>
                    </w:r>
                  </w:p>
                </w:tc>
                <w:tc>
                  <w:tcPr>
                    <w:tcW w:w="7255" w:type="dxa"/>
                  </w:tcPr>
                  <w:p>
                    <w:pPr>
                      <w:widowControl w:val="0"/>
                      <w:suppressAutoHyphens/>
                      <w:rPr>
                        <w:sz w:val="22"/>
                        <w:szCs w:val="24"/>
                      </w:rPr>
                    </w:pPr>
                    <w:r>
                      <w:rPr>
                        <w:sz w:val="22"/>
                        <w:szCs w:val="24"/>
                      </w:rPr>
                      <w:t xml:space="preserve">Ankstesnio ataskaitinio laikotarpio ataskaitos atitinkamų lėšų likutis </w:t>
                    </w:r>
                  </w:p>
                </w:tc>
                <w:tc>
                  <w:tcPr>
                    <w:tcW w:w="1337" w:type="dxa"/>
                  </w:tcPr>
                  <w:p>
                    <w:pPr>
                      <w:widowControl w:val="0"/>
                      <w:suppressAutoHyphens/>
                      <w:jc w:val="both"/>
                      <w:rPr>
                        <w:sz w:val="22"/>
                        <w:szCs w:val="24"/>
                      </w:rPr>
                    </w:pPr>
                  </w:p>
                </w:tc>
              </w:tr>
              <w:tr>
                <w:tc>
                  <w:tcPr>
                    <w:tcW w:w="696" w:type="dxa"/>
                  </w:tcPr>
                  <w:p>
                    <w:pPr>
                      <w:widowControl w:val="0"/>
                      <w:suppressAutoHyphens/>
                      <w:rPr>
                        <w:sz w:val="22"/>
                        <w:szCs w:val="24"/>
                      </w:rPr>
                    </w:pPr>
                    <w:r>
                      <w:rPr>
                        <w:sz w:val="22"/>
                        <w:szCs w:val="24"/>
                      </w:rPr>
                      <w:t>1.12.</w:t>
                    </w:r>
                  </w:p>
                </w:tc>
                <w:tc>
                  <w:tcPr>
                    <w:tcW w:w="7255" w:type="dxa"/>
                  </w:tcPr>
                  <w:p>
                    <w:pPr>
                      <w:widowControl w:val="0"/>
                      <w:suppressAutoHyphens/>
                      <w:rPr>
                        <w:sz w:val="22"/>
                        <w:szCs w:val="24"/>
                      </w:rPr>
                    </w:pPr>
                    <w:r>
                      <w:rPr>
                        <w:sz w:val="22"/>
                        <w:szCs w:val="24"/>
                      </w:rPr>
                      <w:t>Iš viso (1.10 + 1.11):</w:t>
                    </w:r>
                  </w:p>
                </w:tc>
                <w:tc>
                  <w:tcPr>
                    <w:tcW w:w="1337" w:type="dxa"/>
                  </w:tcPr>
                  <w:p>
                    <w:pPr>
                      <w:widowControl w:val="0"/>
                      <w:suppressAutoHyphens/>
                      <w:jc w:val="both"/>
                      <w:rPr>
                        <w:sz w:val="22"/>
                        <w:szCs w:val="24"/>
                      </w:rPr>
                    </w:pPr>
                  </w:p>
                </w:tc>
              </w:tr>
            </w:tbl>
            <w:p>
              <w:pPr>
                <w:jc w:val="both"/>
                <w:rPr>
                  <w:szCs w:val="24"/>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95"/>
                <w:gridCol w:w="7057"/>
                <w:gridCol w:w="1318"/>
              </w:tblGrid>
              <w:tr>
                <w:tc>
                  <w:tcPr>
                    <w:tcW w:w="696" w:type="dxa"/>
                  </w:tcPr>
                  <w:p>
                    <w:pPr>
                      <w:widowControl w:val="0"/>
                      <w:suppressAutoHyphens/>
                      <w:jc w:val="both"/>
                      <w:rPr>
                        <w:b/>
                        <w:sz w:val="22"/>
                        <w:szCs w:val="24"/>
                      </w:rPr>
                    </w:pPr>
                    <w:r>
                      <w:rPr>
                        <w:b/>
                        <w:sz w:val="22"/>
                        <w:szCs w:val="24"/>
                      </w:rPr>
                      <w:t>Eil. Nr.</w:t>
                    </w:r>
                  </w:p>
                </w:tc>
                <w:tc>
                  <w:tcPr>
                    <w:tcW w:w="7255" w:type="dxa"/>
                  </w:tcPr>
                  <w:p>
                    <w:pPr>
                      <w:ind w:firstLine="312"/>
                      <w:jc w:val="center"/>
                      <w:rPr>
                        <w:b/>
                        <w:sz w:val="22"/>
                        <w:szCs w:val="24"/>
                      </w:rPr>
                    </w:pPr>
                    <w:r>
                      <w:rPr>
                        <w:b/>
                        <w:sz w:val="22"/>
                        <w:szCs w:val="24"/>
                      </w:rPr>
                      <w:t>(3) Kitoms Programos priemonėms skirtinos lėšos</w:t>
                    </w:r>
                  </w:p>
                </w:tc>
                <w:tc>
                  <w:tcPr>
                    <w:tcW w:w="1337" w:type="dxa"/>
                  </w:tcPr>
                  <w:p>
                    <w:pPr>
                      <w:jc w:val="center"/>
                      <w:rPr>
                        <w:b/>
                        <w:sz w:val="22"/>
                        <w:szCs w:val="24"/>
                      </w:rPr>
                    </w:pPr>
                    <w:r>
                      <w:rPr>
                        <w:b/>
                        <w:sz w:val="22"/>
                        <w:szCs w:val="24"/>
                      </w:rPr>
                      <w:t>Lėšos, Eur</w:t>
                    </w:r>
                  </w:p>
                </w:tc>
              </w:tr>
              <w:tr>
                <w:tc>
                  <w:tcPr>
                    <w:tcW w:w="696" w:type="dxa"/>
                  </w:tcPr>
                  <w:p>
                    <w:pPr>
                      <w:widowControl w:val="0"/>
                      <w:suppressAutoHyphens/>
                      <w:rPr>
                        <w:sz w:val="22"/>
                        <w:szCs w:val="24"/>
                      </w:rPr>
                    </w:pPr>
                    <w:r>
                      <w:rPr>
                        <w:sz w:val="22"/>
                        <w:szCs w:val="24"/>
                      </w:rPr>
                      <w:t>1.13.</w:t>
                    </w:r>
                  </w:p>
                </w:tc>
                <w:tc>
                  <w:tcPr>
                    <w:tcW w:w="7255" w:type="dxa"/>
                  </w:tcPr>
                  <w:p>
                    <w:pPr>
                      <w:widowControl w:val="0"/>
                      <w:suppressAutoHyphens/>
                      <w:rPr>
                        <w:sz w:val="22"/>
                        <w:szCs w:val="24"/>
                      </w:rPr>
                    </w:pPr>
                    <w:r>
                      <w:rPr>
                        <w:sz w:val="22"/>
                        <w:szCs w:val="24"/>
                      </w:rPr>
                      <w:t xml:space="preserve">80 procentų Savivaldybių aplinkos apsaugos rėmimo specialiosios programos lėšų, neįskaitant įplaukų už </w:t>
                    </w:r>
                    <w:r>
                      <w:rPr>
                        <w:color w:val="000000"/>
                        <w:sz w:val="22"/>
                        <w:szCs w:val="24"/>
                      </w:rPr>
                      <w:t>medžioklės plotų naudotojų mokesčius, mokamus įstatymų nustatytomis proporcijomis ir tvarka už medžiojamųjų gyvūnų išteklių naudojimą</w:t>
                    </w:r>
                  </w:p>
                </w:tc>
                <w:tc>
                  <w:tcPr>
                    <w:tcW w:w="1337" w:type="dxa"/>
                  </w:tcPr>
                  <w:p>
                    <w:pPr>
                      <w:widowControl w:val="0"/>
                      <w:suppressAutoHyphens/>
                      <w:jc w:val="both"/>
                      <w:rPr>
                        <w:sz w:val="22"/>
                        <w:szCs w:val="24"/>
                      </w:rPr>
                    </w:pPr>
                  </w:p>
                </w:tc>
              </w:tr>
              <w:tr>
                <w:tc>
                  <w:tcPr>
                    <w:tcW w:w="696" w:type="dxa"/>
                  </w:tcPr>
                  <w:p>
                    <w:pPr>
                      <w:widowControl w:val="0"/>
                      <w:suppressAutoHyphens/>
                      <w:rPr>
                        <w:sz w:val="22"/>
                        <w:szCs w:val="24"/>
                      </w:rPr>
                    </w:pPr>
                    <w:r>
                      <w:rPr>
                        <w:sz w:val="22"/>
                        <w:szCs w:val="24"/>
                      </w:rPr>
                      <w:t>1.14.</w:t>
                    </w:r>
                  </w:p>
                </w:tc>
                <w:tc>
                  <w:tcPr>
                    <w:tcW w:w="7255" w:type="dxa"/>
                  </w:tcPr>
                  <w:p>
                    <w:pPr>
                      <w:widowControl w:val="0"/>
                      <w:suppressAutoHyphens/>
                      <w:rPr>
                        <w:sz w:val="22"/>
                        <w:szCs w:val="24"/>
                      </w:rPr>
                    </w:pPr>
                    <w:r>
                      <w:rPr>
                        <w:sz w:val="22"/>
                        <w:szCs w:val="24"/>
                      </w:rPr>
                      <w:t xml:space="preserve">Ankstesnio ataskaitinio laikotarpio ataskaitos atitinkamų lėšų likutis </w:t>
                    </w:r>
                  </w:p>
                </w:tc>
                <w:tc>
                  <w:tcPr>
                    <w:tcW w:w="1337" w:type="dxa"/>
                  </w:tcPr>
                  <w:p>
                    <w:pPr>
                      <w:widowControl w:val="0"/>
                      <w:suppressAutoHyphens/>
                      <w:jc w:val="both"/>
                      <w:rPr>
                        <w:sz w:val="22"/>
                        <w:szCs w:val="24"/>
                      </w:rPr>
                    </w:pPr>
                  </w:p>
                </w:tc>
              </w:tr>
              <w:tr>
                <w:tc>
                  <w:tcPr>
                    <w:tcW w:w="696" w:type="dxa"/>
                  </w:tcPr>
                  <w:p>
                    <w:pPr>
                      <w:widowControl w:val="0"/>
                      <w:suppressAutoHyphens/>
                      <w:rPr>
                        <w:sz w:val="22"/>
                        <w:szCs w:val="24"/>
                      </w:rPr>
                    </w:pPr>
                    <w:r>
                      <w:rPr>
                        <w:sz w:val="22"/>
                        <w:szCs w:val="24"/>
                      </w:rPr>
                      <w:t>1.15.</w:t>
                    </w:r>
                  </w:p>
                </w:tc>
                <w:tc>
                  <w:tcPr>
                    <w:tcW w:w="7255" w:type="dxa"/>
                  </w:tcPr>
                  <w:p>
                    <w:pPr>
                      <w:widowControl w:val="0"/>
                      <w:suppressAutoHyphens/>
                      <w:rPr>
                        <w:sz w:val="22"/>
                        <w:szCs w:val="24"/>
                      </w:rPr>
                    </w:pPr>
                    <w:r>
                      <w:rPr>
                        <w:sz w:val="22"/>
                        <w:szCs w:val="24"/>
                      </w:rPr>
                      <w:t>Iš viso (1.13 + 1.14):</w:t>
                    </w:r>
                  </w:p>
                </w:tc>
                <w:tc>
                  <w:tcPr>
                    <w:tcW w:w="1337" w:type="dxa"/>
                  </w:tcPr>
                  <w:p>
                    <w:pPr>
                      <w:widowControl w:val="0"/>
                      <w:suppressAutoHyphens/>
                      <w:jc w:val="both"/>
                      <w:rPr>
                        <w:sz w:val="22"/>
                        <w:szCs w:val="24"/>
                      </w:rPr>
                    </w:pPr>
                  </w:p>
                </w:tc>
              </w:tr>
            </w:tbl>
            <w:p>
              <w:pPr>
                <w:jc w:val="both"/>
                <w:rPr>
                  <w:szCs w:val="24"/>
                </w:rPr>
              </w:pP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8a2160506611e4a698d921e3e46801">
                <w:r w:rsidRPr="00532B9F">
                  <w:rPr>
                    <w:rFonts w:ascii="Times New Roman" w:eastAsia="MS Mincho" w:hAnsi="Times New Roman"/>
                    <w:sz w:val="20"/>
                    <w:i/>
                    <w:iCs/>
                    <w:color w:val="0000FF" w:themeColor="hyperlink"/>
                    <w:u w:val="single"/>
                  </w:rPr>
                  <w:t>D1-814</w:t>
                </w:r>
              </w:fldSimple>
              <w:r>
                <w:rPr>
                  <w:rFonts w:ascii="Times New Roman" w:eastAsia="MS Mincho" w:hAnsi="Times New Roman"/>
                  <w:sz w:val="20"/>
                  <w:i/>
                  <w:iCs/>
                </w:rPr>
                <w:t>,
2014-10-08,
paskelbta TAR 2014-10-10, i. k. 2014-13957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0e1882503311e7846ef01bfffb9b64">
                <w:r w:rsidRPr="00532B9F">
                  <w:rPr>
                    <w:rFonts w:ascii="Times New Roman" w:eastAsia="MS Mincho" w:hAnsi="Times New Roman"/>
                    <w:sz w:val="20"/>
                    <w:i/>
                    <w:iCs/>
                    <w:color w:val="0000FF" w:themeColor="hyperlink"/>
                    <w:u w:val="single"/>
                  </w:rPr>
                  <w:t>D1-503</w:t>
                </w:r>
              </w:fldSimple>
              <w:r>
                <w:rPr>
                  <w:rFonts w:ascii="Times New Roman" w:eastAsia="MS Mincho" w:hAnsi="Times New Roman"/>
                  <w:sz w:val="20"/>
                  <w:i/>
                  <w:iCs/>
                </w:rPr>
                <w:t>,
2017-06-12,
paskelbta TAR 2017-06-13, i. k. 2017-09954            </w:t>
              </w:r>
            </w:p>
            <w:p/>
          </w:sdtContent>
        </w:sdt>
        <w:sdt>
          <w:sdtPr>
            <w:alias w:val="frm. 2 p."/>
            <w:tag w:val="part_5fcd62ff4d7043f7b03725caceea796b"/>
            <w:lock w:val="sdtLocked"/>
            <w:richText/>
          </w:sdtPr>
          <w:sdtContent>
            <w:p>
              <w:pPr>
                <w:ind w:firstLine="567"/>
                <w:jc w:val="both"/>
                <w:rPr>
                  <w:b/>
                  <w:szCs w:val="24"/>
                  <w:lang w:eastAsia="lt-LT"/>
                </w:rPr>
              </w:pPr>
              <w:sdt>
                <w:sdtPr>
                  <w:alias w:val="Numeris"/>
                  <w:tag w:val="nr_5fcd62ff4d7043f7b03725caceea796b"/>
                  <w:lock w:val="sdtLocked"/>
                  <w:richText/>
                </w:sdtPr>
                <w:sdtContent>
                  <w:r>
                    <w:rPr>
                      <w:b/>
                      <w:szCs w:val="24"/>
                      <w:lang w:eastAsia="lt-LT"/>
                    </w:rPr>
                    <w:t>2</w:t>
                  </w:r>
                </w:sdtContent>
              </w:sdt>
              <w:r>
                <w:rPr>
                  <w:b/>
                  <w:szCs w:val="24"/>
                  <w:lang w:eastAsia="lt-LT"/>
                </w:rPr>
                <w:t>. Priemonės, kurioms finansuoti naudojamos lėšos, surinktos už medžiojamųjų gyvūnų išteklių naudojimą</w:t>
              </w:r>
            </w:p>
            <w:p>
              <w:pPr>
                <w:jc w:val="both"/>
                <w:rPr>
                  <w:szCs w:val="24"/>
                  <w:lang w:eastAsia="lt-LT"/>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55"/>
                <w:gridCol w:w="2475"/>
                <w:gridCol w:w="4472"/>
                <w:gridCol w:w="1368"/>
              </w:tblGrid>
              <w:tr>
                <w:tc>
                  <w:tcPr>
                    <w:tcW w:w="756" w:type="dxa"/>
                  </w:tcPr>
                  <w:p>
                    <w:pPr>
                      <w:widowControl w:val="0"/>
                      <w:suppressAutoHyphens/>
                      <w:jc w:val="center"/>
                      <w:rPr>
                        <w:b/>
                        <w:sz w:val="22"/>
                        <w:szCs w:val="24"/>
                      </w:rPr>
                    </w:pPr>
                    <w:r>
                      <w:rPr>
                        <w:b/>
                        <w:sz w:val="22"/>
                        <w:szCs w:val="24"/>
                      </w:rPr>
                      <w:t>Eil. Nr.</w:t>
                    </w:r>
                  </w:p>
                </w:tc>
                <w:tc>
                  <w:tcPr>
                    <w:tcW w:w="2527" w:type="dxa"/>
                  </w:tcPr>
                  <w:p>
                    <w:pPr>
                      <w:widowControl w:val="0"/>
                      <w:suppressAutoHyphens/>
                      <w:jc w:val="center"/>
                      <w:rPr>
                        <w:sz w:val="22"/>
                        <w:szCs w:val="24"/>
                      </w:rPr>
                    </w:pPr>
                    <w:r>
                      <w:rPr>
                        <w:b/>
                        <w:color w:val="000000"/>
                        <w:sz w:val="22"/>
                        <w:szCs w:val="24"/>
                      </w:rPr>
                      <w:t>Priemonės pavadinimas</w:t>
                    </w:r>
                  </w:p>
                </w:tc>
                <w:tc>
                  <w:tcPr>
                    <w:tcW w:w="4630" w:type="dxa"/>
                  </w:tcPr>
                  <w:p>
                    <w:pPr>
                      <w:widowControl w:val="0"/>
                      <w:suppressAutoHyphens/>
                      <w:jc w:val="center"/>
                      <w:rPr>
                        <w:b/>
                        <w:sz w:val="22"/>
                        <w:szCs w:val="24"/>
                      </w:rPr>
                    </w:pPr>
                    <w:r>
                      <w:rPr>
                        <w:b/>
                        <w:sz w:val="22"/>
                        <w:szCs w:val="24"/>
                      </w:rPr>
                      <w:t>Detalus priemonės vykdymo aprašymas</w:t>
                    </w:r>
                  </w:p>
                </w:tc>
                <w:tc>
                  <w:tcPr>
                    <w:tcW w:w="1375" w:type="dxa"/>
                  </w:tcPr>
                  <w:p>
                    <w:pPr>
                      <w:widowControl w:val="0"/>
                      <w:suppressAutoHyphens/>
                      <w:jc w:val="center"/>
                      <w:rPr>
                        <w:b/>
                        <w:sz w:val="22"/>
                        <w:szCs w:val="24"/>
                      </w:rPr>
                    </w:pPr>
                    <w:r>
                      <w:rPr>
                        <w:b/>
                        <w:sz w:val="22"/>
                        <w:szCs w:val="24"/>
                      </w:rPr>
                      <w:t>Panaudota lėšų, Eur</w:t>
                    </w:r>
                  </w:p>
                </w:tc>
              </w:tr>
              <w:tr>
                <w:tc>
                  <w:tcPr>
                    <w:tcW w:w="756" w:type="dxa"/>
                  </w:tcPr>
                  <w:p>
                    <w:pPr>
                      <w:widowControl w:val="0"/>
                      <w:suppressAutoHyphens/>
                      <w:rPr>
                        <w:sz w:val="22"/>
                        <w:szCs w:val="24"/>
                      </w:rPr>
                    </w:pPr>
                    <w:r>
                      <w:rPr>
                        <w:sz w:val="22"/>
                        <w:szCs w:val="24"/>
                      </w:rPr>
                      <w:t>2.1.</w:t>
                    </w:r>
                  </w:p>
                </w:tc>
                <w:tc>
                  <w:tcPr>
                    <w:tcW w:w="7157" w:type="dxa"/>
                    <w:gridSpan w:val="2"/>
                  </w:tcPr>
                  <w:p>
                    <w:pPr>
                      <w:widowControl w:val="0"/>
                      <w:suppressAutoHyphens/>
                      <w:ind w:firstLine="205"/>
                      <w:rPr>
                        <w:sz w:val="22"/>
                        <w:szCs w:val="24"/>
                      </w:rPr>
                    </w:pPr>
                    <w:r>
                      <w:rPr>
                        <w:sz w:val="22"/>
                        <w:szCs w:val="24"/>
                      </w:rPr>
                      <w:t>Žemės sklypų, kuriuose medžioklė nėra uždrausta, savininkų, valdytojų ir naudotojų, įgyvendinamos žalos prevencijos priemonės, kuriomis jie siekia išvengti medžiojamųjų gyvūnų daromos žalos</w:t>
                    </w:r>
                  </w:p>
                </w:tc>
                <w:tc>
                  <w:tcPr>
                    <w:tcW w:w="1375" w:type="dxa"/>
                  </w:tcPr>
                  <w:p>
                    <w:pPr>
                      <w:widowControl w:val="0"/>
                      <w:suppressAutoHyphens/>
                      <w:jc w:val="both"/>
                      <w:rPr>
                        <w:sz w:val="22"/>
                        <w:szCs w:val="24"/>
                      </w:rPr>
                    </w:pPr>
                  </w:p>
                </w:tc>
              </w:tr>
              <w:tr>
                <w:tc>
                  <w:tcPr>
                    <w:tcW w:w="756" w:type="dxa"/>
                  </w:tcPr>
                  <w:p>
                    <w:pPr>
                      <w:widowControl w:val="0"/>
                      <w:suppressAutoHyphens/>
                      <w:rPr>
                        <w:sz w:val="22"/>
                        <w:szCs w:val="24"/>
                      </w:rPr>
                    </w:pPr>
                    <w:r>
                      <w:rPr>
                        <w:sz w:val="22"/>
                        <w:szCs w:val="24"/>
                      </w:rPr>
                      <w:t>2.1.1.</w:t>
                    </w:r>
                  </w:p>
                </w:tc>
                <w:tc>
                  <w:tcPr>
                    <w:tcW w:w="2527" w:type="dxa"/>
                  </w:tcPr>
                  <w:p>
                    <w:pPr>
                      <w:widowControl w:val="0"/>
                      <w:suppressAutoHyphens/>
                      <w:ind w:firstLine="567"/>
                      <w:rPr>
                        <w:sz w:val="22"/>
                        <w:szCs w:val="24"/>
                      </w:rPr>
                    </w:pPr>
                  </w:p>
                </w:tc>
                <w:tc>
                  <w:tcPr>
                    <w:tcW w:w="4630" w:type="dxa"/>
                  </w:tcPr>
                  <w:p>
                    <w:pPr>
                      <w:widowControl w:val="0"/>
                      <w:suppressAutoHyphens/>
                      <w:ind w:firstLine="567"/>
                      <w:rPr>
                        <w:sz w:val="22"/>
                        <w:szCs w:val="24"/>
                      </w:rPr>
                    </w:pPr>
                  </w:p>
                </w:tc>
                <w:tc>
                  <w:tcPr>
                    <w:tcW w:w="1375" w:type="dxa"/>
                  </w:tcPr>
                  <w:p>
                    <w:pPr>
                      <w:widowControl w:val="0"/>
                      <w:suppressAutoHyphens/>
                      <w:jc w:val="both"/>
                      <w:rPr>
                        <w:sz w:val="22"/>
                        <w:szCs w:val="24"/>
                      </w:rPr>
                    </w:pPr>
                  </w:p>
                </w:tc>
              </w:tr>
              <w:tr>
                <w:tc>
                  <w:tcPr>
                    <w:tcW w:w="756" w:type="dxa"/>
                  </w:tcPr>
                  <w:p>
                    <w:pPr>
                      <w:widowControl w:val="0"/>
                      <w:suppressAutoHyphens/>
                      <w:rPr>
                        <w:sz w:val="22"/>
                        <w:szCs w:val="24"/>
                      </w:rPr>
                    </w:pPr>
                    <w:r>
                      <w:rPr>
                        <w:sz w:val="22"/>
                        <w:szCs w:val="24"/>
                      </w:rPr>
                      <w:t>...</w:t>
                    </w:r>
                  </w:p>
                </w:tc>
                <w:tc>
                  <w:tcPr>
                    <w:tcW w:w="2527" w:type="dxa"/>
                  </w:tcPr>
                  <w:p>
                    <w:pPr>
                      <w:widowControl w:val="0"/>
                      <w:suppressAutoHyphens/>
                      <w:ind w:firstLine="567"/>
                      <w:rPr>
                        <w:sz w:val="22"/>
                        <w:szCs w:val="24"/>
                      </w:rPr>
                    </w:pPr>
                  </w:p>
                </w:tc>
                <w:tc>
                  <w:tcPr>
                    <w:tcW w:w="4630" w:type="dxa"/>
                  </w:tcPr>
                  <w:p>
                    <w:pPr>
                      <w:widowControl w:val="0"/>
                      <w:suppressAutoHyphens/>
                      <w:ind w:firstLine="567"/>
                      <w:rPr>
                        <w:sz w:val="22"/>
                        <w:szCs w:val="24"/>
                      </w:rPr>
                    </w:pPr>
                  </w:p>
                </w:tc>
                <w:tc>
                  <w:tcPr>
                    <w:tcW w:w="1375" w:type="dxa"/>
                  </w:tcPr>
                  <w:p>
                    <w:pPr>
                      <w:widowControl w:val="0"/>
                      <w:suppressAutoHyphens/>
                      <w:jc w:val="both"/>
                      <w:rPr>
                        <w:sz w:val="22"/>
                        <w:szCs w:val="24"/>
                      </w:rPr>
                    </w:pPr>
                  </w:p>
                </w:tc>
              </w:tr>
              <w:tr>
                <w:tc>
                  <w:tcPr>
                    <w:tcW w:w="756" w:type="dxa"/>
                  </w:tcPr>
                  <w:p>
                    <w:pPr>
                      <w:widowControl w:val="0"/>
                      <w:suppressAutoHyphens/>
                      <w:rPr>
                        <w:sz w:val="22"/>
                        <w:szCs w:val="24"/>
                      </w:rPr>
                    </w:pPr>
                    <w:r>
                      <w:rPr>
                        <w:sz w:val="22"/>
                        <w:szCs w:val="24"/>
                      </w:rPr>
                      <w:t>2.2.</w:t>
                    </w:r>
                  </w:p>
                </w:tc>
                <w:tc>
                  <w:tcPr>
                    <w:tcW w:w="7157" w:type="dxa"/>
                    <w:gridSpan w:val="2"/>
                  </w:tcPr>
                  <w:p>
                    <w:pPr>
                      <w:widowControl w:val="0"/>
                      <w:suppressAutoHyphens/>
                      <w:ind w:firstLine="205"/>
                      <w:rPr>
                        <w:sz w:val="22"/>
                        <w:szCs w:val="24"/>
                      </w:rPr>
                    </w:pPr>
                    <w:r>
                      <w:rPr>
                        <w:sz w:val="22"/>
                        <w:szCs w:val="24"/>
                      </w:rPr>
                      <w:t>Kartografinės ir kitos medžiagos, reikalingos pagal Medžioklės įstatymo reikalavimus rengiamiems medžioklės plotų vienetų sudarymo ar jų ribų pakeitimo projektų parengimo priemonės</w:t>
                    </w:r>
                  </w:p>
                </w:tc>
                <w:tc>
                  <w:tcPr>
                    <w:tcW w:w="1375" w:type="dxa"/>
                  </w:tcPr>
                  <w:p>
                    <w:pPr>
                      <w:widowControl w:val="0"/>
                      <w:suppressAutoHyphens/>
                      <w:jc w:val="both"/>
                      <w:rPr>
                        <w:sz w:val="22"/>
                        <w:szCs w:val="24"/>
                      </w:rPr>
                    </w:pPr>
                  </w:p>
                </w:tc>
              </w:tr>
              <w:tr>
                <w:tc>
                  <w:tcPr>
                    <w:tcW w:w="756" w:type="dxa"/>
                  </w:tcPr>
                  <w:p>
                    <w:pPr>
                      <w:widowControl w:val="0"/>
                      <w:suppressAutoHyphens/>
                      <w:rPr>
                        <w:sz w:val="22"/>
                        <w:szCs w:val="24"/>
                      </w:rPr>
                    </w:pPr>
                    <w:r>
                      <w:rPr>
                        <w:sz w:val="22"/>
                        <w:szCs w:val="24"/>
                      </w:rPr>
                      <w:t>2.2.1.</w:t>
                    </w:r>
                  </w:p>
                </w:tc>
                <w:tc>
                  <w:tcPr>
                    <w:tcW w:w="2527" w:type="dxa"/>
                  </w:tcPr>
                  <w:p>
                    <w:pPr>
                      <w:widowControl w:val="0"/>
                      <w:suppressAutoHyphens/>
                      <w:ind w:firstLine="312"/>
                      <w:rPr>
                        <w:sz w:val="22"/>
                        <w:szCs w:val="24"/>
                      </w:rPr>
                    </w:pPr>
                  </w:p>
                </w:tc>
                <w:tc>
                  <w:tcPr>
                    <w:tcW w:w="4630" w:type="dxa"/>
                  </w:tcPr>
                  <w:p>
                    <w:pPr>
                      <w:widowControl w:val="0"/>
                      <w:suppressAutoHyphens/>
                      <w:ind w:firstLine="312"/>
                      <w:rPr>
                        <w:sz w:val="22"/>
                        <w:szCs w:val="24"/>
                      </w:rPr>
                    </w:pPr>
                  </w:p>
                </w:tc>
                <w:tc>
                  <w:tcPr>
                    <w:tcW w:w="1375" w:type="dxa"/>
                  </w:tcPr>
                  <w:p>
                    <w:pPr>
                      <w:widowControl w:val="0"/>
                      <w:suppressAutoHyphens/>
                      <w:jc w:val="both"/>
                      <w:rPr>
                        <w:sz w:val="22"/>
                        <w:szCs w:val="24"/>
                      </w:rPr>
                    </w:pPr>
                  </w:p>
                </w:tc>
              </w:tr>
              <w:tr>
                <w:tc>
                  <w:tcPr>
                    <w:tcW w:w="756" w:type="dxa"/>
                  </w:tcPr>
                  <w:p>
                    <w:pPr>
                      <w:widowControl w:val="0"/>
                      <w:suppressAutoHyphens/>
                      <w:rPr>
                        <w:sz w:val="22"/>
                        <w:szCs w:val="24"/>
                      </w:rPr>
                    </w:pPr>
                    <w:r>
                      <w:rPr>
                        <w:sz w:val="22"/>
                        <w:szCs w:val="24"/>
                      </w:rPr>
                      <w:t>...</w:t>
                    </w:r>
                  </w:p>
                </w:tc>
                <w:tc>
                  <w:tcPr>
                    <w:tcW w:w="2527" w:type="dxa"/>
                  </w:tcPr>
                  <w:p>
                    <w:pPr>
                      <w:widowControl w:val="0"/>
                      <w:suppressAutoHyphens/>
                      <w:ind w:firstLine="312"/>
                      <w:rPr>
                        <w:sz w:val="22"/>
                        <w:szCs w:val="24"/>
                      </w:rPr>
                    </w:pPr>
                  </w:p>
                </w:tc>
                <w:tc>
                  <w:tcPr>
                    <w:tcW w:w="4630" w:type="dxa"/>
                  </w:tcPr>
                  <w:p>
                    <w:pPr>
                      <w:widowControl w:val="0"/>
                      <w:suppressAutoHyphens/>
                      <w:ind w:firstLine="312"/>
                      <w:rPr>
                        <w:sz w:val="22"/>
                        <w:szCs w:val="24"/>
                      </w:rPr>
                    </w:pPr>
                  </w:p>
                </w:tc>
                <w:tc>
                  <w:tcPr>
                    <w:tcW w:w="1375" w:type="dxa"/>
                  </w:tcPr>
                  <w:p>
                    <w:pPr>
                      <w:widowControl w:val="0"/>
                      <w:suppressAutoHyphens/>
                      <w:jc w:val="both"/>
                      <w:rPr>
                        <w:sz w:val="22"/>
                        <w:szCs w:val="24"/>
                      </w:rPr>
                    </w:pPr>
                  </w:p>
                </w:tc>
              </w:tr>
              <w:tr>
                <w:tc>
                  <w:tcPr>
                    <w:tcW w:w="756" w:type="dxa"/>
                  </w:tcPr>
                  <w:p>
                    <w:pPr>
                      <w:widowControl w:val="0"/>
                      <w:suppressAutoHyphens/>
                      <w:rPr>
                        <w:sz w:val="22"/>
                        <w:szCs w:val="24"/>
                      </w:rPr>
                    </w:pPr>
                  </w:p>
                </w:tc>
                <w:tc>
                  <w:tcPr>
                    <w:tcW w:w="7157" w:type="dxa"/>
                    <w:gridSpan w:val="2"/>
                  </w:tcPr>
                  <w:p>
                    <w:pPr>
                      <w:widowControl w:val="0"/>
                      <w:suppressAutoHyphens/>
                      <w:rPr>
                        <w:sz w:val="22"/>
                        <w:szCs w:val="24"/>
                      </w:rPr>
                    </w:pPr>
                    <w:r>
                      <w:rPr>
                        <w:sz w:val="22"/>
                        <w:szCs w:val="24"/>
                      </w:rPr>
                      <w:t xml:space="preserve">Iš viso: </w:t>
                    </w:r>
                  </w:p>
                </w:tc>
                <w:tc>
                  <w:tcPr>
                    <w:tcW w:w="1375" w:type="dxa"/>
                  </w:tcPr>
                  <w:p>
                    <w:pPr>
                      <w:widowControl w:val="0"/>
                      <w:suppressAutoHyphens/>
                      <w:jc w:val="both"/>
                      <w:rPr>
                        <w:sz w:val="22"/>
                        <w:szCs w:val="24"/>
                      </w:rPr>
                    </w:pPr>
                  </w:p>
                </w:tc>
              </w:tr>
            </w:tbl>
            <w:p>
              <w:pPr>
                <w:jc w:val="both"/>
                <w:rPr>
                  <w:szCs w:val="24"/>
                </w:rPr>
              </w:pP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8a2160506611e4a698d921e3e46801">
                <w:r w:rsidRPr="00532B9F">
                  <w:rPr>
                    <w:rFonts w:ascii="Times New Roman" w:eastAsia="MS Mincho" w:hAnsi="Times New Roman"/>
                    <w:sz w:val="20"/>
                    <w:i/>
                    <w:iCs/>
                    <w:color w:val="0000FF" w:themeColor="hyperlink"/>
                    <w:u w:val="single"/>
                  </w:rPr>
                  <w:t>D1-814</w:t>
                </w:r>
              </w:fldSimple>
              <w:r>
                <w:rPr>
                  <w:rFonts w:ascii="Times New Roman" w:eastAsia="MS Mincho" w:hAnsi="Times New Roman"/>
                  <w:sz w:val="20"/>
                  <w:i/>
                  <w:iCs/>
                </w:rPr>
                <w:t>,
2014-10-08,
paskelbta TAR 2014-10-10, i. k. 2014-13957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39a3ea0f0e711e5989ee743dd0efbb0">
                <w:r w:rsidRPr="00532B9F">
                  <w:rPr>
                    <w:rFonts w:ascii="Times New Roman" w:eastAsia="MS Mincho" w:hAnsi="Times New Roman"/>
                    <w:sz w:val="20"/>
                    <w:i/>
                    <w:iCs/>
                    <w:color w:val="0000FF" w:themeColor="hyperlink"/>
                    <w:u w:val="single"/>
                  </w:rPr>
                  <w:t>D1-206</w:t>
                </w:r>
              </w:fldSimple>
              <w:r>
                <w:rPr>
                  <w:rFonts w:ascii="Times New Roman" w:eastAsia="MS Mincho" w:hAnsi="Times New Roman"/>
                  <w:sz w:val="20"/>
                  <w:i/>
                  <w:iCs/>
                </w:rPr>
                <w:t>,
2016-03-22,
paskelbta TAR 2016-03-23, i. k. 2016-05760            </w:t>
              </w:r>
            </w:p>
            <w:p/>
          </w:sdtContent>
        </w:sdt>
        <w:sdt>
          <w:sdtPr>
            <w:alias w:val="frm. 3 p."/>
            <w:tag w:val="part_d3dd7d8e7e034e73a0c9260742caddf8"/>
            <w:lock w:val="sdtLocked"/>
            <w:richText/>
          </w:sdtPr>
          <w:sdtContent>
            <w:p>
              <w:pPr>
                <w:ind w:firstLine="567"/>
                <w:jc w:val="both"/>
                <w:rPr>
                  <w:b/>
                  <w:color w:val="000000"/>
                  <w:szCs w:val="24"/>
                </w:rPr>
              </w:pPr>
              <w:sdt>
                <w:sdtPr>
                  <w:alias w:val="Numeris"/>
                  <w:tag w:val="nr_d3dd7d8e7e034e73a0c9260742caddf8"/>
                  <w:lock w:val="sdtLocked"/>
                  <w:richText/>
                </w:sdtPr>
                <w:sdtContent>
                  <w:r>
                    <w:rPr>
                      <w:b/>
                      <w:color w:val="000000"/>
                      <w:szCs w:val="24"/>
                    </w:rPr>
                    <w:t>3</w:t>
                  </w:r>
                </w:sdtContent>
              </w:sdt>
              <w:r>
                <w:rPr>
                  <w:b/>
                  <w:color w:val="000000"/>
                  <w:szCs w:val="24"/>
                </w:rPr>
                <w:t>. Programos lėšos, skirtos Savivaldybės visuomenės sveikatos rėmimo specialiajai programai</w:t>
              </w:r>
            </w:p>
            <w:p>
              <w:pPr>
                <w:jc w:val="both"/>
                <w:rPr>
                  <w:szCs w:val="24"/>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920"/>
                <w:gridCol w:w="2150"/>
              </w:tblGrid>
              <w:tr>
                <w:tc>
                  <w:tcPr>
                    <w:tcW w:w="7621" w:type="dxa"/>
                  </w:tcPr>
                  <w:p>
                    <w:pPr>
                      <w:widowControl w:val="0"/>
                      <w:suppressAutoHyphens/>
                      <w:jc w:val="center"/>
                      <w:rPr>
                        <w:b/>
                        <w:color w:val="000000"/>
                        <w:sz w:val="22"/>
                        <w:szCs w:val="24"/>
                      </w:rPr>
                    </w:pPr>
                    <w:r>
                      <w:rPr>
                        <w:b/>
                        <w:color w:val="000000"/>
                        <w:sz w:val="22"/>
                        <w:szCs w:val="24"/>
                      </w:rPr>
                      <w:t>Programos pavadinimas</w:t>
                    </w:r>
                  </w:p>
                </w:tc>
                <w:tc>
                  <w:tcPr>
                    <w:tcW w:w="2268" w:type="dxa"/>
                  </w:tcPr>
                  <w:p>
                    <w:pPr>
                      <w:widowControl w:val="0"/>
                      <w:suppressAutoHyphens/>
                      <w:jc w:val="center"/>
                      <w:rPr>
                        <w:b/>
                        <w:color w:val="000000"/>
                        <w:sz w:val="22"/>
                        <w:szCs w:val="24"/>
                      </w:rPr>
                    </w:pPr>
                    <w:r>
                      <w:rPr>
                        <w:b/>
                        <w:color w:val="000000"/>
                        <w:sz w:val="22"/>
                        <w:szCs w:val="24"/>
                      </w:rPr>
                      <w:t>Panaudota lėšų, Eur</w:t>
                    </w:r>
                  </w:p>
                </w:tc>
              </w:tr>
              <w:tr>
                <w:tc>
                  <w:tcPr>
                    <w:tcW w:w="7621" w:type="dxa"/>
                  </w:tcPr>
                  <w:p>
                    <w:pPr>
                      <w:widowControl w:val="0"/>
                      <w:suppressAutoHyphens/>
                      <w:rPr>
                        <w:b/>
                        <w:color w:val="000000"/>
                        <w:sz w:val="22"/>
                        <w:szCs w:val="24"/>
                      </w:rPr>
                    </w:pPr>
                    <w:r>
                      <w:rPr>
                        <w:b/>
                        <w:color w:val="000000"/>
                        <w:sz w:val="22"/>
                        <w:szCs w:val="24"/>
                      </w:rPr>
                      <w:t>Savivaldybės visuomenės sveikatos rėmimo specialioji programa</w:t>
                    </w:r>
                  </w:p>
                </w:tc>
                <w:tc>
                  <w:tcPr>
                    <w:tcW w:w="2268" w:type="dxa"/>
                  </w:tcPr>
                  <w:p>
                    <w:pPr>
                      <w:widowControl w:val="0"/>
                      <w:suppressAutoHyphens/>
                      <w:rPr>
                        <w:color w:val="000000"/>
                        <w:sz w:val="22"/>
                        <w:szCs w:val="24"/>
                      </w:rPr>
                    </w:pPr>
                  </w:p>
                </w:tc>
              </w:tr>
            </w:tbl>
            <w:p>
              <w:pPr>
                <w:jc w:val="both"/>
                <w:rPr>
                  <w:szCs w:val="24"/>
                </w:rPr>
              </w:pP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8a2160506611e4a698d921e3e46801">
                <w:r w:rsidRPr="00532B9F">
                  <w:rPr>
                    <w:rFonts w:ascii="Times New Roman" w:eastAsia="MS Mincho" w:hAnsi="Times New Roman"/>
                    <w:sz w:val="20"/>
                    <w:i/>
                    <w:iCs/>
                    <w:color w:val="0000FF" w:themeColor="hyperlink"/>
                    <w:u w:val="single"/>
                  </w:rPr>
                  <w:t>D1-814</w:t>
                </w:r>
              </w:fldSimple>
              <w:r>
                <w:rPr>
                  <w:rFonts w:ascii="Times New Roman" w:eastAsia="MS Mincho" w:hAnsi="Times New Roman"/>
                  <w:sz w:val="20"/>
                  <w:i/>
                  <w:iCs/>
                </w:rPr>
                <w:t>,
2014-10-08,
paskelbta TAR 2014-10-10, i. k. 2014-13957            </w:t>
              </w:r>
            </w:p>
            <w:p/>
          </w:sdtContent>
        </w:sdt>
        <w:sdt>
          <w:sdtPr>
            <w:alias w:val="frm. 4 p."/>
            <w:tag w:val="part_261681e4d0154f16bceea0778e603745"/>
            <w:lock w:val="sdtLocked"/>
            <w:richText/>
          </w:sdtPr>
          <w:sdtContent>
            <w:p>
              <w:pPr>
                <w:ind w:firstLine="567"/>
                <w:jc w:val="both"/>
                <w:rPr>
                  <w:b/>
                  <w:color w:val="000000"/>
                  <w:szCs w:val="24"/>
                </w:rPr>
              </w:pPr>
              <w:sdt>
                <w:sdtPr>
                  <w:alias w:val="Numeris"/>
                  <w:tag w:val="nr_261681e4d0154f16bceea0778e603745"/>
                  <w:lock w:val="sdtLocked"/>
                  <w:richText/>
                </w:sdtPr>
                <w:sdtContent>
                  <w:r>
                    <w:rPr>
                      <w:b/>
                      <w:szCs w:val="24"/>
                    </w:rPr>
                    <w:t>4</w:t>
                  </w:r>
                </w:sdtContent>
              </w:sdt>
              <w:r>
                <w:rPr>
                  <w:b/>
                  <w:szCs w:val="24"/>
                </w:rPr>
                <w:t>.</w:t>
              </w:r>
              <w:r>
                <w:rPr>
                  <w:b/>
                  <w:color w:val="000000"/>
                  <w:szCs w:val="24"/>
                </w:rPr>
                <w:t xml:space="preserve"> Kitos aplinkosaugos priemonės, kurioms įgyvendinti panaudotos Programos lėšos</w:t>
              </w:r>
            </w:p>
            <w:p>
              <w:pPr>
                <w:jc w:val="both"/>
                <w:rPr>
                  <w:b/>
                  <w:szCs w:val="24"/>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188"/>
                <w:gridCol w:w="3060"/>
                <w:gridCol w:w="2411"/>
                <w:gridCol w:w="2411"/>
              </w:tblGrid>
              <w:tr>
                <w:trPr>
                  <w:tblHeader/>
                </w:trPr>
                <w:tc>
                  <w:tcPr>
                    <w:tcW w:w="1188" w:type="dxa"/>
                  </w:tcPr>
                  <w:p>
                    <w:pPr>
                      <w:widowControl w:val="0"/>
                      <w:rPr>
                        <w:b/>
                        <w:sz w:val="22"/>
                        <w:szCs w:val="24"/>
                      </w:rPr>
                    </w:pPr>
                    <w:r>
                      <w:rPr>
                        <w:b/>
                        <w:sz w:val="22"/>
                        <w:szCs w:val="24"/>
                      </w:rPr>
                      <w:t>Eil. Nr.</w:t>
                    </w:r>
                  </w:p>
                </w:tc>
                <w:tc>
                  <w:tcPr>
                    <w:tcW w:w="3060" w:type="dxa"/>
                  </w:tcPr>
                  <w:p>
                    <w:pPr>
                      <w:widowControl w:val="0"/>
                      <w:rPr>
                        <w:sz w:val="22"/>
                        <w:szCs w:val="24"/>
                      </w:rPr>
                    </w:pPr>
                    <w:r>
                      <w:rPr>
                        <w:b/>
                        <w:color w:val="000000"/>
                        <w:sz w:val="22"/>
                        <w:szCs w:val="24"/>
                      </w:rPr>
                      <w:t>Priemonės pavadinimas</w:t>
                    </w:r>
                  </w:p>
                </w:tc>
                <w:tc>
                  <w:tcPr>
                    <w:tcW w:w="2411" w:type="dxa"/>
                  </w:tcPr>
                  <w:p>
                    <w:pPr>
                      <w:widowControl w:val="0"/>
                      <w:jc w:val="center"/>
                      <w:rPr>
                        <w:b/>
                        <w:sz w:val="22"/>
                        <w:szCs w:val="24"/>
                      </w:rPr>
                    </w:pPr>
                    <w:r>
                      <w:rPr>
                        <w:b/>
                        <w:sz w:val="22"/>
                        <w:szCs w:val="24"/>
                      </w:rPr>
                      <w:t>Detalus priemonės vykdymo aprašymas</w:t>
                    </w:r>
                  </w:p>
                </w:tc>
                <w:tc>
                  <w:tcPr>
                    <w:tcW w:w="2411" w:type="dxa"/>
                  </w:tcPr>
                  <w:p>
                    <w:pPr>
                      <w:widowControl w:val="0"/>
                      <w:rPr>
                        <w:b/>
                        <w:sz w:val="22"/>
                        <w:szCs w:val="24"/>
                      </w:rPr>
                    </w:pPr>
                    <w:r>
                      <w:rPr>
                        <w:b/>
                        <w:sz w:val="22"/>
                        <w:szCs w:val="24"/>
                      </w:rPr>
                      <w:t>Panaudota lėšų, Eur</w:t>
                    </w:r>
                  </w:p>
                </w:tc>
              </w:tr>
              <w:tr>
                <w:tc>
                  <w:tcPr>
                    <w:tcW w:w="1188" w:type="dxa"/>
                  </w:tcPr>
                  <w:p>
                    <w:pPr>
                      <w:widowControl w:val="0"/>
                      <w:rPr>
                        <w:sz w:val="22"/>
                        <w:szCs w:val="24"/>
                      </w:rPr>
                    </w:pPr>
                    <w:r>
                      <w:rPr>
                        <w:sz w:val="22"/>
                        <w:szCs w:val="24"/>
                      </w:rPr>
                      <w:t>4.1.</w:t>
                    </w:r>
                  </w:p>
                </w:tc>
                <w:tc>
                  <w:tcPr>
                    <w:tcW w:w="5471" w:type="dxa"/>
                    <w:gridSpan w:val="2"/>
                  </w:tcPr>
                  <w:p>
                    <w:pPr>
                      <w:widowControl w:val="0"/>
                      <w:ind w:firstLine="13"/>
                      <w:rPr>
                        <w:b/>
                        <w:sz w:val="22"/>
                        <w:szCs w:val="24"/>
                      </w:rPr>
                    </w:pPr>
                    <w:r>
                      <w:rPr>
                        <w:b/>
                        <w:sz w:val="22"/>
                        <w:szCs w:val="24"/>
                      </w:rPr>
                      <w:t>Aplinkos kokybės gerinimo ir apsaugos priemonės</w:t>
                    </w:r>
                  </w:p>
                </w:tc>
                <w:tc>
                  <w:tcPr>
                    <w:tcW w:w="2411" w:type="dxa"/>
                  </w:tcPr>
                  <w:p>
                    <w:pPr>
                      <w:widowControl w:val="0"/>
                      <w:rPr>
                        <w:sz w:val="22"/>
                        <w:szCs w:val="24"/>
                      </w:rPr>
                    </w:pPr>
                  </w:p>
                </w:tc>
              </w:tr>
              <w:tr>
                <w:tc>
                  <w:tcPr>
                    <w:tcW w:w="1188" w:type="dxa"/>
                  </w:tcPr>
                  <w:p>
                    <w:pPr>
                      <w:widowControl w:val="0"/>
                      <w:rPr>
                        <w:sz w:val="22"/>
                        <w:szCs w:val="24"/>
                      </w:rPr>
                    </w:pPr>
                    <w:r>
                      <w:rPr>
                        <w:sz w:val="22"/>
                        <w:szCs w:val="24"/>
                      </w:rPr>
                      <w:t>4.1.1.</w:t>
                    </w:r>
                  </w:p>
                </w:tc>
                <w:tc>
                  <w:tcPr>
                    <w:tcW w:w="3060" w:type="dxa"/>
                  </w:tcPr>
                  <w:p>
                    <w:pPr>
                      <w:widowControl w:val="0"/>
                      <w:ind w:firstLine="13"/>
                      <w:rPr>
                        <w:sz w:val="22"/>
                        <w:szCs w:val="24"/>
                      </w:rPr>
                    </w:pPr>
                  </w:p>
                </w:tc>
                <w:tc>
                  <w:tcPr>
                    <w:tcW w:w="2411" w:type="dxa"/>
                  </w:tcPr>
                  <w:p>
                    <w:pPr>
                      <w:widowControl w:val="0"/>
                      <w:ind w:firstLine="13"/>
                      <w:rPr>
                        <w:sz w:val="22"/>
                        <w:szCs w:val="24"/>
                      </w:rPr>
                    </w:pPr>
                  </w:p>
                </w:tc>
                <w:tc>
                  <w:tcPr>
                    <w:tcW w:w="2411" w:type="dxa"/>
                  </w:tcPr>
                  <w:p>
                    <w:pPr>
                      <w:widowControl w:val="0"/>
                      <w:rPr>
                        <w:sz w:val="22"/>
                        <w:szCs w:val="24"/>
                      </w:rPr>
                    </w:pPr>
                  </w:p>
                </w:tc>
              </w:tr>
              <w:tr>
                <w:tc>
                  <w:tcPr>
                    <w:tcW w:w="1188" w:type="dxa"/>
                  </w:tcPr>
                  <w:p>
                    <w:pPr>
                      <w:widowControl w:val="0"/>
                      <w:rPr>
                        <w:sz w:val="22"/>
                        <w:szCs w:val="24"/>
                      </w:rPr>
                    </w:pPr>
                    <w:r>
                      <w:rPr>
                        <w:sz w:val="22"/>
                        <w:szCs w:val="24"/>
                      </w:rPr>
                      <w:t>...</w:t>
                    </w:r>
                  </w:p>
                </w:tc>
                <w:tc>
                  <w:tcPr>
                    <w:tcW w:w="3060" w:type="dxa"/>
                  </w:tcPr>
                  <w:p>
                    <w:pPr>
                      <w:widowControl w:val="0"/>
                      <w:ind w:firstLine="13"/>
                      <w:rPr>
                        <w:sz w:val="22"/>
                        <w:szCs w:val="24"/>
                      </w:rPr>
                    </w:pPr>
                  </w:p>
                </w:tc>
                <w:tc>
                  <w:tcPr>
                    <w:tcW w:w="2411" w:type="dxa"/>
                  </w:tcPr>
                  <w:p>
                    <w:pPr>
                      <w:widowControl w:val="0"/>
                      <w:ind w:firstLine="13"/>
                      <w:rPr>
                        <w:sz w:val="22"/>
                        <w:szCs w:val="24"/>
                      </w:rPr>
                    </w:pPr>
                  </w:p>
                </w:tc>
                <w:tc>
                  <w:tcPr>
                    <w:tcW w:w="2411" w:type="dxa"/>
                  </w:tcPr>
                  <w:p>
                    <w:pPr>
                      <w:widowControl w:val="0"/>
                      <w:rPr>
                        <w:sz w:val="22"/>
                        <w:szCs w:val="24"/>
                      </w:rPr>
                    </w:pPr>
                  </w:p>
                </w:tc>
              </w:tr>
              <w:tr>
                <w:tc>
                  <w:tcPr>
                    <w:tcW w:w="1188" w:type="dxa"/>
                  </w:tcPr>
                  <w:p>
                    <w:pPr>
                      <w:widowControl w:val="0"/>
                      <w:rPr>
                        <w:sz w:val="22"/>
                        <w:szCs w:val="24"/>
                      </w:rPr>
                    </w:pPr>
                    <w:r>
                      <w:rPr>
                        <w:sz w:val="22"/>
                        <w:szCs w:val="24"/>
                      </w:rPr>
                      <w:t>4.2.</w:t>
                    </w:r>
                  </w:p>
                </w:tc>
                <w:tc>
                  <w:tcPr>
                    <w:tcW w:w="5471" w:type="dxa"/>
                    <w:gridSpan w:val="2"/>
                  </w:tcPr>
                  <w:p>
                    <w:pPr>
                      <w:widowControl w:val="0"/>
                      <w:ind w:firstLine="13"/>
                      <w:rPr>
                        <w:b/>
                        <w:sz w:val="22"/>
                        <w:szCs w:val="24"/>
                      </w:rPr>
                    </w:pPr>
                    <w:r>
                      <w:rPr>
                        <w:b/>
                        <w:sz w:val="22"/>
                        <w:szCs w:val="24"/>
                      </w:rPr>
                      <w:t>Atliekų tvarkymo infrastruktūros plėtros priemonės</w:t>
                    </w:r>
                  </w:p>
                </w:tc>
                <w:tc>
                  <w:tcPr>
                    <w:tcW w:w="2411" w:type="dxa"/>
                  </w:tcPr>
                  <w:p>
                    <w:pPr>
                      <w:widowControl w:val="0"/>
                      <w:rPr>
                        <w:sz w:val="22"/>
                        <w:szCs w:val="24"/>
                      </w:rPr>
                    </w:pPr>
                  </w:p>
                </w:tc>
              </w:tr>
              <w:tr>
                <w:tc>
                  <w:tcPr>
                    <w:tcW w:w="1188" w:type="dxa"/>
                  </w:tcPr>
                  <w:p>
                    <w:pPr>
                      <w:widowControl w:val="0"/>
                      <w:rPr>
                        <w:sz w:val="22"/>
                        <w:szCs w:val="24"/>
                      </w:rPr>
                    </w:pPr>
                    <w:r>
                      <w:rPr>
                        <w:sz w:val="22"/>
                        <w:szCs w:val="24"/>
                      </w:rPr>
                      <w:t>4.2.1.</w:t>
                    </w:r>
                  </w:p>
                </w:tc>
                <w:tc>
                  <w:tcPr>
                    <w:tcW w:w="3060" w:type="dxa"/>
                  </w:tcPr>
                  <w:p>
                    <w:pPr>
                      <w:widowControl w:val="0"/>
                      <w:ind w:firstLine="13"/>
                      <w:rPr>
                        <w:sz w:val="22"/>
                        <w:szCs w:val="24"/>
                      </w:rPr>
                    </w:pPr>
                  </w:p>
                </w:tc>
                <w:tc>
                  <w:tcPr>
                    <w:tcW w:w="2411" w:type="dxa"/>
                  </w:tcPr>
                  <w:p>
                    <w:pPr>
                      <w:widowControl w:val="0"/>
                      <w:ind w:firstLine="13"/>
                      <w:rPr>
                        <w:sz w:val="22"/>
                        <w:szCs w:val="24"/>
                      </w:rPr>
                    </w:pPr>
                  </w:p>
                </w:tc>
                <w:tc>
                  <w:tcPr>
                    <w:tcW w:w="2411" w:type="dxa"/>
                  </w:tcPr>
                  <w:p>
                    <w:pPr>
                      <w:widowControl w:val="0"/>
                      <w:rPr>
                        <w:sz w:val="22"/>
                        <w:szCs w:val="24"/>
                      </w:rPr>
                    </w:pPr>
                  </w:p>
                </w:tc>
              </w:tr>
              <w:tr>
                <w:tc>
                  <w:tcPr>
                    <w:tcW w:w="1188" w:type="dxa"/>
                  </w:tcPr>
                  <w:p>
                    <w:pPr>
                      <w:widowControl w:val="0"/>
                      <w:rPr>
                        <w:sz w:val="22"/>
                        <w:szCs w:val="24"/>
                      </w:rPr>
                    </w:pPr>
                    <w:r>
                      <w:rPr>
                        <w:sz w:val="22"/>
                        <w:szCs w:val="24"/>
                      </w:rPr>
                      <w:t>..</w:t>
                    </w:r>
                  </w:p>
                </w:tc>
                <w:tc>
                  <w:tcPr>
                    <w:tcW w:w="3060" w:type="dxa"/>
                  </w:tcPr>
                  <w:p>
                    <w:pPr>
                      <w:widowControl w:val="0"/>
                      <w:ind w:firstLine="13"/>
                      <w:rPr>
                        <w:sz w:val="22"/>
                        <w:szCs w:val="24"/>
                      </w:rPr>
                    </w:pPr>
                  </w:p>
                </w:tc>
                <w:tc>
                  <w:tcPr>
                    <w:tcW w:w="2411" w:type="dxa"/>
                  </w:tcPr>
                  <w:p>
                    <w:pPr>
                      <w:widowControl w:val="0"/>
                      <w:ind w:firstLine="13"/>
                      <w:rPr>
                        <w:sz w:val="22"/>
                        <w:szCs w:val="24"/>
                      </w:rPr>
                    </w:pPr>
                  </w:p>
                </w:tc>
                <w:tc>
                  <w:tcPr>
                    <w:tcW w:w="2411" w:type="dxa"/>
                  </w:tcPr>
                  <w:p>
                    <w:pPr>
                      <w:widowControl w:val="0"/>
                      <w:rPr>
                        <w:sz w:val="22"/>
                        <w:szCs w:val="24"/>
                      </w:rPr>
                    </w:pPr>
                  </w:p>
                </w:tc>
              </w:tr>
              <w:tr>
                <w:tc>
                  <w:tcPr>
                    <w:tcW w:w="1188" w:type="dxa"/>
                  </w:tcPr>
                  <w:p>
                    <w:pPr>
                      <w:widowControl w:val="0"/>
                      <w:rPr>
                        <w:sz w:val="22"/>
                        <w:szCs w:val="24"/>
                      </w:rPr>
                    </w:pPr>
                    <w:r>
                      <w:rPr>
                        <w:sz w:val="22"/>
                        <w:szCs w:val="24"/>
                      </w:rPr>
                      <w:t>4.3.</w:t>
                    </w:r>
                  </w:p>
                </w:tc>
                <w:tc>
                  <w:tcPr>
                    <w:tcW w:w="5471" w:type="dxa"/>
                    <w:gridSpan w:val="2"/>
                  </w:tcPr>
                  <w:p>
                    <w:pPr>
                      <w:widowControl w:val="0"/>
                      <w:ind w:firstLine="13"/>
                      <w:rPr>
                        <w:b/>
                        <w:sz w:val="22"/>
                        <w:szCs w:val="24"/>
                      </w:rPr>
                    </w:pPr>
                    <w:r>
                      <w:rPr>
                        <w:b/>
                        <w:color w:val="000000"/>
                        <w:sz w:val="22"/>
                        <w:szCs w:val="24"/>
                      </w:rPr>
                      <w:t>Atliekų, kurių turėtojo nustatyti neįmanoma arba kuris nebeegzistuoja, tvarkymo priemonės</w:t>
                    </w:r>
                  </w:p>
                </w:tc>
                <w:tc>
                  <w:tcPr>
                    <w:tcW w:w="2411" w:type="dxa"/>
                  </w:tcPr>
                  <w:p>
                    <w:pPr>
                      <w:widowControl w:val="0"/>
                      <w:rPr>
                        <w:sz w:val="22"/>
                        <w:szCs w:val="24"/>
                      </w:rPr>
                    </w:pPr>
                  </w:p>
                </w:tc>
              </w:tr>
              <w:tr>
                <w:tc>
                  <w:tcPr>
                    <w:tcW w:w="1188" w:type="dxa"/>
                  </w:tcPr>
                  <w:p>
                    <w:pPr>
                      <w:widowControl w:val="0"/>
                      <w:rPr>
                        <w:sz w:val="22"/>
                        <w:szCs w:val="24"/>
                      </w:rPr>
                    </w:pPr>
                    <w:r>
                      <w:rPr>
                        <w:sz w:val="22"/>
                        <w:szCs w:val="24"/>
                      </w:rPr>
                      <w:t>4.3.1.</w:t>
                    </w:r>
                  </w:p>
                </w:tc>
                <w:tc>
                  <w:tcPr>
                    <w:tcW w:w="3060" w:type="dxa"/>
                  </w:tcPr>
                  <w:p>
                    <w:pPr>
                      <w:widowControl w:val="0"/>
                      <w:ind w:firstLine="13"/>
                      <w:rPr>
                        <w:sz w:val="22"/>
                        <w:szCs w:val="24"/>
                      </w:rPr>
                    </w:pPr>
                  </w:p>
                </w:tc>
                <w:tc>
                  <w:tcPr>
                    <w:tcW w:w="2411" w:type="dxa"/>
                  </w:tcPr>
                  <w:p>
                    <w:pPr>
                      <w:widowControl w:val="0"/>
                      <w:ind w:firstLine="13"/>
                      <w:rPr>
                        <w:sz w:val="22"/>
                        <w:szCs w:val="24"/>
                      </w:rPr>
                    </w:pPr>
                  </w:p>
                </w:tc>
                <w:tc>
                  <w:tcPr>
                    <w:tcW w:w="2411" w:type="dxa"/>
                  </w:tcPr>
                  <w:p>
                    <w:pPr>
                      <w:widowControl w:val="0"/>
                      <w:rPr>
                        <w:sz w:val="22"/>
                        <w:szCs w:val="24"/>
                      </w:rPr>
                    </w:pPr>
                  </w:p>
                </w:tc>
              </w:tr>
              <w:tr>
                <w:tc>
                  <w:tcPr>
                    <w:tcW w:w="1188" w:type="dxa"/>
                  </w:tcPr>
                  <w:p>
                    <w:pPr>
                      <w:widowControl w:val="0"/>
                      <w:rPr>
                        <w:sz w:val="22"/>
                        <w:szCs w:val="24"/>
                      </w:rPr>
                    </w:pPr>
                    <w:r>
                      <w:rPr>
                        <w:sz w:val="22"/>
                        <w:szCs w:val="24"/>
                      </w:rPr>
                      <w:t>..</w:t>
                    </w:r>
                  </w:p>
                </w:tc>
                <w:tc>
                  <w:tcPr>
                    <w:tcW w:w="3060" w:type="dxa"/>
                  </w:tcPr>
                  <w:p>
                    <w:pPr>
                      <w:widowControl w:val="0"/>
                      <w:ind w:firstLine="13"/>
                      <w:rPr>
                        <w:sz w:val="22"/>
                        <w:szCs w:val="24"/>
                      </w:rPr>
                    </w:pPr>
                  </w:p>
                </w:tc>
                <w:tc>
                  <w:tcPr>
                    <w:tcW w:w="2411" w:type="dxa"/>
                  </w:tcPr>
                  <w:p>
                    <w:pPr>
                      <w:widowControl w:val="0"/>
                      <w:ind w:firstLine="13"/>
                      <w:rPr>
                        <w:sz w:val="22"/>
                        <w:szCs w:val="24"/>
                      </w:rPr>
                    </w:pPr>
                  </w:p>
                </w:tc>
                <w:tc>
                  <w:tcPr>
                    <w:tcW w:w="2411" w:type="dxa"/>
                  </w:tcPr>
                  <w:p>
                    <w:pPr>
                      <w:widowControl w:val="0"/>
                      <w:rPr>
                        <w:sz w:val="22"/>
                        <w:szCs w:val="24"/>
                      </w:rPr>
                    </w:pPr>
                  </w:p>
                </w:tc>
              </w:tr>
              <w:tr>
                <w:tc>
                  <w:tcPr>
                    <w:tcW w:w="1188" w:type="dxa"/>
                  </w:tcPr>
                  <w:p>
                    <w:pPr>
                      <w:widowControl w:val="0"/>
                      <w:rPr>
                        <w:sz w:val="22"/>
                        <w:szCs w:val="24"/>
                      </w:rPr>
                    </w:pPr>
                    <w:r>
                      <w:rPr>
                        <w:sz w:val="22"/>
                        <w:szCs w:val="24"/>
                      </w:rPr>
                      <w:t>4.4.</w:t>
                    </w:r>
                  </w:p>
                </w:tc>
                <w:tc>
                  <w:tcPr>
                    <w:tcW w:w="5471" w:type="dxa"/>
                    <w:gridSpan w:val="2"/>
                  </w:tcPr>
                  <w:p>
                    <w:pPr>
                      <w:widowControl w:val="0"/>
                      <w:ind w:firstLine="13"/>
                      <w:rPr>
                        <w:b/>
                        <w:sz w:val="22"/>
                        <w:szCs w:val="24"/>
                      </w:rPr>
                    </w:pPr>
                    <w:r>
                      <w:rPr>
                        <w:b/>
                        <w:color w:val="000000"/>
                        <w:sz w:val="22"/>
                        <w:szCs w:val="24"/>
                      </w:rPr>
                      <w:t>Aplinkos monitoringo, prevencinės, aplinkos atkūrimo priemonės</w:t>
                    </w:r>
                  </w:p>
                </w:tc>
                <w:tc>
                  <w:tcPr>
                    <w:tcW w:w="2411" w:type="dxa"/>
                  </w:tcPr>
                  <w:p>
                    <w:pPr>
                      <w:widowControl w:val="0"/>
                      <w:rPr>
                        <w:sz w:val="22"/>
                        <w:szCs w:val="24"/>
                      </w:rPr>
                    </w:pPr>
                  </w:p>
                </w:tc>
              </w:tr>
              <w:tr>
                <w:tc>
                  <w:tcPr>
                    <w:tcW w:w="1188" w:type="dxa"/>
                  </w:tcPr>
                  <w:p>
                    <w:pPr>
                      <w:widowControl w:val="0"/>
                      <w:rPr>
                        <w:sz w:val="22"/>
                        <w:szCs w:val="24"/>
                      </w:rPr>
                    </w:pPr>
                    <w:r>
                      <w:rPr>
                        <w:sz w:val="22"/>
                        <w:szCs w:val="24"/>
                      </w:rPr>
                      <w:t>4.4.1.</w:t>
                    </w:r>
                  </w:p>
                </w:tc>
                <w:tc>
                  <w:tcPr>
                    <w:tcW w:w="3060" w:type="dxa"/>
                  </w:tcPr>
                  <w:p>
                    <w:pPr>
                      <w:widowControl w:val="0"/>
                      <w:ind w:firstLine="13"/>
                      <w:rPr>
                        <w:sz w:val="22"/>
                        <w:szCs w:val="24"/>
                      </w:rPr>
                    </w:pPr>
                  </w:p>
                </w:tc>
                <w:tc>
                  <w:tcPr>
                    <w:tcW w:w="2411" w:type="dxa"/>
                  </w:tcPr>
                  <w:p>
                    <w:pPr>
                      <w:widowControl w:val="0"/>
                      <w:ind w:firstLine="13"/>
                      <w:rPr>
                        <w:sz w:val="22"/>
                        <w:szCs w:val="24"/>
                      </w:rPr>
                    </w:pPr>
                  </w:p>
                </w:tc>
                <w:tc>
                  <w:tcPr>
                    <w:tcW w:w="2411" w:type="dxa"/>
                  </w:tcPr>
                  <w:p>
                    <w:pPr>
                      <w:widowControl w:val="0"/>
                      <w:rPr>
                        <w:sz w:val="22"/>
                        <w:szCs w:val="24"/>
                      </w:rPr>
                    </w:pPr>
                  </w:p>
                </w:tc>
              </w:tr>
              <w:tr>
                <w:tc>
                  <w:tcPr>
                    <w:tcW w:w="1188" w:type="dxa"/>
                  </w:tcPr>
                  <w:p>
                    <w:pPr>
                      <w:widowControl w:val="0"/>
                      <w:rPr>
                        <w:sz w:val="22"/>
                        <w:szCs w:val="24"/>
                      </w:rPr>
                    </w:pPr>
                    <w:r>
                      <w:rPr>
                        <w:sz w:val="22"/>
                        <w:szCs w:val="24"/>
                      </w:rPr>
                      <w:t>..</w:t>
                    </w:r>
                  </w:p>
                </w:tc>
                <w:tc>
                  <w:tcPr>
                    <w:tcW w:w="3060" w:type="dxa"/>
                  </w:tcPr>
                  <w:p>
                    <w:pPr>
                      <w:widowControl w:val="0"/>
                      <w:ind w:firstLine="13"/>
                      <w:rPr>
                        <w:sz w:val="22"/>
                        <w:szCs w:val="24"/>
                      </w:rPr>
                    </w:pPr>
                  </w:p>
                </w:tc>
                <w:tc>
                  <w:tcPr>
                    <w:tcW w:w="2411" w:type="dxa"/>
                  </w:tcPr>
                  <w:p>
                    <w:pPr>
                      <w:widowControl w:val="0"/>
                      <w:ind w:firstLine="13"/>
                      <w:rPr>
                        <w:sz w:val="22"/>
                        <w:szCs w:val="24"/>
                      </w:rPr>
                    </w:pPr>
                  </w:p>
                </w:tc>
                <w:tc>
                  <w:tcPr>
                    <w:tcW w:w="2411" w:type="dxa"/>
                  </w:tcPr>
                  <w:p>
                    <w:pPr>
                      <w:widowControl w:val="0"/>
                      <w:rPr>
                        <w:sz w:val="22"/>
                        <w:szCs w:val="24"/>
                      </w:rPr>
                    </w:pPr>
                  </w:p>
                </w:tc>
              </w:tr>
              <w:tr>
                <w:tc>
                  <w:tcPr>
                    <w:tcW w:w="1188" w:type="dxa"/>
                  </w:tcPr>
                  <w:p>
                    <w:pPr>
                      <w:widowControl w:val="0"/>
                      <w:rPr>
                        <w:sz w:val="22"/>
                        <w:szCs w:val="24"/>
                      </w:rPr>
                    </w:pPr>
                    <w:r>
                      <w:rPr>
                        <w:sz w:val="22"/>
                        <w:szCs w:val="24"/>
                      </w:rPr>
                      <w:t>4.5.</w:t>
                    </w:r>
                  </w:p>
                </w:tc>
                <w:tc>
                  <w:tcPr>
                    <w:tcW w:w="5471" w:type="dxa"/>
                    <w:gridSpan w:val="2"/>
                  </w:tcPr>
                  <w:p>
                    <w:pPr>
                      <w:widowControl w:val="0"/>
                      <w:ind w:firstLine="13"/>
                      <w:rPr>
                        <w:b/>
                        <w:sz w:val="22"/>
                        <w:szCs w:val="24"/>
                      </w:rPr>
                    </w:pPr>
                    <w:r>
                      <w:rPr>
                        <w:b/>
                        <w:color w:val="000000"/>
                        <w:sz w:val="22"/>
                        <w:szCs w:val="24"/>
                      </w:rPr>
                      <w:t>Visuomenės švietimo ir mokymo aplinkosaugos klausimais priemonės</w:t>
                    </w:r>
                  </w:p>
                </w:tc>
                <w:tc>
                  <w:tcPr>
                    <w:tcW w:w="2411" w:type="dxa"/>
                  </w:tcPr>
                  <w:p>
                    <w:pPr>
                      <w:widowControl w:val="0"/>
                      <w:rPr>
                        <w:sz w:val="22"/>
                        <w:szCs w:val="24"/>
                      </w:rPr>
                    </w:pPr>
                  </w:p>
                </w:tc>
              </w:tr>
              <w:tr>
                <w:tc>
                  <w:tcPr>
                    <w:tcW w:w="1188" w:type="dxa"/>
                  </w:tcPr>
                  <w:p>
                    <w:pPr>
                      <w:widowControl w:val="0"/>
                      <w:rPr>
                        <w:sz w:val="22"/>
                        <w:szCs w:val="24"/>
                      </w:rPr>
                    </w:pPr>
                    <w:r>
                      <w:rPr>
                        <w:sz w:val="22"/>
                        <w:szCs w:val="24"/>
                      </w:rPr>
                      <w:t>4.5.1.</w:t>
                    </w:r>
                  </w:p>
                </w:tc>
                <w:tc>
                  <w:tcPr>
                    <w:tcW w:w="3060" w:type="dxa"/>
                  </w:tcPr>
                  <w:p>
                    <w:pPr>
                      <w:widowControl w:val="0"/>
                      <w:ind w:firstLine="13"/>
                      <w:rPr>
                        <w:sz w:val="22"/>
                        <w:szCs w:val="24"/>
                      </w:rPr>
                    </w:pPr>
                  </w:p>
                </w:tc>
                <w:tc>
                  <w:tcPr>
                    <w:tcW w:w="2411" w:type="dxa"/>
                  </w:tcPr>
                  <w:p>
                    <w:pPr>
                      <w:widowControl w:val="0"/>
                      <w:ind w:firstLine="13"/>
                      <w:rPr>
                        <w:sz w:val="22"/>
                        <w:szCs w:val="24"/>
                      </w:rPr>
                    </w:pPr>
                  </w:p>
                </w:tc>
                <w:tc>
                  <w:tcPr>
                    <w:tcW w:w="2411" w:type="dxa"/>
                  </w:tcPr>
                  <w:p>
                    <w:pPr>
                      <w:widowControl w:val="0"/>
                      <w:rPr>
                        <w:sz w:val="22"/>
                        <w:szCs w:val="24"/>
                      </w:rPr>
                    </w:pPr>
                  </w:p>
                </w:tc>
              </w:tr>
              <w:tr>
                <w:tc>
                  <w:tcPr>
                    <w:tcW w:w="1188" w:type="dxa"/>
                  </w:tcPr>
                  <w:p>
                    <w:pPr>
                      <w:widowControl w:val="0"/>
                      <w:rPr>
                        <w:sz w:val="22"/>
                        <w:szCs w:val="24"/>
                      </w:rPr>
                    </w:pPr>
                    <w:r>
                      <w:rPr>
                        <w:sz w:val="22"/>
                        <w:szCs w:val="24"/>
                      </w:rPr>
                      <w:t>..</w:t>
                    </w:r>
                  </w:p>
                </w:tc>
                <w:tc>
                  <w:tcPr>
                    <w:tcW w:w="3060" w:type="dxa"/>
                  </w:tcPr>
                  <w:p>
                    <w:pPr>
                      <w:widowControl w:val="0"/>
                      <w:ind w:firstLine="13"/>
                      <w:rPr>
                        <w:sz w:val="22"/>
                        <w:szCs w:val="24"/>
                      </w:rPr>
                    </w:pPr>
                  </w:p>
                </w:tc>
                <w:tc>
                  <w:tcPr>
                    <w:tcW w:w="2411" w:type="dxa"/>
                  </w:tcPr>
                  <w:p>
                    <w:pPr>
                      <w:widowControl w:val="0"/>
                      <w:ind w:firstLine="13"/>
                      <w:rPr>
                        <w:sz w:val="22"/>
                        <w:szCs w:val="24"/>
                      </w:rPr>
                    </w:pPr>
                  </w:p>
                </w:tc>
                <w:tc>
                  <w:tcPr>
                    <w:tcW w:w="2411" w:type="dxa"/>
                  </w:tcPr>
                  <w:p>
                    <w:pPr>
                      <w:widowControl w:val="0"/>
                      <w:rPr>
                        <w:sz w:val="22"/>
                        <w:szCs w:val="24"/>
                      </w:rPr>
                    </w:pPr>
                  </w:p>
                </w:tc>
              </w:tr>
              <w:tr>
                <w:tc>
                  <w:tcPr>
                    <w:tcW w:w="1188" w:type="dxa"/>
                  </w:tcPr>
                  <w:p>
                    <w:pPr>
                      <w:widowControl w:val="0"/>
                      <w:rPr>
                        <w:sz w:val="22"/>
                        <w:szCs w:val="24"/>
                      </w:rPr>
                    </w:pPr>
                    <w:r>
                      <w:rPr>
                        <w:sz w:val="22"/>
                        <w:szCs w:val="24"/>
                      </w:rPr>
                      <w:t>4.6.</w:t>
                    </w:r>
                  </w:p>
                </w:tc>
                <w:tc>
                  <w:tcPr>
                    <w:tcW w:w="5471" w:type="dxa"/>
                    <w:gridSpan w:val="2"/>
                  </w:tcPr>
                  <w:p>
                    <w:pPr>
                      <w:widowControl w:val="0"/>
                      <w:ind w:firstLine="13"/>
                      <w:rPr>
                        <w:b/>
                        <w:sz w:val="22"/>
                        <w:szCs w:val="24"/>
                      </w:rPr>
                    </w:pPr>
                    <w:r>
                      <w:rPr>
                        <w:b/>
                        <w:color w:val="000000"/>
                        <w:sz w:val="22"/>
                        <w:szCs w:val="24"/>
                      </w:rPr>
                      <w:t>Želdynų ir želdinių apsaugos, tvarkymo, būklės stebėsenos, želdynų kūrimo, želdinių veisimo ir inventorizavimo priemonės</w:t>
                    </w:r>
                  </w:p>
                </w:tc>
                <w:tc>
                  <w:tcPr>
                    <w:tcW w:w="2411" w:type="dxa"/>
                  </w:tcPr>
                  <w:p>
                    <w:pPr>
                      <w:widowControl w:val="0"/>
                      <w:rPr>
                        <w:sz w:val="22"/>
                        <w:szCs w:val="24"/>
                      </w:rPr>
                    </w:pPr>
                  </w:p>
                </w:tc>
              </w:tr>
              <w:tr>
                <w:tc>
                  <w:tcPr>
                    <w:tcW w:w="1188" w:type="dxa"/>
                  </w:tcPr>
                  <w:p>
                    <w:pPr>
                      <w:widowControl w:val="0"/>
                      <w:rPr>
                        <w:sz w:val="22"/>
                        <w:szCs w:val="24"/>
                      </w:rPr>
                    </w:pPr>
                    <w:r>
                      <w:rPr>
                        <w:sz w:val="22"/>
                        <w:szCs w:val="24"/>
                      </w:rPr>
                      <w:t>4.6.1.</w:t>
                    </w:r>
                  </w:p>
                </w:tc>
                <w:tc>
                  <w:tcPr>
                    <w:tcW w:w="3060" w:type="dxa"/>
                  </w:tcPr>
                  <w:p>
                    <w:pPr>
                      <w:widowControl w:val="0"/>
                      <w:ind w:firstLine="13"/>
                      <w:rPr>
                        <w:sz w:val="22"/>
                        <w:szCs w:val="24"/>
                      </w:rPr>
                    </w:pPr>
                  </w:p>
                </w:tc>
                <w:tc>
                  <w:tcPr>
                    <w:tcW w:w="2411" w:type="dxa"/>
                  </w:tcPr>
                  <w:p>
                    <w:pPr>
                      <w:widowControl w:val="0"/>
                      <w:ind w:firstLine="13"/>
                      <w:rPr>
                        <w:sz w:val="22"/>
                        <w:szCs w:val="24"/>
                      </w:rPr>
                    </w:pPr>
                  </w:p>
                </w:tc>
                <w:tc>
                  <w:tcPr>
                    <w:tcW w:w="2411" w:type="dxa"/>
                  </w:tcPr>
                  <w:p>
                    <w:pPr>
                      <w:widowControl w:val="0"/>
                      <w:rPr>
                        <w:sz w:val="22"/>
                        <w:szCs w:val="24"/>
                      </w:rPr>
                    </w:pPr>
                  </w:p>
                </w:tc>
              </w:tr>
              <w:tr>
                <w:tc>
                  <w:tcPr>
                    <w:tcW w:w="1188" w:type="dxa"/>
                  </w:tcPr>
                  <w:p>
                    <w:pPr>
                      <w:widowControl w:val="0"/>
                      <w:rPr>
                        <w:sz w:val="22"/>
                        <w:szCs w:val="24"/>
                      </w:rPr>
                    </w:pPr>
                    <w:r>
                      <w:rPr>
                        <w:sz w:val="22"/>
                        <w:szCs w:val="24"/>
                      </w:rPr>
                      <w:t>..</w:t>
                    </w:r>
                  </w:p>
                </w:tc>
                <w:tc>
                  <w:tcPr>
                    <w:tcW w:w="3060" w:type="dxa"/>
                  </w:tcPr>
                  <w:p>
                    <w:pPr>
                      <w:widowControl w:val="0"/>
                      <w:ind w:firstLine="13"/>
                      <w:rPr>
                        <w:sz w:val="22"/>
                        <w:szCs w:val="24"/>
                      </w:rPr>
                    </w:pPr>
                  </w:p>
                </w:tc>
                <w:tc>
                  <w:tcPr>
                    <w:tcW w:w="2411" w:type="dxa"/>
                  </w:tcPr>
                  <w:p>
                    <w:pPr>
                      <w:widowControl w:val="0"/>
                      <w:ind w:firstLine="13"/>
                      <w:rPr>
                        <w:sz w:val="22"/>
                        <w:szCs w:val="24"/>
                      </w:rPr>
                    </w:pPr>
                  </w:p>
                </w:tc>
                <w:tc>
                  <w:tcPr>
                    <w:tcW w:w="2411" w:type="dxa"/>
                  </w:tcPr>
                  <w:p>
                    <w:pPr>
                      <w:widowControl w:val="0"/>
                      <w:rPr>
                        <w:sz w:val="22"/>
                        <w:szCs w:val="24"/>
                      </w:rPr>
                    </w:pPr>
                  </w:p>
                </w:tc>
              </w:tr>
              <w:tr>
                <w:tc>
                  <w:tcPr>
                    <w:tcW w:w="1188" w:type="dxa"/>
                  </w:tcPr>
                  <w:p>
                    <w:pPr>
                      <w:widowControl w:val="0"/>
                      <w:rPr>
                        <w:sz w:val="22"/>
                        <w:szCs w:val="24"/>
                      </w:rPr>
                    </w:pPr>
                  </w:p>
                </w:tc>
                <w:tc>
                  <w:tcPr>
                    <w:tcW w:w="5471" w:type="dxa"/>
                    <w:gridSpan w:val="2"/>
                  </w:tcPr>
                  <w:p>
                    <w:pPr>
                      <w:widowControl w:val="0"/>
                      <w:rPr>
                        <w:sz w:val="22"/>
                        <w:szCs w:val="24"/>
                      </w:rPr>
                    </w:pPr>
                    <w:r>
                      <w:rPr>
                        <w:sz w:val="22"/>
                        <w:szCs w:val="24"/>
                      </w:rPr>
                      <w:t>Iš viso:</w:t>
                    </w:r>
                  </w:p>
                </w:tc>
                <w:tc>
                  <w:tcPr>
                    <w:tcW w:w="2411" w:type="dxa"/>
                  </w:tcPr>
                  <w:p>
                    <w:pPr>
                      <w:widowControl w:val="0"/>
                      <w:rPr>
                        <w:sz w:val="22"/>
                        <w:szCs w:val="24"/>
                      </w:rPr>
                    </w:pPr>
                  </w:p>
                </w:tc>
              </w:tr>
            </w:tbl>
            <w:p>
              <w:pPr>
                <w:jc w:val="both"/>
                <w:rPr>
                  <w:szCs w:val="24"/>
                </w:rPr>
              </w:pP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8a2160506611e4a698d921e3e46801">
                <w:r w:rsidRPr="00532B9F">
                  <w:rPr>
                    <w:rFonts w:ascii="Times New Roman" w:eastAsia="MS Mincho" w:hAnsi="Times New Roman"/>
                    <w:sz w:val="20"/>
                    <w:i/>
                    <w:iCs/>
                    <w:color w:val="0000FF" w:themeColor="hyperlink"/>
                    <w:u w:val="single"/>
                  </w:rPr>
                  <w:t>D1-814</w:t>
                </w:r>
              </w:fldSimple>
              <w:r>
                <w:rPr>
                  <w:rFonts w:ascii="Times New Roman" w:eastAsia="MS Mincho" w:hAnsi="Times New Roman"/>
                  <w:sz w:val="20"/>
                  <w:i/>
                  <w:iCs/>
                </w:rPr>
                <w:t>,
2014-10-08,
paskelbta TAR 2014-10-10, i. k. 2014-13957            </w:t>
              </w:r>
            </w:p>
            <w:p/>
          </w:sdtContent>
        </w:sdt>
        <w:sdt>
          <w:sdtPr>
            <w:alias w:val="frm. 5 p."/>
            <w:tag w:val="part_4f694307582b40a29f86a528c5b61044"/>
            <w:lock w:val="sdtLocked"/>
            <w:richText/>
          </w:sdtPr>
          <w:sdtContent>
            <w:p>
              <w:pPr>
                <w:ind w:firstLine="567"/>
                <w:jc w:val="both"/>
                <w:rPr>
                  <w:b/>
                  <w:szCs w:val="24"/>
                </w:rPr>
              </w:pPr>
              <w:sdt>
                <w:sdtPr>
                  <w:alias w:val="Numeris"/>
                  <w:tag w:val="nr_4f694307582b40a29f86a528c5b61044"/>
                  <w:lock w:val="sdtLocked"/>
                  <w:richText/>
                </w:sdtPr>
                <w:sdtContent>
                  <w:r>
                    <w:rPr>
                      <w:b/>
                      <w:szCs w:val="24"/>
                    </w:rPr>
                    <w:t>5</w:t>
                  </w:r>
                </w:sdtContent>
              </w:sdt>
              <w:r>
                <w:rPr>
                  <w:b/>
                  <w:szCs w:val="24"/>
                </w:rPr>
                <w:t>.</w:t>
              </w:r>
              <w:r>
                <w:rPr>
                  <w:szCs w:val="24"/>
                </w:rPr>
                <w:t xml:space="preserve"> </w:t>
              </w:r>
              <w:r>
                <w:rPr>
                  <w:b/>
                  <w:szCs w:val="24"/>
                </w:rPr>
                <w:t>Ataskaitinio laikotarpio Programos lėšų likučiai (nepanaudotos lėšos)</w:t>
              </w:r>
            </w:p>
            <w:p>
              <w:pPr>
                <w:jc w:val="both"/>
                <w:rPr>
                  <w:szCs w:val="24"/>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76"/>
                <w:gridCol w:w="272"/>
                <w:gridCol w:w="6796"/>
                <w:gridCol w:w="1326"/>
              </w:tblGrid>
              <w:tr>
                <w:tc>
                  <w:tcPr>
                    <w:tcW w:w="948" w:type="dxa"/>
                    <w:gridSpan w:val="2"/>
                  </w:tcPr>
                  <w:p>
                    <w:pPr>
                      <w:widowControl w:val="0"/>
                      <w:suppressAutoHyphens/>
                      <w:jc w:val="center"/>
                      <w:rPr>
                        <w:b/>
                        <w:sz w:val="22"/>
                        <w:szCs w:val="24"/>
                      </w:rPr>
                    </w:pPr>
                    <w:r>
                      <w:rPr>
                        <w:b/>
                        <w:sz w:val="22"/>
                        <w:szCs w:val="24"/>
                      </w:rPr>
                      <w:t>Eil. Nr.</w:t>
                    </w:r>
                  </w:p>
                </w:tc>
                <w:tc>
                  <w:tcPr>
                    <w:tcW w:w="6796" w:type="dxa"/>
                  </w:tcPr>
                  <w:p>
                    <w:pPr>
                      <w:widowControl w:val="0"/>
                      <w:suppressAutoHyphens/>
                      <w:jc w:val="center"/>
                      <w:rPr>
                        <w:b/>
                        <w:sz w:val="22"/>
                        <w:szCs w:val="24"/>
                      </w:rPr>
                    </w:pPr>
                    <w:r>
                      <w:rPr>
                        <w:b/>
                        <w:sz w:val="22"/>
                        <w:szCs w:val="24"/>
                      </w:rPr>
                      <w:t>Programos priemonių grupės pavadinimas</w:t>
                    </w:r>
                  </w:p>
                </w:tc>
                <w:tc>
                  <w:tcPr>
                    <w:tcW w:w="1326" w:type="dxa"/>
                  </w:tcPr>
                  <w:p>
                    <w:pPr>
                      <w:widowControl w:val="0"/>
                      <w:suppressAutoHyphens/>
                      <w:jc w:val="center"/>
                      <w:rPr>
                        <w:b/>
                        <w:sz w:val="22"/>
                        <w:szCs w:val="24"/>
                      </w:rPr>
                    </w:pPr>
                    <w:r>
                      <w:rPr>
                        <w:b/>
                        <w:sz w:val="22"/>
                        <w:szCs w:val="24"/>
                      </w:rPr>
                      <w:t>Lėšų likutis, Eur</w:t>
                    </w:r>
                  </w:p>
                </w:tc>
              </w:tr>
              <w:tr>
                <w:tc>
                  <w:tcPr>
                    <w:tcW w:w="948" w:type="dxa"/>
                    <w:gridSpan w:val="2"/>
                  </w:tcPr>
                  <w:p>
                    <w:pPr>
                      <w:widowControl w:val="0"/>
                      <w:suppressAutoHyphens/>
                      <w:rPr>
                        <w:sz w:val="22"/>
                        <w:szCs w:val="24"/>
                      </w:rPr>
                    </w:pPr>
                    <w:r>
                      <w:rPr>
                        <w:sz w:val="22"/>
                        <w:szCs w:val="24"/>
                      </w:rPr>
                      <w:t>5.1.</w:t>
                    </w:r>
                  </w:p>
                </w:tc>
                <w:tc>
                  <w:tcPr>
                    <w:tcW w:w="6796" w:type="dxa"/>
                  </w:tcPr>
                  <w:p>
                    <w:pPr>
                      <w:widowControl w:val="0"/>
                      <w:suppressAutoHyphens/>
                      <w:rPr>
                        <w:sz w:val="22"/>
                        <w:szCs w:val="24"/>
                      </w:rPr>
                    </w:pPr>
                    <w:r>
                      <w:rPr>
                        <w:sz w:val="22"/>
                        <w:szCs w:val="24"/>
                      </w:rPr>
                      <w:t>Programos priemonių grupė, kuriai naudojamos lėšos, surinktos už medžiojamųjų gyvūnų išteklių naudojimą (1.8–2)</w:t>
                    </w:r>
                  </w:p>
                </w:tc>
                <w:tc>
                  <w:tcPr>
                    <w:tcW w:w="1326" w:type="dxa"/>
                  </w:tcPr>
                  <w:p>
                    <w:pPr>
                      <w:widowControl w:val="0"/>
                      <w:suppressAutoHyphens/>
                      <w:rPr>
                        <w:sz w:val="22"/>
                        <w:szCs w:val="24"/>
                      </w:rPr>
                    </w:pPr>
                  </w:p>
                </w:tc>
              </w:tr>
              <w:tr>
                <w:tc>
                  <w:tcPr>
                    <w:tcW w:w="948" w:type="dxa"/>
                    <w:gridSpan w:val="2"/>
                  </w:tcPr>
                  <w:p>
                    <w:pPr>
                      <w:widowControl w:val="0"/>
                      <w:suppressAutoHyphens/>
                      <w:rPr>
                        <w:sz w:val="22"/>
                        <w:szCs w:val="24"/>
                      </w:rPr>
                    </w:pPr>
                    <w:r>
                      <w:rPr>
                        <w:sz w:val="22"/>
                        <w:szCs w:val="24"/>
                      </w:rPr>
                      <w:t>5.2.</w:t>
                    </w:r>
                  </w:p>
                </w:tc>
                <w:tc>
                  <w:tcPr>
                    <w:tcW w:w="6796" w:type="dxa"/>
                  </w:tcPr>
                  <w:p>
                    <w:pPr>
                      <w:widowControl w:val="0"/>
                      <w:suppressAutoHyphens/>
                      <w:rPr>
                        <w:sz w:val="22"/>
                        <w:szCs w:val="24"/>
                      </w:rPr>
                    </w:pPr>
                    <w:r>
                      <w:rPr>
                        <w:color w:val="000000"/>
                        <w:sz w:val="22"/>
                        <w:szCs w:val="24"/>
                      </w:rPr>
                      <w:t xml:space="preserve">Savivaldybės visuomenės sveikatos rėmimo specialioji programa </w:t>
                    </w:r>
                    <w:r>
                      <w:rPr>
                        <w:sz w:val="22"/>
                        <w:szCs w:val="24"/>
                      </w:rPr>
                      <w:t>(1.12–3)</w:t>
                    </w:r>
                  </w:p>
                </w:tc>
                <w:tc>
                  <w:tcPr>
                    <w:tcW w:w="1326" w:type="dxa"/>
                  </w:tcPr>
                  <w:p>
                    <w:pPr>
                      <w:widowControl w:val="0"/>
                      <w:suppressAutoHyphens/>
                      <w:rPr>
                        <w:sz w:val="22"/>
                        <w:szCs w:val="24"/>
                      </w:rPr>
                    </w:pPr>
                  </w:p>
                </w:tc>
              </w:tr>
              <w:tr>
                <w:tc>
                  <w:tcPr>
                    <w:tcW w:w="948" w:type="dxa"/>
                    <w:gridSpan w:val="2"/>
                  </w:tcPr>
                  <w:p>
                    <w:pPr>
                      <w:widowControl w:val="0"/>
                      <w:suppressAutoHyphens/>
                      <w:rPr>
                        <w:sz w:val="22"/>
                        <w:szCs w:val="24"/>
                      </w:rPr>
                    </w:pPr>
                    <w:r>
                      <w:rPr>
                        <w:sz w:val="22"/>
                        <w:szCs w:val="24"/>
                      </w:rPr>
                      <w:t>5.3.</w:t>
                    </w:r>
                  </w:p>
                </w:tc>
                <w:tc>
                  <w:tcPr>
                    <w:tcW w:w="6796" w:type="dxa"/>
                  </w:tcPr>
                  <w:p>
                    <w:pPr>
                      <w:widowControl w:val="0"/>
                      <w:suppressAutoHyphens/>
                      <w:rPr>
                        <w:sz w:val="22"/>
                        <w:szCs w:val="24"/>
                      </w:rPr>
                    </w:pPr>
                    <w:r>
                      <w:rPr>
                        <w:sz w:val="22"/>
                        <w:szCs w:val="24"/>
                      </w:rPr>
                      <w:t>Kitų Programos aplinkosaugos priemonių grupė (1.15–4)</w:t>
                    </w:r>
                  </w:p>
                </w:tc>
                <w:tc>
                  <w:tcPr>
                    <w:tcW w:w="1326" w:type="dxa"/>
                  </w:tcPr>
                  <w:p>
                    <w:pPr>
                      <w:widowControl w:val="0"/>
                      <w:suppressAutoHyphens/>
                      <w:rPr>
                        <w:sz w:val="22"/>
                        <w:szCs w:val="24"/>
                      </w:rPr>
                    </w:pPr>
                  </w:p>
                </w:tc>
              </w:tr>
              <w:tr>
                <w:tc>
                  <w:tcPr>
                    <w:tcW w:w="676" w:type="dxa"/>
                  </w:tcPr>
                  <w:p>
                    <w:pPr>
                      <w:widowControl w:val="0"/>
                      <w:suppressAutoHyphens/>
                      <w:rPr>
                        <w:sz w:val="22"/>
                        <w:szCs w:val="24"/>
                      </w:rPr>
                    </w:pPr>
                    <w:r>
                      <w:rPr>
                        <w:sz w:val="22"/>
                        <w:szCs w:val="24"/>
                      </w:rPr>
                      <w:t>5.4.</w:t>
                    </w:r>
                  </w:p>
                </w:tc>
                <w:tc>
                  <w:tcPr>
                    <w:tcW w:w="7068" w:type="dxa"/>
                    <w:gridSpan w:val="2"/>
                  </w:tcPr>
                  <w:p>
                    <w:pPr>
                      <w:widowControl w:val="0"/>
                      <w:suppressAutoHyphens/>
                      <w:rPr>
                        <w:sz w:val="22"/>
                        <w:szCs w:val="24"/>
                      </w:rPr>
                    </w:pPr>
                    <w:r>
                      <w:rPr>
                        <w:sz w:val="22"/>
                        <w:szCs w:val="24"/>
                      </w:rPr>
                      <w:t xml:space="preserve">Iš viso: </w:t>
                    </w:r>
                  </w:p>
                </w:tc>
                <w:tc>
                  <w:tcPr>
                    <w:tcW w:w="1326" w:type="dxa"/>
                  </w:tcPr>
                  <w:p>
                    <w:pPr>
                      <w:widowControl w:val="0"/>
                      <w:suppressAutoHyphens/>
                      <w:rPr>
                        <w:sz w:val="22"/>
                        <w:szCs w:val="24"/>
                      </w:rPr>
                    </w:pPr>
                  </w:p>
                </w:tc>
              </w:tr>
            </w:tbl>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8a2160506611e4a698d921e3e46801">
                <w:r w:rsidRPr="00532B9F">
                  <w:rPr>
                    <w:rFonts w:ascii="Times New Roman" w:eastAsia="MS Mincho" w:hAnsi="Times New Roman"/>
                    <w:sz w:val="20"/>
                    <w:i/>
                    <w:iCs/>
                    <w:color w:val="0000FF" w:themeColor="hyperlink"/>
                    <w:u w:val="single"/>
                  </w:rPr>
                  <w:t>D1-814</w:t>
                </w:r>
              </w:fldSimple>
              <w:r>
                <w:rPr>
                  <w:rFonts w:ascii="Times New Roman" w:eastAsia="MS Mincho" w:hAnsi="Times New Roman"/>
                  <w:sz w:val="20"/>
                  <w:i/>
                  <w:iCs/>
                </w:rPr>
                <w:t>,
2014-10-08,
paskelbta TAR 2014-10-10, i. k. 2014-13957            </w:t>
              </w:r>
            </w:p>
            <w:p/>
          </w:sdtContent>
        </w:sdt>
      </w:sdtContent>
    </w:sdt>
    <w:sdt>
      <w:sdtPr>
        <w:alias w:val="patvirtinta"/>
        <w:tag w:val="part_784409bd45104bcd96a7ea71752f4f7e"/>
        <w:lock w:val="sdtLocked"/>
        <w:richText/>
      </w:sdtPr>
      <w:sdtContent>
        <w:p>
          <w:pPr>
            <w:ind w:firstLine="5103"/>
            <w:sectPr>
              <w:pgSz w:w="11907" w:h="16840" w:code="9"/>
              <w:pgMar w:top="1134" w:right="1134" w:bottom="851" w:left="1701" w:header="567" w:footer="284" w:gutter="0"/>
              <w:pgNumType w:start="1"/>
              <w:cols w:space="1296"/>
              <w:titlePg/>
              <w:docGrid w:linePitch="360"/>
            </w:sectPr>
          </w:pPr>
        </w:p>
        <w:p>
          <w:pPr>
            <w:ind w:firstLine="5103"/>
            <w:rPr>
              <w:szCs w:val="24"/>
            </w:rPr>
          </w:pPr>
          <w:r>
            <w:rPr>
              <w:szCs w:val="24"/>
            </w:rPr>
            <w:t>PATVIRTINTA</w:t>
          </w:r>
        </w:p>
        <w:p>
          <w:pPr>
            <w:widowControl w:val="0"/>
            <w:tabs>
              <w:tab w:val="left" w:pos="1304"/>
              <w:tab w:val="left" w:pos="1457"/>
              <w:tab w:val="left" w:pos="1604"/>
              <w:tab w:val="left" w:pos="1757"/>
            </w:tabs>
            <w:suppressAutoHyphens/>
            <w:ind w:left="5103"/>
            <w:rPr>
              <w:szCs w:val="24"/>
            </w:rPr>
          </w:pPr>
          <w:r>
            <w:rPr>
              <w:szCs w:val="24"/>
            </w:rPr>
            <w:t>Lietuvos Respublikos aplinkos ministro</w:t>
          </w:r>
        </w:p>
        <w:p>
          <w:pPr>
            <w:widowControl w:val="0"/>
            <w:tabs>
              <w:tab w:val="left" w:pos="1304"/>
              <w:tab w:val="left" w:pos="1457"/>
              <w:tab w:val="left" w:pos="1604"/>
              <w:tab w:val="left" w:pos="1757"/>
            </w:tabs>
            <w:suppressAutoHyphens/>
            <w:ind w:left="5103"/>
            <w:rPr>
              <w:szCs w:val="24"/>
            </w:rPr>
          </w:pPr>
          <w:r>
            <w:rPr>
              <w:szCs w:val="24"/>
            </w:rPr>
            <w:t>2014 m. spalio 8 d. įsakymu Nr. D1-814</w:t>
          </w:r>
        </w:p>
        <w:p>
          <w:pPr>
            <w:widowControl w:val="0"/>
            <w:suppressAutoHyphens/>
            <w:ind w:firstLine="567"/>
            <w:rPr>
              <w:szCs w:val="24"/>
            </w:rPr>
          </w:pPr>
        </w:p>
        <w:sdt>
          <w:sdtPr>
            <w:alias w:val="Pavadinimas"/>
            <w:tag w:val="title_784409bd45104bcd96a7ea71752f4f7e"/>
            <w:lock w:val="sdtLocked"/>
            <w:richText/>
          </w:sdtPr>
          <w:sdtContent>
            <w:p>
              <w:pPr>
                <w:widowControl w:val="0"/>
                <w:suppressAutoHyphens/>
                <w:ind w:firstLine="567"/>
                <w:jc w:val="center"/>
                <w:rPr>
                  <w:b/>
                  <w:szCs w:val="24"/>
                </w:rPr>
              </w:pPr>
              <w:r>
                <w:rPr>
                  <w:b/>
                  <w:szCs w:val="24"/>
                </w:rPr>
                <w:t>SAVIVALDYBIŲ APLINKOS APSAUGOS RĖMIMO SPECIALIOSIOS PROGRAMOS PRIEMONIŲ VYKDYMO ATASKAITOS FORMOS PILDYMO TAISYKLĖS</w:t>
              </w:r>
            </w:p>
          </w:sdtContent>
        </w:sdt>
        <w:p>
          <w:pPr>
            <w:widowControl w:val="0"/>
            <w:suppressAutoHyphens/>
            <w:ind w:firstLine="567"/>
            <w:jc w:val="center"/>
            <w:rPr>
              <w:b/>
              <w:szCs w:val="24"/>
            </w:rPr>
          </w:pPr>
        </w:p>
        <w:sdt>
          <w:sdtPr>
            <w:alias w:val="1 p."/>
            <w:tag w:val="part_8be81e21cb124b878459162e47b449e3"/>
            <w:lock w:val="sdtLocked"/>
            <w:richText/>
          </w:sdtPr>
          <w:sdtContent>
            <w:p>
              <w:pPr>
                <w:ind w:firstLine="567"/>
                <w:jc w:val="both"/>
                <w:rPr>
                  <w:szCs w:val="24"/>
                </w:rPr>
              </w:pPr>
              <w:sdt>
                <w:sdtPr>
                  <w:alias w:val="Numeris"/>
                  <w:tag w:val="nr_8be81e21cb124b878459162e47b449e3"/>
                  <w:lock w:val="sdtLocked"/>
                  <w:richText/>
                </w:sdtPr>
                <w:sdtContent>
                  <w:r>
                    <w:rPr>
                      <w:szCs w:val="24"/>
                    </w:rPr>
                    <w:t>1</w:t>
                  </w:r>
                </w:sdtContent>
              </w:sdt>
              <w:r>
                <w:rPr>
                  <w:szCs w:val="24"/>
                </w:rPr>
                <w:t>. Savivaldybių aplinkos apsaugos rėmimo specialiosios programos (toliau – Programa) priemonių vykdymo ataskaitoje (toliau – Ataskaita) pateikta informacija turi išsamiai ir teisingai parodyti Programos finansavimo šaltinius, gautas lėšas, jų panaudojimą bei likučius.</w:t>
              </w:r>
            </w:p>
          </w:sdtContent>
        </w:sdt>
        <w:sdt>
          <w:sdtPr>
            <w:alias w:val="2 p."/>
            <w:tag w:val="part_ece09beae0034806813d642a35133afa"/>
            <w:lock w:val="sdtLocked"/>
            <w:richText/>
          </w:sdtPr>
          <w:sdtContent>
            <w:p>
              <w:pPr>
                <w:ind w:firstLine="567"/>
                <w:jc w:val="both"/>
                <w:rPr>
                  <w:szCs w:val="24"/>
                </w:rPr>
              </w:pPr>
              <w:sdt>
                <w:sdtPr>
                  <w:alias w:val="Numeris"/>
                  <w:tag w:val="nr_ece09beae0034806813d642a35133afa"/>
                  <w:lock w:val="sdtLocked"/>
                  <w:richText/>
                </w:sdtPr>
                <w:sdtContent>
                  <w:r>
                    <w:rPr>
                      <w:szCs w:val="24"/>
                    </w:rPr>
                    <w:t>2</w:t>
                  </w:r>
                </w:sdtContent>
              </w:sdt>
              <w:r>
                <w:rPr>
                  <w:szCs w:val="24"/>
                </w:rPr>
                <w:t>. Ataskaita pildoma pasibaigus ataskaitiniams (kalendoriniams) metams.</w:t>
              </w:r>
            </w:p>
          </w:sdtContent>
        </w:sdt>
        <w:sdt>
          <w:sdtPr>
            <w:alias w:val="3 p."/>
            <w:tag w:val="part_5797dfa9334a43a9856f9d3319ebf684"/>
            <w:lock w:val="sdtLocked"/>
            <w:richText/>
          </w:sdtPr>
          <w:sdtContent>
            <w:p>
              <w:pPr>
                <w:ind w:firstLine="567"/>
                <w:jc w:val="both"/>
                <w:rPr>
                  <w:szCs w:val="24"/>
                </w:rPr>
              </w:pPr>
              <w:sdt>
                <w:sdtPr>
                  <w:alias w:val="Numeris"/>
                  <w:tag w:val="nr_5797dfa9334a43a9856f9d3319ebf684"/>
                  <w:lock w:val="sdtLocked"/>
                  <w:richText/>
                </w:sdtPr>
                <w:sdtContent>
                  <w:r>
                    <w:rPr>
                      <w:szCs w:val="24"/>
                    </w:rPr>
                    <w:t>3</w:t>
                  </w:r>
                </w:sdtContent>
              </w:sdt>
              <w:r>
                <w:rPr>
                  <w:szCs w:val="24"/>
                </w:rPr>
                <w:t>. Duomenys Ataskaitoje įrašomi pagal Valstybinės mokesčių inspekcijos duomenis, savivaldybės administracijos padalinio, atsakingo už savivaldybės finansus, duomenis ir ankstesnio ataskaitinio laikotarpio Ataskaitos duomenis.</w:t>
              </w:r>
            </w:p>
          </w:sdtContent>
        </w:sdt>
        <w:sdt>
          <w:sdtPr>
            <w:alias w:val="4 p."/>
            <w:tag w:val="part_21acb6966e72440bb3e0a77903b26cb5"/>
            <w:lock w:val="sdtLocked"/>
            <w:richText/>
          </w:sdtPr>
          <w:sdtContent>
            <w:p>
              <w:pPr>
                <w:ind w:firstLine="567"/>
                <w:jc w:val="both"/>
                <w:rPr>
                  <w:szCs w:val="24"/>
                </w:rPr>
              </w:pPr>
              <w:sdt>
                <w:sdtPr>
                  <w:alias w:val="Numeris"/>
                  <w:tag w:val="nr_21acb6966e72440bb3e0a77903b26cb5"/>
                  <w:lock w:val="sdtLocked"/>
                  <w:richText/>
                </w:sdtPr>
                <w:sdtContent>
                  <w:r>
                    <w:rPr>
                      <w:szCs w:val="24"/>
                    </w:rPr>
                    <w:t>4</w:t>
                  </w:r>
                </w:sdtContent>
              </w:sdt>
              <w:r>
                <w:rPr>
                  <w:szCs w:val="24"/>
                </w:rPr>
                <w:t>. Punktai, nurodyti Ataskaitoje, yra privalomi, t. y. jie pateikiami ir tais atvejais, kai jų sumos lygios nuliui.</w:t>
              </w:r>
            </w:p>
          </w:sdtContent>
        </w:sdt>
        <w:sdt>
          <w:sdtPr>
            <w:alias w:val="5 p."/>
            <w:tag w:val="part_8711350479734d8881c1bf1e7156ed5c"/>
            <w:lock w:val="sdtLocked"/>
            <w:richText/>
          </w:sdtPr>
          <w:sdtContent>
            <w:p>
              <w:pPr>
                <w:ind w:firstLine="567"/>
                <w:jc w:val="both"/>
                <w:rPr>
                  <w:szCs w:val="24"/>
                </w:rPr>
              </w:pPr>
              <w:sdt>
                <w:sdtPr>
                  <w:alias w:val="Numeris"/>
                  <w:tag w:val="nr_8711350479734d8881c1bf1e7156ed5c"/>
                  <w:lock w:val="sdtLocked"/>
                  <w:richText/>
                </w:sdtPr>
                <w:sdtContent>
                  <w:r>
                    <w:rPr>
                      <w:szCs w:val="24"/>
                    </w:rPr>
                    <w:t>5</w:t>
                  </w:r>
                </w:sdtContent>
              </w:sdt>
              <w:r>
                <w:rPr>
                  <w:szCs w:val="24"/>
                </w:rPr>
                <w:t>. Duomenys Ataskaitoje pateikiami Lietuvos Respublikos patvirtinta valiuta – eurais. Įrašomos sumos apvalinamos: 49 euro centai ir mažiau atmetami, 50 euro centų ir daugiau laikomos 1 euru.</w:t>
              </w:r>
            </w:p>
          </w:sdtContent>
        </w:sdt>
        <w:sdt>
          <w:sdtPr>
            <w:alias w:val="6 p."/>
            <w:tag w:val="part_6cb948dfa37e408d863da877438c36ea"/>
            <w:lock w:val="sdtLocked"/>
            <w:richText/>
          </w:sdtPr>
          <w:sdtContent>
            <w:p>
              <w:pPr>
                <w:ind w:firstLine="567"/>
                <w:jc w:val="both"/>
                <w:rPr>
                  <w:szCs w:val="24"/>
                </w:rPr>
              </w:pPr>
              <w:sdt>
                <w:sdtPr>
                  <w:alias w:val="Numeris"/>
                  <w:tag w:val="nr_6cb948dfa37e408d863da877438c36ea"/>
                  <w:lock w:val="sdtLocked"/>
                  <w:richText/>
                </w:sdtPr>
                <w:sdtContent>
                  <w:r>
                    <w:rPr>
                      <w:szCs w:val="24"/>
                    </w:rPr>
                    <w:t>6</w:t>
                  </w:r>
                </w:sdtContent>
              </w:sdt>
              <w:r>
                <w:rPr>
                  <w:szCs w:val="24"/>
                </w:rPr>
                <w:t>. Ataskaitos pavadinimo atitinkamose vietose įrašomi savivaldybės pavadinimas ir ataskaitiniai metai.</w:t>
              </w:r>
            </w:p>
          </w:sdtContent>
        </w:sdt>
        <w:sdt>
          <w:sdtPr>
            <w:alias w:val="7 p."/>
            <w:tag w:val="part_ec46a575173343b0b4cd0bd950c34565"/>
            <w:lock w:val="sdtLocked"/>
            <w:richText/>
          </w:sdtPr>
          <w:sdtContent>
            <w:p>
              <w:pPr>
                <w:widowControl w:val="0"/>
                <w:suppressAutoHyphens/>
                <w:ind w:firstLine="567"/>
                <w:jc w:val="both"/>
                <w:rPr>
                  <w:szCs w:val="24"/>
                </w:rPr>
              </w:pPr>
              <w:sdt>
                <w:sdtPr>
                  <w:alias w:val="Numeris"/>
                  <w:tag w:val="nr_ec46a575173343b0b4cd0bd950c34565"/>
                  <w:lock w:val="sdtLocked"/>
                  <w:richText/>
                </w:sdtPr>
                <w:sdtContent>
                  <w:r>
                    <w:rPr>
                      <w:szCs w:val="24"/>
                    </w:rPr>
                    <w:t>7</w:t>
                  </w:r>
                </w:sdtContent>
              </w:sdt>
              <w:r>
                <w:rPr>
                  <w:szCs w:val="24"/>
                </w:rPr>
                <w:t xml:space="preserve">. </w:t>
              </w:r>
              <w:r>
                <w:rPr>
                  <w:spacing w:val="-4"/>
                  <w:szCs w:val="24"/>
                </w:rPr>
                <w:t>Ataskaitos pirmosios dalies „</w:t>
              </w:r>
              <w:r>
                <w:rPr>
                  <w:szCs w:val="24"/>
                </w:rPr>
                <w:t>Informacija apie savivaldybės aplinkos apsaugos rėmimo specialiosios programos (toliau – Programa) lėšas“:</w:t>
              </w:r>
            </w:p>
            <w:sdt>
              <w:sdtPr>
                <w:alias w:val="7.1 p."/>
                <w:tag w:val="part_e5d90ed0d59f423b936bb753c39a2fa5"/>
                <w:lock w:val="sdtLocked"/>
                <w:richText/>
              </w:sdtPr>
              <w:sdtContent>
                <w:p>
                  <w:pPr>
                    <w:widowControl w:val="0"/>
                    <w:suppressAutoHyphens/>
                    <w:ind w:firstLine="567"/>
                    <w:jc w:val="both"/>
                    <w:rPr>
                      <w:szCs w:val="24"/>
                    </w:rPr>
                  </w:pPr>
                  <w:sdt>
                    <w:sdtPr>
                      <w:alias w:val="Numeris"/>
                      <w:tag w:val="nr_e5d90ed0d59f423b936bb753c39a2fa5"/>
                      <w:lock w:val="sdtLocked"/>
                      <w:richText/>
                    </w:sdtPr>
                    <w:sdtContent>
                      <w:r>
                        <w:rPr>
                          <w:szCs w:val="24"/>
                        </w:rPr>
                        <w:t>7.1</w:t>
                      </w:r>
                    </w:sdtContent>
                  </w:sdt>
                  <w:r>
                    <w:rPr>
                      <w:szCs w:val="24"/>
                    </w:rPr>
                    <w:t xml:space="preserve">. pirmosios lentelės skilties </w:t>
                  </w:r>
                  <w:r>
                    <w:rPr>
                      <w:spacing w:val="-4"/>
                      <w:szCs w:val="24"/>
                    </w:rPr>
                    <w:t>„Lėšos, Eur“</w:t>
                  </w:r>
                  <w:r>
                    <w:rPr>
                      <w:szCs w:val="24"/>
                    </w:rPr>
                    <w:t>:</w:t>
                  </w:r>
                </w:p>
                <w:sdt>
                  <w:sdtPr>
                    <w:alias w:val="7.1.1 p."/>
                    <w:tag w:val="part_3d66ceef3167441ab8907be336bf9613"/>
                    <w:lock w:val="sdtLocked"/>
                    <w:richText/>
                  </w:sdtPr>
                  <w:sdtContent>
                    <w:p>
                      <w:pPr>
                        <w:suppressAutoHyphens/>
                        <w:ind w:firstLine="567"/>
                        <w:jc w:val="both"/>
                        <w:textAlignment w:val="center"/>
                        <w:rPr>
                          <w:szCs w:val="24"/>
                        </w:rPr>
                      </w:pPr>
                      <w:sdt>
                        <w:sdtPr>
                          <w:alias w:val="Numeris"/>
                          <w:tag w:val="nr_3d66ceef3167441ab8907be336bf9613"/>
                          <w:lock w:val="sdtLocked"/>
                          <w:richText/>
                        </w:sdtPr>
                        <w:sdtContent>
                          <w:r>
                            <w:rPr>
                              <w:color w:val="000000"/>
                              <w:szCs w:val="24"/>
                            </w:rPr>
                            <w:t>7.1.1</w:t>
                          </w:r>
                        </w:sdtContent>
                      </w:sdt>
                      <w:r>
                        <w:rPr>
                          <w:color w:val="000000"/>
                          <w:szCs w:val="24"/>
                        </w:rPr>
                        <w:t xml:space="preserve">. </w:t>
                      </w:r>
                      <w:r>
                        <w:rPr>
                          <w:szCs w:val="24"/>
                        </w:rPr>
                        <w:t>1.1, 1.2, 1.3 ir 1.4 eilutėje</w:t>
                      </w:r>
                      <w:r>
                        <w:rPr>
                          <w:spacing w:val="-4"/>
                          <w:szCs w:val="24"/>
                        </w:rPr>
                        <w:t xml:space="preserve"> įrašoma pagal kiekvieną lėšų šaltinį faktiškai per ataskaitinius metus gauta suma eurais. Gauta j</w:t>
                      </w:r>
                      <w:r>
                        <w:rPr>
                          <w:szCs w:val="24"/>
                        </w:rPr>
                        <w:t>uridinių ir fizinių asmenų sumokėtų mokesčių už valstybinius gamtos išteklius (naudingąsias iškasenas, vandenį, statybinį gruntą ir angliavandenilius) suma (1.2 eilutė) nurodoma neįskaitant įplaukų už medžioklės plotų naudotojų mokesčius, mokamus įstatymų nustatytomis proporcijomis ir tvarka už medžiojamųjų gyvūnų išteklių naudojimą;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0e1882503311e7846ef01bfffb9b64">
                        <w:r w:rsidRPr="00532B9F">
                          <w:rPr>
                            <w:rFonts w:ascii="Times New Roman" w:eastAsia="MS Mincho" w:hAnsi="Times New Roman"/>
                            <w:sz w:val="20"/>
                            <w:i/>
                            <w:iCs/>
                            <w:color w:val="0000FF" w:themeColor="hyperlink"/>
                            <w:u w:val="single"/>
                          </w:rPr>
                          <w:t>D1-503</w:t>
                        </w:r>
                      </w:fldSimple>
                      <w:r>
                        <w:rPr>
                          <w:rFonts w:ascii="Times New Roman" w:eastAsia="MS Mincho" w:hAnsi="Times New Roman"/>
                          <w:sz w:val="20"/>
                          <w:i/>
                          <w:iCs/>
                        </w:rPr>
                        <w:t>,
2017-06-12,
paskelbta TAR 2017-06-13, i. k. 2017-09954            </w:t>
                      </w:r>
                    </w:p>
                    <w:p/>
                  </w:sdtContent>
                </w:sdt>
                <w:sdt>
                  <w:sdtPr>
                    <w:alias w:val="7.1.2 p."/>
                    <w:tag w:val="part_89f9344811d64897afec596485fe2fc3"/>
                    <w:lock w:val="sdtLocked"/>
                    <w:richText/>
                  </w:sdtPr>
                  <w:sdtContent>
                    <w:p>
                      <w:pPr>
                        <w:widowControl w:val="0"/>
                        <w:suppressAutoHyphens/>
                        <w:ind w:firstLine="567"/>
                        <w:jc w:val="both"/>
                        <w:rPr>
                          <w:szCs w:val="24"/>
                        </w:rPr>
                      </w:pPr>
                      <w:sdt>
                        <w:sdtPr>
                          <w:alias w:val="Numeris"/>
                          <w:tag w:val="nr_89f9344811d64897afec596485fe2fc3"/>
                          <w:lock w:val="sdtLocked"/>
                          <w:richText/>
                        </w:sdtPr>
                        <w:sdtContent>
                          <w:r>
                            <w:rPr>
                              <w:szCs w:val="24"/>
                            </w:rPr>
                            <w:t>7.1.2</w:t>
                          </w:r>
                        </w:sdtContent>
                      </w:sdt>
                      <w:r>
                        <w:rPr>
                          <w:szCs w:val="24"/>
                        </w:rPr>
                        <w:t xml:space="preserve">. 1.5 </w:t>
                      </w:r>
                      <w:r>
                        <w:rPr>
                          <w:spacing w:val="-4"/>
                          <w:szCs w:val="24"/>
                        </w:rPr>
                        <w:t>eilutėje nurodoma skilties „Lėšos, Eur“ 1.1, 1.2, 1.3 ir 1.4 eilučių reikšmių suma;</w:t>
                      </w:r>
                    </w:p>
                  </w:sdtContent>
                </w:sdt>
                <w:sdt>
                  <w:sdtPr>
                    <w:alias w:val="7.1.3 p."/>
                    <w:tag w:val="part_1243c28ba32e43608ad754d6032e2ed1"/>
                    <w:lock w:val="sdtLocked"/>
                    <w:richText/>
                  </w:sdtPr>
                  <w:sdtContent>
                    <w:p>
                      <w:pPr>
                        <w:widowControl w:val="0"/>
                        <w:suppressAutoHyphens/>
                        <w:ind w:firstLine="567"/>
                        <w:jc w:val="both"/>
                        <w:rPr>
                          <w:szCs w:val="24"/>
                        </w:rPr>
                      </w:pPr>
                      <w:sdt>
                        <w:sdtPr>
                          <w:alias w:val="Numeris"/>
                          <w:tag w:val="nr_1243c28ba32e43608ad754d6032e2ed1"/>
                          <w:lock w:val="sdtLocked"/>
                          <w:richText/>
                        </w:sdtPr>
                        <w:sdtContent>
                          <w:r>
                            <w:rPr>
                              <w:szCs w:val="24"/>
                            </w:rPr>
                            <w:t>7.1.3</w:t>
                          </w:r>
                        </w:sdtContent>
                      </w:sdt>
                      <w:r>
                        <w:rPr>
                          <w:szCs w:val="24"/>
                        </w:rPr>
                        <w:t xml:space="preserve">. </w:t>
                      </w:r>
                      <w:r>
                        <w:rPr>
                          <w:spacing w:val="-4"/>
                          <w:szCs w:val="24"/>
                        </w:rPr>
                        <w:t xml:space="preserve">1.6 eilutėje nurodoma įplaukų, kurias sudaro </w:t>
                      </w:r>
                      <w:r>
                        <w:rPr>
                          <w:szCs w:val="24"/>
                        </w:rPr>
                        <w:t>medžioklės plotų naudotojų mokesčiai, mokami įstatymų nustatytomis proporcijomis ir tvarka už medžiojamųjų gyvūnų išteklių naudojimą, suma;</w:t>
                      </w:r>
                    </w:p>
                  </w:sdtContent>
                </w:sdt>
                <w:sdt>
                  <w:sdtPr>
                    <w:alias w:val="7.1.4 p."/>
                    <w:tag w:val="part_06b3f3d5398342f4bd80bf06f10a48a5"/>
                    <w:lock w:val="sdtLocked"/>
                    <w:richText/>
                  </w:sdtPr>
                  <w:sdtContent>
                    <w:p>
                      <w:pPr>
                        <w:widowControl w:val="0"/>
                        <w:suppressAutoHyphens/>
                        <w:ind w:firstLine="567"/>
                        <w:jc w:val="both"/>
                        <w:rPr>
                          <w:szCs w:val="24"/>
                        </w:rPr>
                      </w:pPr>
                      <w:sdt>
                        <w:sdtPr>
                          <w:alias w:val="Numeris"/>
                          <w:tag w:val="nr_06b3f3d5398342f4bd80bf06f10a48a5"/>
                          <w:lock w:val="sdtLocked"/>
                          <w:richText/>
                        </w:sdtPr>
                        <w:sdtContent>
                          <w:r>
                            <w:rPr>
                              <w:szCs w:val="24"/>
                            </w:rPr>
                            <w:t>7.1.4</w:t>
                          </w:r>
                        </w:sdtContent>
                      </w:sdt>
                      <w:r>
                        <w:rPr>
                          <w:szCs w:val="24"/>
                        </w:rPr>
                        <w:t xml:space="preserve">. </w:t>
                      </w:r>
                      <w:r>
                        <w:rPr>
                          <w:spacing w:val="-4"/>
                          <w:szCs w:val="24"/>
                        </w:rPr>
                        <w:t xml:space="preserve">1.7 eilutėje </w:t>
                      </w:r>
                      <w:r>
                        <w:rPr>
                          <w:szCs w:val="24"/>
                        </w:rPr>
                        <w:t xml:space="preserve">nurodomas ankstesnio ataskaitinio laikotarpio lėšų likutis, kuris gaunamas įrašant informaciją iš ankstesnių metų Ataskaitos </w:t>
                      </w:r>
                      <w:r>
                        <w:rPr>
                          <w:spacing w:val="-4"/>
                          <w:szCs w:val="24"/>
                        </w:rPr>
                        <w:t>penktosios dalies „</w:t>
                      </w:r>
                      <w:r>
                        <w:rPr>
                          <w:szCs w:val="24"/>
                        </w:rPr>
                        <w:t>Ataskaitinio laikotarpio savivaldybių aplinkos apsaugos rėmimo specialiosios programos lėšų likučiai (nepanaudotos lėšos)“ skilties „Lėšų likutis, Eur“ 5.1 eilutės. Teikiant 2015 m. Ataskaitą, 2014 m. nepanaudotų lėšų, surinktų už medžiojamųjų gyvūnų išteklių naudojimą, likučio reikšmė perskaičiuojama eurais;</w:t>
                      </w:r>
                    </w:p>
                  </w:sdtContent>
                </w:sdt>
                <w:sdt>
                  <w:sdtPr>
                    <w:alias w:val="7.1.5 p."/>
                    <w:tag w:val="part_c3e0d18f77054006b7c0d26fb4cbbd52"/>
                    <w:lock w:val="sdtLocked"/>
                    <w:richText/>
                  </w:sdtPr>
                  <w:sdtContent>
                    <w:p>
                      <w:pPr>
                        <w:widowControl w:val="0"/>
                        <w:suppressAutoHyphens/>
                        <w:ind w:firstLine="567"/>
                        <w:jc w:val="both"/>
                        <w:rPr>
                          <w:szCs w:val="24"/>
                        </w:rPr>
                      </w:pPr>
                      <w:sdt>
                        <w:sdtPr>
                          <w:alias w:val="Numeris"/>
                          <w:tag w:val="nr_c3e0d18f77054006b7c0d26fb4cbbd52"/>
                          <w:lock w:val="sdtLocked"/>
                          <w:richText/>
                        </w:sdtPr>
                        <w:sdtContent>
                          <w:r>
                            <w:rPr>
                              <w:szCs w:val="24"/>
                            </w:rPr>
                            <w:t>7.1.5</w:t>
                          </w:r>
                        </w:sdtContent>
                      </w:sdt>
                      <w:r>
                        <w:rPr>
                          <w:szCs w:val="24"/>
                        </w:rPr>
                        <w:t xml:space="preserve">. 1.8 eilutėje </w:t>
                      </w:r>
                      <w:r>
                        <w:rPr>
                          <w:spacing w:val="-4"/>
                          <w:szCs w:val="24"/>
                        </w:rPr>
                        <w:t>nurodoma lėšų suma, skirtina atitinkamoms priemonėms finansuoti iš lėšų, surinktų už medžiojamųjų išteklių naudojimą, kuri apskaičiuojama sudedant skilties „Lėšos, Eur“ 1.6 ir1.7 eilučių reikšmes;</w:t>
                      </w:r>
                    </w:p>
                  </w:sdtContent>
                </w:sdt>
                <w:sdt>
                  <w:sdtPr>
                    <w:alias w:val="7.1.6 p."/>
                    <w:tag w:val="part_d0d7e82d972c4e61895bccdca8d34424"/>
                    <w:lock w:val="sdtLocked"/>
                    <w:richText/>
                  </w:sdtPr>
                  <w:sdtContent>
                    <w:p>
                      <w:pPr>
                        <w:widowControl w:val="0"/>
                        <w:suppressAutoHyphens/>
                        <w:ind w:firstLine="567"/>
                        <w:jc w:val="both"/>
                        <w:rPr>
                          <w:szCs w:val="24"/>
                        </w:rPr>
                      </w:pPr>
                      <w:sdt>
                        <w:sdtPr>
                          <w:alias w:val="Numeris"/>
                          <w:tag w:val="nr_d0d7e82d972c4e61895bccdca8d34424"/>
                          <w:lock w:val="sdtLocked"/>
                          <w:richText/>
                        </w:sdtPr>
                        <w:sdtContent>
                          <w:r>
                            <w:rPr>
                              <w:szCs w:val="24"/>
                            </w:rPr>
                            <w:t>7.1.6</w:t>
                          </w:r>
                        </w:sdtContent>
                      </w:sdt>
                      <w:r>
                        <w:rPr>
                          <w:szCs w:val="24"/>
                        </w:rPr>
                        <w:t>. 1.9 eilutėje</w:t>
                      </w:r>
                      <w:r>
                        <w:rPr>
                          <w:spacing w:val="-4"/>
                          <w:szCs w:val="24"/>
                        </w:rPr>
                        <w:t xml:space="preserve"> nurodomos faktinės ataskaitinio laikotarpio Programos lėšos, kurios apskaičiuojamos sudedant skilties „Lėšos, Eur“ 1.5 ir 1.8 eilučių reikšmes;</w:t>
                      </w:r>
                    </w:p>
                  </w:sdtContent>
                </w:sdt>
              </w:sdtContent>
            </w:sdt>
            <w:sdt>
              <w:sdtPr>
                <w:alias w:val="7.2 p."/>
                <w:tag w:val="part_89d19f9e075d4e3784fae9e28b7a6413"/>
                <w:lock w:val="sdtLocked"/>
                <w:richText/>
              </w:sdtPr>
              <w:sdtContent>
                <w:p>
                  <w:pPr>
                    <w:widowControl w:val="0"/>
                    <w:suppressAutoHyphens/>
                    <w:ind w:firstLine="567"/>
                    <w:jc w:val="both"/>
                    <w:rPr>
                      <w:szCs w:val="24"/>
                    </w:rPr>
                  </w:pPr>
                  <w:sdt>
                    <w:sdtPr>
                      <w:alias w:val="Numeris"/>
                      <w:tag w:val="nr_89d19f9e075d4e3784fae9e28b7a6413"/>
                      <w:lock w:val="sdtLocked"/>
                      <w:richText/>
                    </w:sdtPr>
                    <w:sdtContent>
                      <w:r>
                        <w:rPr>
                          <w:szCs w:val="24"/>
                        </w:rPr>
                        <w:t>7.2</w:t>
                      </w:r>
                    </w:sdtContent>
                  </w:sdt>
                  <w:r>
                    <w:rPr>
                      <w:szCs w:val="24"/>
                    </w:rPr>
                    <w:t xml:space="preserve">. antrosios </w:t>
                  </w:r>
                  <w:r>
                    <w:rPr>
                      <w:spacing w:val="-4"/>
                      <w:szCs w:val="24"/>
                    </w:rPr>
                    <w:t>lentelės skilties „Lėšos, Eur“:</w:t>
                  </w:r>
                </w:p>
                <w:sdt>
                  <w:sdtPr>
                    <w:alias w:val="7.2.1 p."/>
                    <w:tag w:val="part_023ed91bd68d4867a5bbb85fa389b093"/>
                    <w:lock w:val="sdtLocked"/>
                    <w:richText/>
                  </w:sdtPr>
                  <w:sdtContent>
                    <w:p>
                      <w:pPr>
                        <w:widowControl w:val="0"/>
                        <w:suppressAutoHyphens/>
                        <w:ind w:firstLine="567"/>
                        <w:jc w:val="both"/>
                        <w:rPr>
                          <w:szCs w:val="24"/>
                        </w:rPr>
                      </w:pPr>
                      <w:sdt>
                        <w:sdtPr>
                          <w:alias w:val="Numeris"/>
                          <w:tag w:val="nr_023ed91bd68d4867a5bbb85fa389b093"/>
                          <w:lock w:val="sdtLocked"/>
                          <w:richText/>
                        </w:sdtPr>
                        <w:sdtContent>
                          <w:r>
                            <w:rPr>
                              <w:szCs w:val="24"/>
                            </w:rPr>
                            <w:t>7.2.1</w:t>
                          </w:r>
                        </w:sdtContent>
                      </w:sdt>
                      <w:r>
                        <w:rPr>
                          <w:szCs w:val="24"/>
                        </w:rPr>
                        <w:t>. 1.10 eilutėje įrašoma suma, kuri sudaro 20 procentų</w:t>
                      </w:r>
                      <w:r>
                        <w:rPr>
                          <w:spacing w:val="-4"/>
                          <w:szCs w:val="24"/>
                        </w:rPr>
                        <w:t xml:space="preserve"> Ataskaitos pirmosios dalies „</w:t>
                      </w:r>
                      <w:r>
                        <w:rPr>
                          <w:szCs w:val="24"/>
                        </w:rPr>
                        <w:t>Informacija apie savivaldybės aplinkos apsaugos rėmimo specialiosios programos (toliau – Programa) lėšas“ pirmosios lentelės skilties „</w:t>
                      </w:r>
                      <w:r>
                        <w:rPr>
                          <w:spacing w:val="-4"/>
                          <w:szCs w:val="24"/>
                        </w:rPr>
                        <w:t xml:space="preserve">Lėšos, Eur“ </w:t>
                      </w:r>
                      <w:r>
                        <w:rPr>
                          <w:szCs w:val="24"/>
                        </w:rPr>
                        <w:t>1.5 eilutėje nurodytos sumos;</w:t>
                      </w:r>
                    </w:p>
                  </w:sdtContent>
                </w:sdt>
                <w:sdt>
                  <w:sdtPr>
                    <w:alias w:val="7.2.2 p."/>
                    <w:tag w:val="part_252e8b6cdbde4fcda54b6a737763c890"/>
                    <w:lock w:val="sdtLocked"/>
                    <w:richText/>
                  </w:sdtPr>
                  <w:sdtContent>
                    <w:p>
                      <w:pPr>
                        <w:widowControl w:val="0"/>
                        <w:suppressAutoHyphens/>
                        <w:ind w:firstLine="567"/>
                        <w:jc w:val="both"/>
                        <w:rPr>
                          <w:szCs w:val="24"/>
                        </w:rPr>
                      </w:pPr>
                      <w:sdt>
                        <w:sdtPr>
                          <w:alias w:val="Numeris"/>
                          <w:tag w:val="nr_252e8b6cdbde4fcda54b6a737763c890"/>
                          <w:lock w:val="sdtLocked"/>
                          <w:richText/>
                        </w:sdtPr>
                        <w:sdtContent>
                          <w:r>
                            <w:rPr>
                              <w:szCs w:val="24"/>
                            </w:rPr>
                            <w:t>7.2.2</w:t>
                          </w:r>
                        </w:sdtContent>
                      </w:sdt>
                      <w:r>
                        <w:rPr>
                          <w:szCs w:val="24"/>
                        </w:rPr>
                        <w:t xml:space="preserve">. 1.11 eilutėje nurodomas ankstesnio ataskaitinio laikotarpio lėšų likutis, kuris gaunamas įrašant informaciją iš ankstesnių metų Ataskaitos </w:t>
                      </w:r>
                      <w:r>
                        <w:rPr>
                          <w:spacing w:val="-4"/>
                          <w:szCs w:val="24"/>
                        </w:rPr>
                        <w:t>penktosios dalies „</w:t>
                      </w:r>
                      <w:r>
                        <w:rPr>
                          <w:szCs w:val="24"/>
                        </w:rPr>
                        <w:t>Ataskaitinio laikotarpio savivaldybių aplinkos apsaugos rėmimo specialiosios programos lėšų likučiai (nepanaudotos lėšos)“ skilties „Lėšų likutis, Eur“ 5.2 eilutės. Teikiant 2015 m. Ataskaitą, 2014 m. Savivaldybės visuomenės sveikatos rėmimo specialiosios programai skirtų ir nepanaudotų lėšų likučio reikšmė perskaičiuojama eurais;</w:t>
                      </w:r>
                    </w:p>
                  </w:sdtContent>
                </w:sdt>
                <w:sdt>
                  <w:sdtPr>
                    <w:alias w:val="7.2.3 p."/>
                    <w:tag w:val="part_41a20b6eb6554ec5b285ce992360a4fc"/>
                    <w:lock w:val="sdtLocked"/>
                    <w:richText/>
                  </w:sdtPr>
                  <w:sdtContent>
                    <w:p>
                      <w:pPr>
                        <w:widowControl w:val="0"/>
                        <w:suppressAutoHyphens/>
                        <w:ind w:firstLine="567"/>
                        <w:jc w:val="both"/>
                        <w:rPr>
                          <w:szCs w:val="24"/>
                        </w:rPr>
                      </w:pPr>
                      <w:sdt>
                        <w:sdtPr>
                          <w:alias w:val="Numeris"/>
                          <w:tag w:val="nr_41a20b6eb6554ec5b285ce992360a4fc"/>
                          <w:lock w:val="sdtLocked"/>
                          <w:richText/>
                        </w:sdtPr>
                        <w:sdtContent>
                          <w:r>
                            <w:rPr>
                              <w:szCs w:val="24"/>
                            </w:rPr>
                            <w:t>7.2.3</w:t>
                          </w:r>
                        </w:sdtContent>
                      </w:sdt>
                      <w:r>
                        <w:rPr>
                          <w:szCs w:val="24"/>
                        </w:rPr>
                        <w:t xml:space="preserve">. 1.12 eilutėje nurodoma Programos priemonėms skirtina lėšų suma, kurią sudaro 20 procentų </w:t>
                      </w:r>
                      <w:r>
                        <w:rPr>
                          <w:rFonts w:cs="Tahoma"/>
                          <w:szCs w:val="24"/>
                        </w:rPr>
                        <w:t>Programos lėšų, neįskaitant įplaukų už medžioklės plotų naudotojų mokesčius, mokamus įstatymų nustatytomis proporcijomis ir tvarka už medžiojamųjų gyvūnų išteklių naudojimą,</w:t>
                      </w:r>
                      <w:r>
                        <w:rPr>
                          <w:szCs w:val="24"/>
                        </w:rPr>
                        <w:t xml:space="preserve"> ir ankstesnio ataskaitinio laikotarpio Ataskaitoje nurodytų atitinkamų nepanaudotų lėšų likučio suma;</w:t>
                      </w:r>
                    </w:p>
                  </w:sdtContent>
                </w:sdt>
              </w:sdtContent>
            </w:sdt>
            <w:sdt>
              <w:sdtPr>
                <w:alias w:val="7.3 p."/>
                <w:tag w:val="part_fae12ae5af0c405fb827fbf620fe34d9"/>
                <w:lock w:val="sdtLocked"/>
                <w:richText/>
              </w:sdtPr>
              <w:sdtContent>
                <w:p>
                  <w:pPr>
                    <w:widowControl w:val="0"/>
                    <w:suppressAutoHyphens/>
                    <w:ind w:firstLine="567"/>
                    <w:jc w:val="both"/>
                    <w:rPr>
                      <w:szCs w:val="24"/>
                    </w:rPr>
                  </w:pPr>
                  <w:sdt>
                    <w:sdtPr>
                      <w:alias w:val="Numeris"/>
                      <w:tag w:val="nr_fae12ae5af0c405fb827fbf620fe34d9"/>
                      <w:lock w:val="sdtLocked"/>
                      <w:richText/>
                    </w:sdtPr>
                    <w:sdtContent>
                      <w:r>
                        <w:rPr>
                          <w:szCs w:val="24"/>
                        </w:rPr>
                        <w:t>7.3</w:t>
                      </w:r>
                    </w:sdtContent>
                  </w:sdt>
                  <w:r>
                    <w:rPr>
                      <w:szCs w:val="24"/>
                    </w:rPr>
                    <w:t xml:space="preserve">. trečiosios lentelės </w:t>
                  </w:r>
                  <w:r>
                    <w:rPr>
                      <w:spacing w:val="-4"/>
                      <w:szCs w:val="24"/>
                    </w:rPr>
                    <w:t>skilties „Lėšos, Eur“:</w:t>
                  </w:r>
                </w:p>
                <w:sdt>
                  <w:sdtPr>
                    <w:alias w:val="7.3.1 p."/>
                    <w:tag w:val="part_2bef230b6ac941ae9868f5f8babd15d8"/>
                    <w:lock w:val="sdtLocked"/>
                    <w:richText/>
                  </w:sdtPr>
                  <w:sdtContent>
                    <w:p>
                      <w:pPr>
                        <w:widowControl w:val="0"/>
                        <w:suppressAutoHyphens/>
                        <w:ind w:firstLine="567"/>
                        <w:jc w:val="both"/>
                        <w:rPr>
                          <w:szCs w:val="24"/>
                        </w:rPr>
                      </w:pPr>
                      <w:sdt>
                        <w:sdtPr>
                          <w:alias w:val="Numeris"/>
                          <w:tag w:val="nr_2bef230b6ac941ae9868f5f8babd15d8"/>
                          <w:lock w:val="sdtLocked"/>
                          <w:richText/>
                        </w:sdtPr>
                        <w:sdtContent>
                          <w:r>
                            <w:rPr>
                              <w:szCs w:val="24"/>
                            </w:rPr>
                            <w:t>7.3.1</w:t>
                          </w:r>
                        </w:sdtContent>
                      </w:sdt>
                      <w:r>
                        <w:rPr>
                          <w:szCs w:val="24"/>
                        </w:rPr>
                        <w:t xml:space="preserve">. </w:t>
                      </w:r>
                      <w:r>
                        <w:rPr>
                          <w:spacing w:val="-4"/>
                          <w:szCs w:val="24"/>
                        </w:rPr>
                        <w:t>1</w:t>
                      </w:r>
                      <w:r>
                        <w:rPr>
                          <w:szCs w:val="24"/>
                        </w:rPr>
                        <w:t xml:space="preserve">.13 eilutėje įrašoma suma, kuri sudaro 80 procentų </w:t>
                      </w:r>
                      <w:r>
                        <w:rPr>
                          <w:spacing w:val="-4"/>
                          <w:szCs w:val="24"/>
                        </w:rPr>
                        <w:t>Ataskaitos pirmosios dalies „</w:t>
                      </w:r>
                      <w:r>
                        <w:rPr>
                          <w:szCs w:val="24"/>
                        </w:rPr>
                        <w:t>Informacija apie savivaldybės aplinkos apsaugos rėmimo specialiosios programos (toliau – Programa) lėšas“ pirmosios lentelės skilties „</w:t>
                      </w:r>
                      <w:r>
                        <w:rPr>
                          <w:spacing w:val="-4"/>
                          <w:szCs w:val="24"/>
                        </w:rPr>
                        <w:t xml:space="preserve">Lėšos, Eur“ </w:t>
                      </w:r>
                      <w:r>
                        <w:rPr>
                          <w:szCs w:val="24"/>
                        </w:rPr>
                        <w:t>1.5 eilutėje nurodytos sumos;</w:t>
                      </w:r>
                    </w:p>
                  </w:sdtContent>
                </w:sdt>
                <w:sdt>
                  <w:sdtPr>
                    <w:alias w:val="7.3.2 p."/>
                    <w:tag w:val="part_c9e5f286462e4283bcd811e4c5b1aab9"/>
                    <w:lock w:val="sdtLocked"/>
                    <w:richText/>
                  </w:sdtPr>
                  <w:sdtContent>
                    <w:p>
                      <w:pPr>
                        <w:widowControl w:val="0"/>
                        <w:suppressAutoHyphens/>
                        <w:ind w:firstLine="567"/>
                        <w:jc w:val="both"/>
                        <w:rPr>
                          <w:szCs w:val="24"/>
                        </w:rPr>
                      </w:pPr>
                      <w:sdt>
                        <w:sdtPr>
                          <w:alias w:val="Numeris"/>
                          <w:tag w:val="nr_c9e5f286462e4283bcd811e4c5b1aab9"/>
                          <w:lock w:val="sdtLocked"/>
                          <w:richText/>
                        </w:sdtPr>
                        <w:sdtContent>
                          <w:r>
                            <w:rPr>
                              <w:szCs w:val="24"/>
                            </w:rPr>
                            <w:t>7.3.2</w:t>
                          </w:r>
                        </w:sdtContent>
                      </w:sdt>
                      <w:r>
                        <w:rPr>
                          <w:szCs w:val="24"/>
                        </w:rPr>
                        <w:t xml:space="preserve">. 1.14 eilutėje nurodomas ankstesnio ataskaitinio laikotarpio lėšų likutis, kuris gaunamas įrašant informaciją iš ankstesnių metų Ataskaitos </w:t>
                      </w:r>
                      <w:r>
                        <w:rPr>
                          <w:spacing w:val="-4"/>
                          <w:szCs w:val="24"/>
                        </w:rPr>
                        <w:t>penktosios dalies „</w:t>
                      </w:r>
                      <w:r>
                        <w:rPr>
                          <w:szCs w:val="24"/>
                        </w:rPr>
                        <w:t>Ataskaitinio laikotarpio savivaldybių aplinkos apsaugos rėmimo specialiosios programos lėšų likučiai (nepanaudotos lėšos)“ skilties „Lėšų likutis, Eur“ 5.3 eilutės. Teikiant 2015 m. Ataskaitą, 2014 m. kitoms Programos priemonėms nepanaudotų lėšų likučio reikšmė perskaičiuojama eurais;</w:t>
                      </w:r>
                    </w:p>
                  </w:sdtContent>
                </w:sdt>
                <w:sdt>
                  <w:sdtPr>
                    <w:alias w:val="7.3.3 p."/>
                    <w:tag w:val="part_424967e2e7e341ec80a02f9468d29c22"/>
                    <w:lock w:val="sdtLocked"/>
                    <w:richText/>
                  </w:sdtPr>
                  <w:sdtContent>
                    <w:p>
                      <w:pPr>
                        <w:widowControl w:val="0"/>
                        <w:suppressAutoHyphens/>
                        <w:ind w:firstLine="567"/>
                        <w:jc w:val="both"/>
                        <w:rPr>
                          <w:szCs w:val="24"/>
                        </w:rPr>
                      </w:pPr>
                      <w:sdt>
                        <w:sdtPr>
                          <w:alias w:val="Numeris"/>
                          <w:tag w:val="nr_424967e2e7e341ec80a02f9468d29c22"/>
                          <w:lock w:val="sdtLocked"/>
                          <w:richText/>
                        </w:sdtPr>
                        <w:sdtContent>
                          <w:r>
                            <w:rPr>
                              <w:szCs w:val="24"/>
                            </w:rPr>
                            <w:t>7.3.3</w:t>
                          </w:r>
                        </w:sdtContent>
                      </w:sdt>
                      <w:r>
                        <w:rPr>
                          <w:szCs w:val="24"/>
                        </w:rPr>
                        <w:t xml:space="preserve">. 1.15 punkte nurodoma bendra kitoms Programos priemonėms skirtina lėšų suma, kurią sudaro 80 procentų </w:t>
                      </w:r>
                      <w:r>
                        <w:rPr>
                          <w:rFonts w:cs="Tahoma"/>
                          <w:szCs w:val="24"/>
                        </w:rPr>
                        <w:t xml:space="preserve">Savivaldybių aplinkos apsaugos rėmimo specialiosios programos lėšų, neįskaitant įplaukų už medžioklės plotų naudotojų mokesčius, mokamus įstatymų nustatytomis proporcijomis ir tvarka už medžiojamųjų gyvūnų išteklių naudojimą, </w:t>
                      </w:r>
                      <w:r>
                        <w:rPr>
                          <w:szCs w:val="24"/>
                        </w:rPr>
                        <w:t>ir ankstesnio ataskaitinio laikotarpio Ataskaitoje nurodytų atitinkamų nepanaudotų lėšų likučio suma.</w:t>
                      </w:r>
                    </w:p>
                  </w:sdtContent>
                </w:sdt>
              </w:sdtContent>
            </w:sdt>
          </w:sdtContent>
        </w:sdt>
        <w:sdt>
          <w:sdtPr>
            <w:alias w:val="8 p."/>
            <w:tag w:val="part_3678954f84644433a01f3e5c1708e9c9"/>
            <w:lock w:val="sdtLocked"/>
            <w:richText/>
          </w:sdtPr>
          <w:sdtContent>
            <w:p>
              <w:pPr>
                <w:widowControl w:val="0"/>
                <w:suppressAutoHyphens/>
                <w:ind w:firstLine="567"/>
                <w:jc w:val="both"/>
                <w:rPr>
                  <w:szCs w:val="24"/>
                </w:rPr>
              </w:pPr>
              <w:sdt>
                <w:sdtPr>
                  <w:alias w:val="Numeris"/>
                  <w:tag w:val="nr_3678954f84644433a01f3e5c1708e9c9"/>
                  <w:lock w:val="sdtLocked"/>
                  <w:richText/>
                </w:sdtPr>
                <w:sdtContent>
                  <w:r>
                    <w:rPr>
                      <w:szCs w:val="24"/>
                    </w:rPr>
                    <w:t>8</w:t>
                  </w:r>
                </w:sdtContent>
              </w:sdt>
              <w:r>
                <w:rPr>
                  <w:szCs w:val="24"/>
                </w:rPr>
                <w:t xml:space="preserve">. </w:t>
              </w:r>
              <w:r>
                <w:rPr>
                  <w:spacing w:val="-4"/>
                  <w:szCs w:val="24"/>
                </w:rPr>
                <w:t>Ataskaitos antrosios dalies „</w:t>
              </w:r>
              <w:r>
                <w:rPr>
                  <w:rFonts w:cs="Tahoma"/>
                  <w:szCs w:val="24"/>
                </w:rPr>
                <w:t>Priemonės, kurioms finansuoti naudojamos lėšos, surinktos už medžiojamųjų gyvūnų išteklių naudojimą“</w:t>
              </w:r>
              <w:r>
                <w:rPr>
                  <w:szCs w:val="24"/>
                </w:rPr>
                <w:t xml:space="preserve"> pateikiama informacija apie priemonių grupę, kurią sudaro informacija apie konkrečias aplinkosaugos priemones, kurioms įgyvendinti naudojamos lėšos, surinktos už medžiojamųjų išteklių naudojimą, ir faktines lėšas, panaudotas šioms priemonėms įgyvendinti. Priemonės pagal savo pobūdį suskirstomos į atitinkamus priemonių pogrupius:</w:t>
              </w:r>
            </w:p>
            <w:sdt>
              <w:sdtPr>
                <w:alias w:val="8.1 p."/>
                <w:tag w:val="part_64ffc9eaa84d4a1c93d29f077361f0d0"/>
                <w:lock w:val="sdtLocked"/>
                <w:richText/>
              </w:sdtPr>
              <w:sdtContent>
                <w:p>
                  <w:pPr>
                    <w:widowControl w:val="0"/>
                    <w:suppressAutoHyphens/>
                    <w:ind w:firstLine="567"/>
                    <w:jc w:val="both"/>
                    <w:rPr>
                      <w:szCs w:val="24"/>
                    </w:rPr>
                  </w:pPr>
                  <w:sdt>
                    <w:sdtPr>
                      <w:alias w:val="Numeris"/>
                      <w:tag w:val="nr_64ffc9eaa84d4a1c93d29f077361f0d0"/>
                      <w:lock w:val="sdtLocked"/>
                      <w:richText/>
                    </w:sdtPr>
                    <w:sdtContent>
                      <w:r>
                        <w:rPr>
                          <w:szCs w:val="24"/>
                        </w:rPr>
                        <w:t>8.1</w:t>
                      </w:r>
                    </w:sdtContent>
                  </w:sdt>
                  <w:r>
                    <w:rPr>
                      <w:szCs w:val="24"/>
                    </w:rPr>
                    <w:t>. skiltyje „Priemonės pavadinimas“ nurodoma konkreti savivaldybės įgyvendinta priemonė, kuri turi atitikti Lietuvos Respublikos savivaldybių aplinkos apsaugos rėmimo specialiosios programos įstatyme (toliau – Įstatymas) nurodytų priemonių pobūdį (pvz., miško savininko repelentų įsigijimo finansavimas);</w:t>
                  </w:r>
                </w:p>
              </w:sdtContent>
            </w:sdt>
            <w:sdt>
              <w:sdtPr>
                <w:alias w:val="8.2 p."/>
                <w:tag w:val="part_ce7c25216e514f33a04268cfafdb27b5"/>
                <w:lock w:val="sdtLocked"/>
                <w:richText/>
              </w:sdtPr>
              <w:sdtContent>
                <w:p>
                  <w:pPr>
                    <w:widowControl w:val="0"/>
                    <w:suppressAutoHyphens/>
                    <w:ind w:firstLine="567"/>
                    <w:jc w:val="both"/>
                    <w:rPr>
                      <w:szCs w:val="24"/>
                    </w:rPr>
                  </w:pPr>
                  <w:sdt>
                    <w:sdtPr>
                      <w:alias w:val="Numeris"/>
                      <w:tag w:val="nr_ce7c25216e514f33a04268cfafdb27b5"/>
                      <w:lock w:val="sdtLocked"/>
                      <w:richText/>
                    </w:sdtPr>
                    <w:sdtContent>
                      <w:r>
                        <w:rPr>
                          <w:szCs w:val="24"/>
                        </w:rPr>
                        <w:t>8.2</w:t>
                      </w:r>
                    </w:sdtContent>
                  </w:sdt>
                  <w:r>
                    <w:rPr>
                      <w:szCs w:val="24"/>
                    </w:rPr>
                    <w:t>. skiltyje „Detalus priemonės aprašymas“ pateikiama ši informacija:</w:t>
                  </w:r>
                </w:p>
                <w:sdt>
                  <w:sdtPr>
                    <w:alias w:val="8.2.1 p."/>
                    <w:tag w:val="part_d686b77ca345468e8c7da54c14c39898"/>
                    <w:lock w:val="sdtLocked"/>
                    <w:richText/>
                  </w:sdtPr>
                  <w:sdtContent>
                    <w:p>
                      <w:pPr>
                        <w:widowControl w:val="0"/>
                        <w:suppressAutoHyphens/>
                        <w:ind w:firstLine="567"/>
                        <w:jc w:val="both"/>
                        <w:rPr>
                          <w:szCs w:val="24"/>
                        </w:rPr>
                      </w:pPr>
                      <w:sdt>
                        <w:sdtPr>
                          <w:alias w:val="Numeris"/>
                          <w:tag w:val="nr_d686b77ca345468e8c7da54c14c39898"/>
                          <w:lock w:val="sdtLocked"/>
                          <w:richText/>
                        </w:sdtPr>
                        <w:sdtContent>
                          <w:r>
                            <w:rPr>
                              <w:szCs w:val="24"/>
                            </w:rPr>
                            <w:t>8.2.1</w:t>
                          </w:r>
                        </w:sdtContent>
                      </w:sdt>
                      <w:r>
                        <w:rPr>
                          <w:szCs w:val="24"/>
                        </w:rPr>
                        <w:t>. priemonės vykdytojo(-ų) pavadinimas(-ai);</w:t>
                      </w:r>
                    </w:p>
                  </w:sdtContent>
                </w:sdt>
                <w:sdt>
                  <w:sdtPr>
                    <w:alias w:val="8.2.2 p."/>
                    <w:tag w:val="part_829dd45892fe46f39c115c8ff662c3c7"/>
                    <w:lock w:val="sdtLocked"/>
                    <w:richText/>
                  </w:sdtPr>
                  <w:sdtContent>
                    <w:p>
                      <w:pPr>
                        <w:widowControl w:val="0"/>
                        <w:suppressAutoHyphens/>
                        <w:ind w:firstLine="567"/>
                        <w:jc w:val="both"/>
                        <w:rPr>
                          <w:szCs w:val="24"/>
                        </w:rPr>
                      </w:pPr>
                      <w:sdt>
                        <w:sdtPr>
                          <w:alias w:val="Numeris"/>
                          <w:tag w:val="nr_829dd45892fe46f39c115c8ff662c3c7"/>
                          <w:lock w:val="sdtLocked"/>
                          <w:richText/>
                        </w:sdtPr>
                        <w:sdtContent>
                          <w:r>
                            <w:rPr>
                              <w:szCs w:val="24"/>
                            </w:rPr>
                            <w:t>8.2.2</w:t>
                          </w:r>
                        </w:sdtContent>
                      </w:sdt>
                      <w:r>
                        <w:rPr>
                          <w:szCs w:val="24"/>
                        </w:rPr>
                        <w:t>. priemonės vykdymo pradžios data ir priemonės įvykdymo pabaigos data;</w:t>
                      </w:r>
                    </w:p>
                  </w:sdtContent>
                </w:sdt>
                <w:sdt>
                  <w:sdtPr>
                    <w:alias w:val="8.2.3 p."/>
                    <w:tag w:val="part_f7f1f5d3a0f64cf695c9a9b3d17b2407"/>
                    <w:lock w:val="sdtLocked"/>
                    <w:richText/>
                  </w:sdtPr>
                  <w:sdtContent>
                    <w:p>
                      <w:pPr>
                        <w:widowControl w:val="0"/>
                        <w:suppressAutoHyphens/>
                        <w:ind w:firstLine="567"/>
                        <w:jc w:val="both"/>
                        <w:rPr>
                          <w:szCs w:val="24"/>
                        </w:rPr>
                      </w:pPr>
                      <w:sdt>
                        <w:sdtPr>
                          <w:alias w:val="Numeris"/>
                          <w:tag w:val="nr_f7f1f5d3a0f64cf695c9a9b3d17b2407"/>
                          <w:lock w:val="sdtLocked"/>
                          <w:richText/>
                        </w:sdtPr>
                        <w:sdtContent>
                          <w:r>
                            <w:rPr>
                              <w:szCs w:val="24"/>
                            </w:rPr>
                            <w:t>8.2.3</w:t>
                          </w:r>
                        </w:sdtContent>
                      </w:sdt>
                      <w:r>
                        <w:rPr>
                          <w:szCs w:val="24"/>
                        </w:rPr>
                        <w:t>. atliktų darbų ir (ar) suteiktų paslaugų aprašymas;</w:t>
                      </w:r>
                    </w:p>
                  </w:sdtContent>
                </w:sdt>
                <w:sdt>
                  <w:sdtPr>
                    <w:alias w:val="8.2.4 p."/>
                    <w:tag w:val="part_87ea408409f24d60b220571335e543dc"/>
                    <w:lock w:val="sdtLocked"/>
                    <w:richText/>
                  </w:sdtPr>
                  <w:sdtContent>
                    <w:p>
                      <w:pPr>
                        <w:widowControl w:val="0"/>
                        <w:suppressAutoHyphens/>
                        <w:ind w:firstLine="567"/>
                        <w:jc w:val="both"/>
                        <w:rPr>
                          <w:szCs w:val="24"/>
                        </w:rPr>
                      </w:pPr>
                      <w:sdt>
                        <w:sdtPr>
                          <w:alias w:val="Numeris"/>
                          <w:tag w:val="nr_87ea408409f24d60b220571335e543dc"/>
                          <w:lock w:val="sdtLocked"/>
                          <w:richText/>
                        </w:sdtPr>
                        <w:sdtContent>
                          <w:r>
                            <w:rPr>
                              <w:szCs w:val="24"/>
                            </w:rPr>
                            <w:t>8.2.4</w:t>
                          </w:r>
                        </w:sdtContent>
                      </w:sdt>
                      <w:r>
                        <w:rPr>
                          <w:szCs w:val="24"/>
                        </w:rPr>
                        <w:t>. įsigyta įranga ar prekės;</w:t>
                      </w:r>
                    </w:p>
                  </w:sdtContent>
                </w:sdt>
                <w:sdt>
                  <w:sdtPr>
                    <w:alias w:val="8.2.5 p."/>
                    <w:tag w:val="part_fdceecd8899d48719501351b21e496a6"/>
                    <w:lock w:val="sdtLocked"/>
                    <w:richText/>
                  </w:sdtPr>
                  <w:sdtContent>
                    <w:p>
                      <w:pPr>
                        <w:widowControl w:val="0"/>
                        <w:suppressAutoHyphens/>
                        <w:ind w:firstLine="567"/>
                        <w:jc w:val="both"/>
                        <w:rPr>
                          <w:szCs w:val="24"/>
                        </w:rPr>
                      </w:pPr>
                      <w:sdt>
                        <w:sdtPr>
                          <w:alias w:val="Numeris"/>
                          <w:tag w:val="nr_fdceecd8899d48719501351b21e496a6"/>
                          <w:lock w:val="sdtLocked"/>
                          <w:richText/>
                        </w:sdtPr>
                        <w:sdtContent>
                          <w:r>
                            <w:rPr>
                              <w:szCs w:val="24"/>
                            </w:rPr>
                            <w:t>8.2.5</w:t>
                          </w:r>
                        </w:sdtContent>
                      </w:sdt>
                      <w:r>
                        <w:rPr>
                          <w:szCs w:val="24"/>
                        </w:rPr>
                        <w:t>. kita detali informacija apie vykdytą priemonę;</w:t>
                      </w:r>
                    </w:p>
                  </w:sdtContent>
                </w:sdt>
              </w:sdtContent>
            </w:sdt>
            <w:sdt>
              <w:sdtPr>
                <w:alias w:val="8.3 p."/>
                <w:tag w:val="part_adc30ca4ec244e2c899ff6a3a54d5809"/>
                <w:lock w:val="sdtLocked"/>
                <w:richText/>
              </w:sdtPr>
              <w:sdtContent>
                <w:p>
                  <w:pPr>
                    <w:widowControl w:val="0"/>
                    <w:suppressAutoHyphens/>
                    <w:ind w:firstLine="567"/>
                    <w:jc w:val="both"/>
                    <w:rPr>
                      <w:szCs w:val="24"/>
                    </w:rPr>
                  </w:pPr>
                  <w:sdt>
                    <w:sdtPr>
                      <w:alias w:val="Numeris"/>
                      <w:tag w:val="nr_adc30ca4ec244e2c899ff6a3a54d5809"/>
                      <w:lock w:val="sdtLocked"/>
                      <w:richText/>
                    </w:sdtPr>
                    <w:sdtContent>
                      <w:r>
                        <w:rPr>
                          <w:szCs w:val="24"/>
                        </w:rPr>
                        <w:t>8.3</w:t>
                      </w:r>
                    </w:sdtContent>
                  </w:sdt>
                  <w:r>
                    <w:rPr>
                      <w:szCs w:val="24"/>
                    </w:rPr>
                    <w:t>. skiltyje „Panaudota lėšų, Eur“ nurodama konkrečiai priemonei finansuoti faktiškai išmokėta lėšų suma;</w:t>
                  </w:r>
                </w:p>
              </w:sdtContent>
            </w:sdt>
            <w:sdt>
              <w:sdtPr>
                <w:alias w:val="8.4 p."/>
                <w:tag w:val="part_a2ba1d1df4b2488bbc997793fb948c6a"/>
                <w:lock w:val="sdtLocked"/>
                <w:richText/>
              </w:sdtPr>
              <w:sdtContent>
                <w:p>
                  <w:pPr>
                    <w:widowControl w:val="0"/>
                    <w:suppressAutoHyphens/>
                    <w:ind w:firstLine="567"/>
                    <w:jc w:val="both"/>
                    <w:rPr>
                      <w:szCs w:val="24"/>
                    </w:rPr>
                  </w:pPr>
                  <w:sdt>
                    <w:sdtPr>
                      <w:alias w:val="Numeris"/>
                      <w:tag w:val="nr_a2ba1d1df4b2488bbc997793fb948c6a"/>
                      <w:lock w:val="sdtLocked"/>
                      <w:richText/>
                    </w:sdtPr>
                    <w:sdtContent>
                      <w:r>
                        <w:rPr>
                          <w:szCs w:val="24"/>
                        </w:rPr>
                        <w:t>8.4</w:t>
                      </w:r>
                    </w:sdtContent>
                  </w:sdt>
                  <w:r>
                    <w:rPr>
                      <w:szCs w:val="24"/>
                    </w:rPr>
                    <w:t>. skilties „Panaudota lėšų, Eur“ eilutėje „Iš viso:“ nurodoma lėšų suma, kuri apskaičiuojama sudedant kiekvienai šioje dalyje nurodytai priemonei išmokėtas lėšų sumas.</w:t>
                  </w:r>
                </w:p>
              </w:sdtContent>
            </w:sdt>
          </w:sdtContent>
        </w:sdt>
        <w:sdt>
          <w:sdtPr>
            <w:alias w:val="9 p."/>
            <w:tag w:val="part_eeac5d72c7b841e194eae2c91aa4771a"/>
            <w:lock w:val="sdtLocked"/>
            <w:richText/>
          </w:sdtPr>
          <w:sdtContent>
            <w:p>
              <w:pPr>
                <w:widowControl w:val="0"/>
                <w:suppressAutoHyphens/>
                <w:ind w:firstLine="567"/>
                <w:jc w:val="both"/>
                <w:rPr>
                  <w:szCs w:val="24"/>
                </w:rPr>
              </w:pPr>
              <w:sdt>
                <w:sdtPr>
                  <w:alias w:val="Numeris"/>
                  <w:tag w:val="nr_eeac5d72c7b841e194eae2c91aa4771a"/>
                  <w:lock w:val="sdtLocked"/>
                  <w:richText/>
                </w:sdtPr>
                <w:sdtContent>
                  <w:r>
                    <w:rPr>
                      <w:szCs w:val="24"/>
                    </w:rPr>
                    <w:t>9</w:t>
                  </w:r>
                </w:sdtContent>
              </w:sdt>
              <w:r>
                <w:rPr>
                  <w:szCs w:val="24"/>
                </w:rPr>
                <w:t xml:space="preserve">. </w:t>
              </w:r>
              <w:r>
                <w:rPr>
                  <w:spacing w:val="-4"/>
                  <w:szCs w:val="24"/>
                </w:rPr>
                <w:t>Ataskaitos trečiosios dalies „</w:t>
              </w:r>
              <w:r>
                <w:rPr>
                  <w:rFonts w:cs="Tahoma"/>
                  <w:szCs w:val="24"/>
                </w:rPr>
                <w:t>Programos lėšos skirtos Savivaldybės visuomenės sveikatos rėmimo specialiajai programai</w:t>
              </w:r>
              <w:r>
                <w:rPr>
                  <w:szCs w:val="24"/>
                </w:rPr>
                <w:t>“ skiltyje „Panaudota lėšų, Eur“ nurodoma faktiškai Savivaldybės visuomenės sveikatos rėmimo specialiajai programai skirtų ir panaudotų Programos lėšų suma.</w:t>
              </w:r>
            </w:p>
          </w:sdtContent>
        </w:sdt>
        <w:sdt>
          <w:sdtPr>
            <w:alias w:val="10 p."/>
            <w:tag w:val="part_d01f8222742d467bb716db53397c8bae"/>
            <w:lock w:val="sdtLocked"/>
            <w:richText/>
          </w:sdtPr>
          <w:sdtContent>
            <w:p>
              <w:pPr>
                <w:widowControl w:val="0"/>
                <w:suppressAutoHyphens/>
                <w:ind w:firstLine="567"/>
                <w:jc w:val="both"/>
                <w:rPr>
                  <w:szCs w:val="24"/>
                </w:rPr>
              </w:pPr>
              <w:sdt>
                <w:sdtPr>
                  <w:alias w:val="Numeris"/>
                  <w:tag w:val="nr_d01f8222742d467bb716db53397c8bae"/>
                  <w:lock w:val="sdtLocked"/>
                  <w:richText/>
                </w:sdtPr>
                <w:sdtContent>
                  <w:r>
                    <w:rPr>
                      <w:szCs w:val="24"/>
                    </w:rPr>
                    <w:t>10</w:t>
                  </w:r>
                </w:sdtContent>
              </w:sdt>
              <w:r>
                <w:rPr>
                  <w:szCs w:val="24"/>
                </w:rPr>
                <w:t xml:space="preserve">. </w:t>
              </w:r>
              <w:r>
                <w:rPr>
                  <w:spacing w:val="-4"/>
                  <w:szCs w:val="24"/>
                </w:rPr>
                <w:t>Ataskaitos ketvirtojoje dalyje „</w:t>
              </w:r>
              <w:r>
                <w:rPr>
                  <w:rFonts w:cs="Tahoma"/>
                  <w:szCs w:val="24"/>
                </w:rPr>
                <w:t>Kitos aplinkosaugos priemonės, kurioms įgyvendinti panaudotos Programos lėšos</w:t>
              </w:r>
              <w:r>
                <w:rPr>
                  <w:szCs w:val="24"/>
                </w:rPr>
                <w:t xml:space="preserve">“ pateikiama informacija apie priemonių grupę, kurią sudaro informacija apie visas kitas nenurodytas kitose dalyse konkrečias aplinkosaugos priemones ir faktines lėšas, panaudotas šioms priemonėms įgyvendinti. Priemonės pagal savo pobūdį suskirstomos į atitinkamus priemonių pogrupius. Ši dalis pildoma analogiškai kaip ir antroji Ataskaitos dalis, laikantis šių Savivaldybių aplinkos apsaugos rėmimo specialiosios programos priemonių vykdymo ataskaitos formos pildymo taisyklių 8.1-8.4 punktuose nustatytų reikalavimų. </w:t>
              </w:r>
            </w:p>
          </w:sdtContent>
        </w:sdt>
        <w:sdt>
          <w:sdtPr>
            <w:alias w:val="11 p."/>
            <w:tag w:val="part_6630529528c342e1a107864b43a44396"/>
            <w:lock w:val="sdtLocked"/>
            <w:richText/>
          </w:sdtPr>
          <w:sdtContent>
            <w:p>
              <w:pPr>
                <w:widowControl w:val="0"/>
                <w:suppressAutoHyphens/>
                <w:ind w:firstLine="567"/>
                <w:jc w:val="both"/>
                <w:rPr>
                  <w:szCs w:val="24"/>
                </w:rPr>
              </w:pPr>
              <w:sdt>
                <w:sdtPr>
                  <w:alias w:val="Numeris"/>
                  <w:tag w:val="nr_6630529528c342e1a107864b43a44396"/>
                  <w:lock w:val="sdtLocked"/>
                  <w:richText/>
                </w:sdtPr>
                <w:sdtContent>
                  <w:r>
                    <w:rPr>
                      <w:szCs w:val="24"/>
                    </w:rPr>
                    <w:t>11</w:t>
                  </w:r>
                </w:sdtContent>
              </w:sdt>
              <w:r>
                <w:rPr>
                  <w:szCs w:val="24"/>
                </w:rPr>
                <w:t xml:space="preserve">. </w:t>
              </w:r>
              <w:r>
                <w:rPr>
                  <w:spacing w:val="-4"/>
                  <w:szCs w:val="24"/>
                </w:rPr>
                <w:t>Ataskaitos penktosios dalies „</w:t>
              </w:r>
              <w:r>
                <w:rPr>
                  <w:szCs w:val="24"/>
                </w:rPr>
                <w:t>Ataskaitinio laikotarpio savivaldybių aplinkos apsaugos rėmimo specialiosios programos lėšų likučiai (nepanaudotos lėšos)“ skilties „Lėšų likutis, Eur“:</w:t>
              </w:r>
            </w:p>
            <w:sdt>
              <w:sdtPr>
                <w:alias w:val="11.1 p."/>
                <w:tag w:val="part_6664407f9fa84e96aad0e777e39b3110"/>
                <w:lock w:val="sdtLocked"/>
                <w:richText/>
              </w:sdtPr>
              <w:sdtContent>
                <w:p>
                  <w:pPr>
                    <w:widowControl w:val="0"/>
                    <w:suppressAutoHyphens/>
                    <w:ind w:firstLine="567"/>
                    <w:jc w:val="both"/>
                    <w:rPr>
                      <w:szCs w:val="24"/>
                    </w:rPr>
                  </w:pPr>
                  <w:sdt>
                    <w:sdtPr>
                      <w:alias w:val="Numeris"/>
                      <w:tag w:val="nr_6664407f9fa84e96aad0e777e39b3110"/>
                      <w:lock w:val="sdtLocked"/>
                      <w:richText/>
                    </w:sdtPr>
                    <w:sdtContent>
                      <w:r>
                        <w:rPr>
                          <w:szCs w:val="24"/>
                        </w:rPr>
                        <w:t>11.1</w:t>
                      </w:r>
                    </w:sdtContent>
                  </w:sdt>
                  <w:r>
                    <w:rPr>
                      <w:szCs w:val="24"/>
                    </w:rPr>
                    <w:t xml:space="preserve">. 5.1 eilutėje nurodomas lėšų, gautų už medžiojamųjų gyvūnų išteklių naudojimą, likutis, kuris apskaičiuojamas iš </w:t>
                  </w:r>
                  <w:r>
                    <w:rPr>
                      <w:spacing w:val="-4"/>
                      <w:szCs w:val="24"/>
                    </w:rPr>
                    <w:t>Ataskaitos pirmosios dalies „</w:t>
                  </w:r>
                  <w:r>
                    <w:rPr>
                      <w:szCs w:val="24"/>
                    </w:rPr>
                    <w:t>Informacija apie savivaldybės aplinkos apsaugos rėmimo specialiosios programos (toliau – Programa) lėšas“ pirmosios lentelės skilties „</w:t>
                  </w:r>
                  <w:r>
                    <w:rPr>
                      <w:spacing w:val="-4"/>
                      <w:szCs w:val="24"/>
                    </w:rPr>
                    <w:t xml:space="preserve">Lėšos, Eur“ </w:t>
                  </w:r>
                  <w:r>
                    <w:rPr>
                      <w:szCs w:val="24"/>
                    </w:rPr>
                    <w:t xml:space="preserve">1.8 eilutėje nurodytos sumos atėmus </w:t>
                  </w:r>
                  <w:r>
                    <w:rPr>
                      <w:spacing w:val="-4"/>
                      <w:szCs w:val="24"/>
                    </w:rPr>
                    <w:t>Ataskaitos antrosios dalies „</w:t>
                  </w:r>
                  <w:r>
                    <w:rPr>
                      <w:rFonts w:cs="Tahoma"/>
                      <w:szCs w:val="24"/>
                    </w:rPr>
                    <w:t>Priemonės, kurioms finansuoti naudojamos lėšos, surinktos už medžiojamųjų gyvūnų išteklių naudojimą“</w:t>
                  </w:r>
                  <w:r>
                    <w:rPr>
                      <w:szCs w:val="24"/>
                    </w:rPr>
                    <w:t xml:space="preserve"> skilties „Panaudota lėšų, Eur“ eilutėje „Iš viso:“ nurodytą sumą. Ši reikšmė gali būti teigiama arba neigiama;</w:t>
                  </w:r>
                </w:p>
              </w:sdtContent>
            </w:sdt>
            <w:sdt>
              <w:sdtPr>
                <w:alias w:val="11.2 p."/>
                <w:tag w:val="part_04de266d213e4d3eac368fdd76c9c024"/>
                <w:lock w:val="sdtLocked"/>
                <w:richText/>
              </w:sdtPr>
              <w:sdtContent>
                <w:p>
                  <w:pPr>
                    <w:widowControl w:val="0"/>
                    <w:suppressAutoHyphens/>
                    <w:ind w:firstLine="567"/>
                    <w:jc w:val="both"/>
                    <w:rPr>
                      <w:szCs w:val="24"/>
                    </w:rPr>
                  </w:pPr>
                  <w:sdt>
                    <w:sdtPr>
                      <w:alias w:val="Numeris"/>
                      <w:tag w:val="nr_04de266d213e4d3eac368fdd76c9c024"/>
                      <w:lock w:val="sdtLocked"/>
                      <w:richText/>
                    </w:sdtPr>
                    <w:sdtContent>
                      <w:r>
                        <w:rPr>
                          <w:szCs w:val="24"/>
                        </w:rPr>
                        <w:t>11.2</w:t>
                      </w:r>
                    </w:sdtContent>
                  </w:sdt>
                  <w:r>
                    <w:rPr>
                      <w:szCs w:val="24"/>
                    </w:rPr>
                    <w:t xml:space="preserve">. 5.2 eilutėje nurodomas Programos lėšų, skirtų ir panaudotų Savivaldybės visuomenės sveikatos rėmimo specialiajai programai, likutis, kuris apskaičiuojamas iš </w:t>
                  </w:r>
                  <w:r>
                    <w:rPr>
                      <w:spacing w:val="-4"/>
                      <w:szCs w:val="24"/>
                    </w:rPr>
                    <w:t>Ataskaitos pirmosios dalies „</w:t>
                  </w:r>
                  <w:r>
                    <w:rPr>
                      <w:szCs w:val="24"/>
                    </w:rPr>
                    <w:t>Informacija apie savivaldybės aplinkos apsaugos rėmimo specialiosios programos (toliau – Programa) lėšas“ antrosios lentelės skilties „L</w:t>
                  </w:r>
                  <w:r>
                    <w:rPr>
                      <w:spacing w:val="-4"/>
                      <w:szCs w:val="24"/>
                    </w:rPr>
                    <w:t xml:space="preserve">ėšos, Eur“ </w:t>
                  </w:r>
                  <w:r>
                    <w:rPr>
                      <w:szCs w:val="24"/>
                    </w:rPr>
                    <w:t xml:space="preserve">1.12 eilutėje nurodytos sumos atėmus Ataskaitos trečiosios dalies </w:t>
                  </w:r>
                  <w:r>
                    <w:rPr>
                      <w:spacing w:val="-4"/>
                      <w:szCs w:val="24"/>
                    </w:rPr>
                    <w:t>„</w:t>
                  </w:r>
                  <w:r>
                    <w:rPr>
                      <w:rFonts w:cs="Tahoma"/>
                      <w:szCs w:val="24"/>
                    </w:rPr>
                    <w:t>Programos lėšos skirtos Savivaldybės visuomenės sveikatos rėmimo specialiajai programai</w:t>
                  </w:r>
                  <w:r>
                    <w:rPr>
                      <w:szCs w:val="24"/>
                    </w:rPr>
                    <w:t>“ skiltyje „Panaudota lėšų, Eur“ nurodytą sumą. Ši reikšmė gali būti teigiama arba neigiama;</w:t>
                  </w:r>
                </w:p>
              </w:sdtContent>
            </w:sdt>
            <w:sdt>
              <w:sdtPr>
                <w:alias w:val="11.3 p."/>
                <w:tag w:val="part_db26b4076a7d40b48dbded2958ee3767"/>
                <w:lock w:val="sdtLocked"/>
                <w:richText/>
              </w:sdtPr>
              <w:sdtContent>
                <w:p>
                  <w:pPr>
                    <w:widowControl w:val="0"/>
                    <w:suppressAutoHyphens/>
                    <w:ind w:firstLine="567"/>
                    <w:jc w:val="both"/>
                    <w:rPr>
                      <w:szCs w:val="24"/>
                    </w:rPr>
                  </w:pPr>
                  <w:sdt>
                    <w:sdtPr>
                      <w:alias w:val="Numeris"/>
                      <w:tag w:val="nr_db26b4076a7d40b48dbded2958ee3767"/>
                      <w:lock w:val="sdtLocked"/>
                      <w:richText/>
                    </w:sdtPr>
                    <w:sdtContent>
                      <w:r>
                        <w:rPr>
                          <w:szCs w:val="24"/>
                        </w:rPr>
                        <w:t>11.3</w:t>
                      </w:r>
                    </w:sdtContent>
                  </w:sdt>
                  <w:r>
                    <w:rPr>
                      <w:szCs w:val="24"/>
                    </w:rPr>
                    <w:t xml:space="preserve">. 5.3 eilutėje nurodomas visų kitų Programos lėšų likutis, kuris apskaičiuojamas iš </w:t>
                  </w:r>
                  <w:r>
                    <w:rPr>
                      <w:spacing w:val="-4"/>
                      <w:szCs w:val="24"/>
                    </w:rPr>
                    <w:t>Ataskaitos pirmosios dalies „</w:t>
                  </w:r>
                  <w:r>
                    <w:rPr>
                      <w:szCs w:val="24"/>
                    </w:rPr>
                    <w:t>Informacija apie savivaldybės aplinkos apsaugos rėmimo specialiosios programos (toliau – Programa) lėšas“ trečiosios lentelės skilties „L</w:t>
                  </w:r>
                  <w:r>
                    <w:rPr>
                      <w:spacing w:val="-4"/>
                      <w:szCs w:val="24"/>
                    </w:rPr>
                    <w:t xml:space="preserve">ėšos, Eur“ </w:t>
                  </w:r>
                  <w:r>
                    <w:rPr>
                      <w:szCs w:val="24"/>
                    </w:rPr>
                    <w:t>1.15 eilutėje nurodytos sumos atėmus</w:t>
                  </w:r>
                  <w:r>
                    <w:rPr>
                      <w:spacing w:val="-4"/>
                      <w:szCs w:val="24"/>
                    </w:rPr>
                    <w:t xml:space="preserve"> Ataskaitos ketvirtosios dalies „</w:t>
                  </w:r>
                  <w:r>
                    <w:rPr>
                      <w:szCs w:val="24"/>
                    </w:rPr>
                    <w:t>Kitos aplinkosaugos priemonės, kurioms įgyvendinti panaudotos Programos lėšos“ skilties „Panaudo</w:t>
                  </w:r>
                  <w:r>
                    <w:rPr>
                      <w:spacing w:val="-4"/>
                      <w:szCs w:val="24"/>
                    </w:rPr>
                    <w:t xml:space="preserve">ta lėšų, Eur“ </w:t>
                  </w:r>
                  <w:r>
                    <w:rPr>
                      <w:szCs w:val="24"/>
                    </w:rPr>
                    <w:t>eilutėje „Iš viso:“ nurodytą sumą. Ši reikšmė gali būti teigiama arba neigiama;</w:t>
                  </w:r>
                </w:p>
              </w:sdtContent>
            </w:sdt>
            <w:sdt>
              <w:sdtPr>
                <w:alias w:val="11.4 p."/>
                <w:tag w:val="part_55bf9b8b0a7c4e72b8b51a12b91f18e8"/>
                <w:lock w:val="sdtLocked"/>
                <w:richText/>
              </w:sdtPr>
              <w:sdtContent>
                <w:p>
                  <w:pPr>
                    <w:widowControl w:val="0"/>
                    <w:suppressAutoHyphens/>
                    <w:ind w:firstLine="567"/>
                    <w:jc w:val="both"/>
                    <w:rPr>
                      <w:szCs w:val="24"/>
                    </w:rPr>
                  </w:pPr>
                  <w:sdt>
                    <w:sdtPr>
                      <w:alias w:val="Numeris"/>
                      <w:tag w:val="nr_55bf9b8b0a7c4e72b8b51a12b91f18e8"/>
                      <w:lock w:val="sdtLocked"/>
                      <w:richText/>
                    </w:sdtPr>
                    <w:sdtContent>
                      <w:r>
                        <w:rPr>
                          <w:szCs w:val="24"/>
                        </w:rPr>
                        <w:t>11.4</w:t>
                      </w:r>
                    </w:sdtContent>
                  </w:sdt>
                  <w:r>
                    <w:rPr>
                      <w:szCs w:val="24"/>
                    </w:rPr>
                    <w:t>. 5.4 eilutėje nurodoma ataskaitinio laikotarpio Programos lėšų likučių suma, kuri nebuvo panaudota atitinkamoms Programos priemonėms finansuoti. Ji apskaičiuojama sudedant skilties „Lėšų likutis, Eur“ 5.1, 5.2 ir 5.3 eilučių reikšmes.</w:t>
                  </w:r>
                </w:p>
              </w:sdtContent>
            </w:sdt>
          </w:sdtContent>
        </w:sdt>
        <w:sdt>
          <w:sdtPr>
            <w:alias w:val="12 p."/>
            <w:tag w:val="part_d223ed5fd2f14028b5d622b9af699573"/>
            <w:lock w:val="sdtLocked"/>
            <w:richText/>
          </w:sdtPr>
          <w:sdtContent>
            <w:p>
              <w:pPr>
                <w:widowControl w:val="0"/>
                <w:suppressAutoHyphens/>
                <w:ind w:firstLine="567"/>
                <w:jc w:val="both"/>
                <w:rPr>
                  <w:szCs w:val="24"/>
                </w:rPr>
              </w:pPr>
              <w:sdt>
                <w:sdtPr>
                  <w:alias w:val="Numeris"/>
                  <w:tag w:val="nr_d223ed5fd2f14028b5d622b9af699573"/>
                  <w:lock w:val="sdtLocked"/>
                  <w:richText/>
                </w:sdtPr>
                <w:sdtContent>
                  <w:r>
                    <w:rPr>
                      <w:szCs w:val="24"/>
                    </w:rPr>
                    <w:t>12</w:t>
                  </w:r>
                </w:sdtContent>
              </w:sdt>
              <w:r>
                <w:rPr>
                  <w:szCs w:val="24"/>
                </w:rPr>
                <w:t>. Savivaldybės įgyvendina Įstatyme nurodytas priemones vadovaudamosi Įstatymu ir kitais teisės aktais, kurie yra susiję su savivaldybių funkcijomis aplinkosaugos srityje:</w:t>
              </w:r>
            </w:p>
            <w:sdt>
              <w:sdtPr>
                <w:alias w:val="12.1 p."/>
                <w:tag w:val="part_85b0564afc3f4512858ee8d5e357082e"/>
                <w:lock w:val="sdtLocked"/>
                <w:richText/>
              </w:sdtPr>
              <w:sdtContent>
                <w:p>
                  <w:pPr>
                    <w:widowControl w:val="0"/>
                    <w:suppressAutoHyphens/>
                    <w:ind w:firstLine="567"/>
                    <w:jc w:val="both"/>
                    <w:rPr>
                      <w:szCs w:val="24"/>
                    </w:rPr>
                  </w:pPr>
                  <w:sdt>
                    <w:sdtPr>
                      <w:alias w:val="Numeris"/>
                      <w:tag w:val="nr_85b0564afc3f4512858ee8d5e357082e"/>
                      <w:lock w:val="sdtLocked"/>
                      <w:richText/>
                    </w:sdtPr>
                    <w:sdtContent>
                      <w:r>
                        <w:rPr>
                          <w:szCs w:val="24"/>
                        </w:rPr>
                        <w:t>12.1</w:t>
                      </w:r>
                    </w:sdtContent>
                  </w:sdt>
                  <w:r>
                    <w:rPr>
                      <w:szCs w:val="24"/>
                    </w:rPr>
                    <w:t>. Lietuvos Respublikos vietos savivaldos įstatymas;</w:t>
                  </w:r>
                </w:p>
              </w:sdtContent>
            </w:sdt>
            <w:sdt>
              <w:sdtPr>
                <w:alias w:val="12.2 p."/>
                <w:tag w:val="part_70aef35b04054a0da19669fa43c4d9a1"/>
                <w:lock w:val="sdtLocked"/>
                <w:richText/>
              </w:sdtPr>
              <w:sdtContent>
                <w:p>
                  <w:pPr>
                    <w:widowControl w:val="0"/>
                    <w:suppressAutoHyphens/>
                    <w:ind w:firstLine="567"/>
                    <w:jc w:val="both"/>
                    <w:rPr>
                      <w:szCs w:val="24"/>
                    </w:rPr>
                  </w:pPr>
                  <w:sdt>
                    <w:sdtPr>
                      <w:alias w:val="Numeris"/>
                      <w:tag w:val="nr_70aef35b04054a0da19669fa43c4d9a1"/>
                      <w:lock w:val="sdtLocked"/>
                      <w:richText/>
                    </w:sdtPr>
                    <w:sdtContent>
                      <w:r>
                        <w:rPr>
                          <w:szCs w:val="24"/>
                        </w:rPr>
                        <w:t>12.2</w:t>
                      </w:r>
                    </w:sdtContent>
                  </w:sdt>
                  <w:r>
                    <w:rPr>
                      <w:szCs w:val="24"/>
                    </w:rPr>
                    <w:t>. Lietuvos Respublikos monitoringo įstatymas;</w:t>
                  </w:r>
                </w:p>
              </w:sdtContent>
            </w:sdt>
            <w:sdt>
              <w:sdtPr>
                <w:alias w:val="12.3 p."/>
                <w:tag w:val="part_e90bd531d81f4b5ca4dec827076753a4"/>
                <w:lock w:val="sdtLocked"/>
                <w:richText/>
              </w:sdtPr>
              <w:sdtContent>
                <w:p>
                  <w:pPr>
                    <w:widowControl w:val="0"/>
                    <w:suppressAutoHyphens/>
                    <w:ind w:firstLine="567"/>
                    <w:jc w:val="both"/>
                    <w:rPr>
                      <w:szCs w:val="24"/>
                    </w:rPr>
                  </w:pPr>
                  <w:sdt>
                    <w:sdtPr>
                      <w:alias w:val="Numeris"/>
                      <w:tag w:val="nr_e90bd531d81f4b5ca4dec827076753a4"/>
                      <w:lock w:val="sdtLocked"/>
                      <w:richText/>
                    </w:sdtPr>
                    <w:sdtContent>
                      <w:r>
                        <w:rPr>
                          <w:szCs w:val="24"/>
                        </w:rPr>
                        <w:t>12.3</w:t>
                      </w:r>
                    </w:sdtContent>
                  </w:sdt>
                  <w:r>
                    <w:rPr>
                      <w:szCs w:val="24"/>
                    </w:rPr>
                    <w:t>. Lietuvos Respublikos želdynų įstatymas;</w:t>
                  </w:r>
                </w:p>
              </w:sdtContent>
            </w:sdt>
            <w:sdt>
              <w:sdtPr>
                <w:alias w:val="12.4 p."/>
                <w:tag w:val="part_0f2b1a922f51425baaf36344ca59f87e"/>
                <w:lock w:val="sdtLocked"/>
                <w:richText/>
              </w:sdtPr>
              <w:sdtContent>
                <w:p>
                  <w:pPr>
                    <w:widowControl w:val="0"/>
                    <w:suppressAutoHyphens/>
                    <w:ind w:firstLine="567"/>
                    <w:jc w:val="both"/>
                    <w:rPr>
                      <w:szCs w:val="24"/>
                    </w:rPr>
                  </w:pPr>
                  <w:sdt>
                    <w:sdtPr>
                      <w:alias w:val="Numeris"/>
                      <w:tag w:val="nr_0f2b1a922f51425baaf36344ca59f87e"/>
                      <w:lock w:val="sdtLocked"/>
                      <w:richText/>
                    </w:sdtPr>
                    <w:sdtContent>
                      <w:r>
                        <w:rPr>
                          <w:szCs w:val="24"/>
                        </w:rPr>
                        <w:t>12.4</w:t>
                      </w:r>
                    </w:sdtContent>
                  </w:sdt>
                  <w:r>
                    <w:rPr>
                      <w:szCs w:val="24"/>
                    </w:rPr>
                    <w:t>. Lietuvos Respublikos medžioklės įstatymas;</w:t>
                  </w:r>
                </w:p>
              </w:sdtContent>
            </w:sdt>
            <w:sdt>
              <w:sdtPr>
                <w:alias w:val="12.5 p."/>
                <w:tag w:val="part_702acae8b28b4ed7ad1f7e88b1f0f38d"/>
                <w:lock w:val="sdtLocked"/>
                <w:richText/>
              </w:sdtPr>
              <w:sdtContent>
                <w:p>
                  <w:pPr>
                    <w:widowControl w:val="0"/>
                    <w:suppressAutoHyphens/>
                    <w:ind w:firstLine="567"/>
                    <w:jc w:val="both"/>
                    <w:rPr>
                      <w:szCs w:val="24"/>
                    </w:rPr>
                  </w:pPr>
                  <w:sdt>
                    <w:sdtPr>
                      <w:alias w:val="Numeris"/>
                      <w:tag w:val="nr_702acae8b28b4ed7ad1f7e88b1f0f38d"/>
                      <w:lock w:val="sdtLocked"/>
                      <w:richText/>
                    </w:sdtPr>
                    <w:sdtContent>
                      <w:r>
                        <w:rPr>
                          <w:szCs w:val="24"/>
                        </w:rPr>
                        <w:t>12.5</w:t>
                      </w:r>
                    </w:sdtContent>
                  </w:sdt>
                  <w:r>
                    <w:rPr>
                      <w:szCs w:val="24"/>
                    </w:rPr>
                    <w:t>. Lietuvos Respublikos laukinės gyvūnijos įstatymas;</w:t>
                  </w:r>
                </w:p>
              </w:sdtContent>
            </w:sdt>
            <w:sdt>
              <w:sdtPr>
                <w:alias w:val="12.6 p."/>
                <w:tag w:val="part_5fd4c010f6cd40f0b2ed7efdbf2d0f70"/>
                <w:lock w:val="sdtLocked"/>
                <w:richText/>
              </w:sdtPr>
              <w:sdtContent>
                <w:p>
                  <w:pPr>
                    <w:widowControl w:val="0"/>
                    <w:suppressAutoHyphens/>
                    <w:ind w:firstLine="567"/>
                    <w:jc w:val="both"/>
                    <w:rPr>
                      <w:szCs w:val="24"/>
                    </w:rPr>
                  </w:pPr>
                  <w:sdt>
                    <w:sdtPr>
                      <w:alias w:val="Numeris"/>
                      <w:tag w:val="nr_5fd4c010f6cd40f0b2ed7efdbf2d0f70"/>
                      <w:lock w:val="sdtLocked"/>
                      <w:richText/>
                    </w:sdtPr>
                    <w:sdtContent>
                      <w:r>
                        <w:rPr>
                          <w:szCs w:val="24"/>
                        </w:rPr>
                        <w:t>12.6</w:t>
                      </w:r>
                    </w:sdtContent>
                  </w:sdt>
                  <w:r>
                    <w:rPr>
                      <w:szCs w:val="24"/>
                    </w:rPr>
                    <w:t>. Lietuvos Respublikos atliekų tvarkymo įstatymas;</w:t>
                  </w:r>
                </w:p>
              </w:sdtContent>
            </w:sdt>
            <w:sdt>
              <w:sdtPr>
                <w:alias w:val="12.7 p."/>
                <w:tag w:val="part_df118b6ef19f480a8038f76f854a7579"/>
                <w:lock w:val="sdtLocked"/>
                <w:richText/>
              </w:sdtPr>
              <w:sdtContent>
                <w:p>
                  <w:pPr>
                    <w:widowControl w:val="0"/>
                    <w:suppressAutoHyphens/>
                    <w:ind w:firstLine="567"/>
                    <w:jc w:val="both"/>
                    <w:rPr>
                      <w:szCs w:val="24"/>
                    </w:rPr>
                  </w:pPr>
                  <w:sdt>
                    <w:sdtPr>
                      <w:alias w:val="Numeris"/>
                      <w:tag w:val="nr_df118b6ef19f480a8038f76f854a7579"/>
                      <w:lock w:val="sdtLocked"/>
                      <w:richText/>
                    </w:sdtPr>
                    <w:sdtContent>
                      <w:r>
                        <w:rPr>
                          <w:szCs w:val="24"/>
                        </w:rPr>
                        <w:t>12.7</w:t>
                      </w:r>
                    </w:sdtContent>
                  </w:sdt>
                  <w:r>
                    <w:rPr>
                      <w:szCs w:val="24"/>
                    </w:rPr>
                    <w:t>. Lietuvos Respublikos geriamojo vandens tiekimo ir nuotekų tvarkymo įstatymas;</w:t>
                  </w:r>
                </w:p>
              </w:sdtContent>
            </w:sdt>
            <w:sdt>
              <w:sdtPr>
                <w:alias w:val="12.8 p."/>
                <w:tag w:val="part_4575084ed308483cac9d5d87bc4817c6"/>
                <w:lock w:val="sdtLocked"/>
                <w:richText/>
              </w:sdtPr>
              <w:sdtContent>
                <w:p>
                  <w:pPr>
                    <w:widowControl w:val="0"/>
                    <w:suppressAutoHyphens/>
                    <w:ind w:firstLine="567"/>
                    <w:jc w:val="both"/>
                    <w:rPr>
                      <w:szCs w:val="24"/>
                    </w:rPr>
                  </w:pPr>
                  <w:sdt>
                    <w:sdtPr>
                      <w:alias w:val="Numeris"/>
                      <w:tag w:val="nr_4575084ed308483cac9d5d87bc4817c6"/>
                      <w:lock w:val="sdtLocked"/>
                      <w:richText/>
                    </w:sdtPr>
                    <w:sdtContent>
                      <w:r>
                        <w:rPr>
                          <w:szCs w:val="24"/>
                        </w:rPr>
                        <w:t>12.8</w:t>
                      </w:r>
                    </w:sdtContent>
                  </w:sdt>
                  <w:r>
                    <w:rPr>
                      <w:szCs w:val="24"/>
                    </w:rPr>
                    <w:t>. Lietuvos Respublikos aplinkos oro apsaugos įstatymas;</w:t>
                  </w:r>
                </w:p>
              </w:sdtContent>
            </w:sdt>
            <w:sdt>
              <w:sdtPr>
                <w:alias w:val="12.9 p."/>
                <w:tag w:val="part_a644fa1071ec4e08ad100f9652d0c1d8"/>
                <w:lock w:val="sdtLocked"/>
                <w:richText/>
              </w:sdtPr>
              <w:sdtContent>
                <w:p>
                  <w:pPr>
                    <w:widowControl w:val="0"/>
                    <w:suppressAutoHyphens/>
                    <w:ind w:firstLine="567"/>
                    <w:jc w:val="both"/>
                    <w:rPr>
                      <w:szCs w:val="24"/>
                    </w:rPr>
                  </w:pPr>
                  <w:sdt>
                    <w:sdtPr>
                      <w:alias w:val="Numeris"/>
                      <w:tag w:val="nr_a644fa1071ec4e08ad100f9652d0c1d8"/>
                      <w:lock w:val="sdtLocked"/>
                      <w:richText/>
                    </w:sdtPr>
                    <w:sdtContent>
                      <w:r>
                        <w:rPr>
                          <w:szCs w:val="24"/>
                        </w:rPr>
                        <w:t>12.9</w:t>
                      </w:r>
                    </w:sdtContent>
                  </w:sdt>
                  <w:r>
                    <w:rPr>
                      <w:szCs w:val="24"/>
                    </w:rPr>
                    <w:t>. Lietuvos Respublikos gyvūnų gerovės ir apsaugos įstatymas;</w:t>
                  </w:r>
                </w:p>
              </w:sdtContent>
            </w:sdt>
            <w:sdt>
              <w:sdtPr>
                <w:alias w:val="12.10 p."/>
                <w:tag w:val="part_06796e62c1104e5c8c4c831991d8eabf"/>
                <w:lock w:val="sdtLocked"/>
                <w:richText/>
              </w:sdtPr>
              <w:sdtContent>
                <w:p>
                  <w:pPr>
                    <w:widowControl w:val="0"/>
                    <w:suppressAutoHyphens/>
                    <w:ind w:firstLine="567"/>
                    <w:jc w:val="both"/>
                    <w:rPr>
                      <w:szCs w:val="24"/>
                    </w:rPr>
                  </w:pPr>
                  <w:sdt>
                    <w:sdtPr>
                      <w:alias w:val="Numeris"/>
                      <w:tag w:val="nr_06796e62c1104e5c8c4c831991d8eabf"/>
                      <w:lock w:val="sdtLocked"/>
                      <w:richText/>
                    </w:sdtPr>
                    <w:sdtContent>
                      <w:r>
                        <w:rPr>
                          <w:szCs w:val="24"/>
                        </w:rPr>
                        <w:t>12.10</w:t>
                      </w:r>
                    </w:sdtContent>
                  </w:sdt>
                  <w:r>
                    <w:rPr>
                      <w:szCs w:val="24"/>
                    </w:rPr>
                    <w:t>. Lietuvos Respublikos aplinkos apsaugos įstatymas.</w:t>
                  </w:r>
                </w:p>
                <w:p>
                  <w:pPr>
                    <w:widowControl w:val="0"/>
                    <w:suppressAutoHyphens/>
                    <w:jc w:val="center"/>
                    <w:rPr>
                      <w:color w:val="000000"/>
                      <w:szCs w:val="24"/>
                      <w:lang w:eastAsia="lt-LT"/>
                    </w:rPr>
                  </w:pPr>
                  <w:r>
                    <w:rPr>
                      <w:szCs w:val="24"/>
                    </w:rPr>
                    <w:t>_______________________</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8a2160506611e4a698d921e3e46801">
            <w:r w:rsidRPr="00532B9F">
              <w:rPr>
                <w:rFonts w:ascii="Times New Roman" w:eastAsia="MS Mincho" w:hAnsi="Times New Roman"/>
                <w:sz w:val="20"/>
                <w:i/>
                <w:iCs/>
                <w:color w:val="0000FF" w:themeColor="hyperlink"/>
                <w:u w:val="single"/>
              </w:rPr>
              <w:t>D1-814</w:t>
            </w:r>
          </w:fldSimple>
          <w:r>
            <w:rPr>
              <w:rFonts w:ascii="Times New Roman" w:eastAsia="MS Mincho" w:hAnsi="Times New Roman"/>
              <w:sz w:val="20"/>
              <w:i/>
              <w:iCs/>
            </w:rPr>
            <w:t>,
2014-10-08,
paskelbta TAR 2014-10-10, i. k. 2014-13957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0E0AFF6C23DB">
            <w:r w:rsidRPr="00532B9F">
              <w:rPr>
                <w:rFonts w:ascii="Times New Roman" w:eastAsia="MS Mincho" w:hAnsi="Times New Roman"/>
                <w:sz w:val="20"/>
                <w:iCs/>
                <w:color w:val="0000FF" w:themeColor="hyperlink"/>
                <w:u w:val="single"/>
              </w:rPr>
              <w:t>D1-868</w:t>
            </w:r>
          </w:fldSimple>
          <w:r>
            <w:rPr>
              <w:rFonts w:ascii="Times New Roman" w:eastAsia="MS Mincho" w:hAnsi="Times New Roman"/>
              <w:sz w:val="20"/>
              <w:iCs/>
            </w:rPr>
            <w:t>,
2011-11-10,
Žin., 2011, Nr.
136-6476 (2011-11-15), i. k. 111301MISAK00D1-868                </w:t>
          </w:r>
        </w:p>
        <w:p>
          <w:pPr>
            <w:jc w:val="both"/>
            <w:rPr>
              <w:rFonts w:ascii="Times New Roman" w:hAnsi="Times New Roman"/>
            </w:rPr>
          </w:pPr>
          <w:r>
            <w:rPr>
              <w:rFonts w:ascii="Times New Roman" w:hAnsi="Times New Roman"/>
              <w:sz w:val="20"/>
            </w:rPr>
            <w:t>Dėl Lietuvos Respublikos aplinkos ministro 2011 m. kovo 4 d. įsakymo Nr. D1-201 "Dėl Savivaldybių aplinkos apsaugos rėmimo specialiosios programos priemonių vykdymo patikrinimo tvarkos aprašo, Savivaldybių aplinkos apsaugos rėmimo specialiosios programos priemonių vykdymo ataskaitos formos ir Savivaldybių aplinkos apsaugos rėmimo specialiosios programos priemonių vykdymo ataskaitos formos pildymo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f8a2160506611e4a698d921e3e46801">
            <w:r w:rsidRPr="00532B9F">
              <w:rPr>
                <w:rFonts w:ascii="Times New Roman" w:eastAsia="MS Mincho" w:hAnsi="Times New Roman"/>
                <w:sz w:val="20"/>
                <w:iCs/>
                <w:color w:val="0000FF" w:themeColor="hyperlink"/>
                <w:u w:val="single"/>
              </w:rPr>
              <w:t>D1-814</w:t>
            </w:r>
          </w:fldSimple>
          <w:r>
            <w:rPr>
              <w:rFonts w:ascii="Times New Roman" w:eastAsia="MS Mincho" w:hAnsi="Times New Roman"/>
              <w:sz w:val="20"/>
              <w:iCs/>
            </w:rPr>
            <w:t>,
2014-10-08,
paskelbta TAR 2014-10-10, i. k. 2014-13957                </w:t>
          </w:r>
        </w:p>
        <w:p>
          <w:pPr>
            <w:jc w:val="both"/>
            <w:rPr>
              <w:rFonts w:ascii="Times New Roman" w:hAnsi="Times New Roman"/>
            </w:rPr>
          </w:pPr>
          <w:r>
            <w:rPr>
              <w:rFonts w:ascii="Times New Roman" w:hAnsi="Times New Roman"/>
              <w:sz w:val="20"/>
            </w:rPr>
            <w:t>Dėl Lietuvos Respublikos aplinkos ministro 2011 m. kovo 4 d. įsakymo Nr. D1-201 „Dėl Savivaldybių aplinkos apsaugos rėmimo specialiosios programos priemonių vykdymo patikrinimo tvarkos aprašo, Savivaldybių aplinkos apsaugos rėmimo specialiosios programos priemonių vykdymo ataskaitos formos ir Savivaldybių aplinkos apsaugos rėmimo specialiosios programos priemonių vykdymo ataskaitos formos pildymo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39a3ea0f0e711e5989ee743dd0efbb0">
            <w:r w:rsidRPr="00532B9F">
              <w:rPr>
                <w:rFonts w:ascii="Times New Roman" w:eastAsia="MS Mincho" w:hAnsi="Times New Roman"/>
                <w:sz w:val="20"/>
                <w:iCs/>
                <w:color w:val="0000FF" w:themeColor="hyperlink"/>
                <w:u w:val="single"/>
              </w:rPr>
              <w:t>D1-206</w:t>
            </w:r>
          </w:fldSimple>
          <w:r>
            <w:rPr>
              <w:rFonts w:ascii="Times New Roman" w:eastAsia="MS Mincho" w:hAnsi="Times New Roman"/>
              <w:sz w:val="20"/>
              <w:iCs/>
            </w:rPr>
            <w:t>,
2016-03-22,
paskelbta TAR 2016-03-23, i. k. 2016-05760                </w:t>
          </w:r>
        </w:p>
        <w:p>
          <w:pPr>
            <w:jc w:val="both"/>
            <w:rPr>
              <w:rFonts w:ascii="Times New Roman" w:hAnsi="Times New Roman"/>
            </w:rPr>
          </w:pPr>
          <w:r>
            <w:rPr>
              <w:rFonts w:ascii="Times New Roman" w:hAnsi="Times New Roman"/>
              <w:sz w:val="20"/>
            </w:rPr>
            <w:t>Dėl Lietuvos Respublikos aplinkos ministro 2011 m. kovo 4 d. įsakymo Nr. D1-201 „Dėl savivaldybių aplinkos apsaugos rėmimo specialiosios programos priemonių vykdymo patikrinimo tvarkos aprašo, savivaldybių aplinkos apsaugos rėmimo specialiosios programos priemonių vykdymo ataskaitos formos ir savivaldybių aplinkos apsaugos rėmimo specialiosios programos priemonių vykdymo ataskaitos formos pildymo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30e1882503311e7846ef01bfffb9b64">
            <w:r w:rsidRPr="00532B9F">
              <w:rPr>
                <w:rFonts w:ascii="Times New Roman" w:eastAsia="MS Mincho" w:hAnsi="Times New Roman"/>
                <w:sz w:val="20"/>
                <w:iCs/>
                <w:color w:val="0000FF" w:themeColor="hyperlink"/>
                <w:u w:val="single"/>
              </w:rPr>
              <w:t>D1-503</w:t>
            </w:r>
          </w:fldSimple>
          <w:r>
            <w:rPr>
              <w:rFonts w:ascii="Times New Roman" w:eastAsia="MS Mincho" w:hAnsi="Times New Roman"/>
              <w:sz w:val="20"/>
              <w:iCs/>
            </w:rPr>
            <w:t>,
2017-06-12,
paskelbta TAR 2017-06-13, i. k. 2017-09954                </w:t>
          </w:r>
        </w:p>
        <w:p>
          <w:pPr>
            <w:jc w:val="both"/>
            <w:rPr>
              <w:rFonts w:ascii="Times New Roman" w:hAnsi="Times New Roman"/>
            </w:rPr>
          </w:pPr>
          <w:r>
            <w:rPr>
              <w:rFonts w:ascii="Times New Roman" w:hAnsi="Times New Roman"/>
              <w:sz w:val="20"/>
            </w:rPr>
            <w:t>Dėl Lietuvos Respublikos aplinkos ministro 2011 m. kovo 4 d. įsakymo Nr. D1-201 „Dėl Savivaldybių aplinkos apsaugos rėmimo specialiosios programos priemonių vykdymo patikrinimo tvarkos aprašo, savivaldybių aplinkos apsaugos rėmimo specialiosios programos priemonių vykdymo ataskaitos formos ir savivaldybių aplinkos apsaugos rėmimo specialiosios programos priemonių vykdymo ataskaitos formos pildymo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79cd700f46911e88f7f9cc21a6f50c5">
            <w:r w:rsidRPr="00532B9F">
              <w:rPr>
                <w:rFonts w:ascii="Times New Roman" w:eastAsia="MS Mincho" w:hAnsi="Times New Roman"/>
                <w:sz w:val="20"/>
                <w:iCs/>
                <w:color w:val="0000FF" w:themeColor="hyperlink"/>
                <w:u w:val="single"/>
              </w:rPr>
              <w:t>D1-372</w:t>
            </w:r>
          </w:fldSimple>
          <w:r>
            <w:rPr>
              <w:rFonts w:ascii="Times New Roman" w:eastAsia="MS Mincho" w:hAnsi="Times New Roman"/>
              <w:sz w:val="20"/>
              <w:iCs/>
            </w:rPr>
            <w:t>,
2018-05-08,
paskelbta TAR 2018-11-30, i. k. 2018-19419                </w:t>
          </w:r>
        </w:p>
        <w:p>
          <w:pPr>
            <w:jc w:val="both"/>
            <w:rPr>
              <w:rFonts w:ascii="Times New Roman" w:hAnsi="Times New Roman"/>
            </w:rPr>
          </w:pPr>
          <w:r>
            <w:rPr>
              <w:rFonts w:ascii="Times New Roman" w:hAnsi="Times New Roman"/>
              <w:sz w:val="20"/>
            </w:rPr>
            <w:t>Dėl Lietuvos Respublikos aplinkos ministro 2011 m. kovo 4 d. įsakymo Nr. D1-201 „Dėl savivaldybių aplinkos apsaugos rėmimo specialiosios programos priemonių vykdymo patikrinimo tvarkos aprašo, savivaldybių aplinkos apsaugos rėmimo specialiosios programos priemonių vykdymo ataskaitos formos ir savivaldybių aplinkos apsaugos rėmimo specialiosios programos priemonių vykdymo ataskaitos formos pildymo taisyklių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1134" w:bottom="851" w:left="1701" w:header="567" w:footer="284" w:gutter="0"/>
      <w:pgNumType w:start="1"/>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Thorndale">
    <w:altName w:val="Times New Roman"/>
    <w:charset w:val="00"/>
    <w:family w:val="auto"/>
    <w:pitch w:val="default"/>
  </w:font>
  <w:font w:name="Andale Sans UI">
    <w:altName w:val="Times New Roman"/>
    <w:charset w:val="BA"/>
    <w:family w:val="auto"/>
    <w:pitch w:val="variable"/>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pStyle w:val="Antrat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defaultTabStop w:val="1298"/>
  <w:hyphenationZone w:val="396"/>
  <w:doNotHyphenateCaps/>
  <w:drawingGridHorizontalSpacing w:val="120"/>
  <w:displayHorizontalDrawingGridEvery w:val="2"/>
  <w:displayVerticalDrawingGridEvery w:val="2"/>
  <w:noPunctuationKerning/>
  <w:characterSpacingControl w:val="doNotCompress"/>
  <w:footnotePr>
    <w:pos w:val="beneathText"/>
    <w:footnote w:id="-1"/>
    <w:footnote w:id="0"/>
  </w:footnotePr>
  <w:endnotePr>
    <w:endnote w:id="-1"/>
    <w:endnote w:id="0"/>
  </w:endnotePr>
  <w:compat>
    <w:compatSetting w:name="compatibilityMode" w:uri="http://schemas.microsoft.com/office/word" w:val="12"/>
  </w:compat>
  <w:rsids>
    <w:rsidRoot w:val="00832E9E"/>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oNotEmbedSmartTags/>
  <w:decimalSymbol w:val=","/>
  <w:listSeparator w:val=";"/>
  <w14:docId w14:val="798FF5D3"/>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yperlink" TargetMode="External" Target="https://www.e-tar.lt/portal/lt/legalAct/TAR.9F274C93E483"/>
  <Relationship Id="rId11" Type="http://schemas.openxmlformats.org/officeDocument/2006/relationships/hyperlink" TargetMode="External" Target="https://www.e-tar.lt/portal/lt/legalAct/TAR.DBA6726E64C3"/>
  <Relationship Id="rId12" Type="http://schemas.openxmlformats.org/officeDocument/2006/relationships/hyperlink" TargetMode="External" Target="https://www.e-tar.lt/portal/lt/legalAct/TAR.0F56F87041EB"/>
  <Relationship Id="rId13" Type="http://schemas.openxmlformats.org/officeDocument/2006/relationships/hyperlink" TargetMode="External" Target="https://www.e-tar.lt/portal/lt/legalAct/TAR.4B6A70926AF2"/>
  <Relationship Id="rId14" Type="http://schemas.openxmlformats.org/officeDocument/2006/relationships/header" Target="header1.xml"/>
  <Relationship Id="rId15"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hyperlink" TargetMode="External" Target="https://www.e-tar.lt/portal/lt/legalAct/TAR.9F274C93E483"/>
  <Relationship Id="rId5" Type="http://schemas.openxmlformats.org/officeDocument/2006/relationships/settings" Target="settings.xml"/>
  <Relationship Id="rId6" Type="http://schemas.openxmlformats.org/officeDocument/2006/relationships/styles" Target="styles.xml"/>
  <Relationship Id="rId7" Type="http://schemas.microsoft.com/office/2007/relationships/stylesWithEffects" Target="stylesWithEffects.xml"/>
  <Relationship Id="rId8" Type="http://schemas.openxmlformats.org/officeDocument/2006/relationships/theme" Target="theme/theme1.xml"/>
  <Relationship Id="rId9" Type="http://schemas.openxmlformats.org/officeDocument/2006/relationships/webSettings" Target="webSettings.xml"/>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openxmlformats.org/officeDocument/2006/relationships/webSettings" Target="webSettings.xml"/>
</Relationships>

</file>

<file path=word/glossary/document.xml><?xml version="1.0" encoding="utf-8"?>
<w:glossary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w:docParts/>
</w:glossaryDocument>
</file>

<file path=word/glossary/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w:font w:name="Times New Roman">
    <w:panose1 w:val="02020603050405020304"/>
    <w:charset w:val="CC"/>
    <w:family w:val="roman"/>
    <w:pitch w:val="variable"/>
    <w:sig w:usb0="E0002AFF" w:usb1="C0007841" w:usb2="00000009" w:usb3="00000000" w:csb0="000001F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2FF" w:usb1="400004FF" w:usb2="00000000" w:usb3="00000000" w:csb0="0000019F" w:csb1="00000000"/>
  </w:font>
  <w:font w:name="Calibri">
    <w:panose1 w:val="020F0502020204030204"/>
    <w:charset w:val="CC"/>
    <w:family w:val="swiss"/>
    <w:pitch w:val="variable"/>
    <w:sig w:usb0="E00002FF" w:usb1="4000ACFF" w:usb2="00000001" w:usb3="00000000" w:csb0="0000019F" w:csb1="00000000"/>
  </w:font>
</w:fonts>
</file>

<file path=word/glossary/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w:view w:val="normal"/>
  <w:defaultTabStop w:val="720"/>
  <w:characterSpacingControl w:val="doNotCompress"/>
  <w:compat>
    <w:useFELayout/>
  </w:compat>
  <w:rsids>
    <w:rsidRoot w:val="006F18FD"/>
    <w:rsid w:val="006F18FD"/>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rsid w:val="006F18FD"/>
    <w:rPr>
      <w:color w:val="808080"/>
    </w:rPr>
  </w:style>
</w:styles>
</file>

<file path=word/glossary/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w:optimizeForBrowser/>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58aacc9b891d4b73bde3d05e3a47ee66" PartId="4f89536091bb47d6b3680204af463fe8">
    <Part Type="preambule" DocPartId="9ffb1c43f61b4758abcb673f7a82b990" PartId="3578d02ad59a47f3a33146e350d3459b"/>
    <Part Type="punktas" Nr="1" Abbr="1 p." DocPartId="17026fa220b9474ab860fcb769386fed" PartId="73ea12e8b910474691ebc706023f38d0">
      <Part Type="punktas" Nr="1.1" Abbr="1.1 p." DocPartId="6d16c7503f25422780735496eeff1d3e" PartId="8a3676e1ba6f4992b331df286ed3ee96"/>
      <Part Type="punktas" Nr="1.2" Abbr="1.2 p." DocPartId="dba6625fe6ff43b3b4df965a0ecb12af" PartId="1e64c4a66d954cc39870396aeb79ed09"/>
      <Part Type="punktas" Nr="1.3" Abbr="1.3 p." DocPartId="87ad3b046539428891a98421a7dd9d23" PartId="ff4b60a819004c978d06dc30ebf18738"/>
    </Part>
    <Part Type="punktas" Nr="2" Abbr="2 p." DocPartId="07da82ca1b254a0cb8de077ed933cf8b" PartId="0532d8214647460a943d139d3d9ca64f">
      <Part Type="punktas" Nr="2.1" Abbr="2.1 p." DocPartId="9116af3f78674b2c83957c4376401528" PartId="1257a599ddb3441ea10c147179a819b3"/>
      <Part Type="punktas" Nr="2.2" Abbr="2.2 p." DocPartId="68c13c0f97734d5dbab7e63d5adf17ce" PartId="024d11f563514b2cb77a8b0b45000b87"/>
    </Part>
    <Part Type="punktas" Nr="3" Abbr="3 p." DocPartId="f4916978399547c5891136cd4719d196" PartId="5420b79ba8fb4f93b273eafd6c57996d"/>
    <Part Type="signatura" DocPartId="d63d1407bb4747c591db4ace066fb45d" PartId="7e8510c3b3e14d7889f489da63245d04"/>
  </Part>
  <Part Type="patvirtinta" Title="SAVIVALDYBIŲ APLINKOS APSAUGOS RĖMIMO SPECIALIOSIOS PROGRAMOS PRIEMONIŲ VYKDYMO PATIKRINIMO TVARKOS APRAŠAS" DocPartId="29c02ead4f704b42afb1747a9dcb286a" PartId="bdce57844a6e4507ae81845fa9da647c">
    <Part Type="skyrius" Nr="1" Title="BENDROSIOS NUOSTATOS" DocPartId="03207db83c0a4a66a738992b4ae6e7ec" PartId="9aee1b2777af4700a541d2c6238069e7">
      <Part Type="punktas" Nr="1" Abbr="1 p." DocPartId="826da3f99f6b49ddb840cc9f6a32f4b6" PartId="24817bf0eb5f4837a8a6212da324c9a4"/>
      <Part Type="punktas" Nr="2" Abbr="2 p." DocPartId="7709617c4a6c41bf8c1bb2c9f786db0e" PartId="4516630818a64ac783f34faf2bcba29a"/>
      <Part Type="punktas" Nr="3" Abbr="3 p." DocPartId="5b4e790107e64682852728cb4824edb0" PartId="af067f9f409e415a9884b72ecbf053ec"/>
    </Part>
    <Part Type="skyrius" Nr="2" Title="ATASKAITOS PATEIKIMAS IR ATASKAITOJE PATEIKTŲ DUOMENŲ PATIKRINIMAS" DocPartId="a2fc32a49e274d369d40bae9c9a4e21b" PartId="705b7b3446f348838d2eef42b81e597f">
      <Part Type="punktas" Nr="4" Abbr="4 p." DocPartId="0a7fe7cb436b49cab6dac2b2b3fe358e" PartId="d3287f299d744639ad0743296975705a"/>
      <Part Type="punktas" Nr="5" Abbr="5 p." DocPartId="03b395f05bc34451b455c58a1bfd1fb6" PartId="55cf4d28b2da4aaeb2f30ea8a9769e37"/>
      <Part Type="punktas" Nr="6" Abbr="6 p." DocPartId="ca81546434814815be47285d299c8512" PartId="418c753b7b6248b895cabb3895b27af7">
        <Part Type="papunktis" Nr="6.1" Abbr="6.1 pp." DocPartId="39ef746347674d6ea422a9570b29456f" PartId="8c1283cea4c94ee6bda7b5c6ac75b08b"/>
        <Part Type="papunktis" Nr="6.2" Abbr="6.2 pp." DocPartId="d88bdba6c8db41e5aefee0db07e8c0d5" PartId="d66abb83719c424f8b3f4c9aa051914c"/>
        <Part Type="papunktis" Nr="6.3" Abbr="6.3 pp." DocPartId="3cc5efa00d8d4e1bb96d838578f6f102" PartId="80e43e7079674db0a2ebade5f7a64cb9"/>
      </Part>
      <Part Type="punktas" Nr="7" Abbr="7 p." DocPartId="b354b3a398b74453bd696a7858570294" PartId="06775ac097af44c7b26fadb041d556e3"/>
      <Part Type="punktas" Nr="8" Abbr="8 p." DocPartId="be4ea725745b4f89a149be7e7c03824f" PartId="a31792693ad74d03b13cbb8efa7977cd"/>
      <Part Type="punktas" Nr="9" Abbr="9 p." DocPartId="8e5ed5a337b840438ed12c475af3ca48" PartId="aaca22dda2b4482483f56aa068e9ede7"/>
      <Part Type="punktas" Nr="10" Abbr="10 p." DocPartId="f1f9d1c79eba42c38e0b03f53249588e" PartId="c2dcfbf5ef8644dcaed62163145db1c7"/>
      <Part Type="punktas" Nr="11" Abbr="11 p." DocPartId="cd58b1300f0b4c15a29e7cf1b7395a75" PartId="b5632cdd808849a695416220a32aea49"/>
      <Part Type="punktas" Nr="12" Abbr="12 p." DocPartId="28c8c4f5bd1c46b386b64cfc25a3c3eb" PartId="525d7cb03ea7478cb328e6e647431753"/>
      <Part Type="punktas" Nr="13" Abbr="13 p." DocPartId="4e330ba2efee4402ae1945debb6e36d2" PartId="c6d36377a8ec4ff38aad728bd3ddc904"/>
      <Part Type="punktas" Nr="14" Abbr="14 p." DocPartId="6f60e56ac8f64705bdcb920fffc413b8" PartId="053759bc1e0842609c669ca4ee2d777d"/>
      <Part Type="punktas" Nr="15" Abbr="15 p." DocPartId="61552651dbd542638013d5fdf2322f6f" PartId="794193747e6d401bbd973d751648aecb"/>
      <Part Type="punktas" Nr="16" Abbr="16 p." DocPartId="5a7180ed8ce84f5a96eed06cbe071d7a" PartId="c2449f5dd05e4e41b8aeb4aa33844623"/>
      <Part Type="punktas" Nr="17" Abbr="17 p." DocPartId="1b820020971b4df582b19a1a3445a1ba" PartId="2740c69d5a8343fe8186b960e0242286"/>
    </Part>
    <Part Type="skyrius" Nr="3" Title="BAIGIAMOSIOS NUOSTATOS" DocPartId="5b65730094f44c01a6745e78f5f6fa12" PartId="1d28e464bd734a598c87fb4995ad6f20">
      <Part Type="punktas" Nr="18" Abbr="18 p." DocPartId="2aeec3bddd0e4526810681cf3c1717cd" PartId="91a85dd396de44d78e883ec7720a7451"/>
      <Part Type="punktas" Nr="19" Abbr="19 p." DocPartId="30cce3d8c4d740709af1333b54c58100" PartId="db00635493ad49f8bb9ac9cf4e78155e"/>
    </Part>
    <Part Type="pabaiga" DocPartId="ce05fa0c2797477798207f25980448f8" PartId="c6857febe9ae41afad934bf6a22194ed"/>
  </Part>
  <Part Type="priedas" Abbr="pr." Title="SAVIVALDYBIŲ APLINKOS APSAUGOS RĖMIMO SPECIALIOSIOS PROGRAMOS PRIEMONIŲ VYKDYMO PATIKRINIMO AKTAS" DocPartId="7141a82ae3d94735bf84d9612b9e663e" PartId="9d4c07fd7d354e10826cec27b47ec620"/>
  <Part Type="forma" Abbr="frm." DocPartId="b2edca542a2f49b0ba8a7cece07ccf76" PartId="18388129c8bd4d7fa890c91bb9bb7505">
    <Part Type="punktas" Nr="1" Abbr="frm. 1 p." DocPartId="e781f2c3763446219385a0af477ecd97" PartId="d4d2a64f384a4d06946a6d2fba8c1095"/>
    <Part Type="punktas" Nr="2" Abbr="frm. 2 p." DocPartId="37eda1f332c84814977ada56f1cc9826" PartId="5fcd62ff4d7043f7b03725caceea796b"/>
    <Part Type="punktas" Nr="3" Abbr="frm. 3 p." DocPartId="be05ca59abf24527b6a910900c572af3" PartId="d3dd7d8e7e034e73a0c9260742caddf8"/>
    <Part Type="punktas" Nr="4" Abbr="frm. 4 p." DocPartId="8b79af085de54a08b50cb37d160bad78" PartId="261681e4d0154f16bceea0778e603745"/>
    <Part Type="punktas" Nr="5" Abbr="frm. 5 p." DocPartId="f519c7e994ac4a6f981bb1dc4f409ef5" PartId="4f694307582b40a29f86a528c5b61044"/>
  </Part>
  <Part Type="patvirtinta" Title="SAVIVALDYBIŲ APLINKOS APSAUGOS RĖMIMO SPECIALIOSIOS PROGRAMOS PRIEMONIŲ VYKDYMO ATASKAITOS FORMOS PILDYMO TAISYKLĖS" DocPartId="e4195cd51a2441ee8744ec3fcc1f83de" PartId="784409bd45104bcd96a7ea71752f4f7e">
    <Part Type="punktas" Nr="1" Abbr="1 p." DocPartId="225f63a8490b47df8c17d3bc898f60b0" PartId="8be81e21cb124b878459162e47b449e3"/>
    <Part Type="punktas" Nr="2" Abbr="2 p." DocPartId="5f39413281f04a668198e9907436660b" PartId="ece09beae0034806813d642a35133afa"/>
    <Part Type="punktas" Nr="3" Abbr="3 p." DocPartId="464ae5f27306447785733d8108da6792" PartId="5797dfa9334a43a9856f9d3319ebf684"/>
    <Part Type="punktas" Nr="4" Abbr="4 p." DocPartId="e74fcd1ed685494a98582c82c85bc114" PartId="21acb6966e72440bb3e0a77903b26cb5"/>
    <Part Type="punktas" Nr="5" Abbr="5 p." DocPartId="439ab05c483f447a9d69b363e24a2bdc" PartId="8711350479734d8881c1bf1e7156ed5c"/>
    <Part Type="punktas" Nr="6" Abbr="6 p." DocPartId="6390f44f1762432c9f6ec0c5b6c15110" PartId="6cb948dfa37e408d863da877438c36ea"/>
    <Part Type="punktas" Nr="7" Abbr="7 p." DocPartId="17c9a0c612864ec19bb6485b10c2944e" PartId="ec46a575173343b0b4cd0bd950c34565">
      <Part Type="punktas" Nr="7.1" Abbr="7.1 p." DocPartId="b1cc3e77a11f488ab8ad449641fb890c" PartId="e5d90ed0d59f423b936bb753c39a2fa5">
        <Part Type="punktas" Nr="7.1.1" Abbr="7.1.1 p." DocPartId="8c91725f1d43433e88bb0b2c84e0464d" PartId="3d66ceef3167441ab8907be336bf9613"/>
        <Part Type="punktas" Nr="7.1.2" Abbr="7.1.2 p." DocPartId="8d5ee939c8434f0eb0402506dcd1b156" PartId="89f9344811d64897afec596485fe2fc3"/>
        <Part Type="punktas" Nr="7.1.3" Abbr="7.1.3 p." DocPartId="9f1e8d880fab4f3c8d9854fc9bf9a713" PartId="1243c28ba32e43608ad754d6032e2ed1"/>
        <Part Type="punktas" Nr="7.1.4" Abbr="7.1.4 p." DocPartId="a0b4c10df3274b25bc25e22e54f5e3c7" PartId="06b3f3d5398342f4bd80bf06f10a48a5"/>
        <Part Type="punktas" Nr="7.1.5" Abbr="7.1.5 p." DocPartId="d802122b0a424a1ebbcd9f4390ffbd6c" PartId="c3e0d18f77054006b7c0d26fb4cbbd52"/>
        <Part Type="punktas" Nr="7.1.6" Abbr="7.1.6 p." DocPartId="16e9cb1386644ca5a39eca8c00915689" PartId="d0d7e82d972c4e61895bccdca8d34424"/>
      </Part>
      <Part Type="punktas" Nr="7.2" Abbr="7.2 p." DocPartId="fddd1315630847e2b620f49bccf9365f" PartId="89d19f9e075d4e3784fae9e28b7a6413">
        <Part Type="punktas" Nr="7.2.1" Abbr="7.2.1 p." DocPartId="f992e5895710434ca7e036eb967c5475" PartId="023ed91bd68d4867a5bbb85fa389b093"/>
        <Part Type="punktas" Nr="7.2.2" Abbr="7.2.2 p." DocPartId="290478d2e9bf48c7a89033d4ce1d21d4" PartId="252e8b6cdbde4fcda54b6a737763c890"/>
        <Part Type="punktas" Nr="7.2.3" Abbr="7.2.3 p." DocPartId="3b67323e15764293ab7a77d759fca8a8" PartId="41a20b6eb6554ec5b285ce992360a4fc"/>
      </Part>
      <Part Type="punktas" Nr="7.3" Abbr="7.3 p." DocPartId="a0361a364011475d9a77727d3dc22da4" PartId="fae12ae5af0c405fb827fbf620fe34d9">
        <Part Type="punktas" Nr="7.3.1" Abbr="7.3.1 p." DocPartId="e8263c76d79643408be41b0fa5941247" PartId="2bef230b6ac941ae9868f5f8babd15d8"/>
        <Part Type="punktas" Nr="7.3.2" Abbr="7.3.2 p." DocPartId="194b026e5a3a4ca38a36a866a12885dc" PartId="c9e5f286462e4283bcd811e4c5b1aab9"/>
        <Part Type="punktas" Nr="7.3.3" Abbr="7.3.3 p." DocPartId="67a4c017ecba4aeba894b41140351b85" PartId="424967e2e7e341ec80a02f9468d29c22"/>
      </Part>
    </Part>
    <Part Type="punktas" Nr="8" Abbr="8 p." DocPartId="0d659eb72ad346bbb96fb5a8446e3966" PartId="3678954f84644433a01f3e5c1708e9c9">
      <Part Type="punktas" Nr="8.1" Abbr="8.1 p." DocPartId="9406c3999e2f44d2927ea82a00341b7b" PartId="64ffc9eaa84d4a1c93d29f077361f0d0"/>
      <Part Type="punktas" Nr="8.2" Abbr="8.2 p." DocPartId="2368bfc15f9a45dea4d7c914da9497a4" PartId="ce7c25216e514f33a04268cfafdb27b5">
        <Part Type="punktas" Nr="8.2.1" Abbr="8.2.1 p." DocPartId="760286bdea9c424aad870b2ab8c07010" PartId="d686b77ca345468e8c7da54c14c39898"/>
        <Part Type="punktas" Nr="8.2.2" Abbr="8.2.2 p." DocPartId="cf27c374a93b43218c70cd6987772759" PartId="829dd45892fe46f39c115c8ff662c3c7"/>
        <Part Type="punktas" Nr="8.2.3" Abbr="8.2.3 p." DocPartId="f041420ecdd74a0eb1f3561e91d61241" PartId="f7f1f5d3a0f64cf695c9a9b3d17b2407"/>
        <Part Type="punktas" Nr="8.2.4" Abbr="8.2.4 p." DocPartId="3588aee6206d4f23b17e013b9588b404" PartId="87ea408409f24d60b220571335e543dc"/>
        <Part Type="punktas" Nr="8.2.5" Abbr="8.2.5 p." DocPartId="a70a708c4a0c47eebdbc7d34a7297ec0" PartId="fdceecd8899d48719501351b21e496a6"/>
      </Part>
      <Part Type="punktas" Nr="8.3" Abbr="8.3 p." DocPartId="d964abb7256c48c0878a092774538e88" PartId="adc30ca4ec244e2c899ff6a3a54d5809"/>
      <Part Type="punktas" Nr="8.4" Abbr="8.4 p." DocPartId="1cbcc069691a4cf2af82d69f2eba21d1" PartId="a2ba1d1df4b2488bbc997793fb948c6a"/>
    </Part>
    <Part Type="punktas" Nr="9" Abbr="9 p." DocPartId="98b6e0cadb8d48868b12d24bdc59c8dc" PartId="eeac5d72c7b841e194eae2c91aa4771a"/>
    <Part Type="punktas" Nr="10" Abbr="10 p." DocPartId="21c4997ae98d4a218126f60cc82bf48a" PartId="d01f8222742d467bb716db53397c8bae"/>
    <Part Type="punktas" Nr="11" Abbr="11 p." DocPartId="c4b92d0202af49ed935c2c415ee164dc" PartId="6630529528c342e1a107864b43a44396">
      <Part Type="punktas" Nr="11.1" Abbr="11.1 p." DocPartId="ba71eabc39cb433a8ce70d4295619622" PartId="6664407f9fa84e96aad0e777e39b3110"/>
      <Part Type="punktas" Nr="11.2" Abbr="11.2 p." DocPartId="4150ff79a4884e3393e3d01ebe148cb1" PartId="04de266d213e4d3eac368fdd76c9c024"/>
      <Part Type="punktas" Nr="11.3" Abbr="11.3 p." DocPartId="fc5b2d4b8e034ec68862090993674c28" PartId="db26b4076a7d40b48dbded2958ee3767"/>
      <Part Type="punktas" Nr="11.4" Abbr="11.4 p." DocPartId="1d640c9987e949ed9127a47341176ae4" PartId="55bf9b8b0a7c4e72b8b51a12b91f18e8"/>
    </Part>
    <Part Type="punktas" Nr="12" Abbr="12 p." DocPartId="83028b5c933944e9b39ce6cd0c91ac90" PartId="d223ed5fd2f14028b5d622b9af699573">
      <Part Type="punktas" Nr="12.1" Abbr="12.1 p." DocPartId="74c808a1f56b489d9c0c72b7a6662b96" PartId="85b0564afc3f4512858ee8d5e357082e"/>
      <Part Type="punktas" Nr="12.2" Abbr="12.2 p." DocPartId="92fad9cff8264a8a8ad065812c7fecc4" PartId="70aef35b04054a0da19669fa43c4d9a1"/>
      <Part Type="punktas" Nr="12.3" Abbr="12.3 p." DocPartId="e33335f7563f4b3f82c3401ff57ee19d" PartId="e90bd531d81f4b5ca4dec827076753a4"/>
      <Part Type="punktas" Nr="12.4" Abbr="12.4 p." DocPartId="9ebd39f3934d46e4bc4d282a566a929b" PartId="0f2b1a922f51425baaf36344ca59f87e"/>
      <Part Type="punktas" Nr="12.5" Abbr="12.5 p." DocPartId="f6b66ecb2187442dbfa9d1f24bc8a846" PartId="702acae8b28b4ed7ad1f7e88b1f0f38d"/>
      <Part Type="punktas" Nr="12.6" Abbr="12.6 p." DocPartId="3418767b812643f09240ea45808f0b93" PartId="5fd4c010f6cd40f0b2ed7efdbf2d0f70"/>
      <Part Type="punktas" Nr="12.7" Abbr="12.7 p." DocPartId="7b0497a96cc24dc7a385cf8e9f8f653f" PartId="df118b6ef19f480a8038f76f854a7579"/>
      <Part Type="punktas" Nr="12.8" Abbr="12.8 p." DocPartId="747f0934d5b14d2581b61f8122e68114" PartId="4575084ed308483cac9d5d87bc4817c6"/>
      <Part Type="punktas" Nr="12.9" Abbr="12.9 p." DocPartId="bdaf734b5398469ea660abe1b88c1aa7" PartId="a644fa1071ec4e08ad100f9652d0c1d8"/>
      <Part Type="punktas" Nr="12.10" Abbr="12.10 p." DocPartId="3182dd165494405c96f8546a2a0bb075" PartId="06796e62c1104e5c8c4c831991d8eabf"/>
    </Part>
  </Part>
</Parts>
</file>

<file path=customXml/itemProps1.xml><?xml version="1.0" encoding="utf-8"?>
<ds:datastoreItem xmlns:ds="http://schemas.openxmlformats.org/officeDocument/2006/customXml" ds:itemID="{1DCD72CA-95FA-484F-A717-B045B70F34E7}">
  <ds:schemaRefs>
    <ds:schemaRef ds:uri="http://lrs.lt/TAIS/DocParts"/>
  </ds:schemaRefs>
</ds:datastoreItem>
</file>

<file path=docProps/app.xml><?xml version="1.0" encoding="utf-8"?>
<Properties xmlns="http://schemas.openxmlformats.org/officeDocument/2006/extended-properties">
  <Template>Normal.dotm</Template>
  <TotalTime>14</TotalTime>
  <Pages>13</Pages>
  <Words>19518</Words>
  <Characters>11126</Characters>
  <Application>Microsoft Office Word</Application>
  <DocSecurity>0</DocSecurity>
  <Lines>92</Lines>
  <Paragraphs>61</Paragraphs>
  <ScaleCrop>false</ScaleCrop>
  <Company/>
  <LinksUpToDate>false</LinksUpToDate>
  <CharactersWithSpaces>30583</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2016-03-18T12:19:00Z</dcterms:created>
  <dc:creator>Rima</dc:creator>
  <lastModifiedBy>JUOSPONIENĖ Karolina</lastModifiedBy>
  <dcterms:modified xsi:type="dcterms:W3CDTF">2018-12-06T06:44:00Z</dcterms:modified>
  <revision>14</revision>
  <dc:title>LIETUVOS RESPUBLIKOS APLINKOS MINISTRO</dc:title>
</coreProperties>
</file>