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373eedc1a614376b1ca009098d7fd84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2023-03-09 iki 2024-06-13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1f3137ba1727481481942c9cf008935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1f3137ba1727481481942c9cf008935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(toliau – MD) generalinio direktoriaus pavaduotojas (komiteto pirmininkas); 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</w:t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>asociacijos „LINAVA“ generalinis sekretorius;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>Lietuvos transporto saugos administracijos prie Susisiekimo ministerijos Administracinių paslaugų departamento direktorius;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>asociacijos „LINAVA“ TIR ir tranzito departamento vadovo pavaduotoja muitinės pretenzijų klausimams;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2023-03-03,
paskelbta TAR 2023-03-08, i. k. 2023-04164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Arial" w:eastAsia="MS Mincho" w:hAnsi="Arial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Arial" w:eastAsia="MS Mincho" w:hAnsi="Arial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Arial" w:eastAsia="MS Mincho" w:hAnsi="Arial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Arial" w:eastAsia="MS Mincho" w:hAnsi="Arial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Arial" w:eastAsia="MS Mincho" w:hAnsi="Arial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Arial" w:eastAsia="MS Mincho" w:hAnsi="Arial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Arial" w:eastAsia="MS Mincho" w:hAnsi="Arial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Arial" w:eastAsia="MS Mincho" w:hAnsi="Arial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Arial" w:eastAsia="MS Mincho" w:hAnsi="Arial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Arial" w:eastAsia="MS Mincho" w:hAnsi="Arial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Arial" w:eastAsia="MS Mincho" w:hAnsi="Arial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Arial" w:eastAsia="MS Mincho" w:hAnsi="Arial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Arial" w:eastAsia="MS Mincho" w:hAnsi="Arial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Arial" w:eastAsia="MS Mincho" w:hAnsi="Arial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3C57A725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0.wmf"/>
  <Relationship Id="rId15" Type="http://schemas.openxmlformats.org/officeDocument/2006/relationships/control" Target="activeX/activeX10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8373eedc1a614376b1ca009098d7fd84">
    <Part Type="preambule" DocPartId="d54903553c57476cb75e6d93e56a50ca" PartId="160773575a444c139d72baf923217df8"/>
    <Part Type="punktas" Nr="1" Abbr="1 p." DocPartId="2d3258fdcf394fd2995a603ef9ace43e" PartId="1f3137ba1727481481942c9cf0089357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45957C5E-B5DD-44DC-B0B8-7E9E206ED8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8</TotalTime>
  <Pages>2</Pages>
  <Words>1778</Words>
  <Characters>1015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DRAZDAUSKIENĖ Nijolė</lastModifiedBy>
  <dcterms:modified xsi:type="dcterms:W3CDTF">2023-03-09T06:19:00Z</dcterms:modified>
  <revision>23</revision>
  <dc:title>MUITINĖS DEPARTAMENTO PRIE LIETUVOS RESPUBLIKOS</dc:title>
</coreProperties>
</file>