
<file path=[Content_Types].xml><?xml version="1.0" encoding="utf-8"?>
<Types xmlns="http://schemas.openxmlformats.org/package/2006/content-types">
  <Default Extension="bin" ContentType="application/vnd.ms-office.activeX"/>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document.xml" ContentType="application/vnd.openxmlformats-officedocument.wordprocessingml.document.main+xml"/>
  <Override PartName="/word/embeddings/oleObject1.bin" ContentType="application/vnd.openxmlformats-officedocument.oleObject"/>
  <Override PartName="/word/embeddings/oleObject10.bin" ContentType="application/vnd.openxmlformats-officedocument.oleObject"/>
  <Override PartName="/word/embeddings/oleObject11.bin" ContentType="application/vnd.openxmlformats-officedocument.oleObject"/>
  <Override PartName="/word/embeddings/oleObject12.bin" ContentType="application/vnd.openxmlformats-officedocument.oleObject"/>
  <Override PartName="/word/embeddings/oleObject13.bin" ContentType="application/vnd.openxmlformats-officedocument.oleObject"/>
  <Override PartName="/word/embeddings/oleObject14.bin" ContentType="application/vnd.openxmlformats-officedocument.oleObject"/>
  <Override PartName="/word/embeddings/oleObject15.bin" ContentType="application/vnd.openxmlformats-officedocument.oleObject"/>
  <Override PartName="/word/embeddings/oleObject16.bin" ContentType="application/vnd.openxmlformats-officedocument.oleObject"/>
  <Override PartName="/word/embeddings/oleObject17.bin" ContentType="application/vnd.openxmlformats-officedocument.oleObject"/>
  <Override PartName="/word/embeddings/oleObject18.bin" ContentType="application/vnd.openxmlformats-officedocument.oleObject"/>
  <Override PartName="/word/embeddings/oleObject19.bin" ContentType="application/vnd.openxmlformats-officedocument.oleObject"/>
  <Override PartName="/word/embeddings/oleObject2.bin" ContentType="application/vnd.openxmlformats-officedocument.oleObject"/>
  <Override PartName="/word/embeddings/oleObject20.bin" ContentType="application/vnd.openxmlformats-officedocument.oleObject"/>
  <Override PartName="/word/embeddings/oleObject21.bin" ContentType="application/vnd.openxmlformats-officedocument.oleObject"/>
  <Override PartName="/word/embeddings/oleObject22.bin" ContentType="application/vnd.openxmlformats-officedocument.oleObject"/>
  <Override PartName="/word/embeddings/oleObject23.bin" ContentType="application/vnd.openxmlformats-officedocument.oleObject"/>
  <Override PartName="/word/embeddings/oleObject24.bin" ContentType="application/vnd.openxmlformats-officedocument.oleObject"/>
  <Override PartName="/word/embeddings/oleObject25.bin" ContentType="application/vnd.openxmlformats-officedocument.oleObject"/>
  <Override PartName="/word/embeddings/oleObject26.bin" ContentType="application/vnd.openxmlformats-officedocument.oleObject"/>
  <Override PartName="/word/embeddings/oleObject27.bin" ContentType="application/vnd.openxmlformats-officedocument.oleObject"/>
  <Override PartName="/word/embeddings/oleObject28.bin" ContentType="application/vnd.openxmlformats-officedocument.oleObject"/>
  <Override PartName="/word/embeddings/oleObject29.bin" ContentType="application/vnd.openxmlformats-officedocument.oleObject"/>
  <Override PartName="/word/embeddings/oleObject3.bin" ContentType="application/vnd.openxmlformats-officedocument.oleObject"/>
  <Override PartName="/word/embeddings/oleObject30.bin" ContentType="application/vnd.openxmlformats-officedocument.oleObject"/>
  <Override PartName="/word/embeddings/oleObject31.bin" ContentType="application/vnd.openxmlformats-officedocument.oleObject"/>
  <Override PartName="/word/embeddings/oleObject32.bin" ContentType="application/vnd.openxmlformats-officedocument.oleObject"/>
  <Override PartName="/word/embeddings/oleObject33.bin" ContentType="application/vnd.openxmlformats-officedocument.oleObject"/>
  <Override PartName="/word/embeddings/oleObject34.bin" ContentType="application/vnd.openxmlformats-officedocument.oleObject"/>
  <Override PartName="/word/embeddings/oleObject35.bin" ContentType="application/vnd.openxmlformats-officedocument.oleObject"/>
  <Override PartName="/word/embeddings/oleObject36.bin" ContentType="application/vnd.openxmlformats-officedocument.oleObject"/>
  <Override PartName="/word/embeddings/oleObject37.bin" ContentType="application/vnd.openxmlformats-officedocument.oleObject"/>
  <Override PartName="/word/embeddings/oleObject38.bin" ContentType="application/vnd.openxmlformats-officedocument.oleObject"/>
  <Override PartName="/word/embeddings/oleObject39.bin" ContentType="application/vnd.openxmlformats-officedocument.oleObject"/>
  <Override PartName="/word/embeddings/oleObject4.bin" ContentType="application/vnd.openxmlformats-officedocument.oleObject"/>
  <Override PartName="/word/embeddings/oleObject40.bin" ContentType="application/vnd.openxmlformats-officedocument.oleObject"/>
  <Override PartName="/word/embeddings/oleObject41.bin" ContentType="application/vnd.openxmlformats-officedocument.oleObject"/>
  <Override PartName="/word/embeddings/oleObject42.bin" ContentType="application/vnd.openxmlformats-officedocument.oleObject"/>
  <Override PartName="/word/embeddings/oleObject43.bin" ContentType="application/vnd.openxmlformats-officedocument.oleObject"/>
  <Override PartName="/word/embeddings/oleObject44.bin" ContentType="application/vnd.openxmlformats-officedocument.oleObject"/>
  <Override PartName="/word/embeddings/oleObject45.bin" ContentType="application/vnd.openxmlformats-officedocument.oleObject"/>
  <Override PartName="/word/embeddings/oleObject46.bin" ContentType="application/vnd.openxmlformats-officedocument.oleObject"/>
  <Override PartName="/word/embeddings/oleObject47.bin" ContentType="application/vnd.openxmlformats-officedocument.oleObject"/>
  <Override PartName="/word/embeddings/oleObject48.bin" ContentType="application/vnd.openxmlformats-officedocument.oleObject"/>
  <Override PartName="/word/embeddings/oleObject49.bin" ContentType="application/vnd.openxmlformats-officedocument.oleObject"/>
  <Override PartName="/word/embeddings/oleObject5.bin" ContentType="application/vnd.openxmlformats-officedocument.oleObject"/>
  <Override PartName="/word/embeddings/oleObject50.bin" ContentType="application/vnd.openxmlformats-officedocument.oleObject"/>
  <Override PartName="/word/embeddings/oleObject51.bin" ContentType="application/vnd.openxmlformats-officedocument.oleObject"/>
  <Override PartName="/word/embeddings/oleObject52.bin" ContentType="application/vnd.openxmlformats-officedocument.oleObject"/>
  <Override PartName="/word/embeddings/oleObject53.bin" ContentType="application/vnd.openxmlformats-officedocument.oleObject"/>
  <Override PartName="/word/embeddings/oleObject54.bin" ContentType="application/vnd.openxmlformats-officedocument.oleObject"/>
  <Override PartName="/word/embeddings/oleObject55.bin" ContentType="application/vnd.openxmlformats-officedocument.oleObject"/>
  <Override PartName="/word/embeddings/oleObject56.bin" ContentType="application/vnd.openxmlformats-officedocument.oleObject"/>
  <Override PartName="/word/embeddings/oleObject57.bin" ContentType="application/vnd.openxmlformats-officedocument.oleObject"/>
  <Override PartName="/word/embeddings/oleObject58.bin" ContentType="application/vnd.openxmlformats-officedocument.oleObject"/>
  <Override PartName="/word/embeddings/oleObject59.bin" ContentType="application/vnd.openxmlformats-officedocument.oleObject"/>
  <Override PartName="/word/embeddings/oleObject6.bin" ContentType="application/vnd.openxmlformats-officedocument.oleObject"/>
  <Override PartName="/word/embeddings/oleObject60.bin" ContentType="application/vnd.openxmlformats-officedocument.oleObject"/>
  <Override PartName="/word/embeddings/oleObject61.bin" ContentType="application/vnd.openxmlformats-officedocument.oleObject"/>
  <Override PartName="/word/embeddings/oleObject62.bin" ContentType="application/vnd.openxmlformats-officedocument.oleObject"/>
  <Override PartName="/word/embeddings/oleObject63.bin" ContentType="application/vnd.openxmlformats-officedocument.oleObject"/>
  <Override PartName="/word/embeddings/oleObject64.bin" ContentType="application/vnd.openxmlformats-officedocument.oleObject"/>
  <Override PartName="/word/embeddings/oleObject65.bin" ContentType="application/vnd.openxmlformats-officedocument.oleObject"/>
  <Override PartName="/word/embeddings/oleObject7.bin" ContentType="application/vnd.openxmlformats-officedocument.oleObject"/>
  <Override PartName="/word/embeddings/oleObject8.bin" ContentType="application/vnd.openxmlformats-officedocument.oleObject"/>
  <Override PartName="/word/embeddings/oleObject9.bin" ContentType="application/vnd.openxmlformats-officedocument.oleObject"/>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4ac5038af7d47bfad393ac010fdb06b"/>
        <w:lock w:val="sdtLocked"/>
        <w:richText/>
      </w:sdtPr>
      <w:sdtContent>
        <w:p>
          <w:pPr>
            <w:jc w:val="both"/>
            <w:rPr>
              <w:rFonts w:ascii="Arial" w:hAnsi="Arial"/>
            </w:rPr>
          </w:pPr>
          <w:r>
            <w:rPr>
              <w:rFonts w:ascii="Arial" w:hAnsi="Arial"/>
              <w:b/>
              <w:i/>
            </w:rPr>
            <w:t>Suvestinė redakcija nuo 2024-09-20</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Įsakymas paskelbtas: Žin. 2010, Nr. </w:t>
          </w:r>
          <w:fldSimple w:instr="HYPERLINK https://www.e-tar.lt/portal/legalAct.html?documentId=TAR.62C6D1227CF7">
            <w:r w:rsidRPr="00532B9F">
              <w:rPr>
                <w:rFonts w:ascii="Arial" w:eastAsia="MS Mincho" w:hAnsi="Arial"/>
                <w:sz w:val="20"/>
                <w:i/>
                <w:iCs/>
                <w:color w:val="0000FF" w:themeColor="hyperlink"/>
                <w:u w:val="single"/>
              </w:rPr>
              <w:t>155-7882</w:t>
            </w:r>
          </w:fldSimple>
          <w:r>
            <w:rPr>
              <w:rFonts w:ascii="Arial" w:eastAsia="MS Mincho" w:hAnsi="Arial"/>
              <w:sz w:val="20"/>
              <w:i/>
              <w:iCs/>
            </w:rPr>
            <w:t>, i. k. 1102330ISAK03D-1106</w:t>
          </w:r>
        </w:p>
        <w:p>
          <w:pPr>
            <w:jc w:val="both"/>
            <w:rPr>
              <w:rFonts w:ascii="Arial" w:hAnsi="Arial"/>
              <w:sz w:val="20"/>
            </w:rPr>
          </w:pPr>
        </w:p>
        <w:p>
          <w:pPr>
            <w:widowControl w:val="0"/>
            <w:suppressAutoHyphens/>
            <w:jc w:val="center"/>
            <w:rPr>
              <w:color w:val="000000"/>
            </w:rPr>
          </w:pPr>
          <w:r>
            <w:rPr>
              <w:color w:val="000000"/>
              <w:lang w:val="en-US"/>
            </w:rPr>
            <w:pict>
              <v:shapetype id="_x0000_t201" coordsize="21600,21600" o:spt="201" path="m,l,21600r21600,l21600,xe">
                <v:stroke joinstyle="miter"/>
                <v:path shadowok="f" o:extrusionok="f" strokeok="f" fillok="f" o:connecttype="rect"/>
                <o:lock v:ext="edit" shapetype="t"/>
              </v:shapetype>
              <v:shape id="_x0000_s1035" type="#_x0000_t201" style="position:absolute;left:0;text-align:left;margin-left:0;margin-top:0;width:.75pt;height:.75pt;z-index:251657728;visibility:hidden;mso-position-horizontal-relative:text;mso-position-vertical-relative:text" stroked="f">
                <v:imagedata r:id="rId22" o:title=""/>
              </v:shape>
              <w:control r:id="rId23" w:name="Control 11" w:shapeid="_x0000_s1035"/>
            </w:pict>
          </w:r>
          <w:r>
            <w:rPr>
              <w:color w:val="000000"/>
            </w:rPr>
            <w:t>LIETUVOS RESPUBLIKOS ŽEMĖS ŪKIO MINISTRO</w:t>
          </w:r>
        </w:p>
        <w:p>
          <w:pPr>
            <w:widowControl w:val="0"/>
            <w:suppressAutoHyphens/>
            <w:jc w:val="center"/>
            <w:rPr>
              <w:color w:val="000000"/>
            </w:rPr>
          </w:pPr>
          <w:r>
            <w:rPr>
              <w:color w:val="000000"/>
            </w:rPr>
            <w:t>Į S A K Y M A S</w:t>
          </w:r>
        </w:p>
        <w:p>
          <w:pPr>
            <w:widowControl w:val="0"/>
            <w:suppressAutoHyphens/>
            <w:jc w:val="center"/>
            <w:rPr>
              <w:color w:val="000000"/>
            </w:rPr>
          </w:pPr>
        </w:p>
        <w:sdt>
          <w:sdtPr>
            <w:alias w:val="Pavadinimas"/>
            <w:tag w:val="title_c4ac5038af7d47bfad393ac010fdb06b"/>
            <w:lock w:val="sdtLocked"/>
            <w:richText/>
          </w:sdtPr>
          <w:sdtContent>
            <w:p>
              <w:pPr>
                <w:widowControl w:val="0"/>
                <w:suppressAutoHyphens/>
                <w:jc w:val="center"/>
                <w:rPr>
                  <w:b/>
                  <w:bCs/>
                  <w:caps/>
                  <w:color w:val="000000"/>
                </w:rPr>
              </w:pPr>
              <w:r>
                <w:rPr>
                  <w:b/>
                  <w:bCs/>
                  <w:caps/>
                  <w:color w:val="000000"/>
                </w:rPr>
                <w:t>DĖL ŽEMĖS ŪKIO VALDOS AR ŪKIO BENDROJO STANDARTINIO GAMYBINIO PELNO IR EKONOMINIO DYDŽIO, IŠREIŠKIAMO EKONOMINIO DYDŽIO VIENETAIS, APSKAIČIAVIMO TVARKOS APRAŠO PATVIRTINIMO</w:t>
              </w:r>
            </w:p>
          </w:sdtContent>
        </w:sdt>
        <w:p>
          <w:pPr>
            <w:widowControl w:val="0"/>
            <w:suppressAutoHyphens/>
            <w:jc w:val="center"/>
            <w:rPr>
              <w:color w:val="000000"/>
            </w:rPr>
          </w:pPr>
        </w:p>
        <w:p>
          <w:pPr>
            <w:widowControl w:val="0"/>
            <w:suppressAutoHyphens/>
            <w:jc w:val="center"/>
            <w:rPr>
              <w:color w:val="000000"/>
            </w:rPr>
          </w:pPr>
          <w:r>
            <w:rPr>
              <w:color w:val="000000"/>
            </w:rPr>
            <w:t>2010 m. gruodžio 23 d. Nr. 3D-1106</w:t>
          </w:r>
        </w:p>
        <w:p>
          <w:pPr>
            <w:widowControl w:val="0"/>
            <w:suppressAutoHyphens/>
            <w:jc w:val="center"/>
            <w:rPr>
              <w:color w:val="000000"/>
            </w:rPr>
          </w:pPr>
          <w:r>
            <w:rPr>
              <w:color w:val="000000"/>
            </w:rPr>
            <w:t>Vilnius</w:t>
          </w:r>
        </w:p>
        <w:p>
          <w:pPr>
            <w:widowControl w:val="0"/>
            <w:suppressAutoHyphens/>
            <w:ind w:firstLine="567"/>
            <w:jc w:val="both"/>
            <w:rPr>
              <w:color w:val="000000"/>
            </w:rPr>
          </w:pPr>
        </w:p>
        <w:sdt>
          <w:sdtPr>
            <w:alias w:val="preambule"/>
            <w:tag w:val="part_d56aee41e3854544862392abff54fdd1"/>
            <w:lock w:val="sdtLocked"/>
            <w:richText/>
          </w:sdtPr>
          <w:sdtContent>
            <w:p>
              <w:pPr>
                <w:widowControl w:val="0"/>
                <w:suppressAutoHyphens/>
                <w:ind w:firstLine="567"/>
                <w:jc w:val="both"/>
                <w:rPr>
                  <w:color w:val="000000"/>
                </w:rPr>
              </w:pPr>
              <w:r>
                <w:rPr>
                  <w:color w:val="000000"/>
                </w:rPr>
                <w:t>Siekdamas tinkamai administruoti Lietuvos kaimo plėtros 2007–2013 m. programos priemones ir mokesčius, kuriais apmokestinami žemės ūkio veiklos subjektai:</w:t>
              </w:r>
              <w:r>
                <w:t xml:space="preserve"> </w:t>
              </w:r>
            </w:p>
            <w:p>
              <w:pPr>
                <w:pStyle w:val="PlainText"/>
                <w:rPr>
                  <w:rFonts w:ascii="Arial" w:eastAsia="MS Mincho" w:hAnsi="Arial"/>
                  <w:sz w:val="20"/>
                  <w:i/>
                  <w:iCs/>
                </w:rPr>
              </w:pPr>
              <w:r>
                <w:rPr>
                  <w:rFonts w:ascii="Arial" w:eastAsia="MS Mincho" w:hAnsi="Arial"/>
                  <w:sz w:val="20"/>
                  <w:i/>
                  <w:iCs/>
                </w:rPr>
                <w:t>Preambulės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4F69C8EA1B6A">
                <w:r w:rsidRPr="00532B9F">
                  <w:rPr>
                    <w:rFonts w:ascii="Arial" w:eastAsia="MS Mincho" w:hAnsi="Arial"/>
                    <w:sz w:val="20"/>
                    <w:i/>
                    <w:iCs/>
                    <w:color w:val="0000FF" w:themeColor="hyperlink"/>
                    <w:u w:val="single"/>
                  </w:rPr>
                  <w:t>3D-447</w:t>
                </w:r>
              </w:fldSimple>
              <w:r>
                <w:rPr>
                  <w:rFonts w:ascii="Arial" w:eastAsia="MS Mincho" w:hAnsi="Arial"/>
                  <w:sz w:val="20"/>
                  <w:i/>
                  <w:iCs/>
                </w:rPr>
                <w:t>,
2011-05-27,
Žin., 2011, Nr.
67-3177 (2011-06-02), i. k. 1112330ISAK003D-447            </w:t>
              </w:r>
            </w:p>
            <w:p/>
          </w:sdtContent>
        </w:sdt>
        <w:sdt>
          <w:sdtPr>
            <w:alias w:val="1 p."/>
            <w:tag w:val="part_c71bea14848c4a89a46f1c04efe7215f"/>
            <w:lock w:val="sdtLocked"/>
            <w:richText/>
          </w:sdtPr>
          <w:sdtContent>
            <w:p>
              <w:pPr>
                <w:widowControl w:val="0"/>
                <w:suppressAutoHyphens/>
                <w:ind w:firstLine="567"/>
                <w:jc w:val="both"/>
                <w:rPr>
                  <w:color w:val="000000"/>
                </w:rPr>
              </w:pPr>
              <w:sdt>
                <w:sdtPr>
                  <w:alias w:val="Numeris"/>
                  <w:tag w:val="nr_c71bea14848c4a89a46f1c04efe7215f"/>
                  <w:lock w:val="sdtLocked"/>
                  <w:richText/>
                </w:sdtPr>
                <w:sdtContent>
                  <w:r>
                    <w:rPr>
                      <w:color w:val="000000"/>
                    </w:rPr>
                    <w:t>1</w:t>
                  </w:r>
                </w:sdtContent>
              </w:sdt>
              <w:r>
                <w:rPr>
                  <w:color w:val="000000"/>
                </w:rPr>
                <w:t>. T v i r t i n u Žemės ūkio valdos ar ūkio bendrojo standartinio gamybinio pelno ir ekonominio dydžio, išreiškiamo ekonominio dydžio vienetais, apskaičiavimo tvarkos aprašą (toliau – Tvarkos aprašas) (pridedama).</w:t>
              </w:r>
            </w:p>
          </w:sdtContent>
        </w:sdt>
        <w:sdt>
          <w:sdtPr>
            <w:alias w:val="2 p."/>
            <w:tag w:val="part_e6ee6777367d404a994ad311041a39af"/>
            <w:lock w:val="sdtLocked"/>
            <w:richText/>
          </w:sdtPr>
          <w:sdtContent>
            <w:p>
              <w:pPr>
                <w:overflowPunct w:val="0"/>
                <w:ind w:firstLine="567"/>
                <w:jc w:val="both"/>
                <w:textAlignment w:val="baseline"/>
                <w:rPr>
                  <w:color w:val="000000"/>
                </w:rPr>
              </w:pPr>
              <w:sdt>
                <w:sdtPr>
                  <w:alias w:val="Numeris"/>
                  <w:tag w:val="nr_e6ee6777367d404a994ad311041a39af"/>
                  <w:lock w:val="sdtLocked"/>
                  <w:richText/>
                </w:sdtPr>
                <w:sdtContent>
                  <w:r>
                    <w:rPr>
                      <w:color w:val="000000"/>
                    </w:rPr>
                    <w:t>2</w:t>
                  </w:r>
                </w:sdtContent>
              </w:sdt>
              <w:r>
                <w:rPr>
                  <w:color w:val="000000"/>
                </w:rPr>
                <w:t xml:space="preserve">. </w:t>
              </w:r>
              <w:r>
                <w:rPr>
                  <w:color w:val="000000"/>
                  <w:szCs w:val="24"/>
                  <w:lang w:eastAsia="lt-LT"/>
                </w:rPr>
                <w:t>Nustatau, kad žemės ūkio valdos ar ūkio bendrasis standartinis gamybinis pelnas ir ekonominis dydis už praėjusių metų laikotarpį, prasidedantį sausio 1 d. ir pasibaigiantį gruodžio 31 d., apskaičiuojamas ir skelbiamas einamųjų metų sausio 30 d.</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7238e60c81e11e69dec860c1f4a5372">
                <w:r w:rsidRPr="00532B9F">
                  <w:rPr>
                    <w:rFonts w:ascii="Arial" w:eastAsia="MS Mincho" w:hAnsi="Arial"/>
                    <w:sz w:val="20"/>
                    <w:i/>
                    <w:iCs/>
                    <w:color w:val="0000FF" w:themeColor="hyperlink"/>
                    <w:u w:val="single"/>
                  </w:rPr>
                  <w:t>3D-758</w:t>
                </w:r>
              </w:fldSimple>
              <w:r>
                <w:rPr>
                  <w:rFonts w:ascii="Arial" w:eastAsia="MS Mincho" w:hAnsi="Arial"/>
                  <w:sz w:val="20"/>
                  <w:i/>
                  <w:iCs/>
                </w:rPr>
                <w:t>,
2016-12-22,
paskelbta TAR 2016-12-23, i. k. 2016-29349            </w:t>
              </w:r>
            </w:p>
            <w:p/>
          </w:sdtContent>
        </w:sdt>
        <w:sdt>
          <w:sdtPr>
            <w:alias w:val="3 p."/>
            <w:tag w:val="part_311a18ea4dbc4681b7ea3fd394a969f1"/>
            <w:lock w:val="sdtLocked"/>
            <w:richText/>
          </w:sdtPr>
          <w:sdtContent>
            <w:p>
              <w:pPr>
                <w:widowControl w:val="0"/>
                <w:suppressAutoHyphens/>
                <w:ind w:firstLine="567"/>
                <w:jc w:val="both"/>
                <w:rPr>
                  <w:color w:val="000000"/>
                </w:rPr>
              </w:pPr>
              <w:sdt>
                <w:sdtPr>
                  <w:alias w:val="Numeris"/>
                  <w:tag w:val="nr_311a18ea4dbc4681b7ea3fd394a969f1"/>
                  <w:lock w:val="sdtLocked"/>
                  <w:richText/>
                </w:sdtPr>
                <w:sdtContent>
                  <w:r>
                    <w:rPr>
                      <w:color w:val="000000"/>
                    </w:rPr>
                    <w:t>3</w:t>
                  </w:r>
                </w:sdtContent>
              </w:sdt>
              <w:r>
                <w:rPr>
                  <w:color w:val="000000"/>
                </w:rPr>
                <w:t>. P r i p a ž į s t u netekusiais galios:</w:t>
              </w:r>
            </w:p>
            <w:sdt>
              <w:sdtPr>
                <w:alias w:val="3.1 p."/>
                <w:tag w:val="part_ff54eb2eace946288b2cc8fb07524e0a"/>
                <w:lock w:val="sdtLocked"/>
                <w:richText/>
              </w:sdtPr>
              <w:sdtContent>
                <w:p>
                  <w:pPr>
                    <w:widowControl w:val="0"/>
                    <w:suppressAutoHyphens/>
                    <w:ind w:firstLine="567"/>
                    <w:jc w:val="both"/>
                    <w:rPr>
                      <w:color w:val="000000"/>
                    </w:rPr>
                  </w:pPr>
                  <w:sdt>
                    <w:sdtPr>
                      <w:alias w:val="Numeris"/>
                      <w:tag w:val="nr_ff54eb2eace946288b2cc8fb07524e0a"/>
                      <w:lock w:val="sdtLocked"/>
                      <w:richText/>
                    </w:sdtPr>
                    <w:sdtContent>
                      <w:r>
                        <w:rPr>
                          <w:color w:val="000000"/>
                        </w:rPr>
                        <w:t>3.1</w:t>
                      </w:r>
                    </w:sdtContent>
                  </w:sdt>
                  <w:r>
                    <w:rPr>
                      <w:color w:val="000000"/>
                    </w:rPr>
                    <w:t xml:space="preserve">. Lietuvos Respublikos žemės ūkio ministro 2007 m. lapkričio 28 d. įsakymą Nr. 3D-521 „Dėl Žemės ūkio valdos ekonominio dydžio, išreikšto europinio dydžio vienetais, skaičiavimo metodikos patvirtinimo“ (Žin., 2007, Nr. </w:t>
                  </w:r>
                  <w:hyperlink r:id="rId24" w:tgtFrame="_blank" w:history="1">
                    <w:r>
                      <w:rPr>
                        <w:color w:val="0000FF" w:themeColor="hyperlink"/>
                        <w:u w:val="single"/>
                      </w:rPr>
                      <w:t>126-5141</w:t>
                    </w:r>
                  </w:hyperlink>
                  <w:r>
                    <w:rPr>
                      <w:color w:val="000000"/>
                    </w:rPr>
                    <w:t>);</w:t>
                  </w:r>
                </w:p>
              </w:sdtContent>
            </w:sdt>
            <w:sdt>
              <w:sdtPr>
                <w:alias w:val="3.2 p."/>
                <w:tag w:val="part_8217606b00534e399e3e05597773dc44"/>
                <w:lock w:val="sdtLocked"/>
                <w:richText/>
              </w:sdtPr>
              <w:sdtContent>
                <w:p>
                  <w:pPr>
                    <w:widowControl w:val="0"/>
                    <w:suppressAutoHyphens/>
                    <w:ind w:firstLine="567"/>
                    <w:jc w:val="both"/>
                    <w:rPr>
                      <w:color w:val="000000"/>
                    </w:rPr>
                  </w:pPr>
                  <w:sdt>
                    <w:sdtPr>
                      <w:alias w:val="Numeris"/>
                      <w:tag w:val="nr_8217606b00534e399e3e05597773dc44"/>
                      <w:lock w:val="sdtLocked"/>
                      <w:richText/>
                    </w:sdtPr>
                    <w:sdtContent>
                      <w:r>
                        <w:rPr>
                          <w:color w:val="000000"/>
                        </w:rPr>
                        <w:t>3.2</w:t>
                      </w:r>
                    </w:sdtContent>
                  </w:sdt>
                  <w:r>
                    <w:rPr>
                      <w:color w:val="000000"/>
                    </w:rPr>
                    <w:t xml:space="preserve">. Lietuvos Respublikos žemės ūkio ministro 2008 m. spalio 31 d. įsakymą Nr. 3D-584 „Dėl žemės ūkio ministro 2007 m. lapkričio 28 d. įsakymo Nr. 3D-521 „Dėl Žemės ūkio valdos ekonominio dydžio, išreikšto europinio dydžio vienetais, skaičiavimo metodikos patvirtinimo“ pakeitimo“ (Žin., 2008, Nr. </w:t>
                  </w:r>
                  <w:hyperlink r:id="rId25" w:tgtFrame="_blank" w:history="1">
                    <w:r>
                      <w:rPr>
                        <w:color w:val="0000FF" w:themeColor="hyperlink"/>
                        <w:u w:val="single"/>
                      </w:rPr>
                      <w:t>127-4861</w:t>
                    </w:r>
                  </w:hyperlink>
                  <w:r>
                    <w:rPr>
                      <w:color w:val="000000"/>
                    </w:rPr>
                    <w:t>);</w:t>
                  </w:r>
                </w:p>
              </w:sdtContent>
            </w:sdt>
            <w:sdt>
              <w:sdtPr>
                <w:alias w:val="3.3 p."/>
                <w:tag w:val="part_4942f75deac44f1a8a71ddaf9b763dbf"/>
                <w:lock w:val="sdtLocked"/>
                <w:richText/>
              </w:sdtPr>
              <w:sdtContent>
                <w:p>
                  <w:pPr>
                    <w:widowControl w:val="0"/>
                    <w:suppressAutoHyphens/>
                    <w:ind w:firstLine="567"/>
                    <w:jc w:val="both"/>
                    <w:rPr>
                      <w:color w:val="000000"/>
                    </w:rPr>
                  </w:pPr>
                  <w:sdt>
                    <w:sdtPr>
                      <w:alias w:val="Numeris"/>
                      <w:tag w:val="nr_4942f75deac44f1a8a71ddaf9b763dbf"/>
                      <w:lock w:val="sdtLocked"/>
                      <w:richText/>
                    </w:sdtPr>
                    <w:sdtContent>
                      <w:r>
                        <w:rPr>
                          <w:color w:val="000000"/>
                        </w:rPr>
                        <w:t>3.3</w:t>
                      </w:r>
                    </w:sdtContent>
                  </w:sdt>
                  <w:r>
                    <w:rPr>
                      <w:color w:val="000000"/>
                    </w:rPr>
                    <w:t xml:space="preserve">. Lietuvos Respublikos žemės ūkio ministro 2009 m. sausio 27 d. įsakymą Nr. 3D-39 „Dėl žemės ūkio ministro 2007 m. lapkričio 28 d. įsakymo Nr. 3D-521 „Dėl Žemės ūkio valdos ekonominio dydžio, išreikšto europinio dydžio vienetais, skaičiavimo metodikos patvirtinimo“ pakeitimo“ (Žin., 2009, Nr. </w:t>
                  </w:r>
                  <w:hyperlink r:id="rId26" w:tgtFrame="_blank" w:history="1">
                    <w:r>
                      <w:rPr>
                        <w:color w:val="0000FF" w:themeColor="hyperlink"/>
                        <w:u w:val="single"/>
                      </w:rPr>
                      <w:t>11-419</w:t>
                    </w:r>
                  </w:hyperlink>
                  <w:r>
                    <w:rPr>
                      <w:color w:val="000000"/>
                    </w:rPr>
                    <w:t>);</w:t>
                  </w:r>
                </w:p>
              </w:sdtContent>
            </w:sdt>
            <w:sdt>
              <w:sdtPr>
                <w:alias w:val="3.4 p."/>
                <w:tag w:val="part_7fe60a9e1f0e422783866d45a5f0ffeb"/>
                <w:lock w:val="sdtLocked"/>
                <w:richText/>
              </w:sdtPr>
              <w:sdtContent>
                <w:p>
                  <w:pPr>
                    <w:widowControl w:val="0"/>
                    <w:suppressAutoHyphens/>
                    <w:ind w:firstLine="567"/>
                    <w:jc w:val="both"/>
                    <w:rPr>
                      <w:color w:val="000000"/>
                    </w:rPr>
                  </w:pPr>
                  <w:sdt>
                    <w:sdtPr>
                      <w:alias w:val="Numeris"/>
                      <w:tag w:val="nr_7fe60a9e1f0e422783866d45a5f0ffeb"/>
                      <w:lock w:val="sdtLocked"/>
                      <w:richText/>
                    </w:sdtPr>
                    <w:sdtContent>
                      <w:r>
                        <w:rPr>
                          <w:color w:val="000000"/>
                        </w:rPr>
                        <w:t>3.4</w:t>
                      </w:r>
                    </w:sdtContent>
                  </w:sdt>
                  <w:r>
                    <w:rPr>
                      <w:color w:val="000000"/>
                    </w:rPr>
                    <w:t xml:space="preserve">. Lietuvos Respublikos žemės ūkio ministro 2009 m. spalio 14 d. įsakymą Nr. 3D-748 „Dėl žemės ūkio ministro 2007 m. lapkričio 28 d. įsakymo Nr. 3D-521 „Dėl Žemės ūkio valdų, ūkininkų ūkių ir ūkinius gyvūnus įregistravusių subjektų ūkių, kurie neįregistruoti žemės ūkio ir kaimo verslo ar ūkininkų ūkių registruose, ekonominio dydžio, išreikšto europinio dydžio vienetais, skaičiavimo metodikos patvirtinimo“ pakeitimo“ (Žin., 2009, Nr. </w:t>
                  </w:r>
                  <w:hyperlink r:id="rId27" w:tgtFrame="_blank" w:history="1">
                    <w:r>
                      <w:rPr>
                        <w:color w:val="0000FF" w:themeColor="hyperlink"/>
                        <w:u w:val="single"/>
                      </w:rPr>
                      <w:t>125-5401</w:t>
                    </w:r>
                  </w:hyperlink>
                  <w:r>
                    <w:rPr>
                      <w:color w:val="000000"/>
                    </w:rPr>
                    <w:t>);</w:t>
                  </w:r>
                </w:p>
              </w:sdtContent>
            </w:sdt>
            <w:sdt>
              <w:sdtPr>
                <w:alias w:val="3.5 p."/>
                <w:tag w:val="part_4755b902b784402685930208b9ce7e89"/>
                <w:lock w:val="sdtLocked"/>
                <w:richText/>
              </w:sdtPr>
              <w:sdtContent>
                <w:p>
                  <w:pPr>
                    <w:widowControl w:val="0"/>
                    <w:suppressAutoHyphens/>
                    <w:ind w:firstLine="567"/>
                    <w:jc w:val="both"/>
                    <w:rPr>
                      <w:color w:val="000000"/>
                    </w:rPr>
                  </w:pPr>
                  <w:sdt>
                    <w:sdtPr>
                      <w:alias w:val="Numeris"/>
                      <w:tag w:val="nr_4755b902b784402685930208b9ce7e89"/>
                      <w:lock w:val="sdtLocked"/>
                      <w:richText/>
                    </w:sdtPr>
                    <w:sdtContent>
                      <w:r>
                        <w:rPr>
                          <w:color w:val="000000"/>
                        </w:rPr>
                        <w:t>3.5</w:t>
                      </w:r>
                    </w:sdtContent>
                  </w:sdt>
                  <w:r>
                    <w:rPr>
                      <w:color w:val="000000"/>
                    </w:rPr>
                    <w:t xml:space="preserve">. Lietuvos Respublikos žemės ūkio ministro 2010 m. kovo 8 d. įsakymą Nr. 3D-205 „Dėl žemės ūkio ministro 2007 m. lapkričio 28 d. įsakymo Nr. 3D-521 „Dėl Žemės ūkio valdų, ūkininkų ūkių ir ūkinius gyvūnus įregistravusių subjektų ūkių, kurie neįregistruoti žemės ūkio ir kaimo verslo ar ūkininkų ūkių registruose, ekonominio dydžio, išreiškiamo europinio dydžio vienetais, skaičiavimo metodikos patvirtinimo“ pakeitimo“ (Žin., 2010, Nr. </w:t>
                  </w:r>
                  <w:hyperlink r:id="rId28" w:tgtFrame="_blank" w:history="1">
                    <w:r>
                      <w:rPr>
                        <w:color w:val="0000FF" w:themeColor="hyperlink"/>
                        <w:u w:val="single"/>
                      </w:rPr>
                      <w:t>30-1397</w:t>
                    </w:r>
                  </w:hyperlink>
                  <w:r>
                    <w:rPr>
                      <w:color w:val="000000"/>
                    </w:rPr>
                    <w:t>);</w:t>
                  </w:r>
                </w:p>
              </w:sdtContent>
            </w:sdt>
            <w:sdt>
              <w:sdtPr>
                <w:alias w:val="3.6 p."/>
                <w:tag w:val="part_d30e40b90a3a4feaa7270b60748fc232"/>
                <w:lock w:val="sdtLocked"/>
                <w:richText/>
              </w:sdtPr>
              <w:sdtContent>
                <w:p>
                  <w:pPr>
                    <w:widowControl w:val="0"/>
                    <w:suppressAutoHyphens/>
                    <w:ind w:firstLine="567"/>
                    <w:jc w:val="both"/>
                    <w:rPr>
                      <w:color w:val="000000"/>
                    </w:rPr>
                  </w:pPr>
                  <w:sdt>
                    <w:sdtPr>
                      <w:alias w:val="Numeris"/>
                      <w:tag w:val="nr_d30e40b90a3a4feaa7270b60748fc232"/>
                      <w:lock w:val="sdtLocked"/>
                      <w:richText/>
                    </w:sdtPr>
                    <w:sdtContent>
                      <w:r>
                        <w:rPr>
                          <w:color w:val="000000"/>
                        </w:rPr>
                        <w:t>3.6</w:t>
                      </w:r>
                    </w:sdtContent>
                  </w:sdt>
                  <w:r>
                    <w:rPr>
                      <w:color w:val="000000"/>
                    </w:rPr>
                    <w:t xml:space="preserve">. Lietuvos Respublikos žemės ūkio ministro 2010 m. birželio 22 d. įsakymą Nr. 3D-586 „Dėl žemės ūkio ministro 2007 m. lapkričio 28 d. įsakymo Nr. 3D-521 „Dėl Žemės ūkio valdų, ūkininkų ūkių ir ūkinius gyvūnus įregistravusių subjektų ūkių, kurie neįregistruoti žemės ūkio ir kaimo verslo ar ūkininkų ūkių registruose, ekonominio dydžio, išreiškiamo europinio dydžio vienetais, skaičiavimo metodikos patvirtinimo“ pakeitimo“ (Žin., 2010, Nr. </w:t>
                  </w:r>
                  <w:hyperlink r:id="rId29" w:tgtFrame="_blank" w:history="1">
                    <w:r>
                      <w:rPr>
                        <w:color w:val="0000FF" w:themeColor="hyperlink"/>
                        <w:u w:val="single"/>
                      </w:rPr>
                      <w:t>75-3828</w:t>
                    </w:r>
                  </w:hyperlink>
                  <w:r>
                    <w:rPr>
                      <w:color w:val="000000"/>
                    </w:rPr>
                    <w:t>);</w:t>
                  </w:r>
                </w:p>
              </w:sdtContent>
            </w:sdt>
            <w:sdt>
              <w:sdtPr>
                <w:alias w:val="3.7 p."/>
                <w:tag w:val="part_a1d9f5e0e77f422fac524e0be3355700"/>
                <w:lock w:val="sdtLocked"/>
                <w:richText/>
              </w:sdtPr>
              <w:sdtContent>
                <w:p>
                  <w:pPr>
                    <w:widowControl w:val="0"/>
                    <w:suppressAutoHyphens/>
                    <w:ind w:firstLine="567"/>
                    <w:jc w:val="both"/>
                    <w:rPr>
                      <w:color w:val="000000"/>
                    </w:rPr>
                  </w:pPr>
                  <w:sdt>
                    <w:sdtPr>
                      <w:alias w:val="Numeris"/>
                      <w:tag w:val="nr_a1d9f5e0e77f422fac524e0be3355700"/>
                      <w:lock w:val="sdtLocked"/>
                      <w:richText/>
                    </w:sdtPr>
                    <w:sdtContent>
                      <w:r>
                        <w:rPr>
                          <w:color w:val="000000"/>
                        </w:rPr>
                        <w:t>3.7</w:t>
                      </w:r>
                    </w:sdtContent>
                  </w:sdt>
                  <w:r>
                    <w:rPr>
                      <w:color w:val="000000"/>
                    </w:rPr>
                    <w:t xml:space="preserve">. Lietuvos Respublikos žemės ūkio ministro 2010 m. spalio 13 d. įsakymą Nr. 3D-909 „Dėl žemės ūkio ministro 2007 m. lapkričio 28 d. įsakymo Nr. 3D-521 „Dėl Žemės ūkio valdų, ūkininkų ūkių ir ūkinius gyvūnus įregistravusių subjektų ūkių, kurie neįregistruoti žemės ūkio ir kaimo verslo ar ūkininkų ūkių registruose, ekonominio dydžio, išreiškiamo europinio dydžio vienetais, skaičiavimo metodikos patvirtinimo“ pakeitimo“ (Žin., 2010, Nr. </w:t>
                  </w:r>
                  <w:hyperlink r:id="rId30" w:tgtFrame="_blank" w:history="1">
                    <w:r>
                      <w:rPr>
                        <w:color w:val="0000FF" w:themeColor="hyperlink"/>
                        <w:u w:val="single"/>
                      </w:rPr>
                      <w:t>123-6306</w:t>
                    </w:r>
                  </w:hyperlink>
                  <w:r>
                    <w:rPr>
                      <w:color w:val="000000"/>
                    </w:rPr>
                    <w:t>).</w:t>
                  </w:r>
                </w:p>
              </w:sdtContent>
            </w:sdt>
          </w:sdtContent>
        </w:sdt>
        <w:sdt>
          <w:sdtPr>
            <w:alias w:val="signatura"/>
            <w:tag w:val="part_12a23dc41f8a4075b654a15d2a45d968"/>
            <w:lock w:val="sdtLocked"/>
            <w:richText/>
          </w:sdtPr>
          <w:sdtContent>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right" w:pos="9071"/>
                </w:tabs>
                <w:suppressAutoHyphens/>
                <w:rPr>
                  <w:color w:val="000000"/>
                </w:rPr>
              </w:pPr>
              <w:r>
                <w:rPr>
                  <w:caps/>
                  <w:color w:val="000000"/>
                </w:rPr>
                <w:t>Žemės ūkio ministras</w:t>
                <w:tab/>
                <w:t>Kazys Starkevičius</w:t>
              </w:r>
            </w:p>
          </w:sdtContent>
        </w:sdt>
      </w:sdtContent>
    </w:sdt>
    <w:sdt>
      <w:sdtPr>
        <w:alias w:val="patvirtinta"/>
        <w:tag w:val="part_f10547913e79411b8285c190146340e6"/>
        <w:lock w:val="sdtLocked"/>
        <w:richText/>
      </w:sdtPr>
      <w:sdtContent>
        <w:p>
          <w:pPr>
            <w:ind w:left="5102"/>
            <w:sectPr>
              <w:headerReference w:type="even" r:id="rId31"/>
              <w:headerReference w:type="default" r:id="rId32"/>
              <w:footerReference w:type="even" r:id="rId33"/>
              <w:footerReference w:type="default" r:id="rId34"/>
              <w:headerReference w:type="first" r:id="rId35"/>
              <w:footerReference w:type="first" r:id="rId36"/>
              <w:pgSz w:w="11907" w:h="16840"/>
              <w:pgMar w:top="1247" w:right="567" w:bottom="1134" w:left="1701" w:header="567" w:footer="567" w:gutter="0"/>
              <w:pgNumType w:start="1"/>
              <w:cols w:space="1296"/>
              <w:titlePg/>
              <w:docGrid w:linePitch="326"/>
            </w:sectPr>
          </w:pPr>
        </w:p>
        <w:p>
          <w:pPr>
            <w:ind w:left="5102"/>
          </w:pPr>
          <w:r>
            <w:t>PATVIRTINTA</w:t>
          </w:r>
        </w:p>
        <w:p>
          <w:pPr>
            <w:ind w:firstLine="5102"/>
          </w:pPr>
          <w:r>
            <w:t xml:space="preserve">Lietuvos Respublikos žemės ūkio </w:t>
          </w:r>
        </w:p>
        <w:p>
          <w:pPr>
            <w:ind w:firstLine="5102"/>
          </w:pPr>
          <w:r>
            <w:t xml:space="preserve">ministro 2010 m. gruodžio 23 d. </w:t>
          </w:r>
        </w:p>
        <w:p>
          <w:pPr>
            <w:ind w:firstLine="5102"/>
          </w:pPr>
          <w:r>
            <w:t>įsakymu Nr. 3D-1106</w:t>
          </w:r>
        </w:p>
        <w:p>
          <w:pPr>
            <w:jc w:val="center"/>
            <w:rPr>
              <w:rFonts w:ascii="Times New Roman Bold" w:hAnsi="Times New Roman Bold"/>
              <w:b/>
              <w:bCs/>
              <w:caps/>
            </w:rPr>
          </w:pPr>
        </w:p>
        <w:p>
          <w:pPr>
            <w:jc w:val="center"/>
            <w:rPr>
              <w:b/>
              <w:bCs/>
              <w:caps/>
            </w:rPr>
          </w:pPr>
          <w:sdt>
            <w:sdtPr>
              <w:alias w:val="Pavadinimas"/>
              <w:tag w:val="title_f10547913e79411b8285c190146340e6"/>
              <w:lock w:val="sdtLocked"/>
              <w:richText/>
            </w:sdtPr>
            <w:sdtContent>
              <w:r>
                <w:rPr>
                  <w:rFonts w:ascii="Times New Roman Bold" w:hAnsi="Times New Roman Bold"/>
                  <w:b/>
                  <w:bCs/>
                  <w:caps/>
                </w:rPr>
                <w:t>Žemės ūkio valdos ar ūkio Bendrojo standartinio gamybinio pelno ir ekonominio dydžio, išreiškiamo ekonominio dydžio vienetais, ap</w:t>
              </w:r>
              <w:r>
                <w:rPr>
                  <w:b/>
                  <w:bCs/>
                  <w:caps/>
                </w:rPr>
                <w:t>SKAIČIAVIMO tvarkos aprašas</w:t>
              </w:r>
            </w:sdtContent>
          </w:sdt>
        </w:p>
        <w:p>
          <w:pPr>
            <w:jc w:val="center"/>
            <w:rPr>
              <w:b/>
              <w:bCs/>
              <w:caps/>
            </w:rPr>
          </w:pPr>
        </w:p>
        <w:sdt>
          <w:sdtPr>
            <w:alias w:val="skyrius"/>
            <w:tag w:val="part_827ddf2fa26f42b3b9e57d566645a06f"/>
            <w:lock w:val="sdtLocked"/>
            <w:richText/>
          </w:sdtPr>
          <w:sdtContent>
            <w:p>
              <w:pPr>
                <w:jc w:val="center"/>
                <w:rPr>
                  <w:b/>
                  <w:bCs/>
                  <w:caps/>
                </w:rPr>
              </w:pPr>
              <w:sdt>
                <w:sdtPr>
                  <w:alias w:val="Numeris"/>
                  <w:tag w:val="nr_827ddf2fa26f42b3b9e57d566645a06f"/>
                  <w:lock w:val="sdtLocked"/>
                  <w:richText/>
                </w:sdtPr>
                <w:sdtContent>
                  <w:r>
                    <w:rPr>
                      <w:b/>
                      <w:bCs/>
                      <w:caps/>
                    </w:rPr>
                    <w:t>I</w:t>
                  </w:r>
                </w:sdtContent>
              </w:sdt>
              <w:r>
                <w:rPr>
                  <w:b/>
                  <w:bCs/>
                  <w:caps/>
                </w:rPr>
                <w:t xml:space="preserve">. </w:t>
              </w:r>
              <w:sdt>
                <w:sdtPr>
                  <w:alias w:val="Pavadinimas"/>
                  <w:tag w:val="title_827ddf2fa26f42b3b9e57d566645a06f"/>
                  <w:lock w:val="sdtLocked"/>
                  <w:richText/>
                </w:sdtPr>
                <w:sdtContent>
                  <w:r>
                    <w:rPr>
                      <w:b/>
                      <w:bCs/>
                      <w:caps/>
                    </w:rPr>
                    <w:t>BENDROSIOS NUOSTATOS</w:t>
                  </w:r>
                </w:sdtContent>
              </w:sdt>
            </w:p>
            <w:p>
              <w:pPr>
                <w:ind w:firstLine="567"/>
                <w:jc w:val="both"/>
                <w:rPr>
                  <w:b/>
                  <w:bCs/>
                  <w:caps/>
                </w:rPr>
              </w:pPr>
            </w:p>
            <w:sdt>
              <w:sdtPr>
                <w:alias w:val="1 p."/>
                <w:tag w:val="part_7e17331e500e46ebaf37d35e61f40c4f"/>
                <w:lock w:val="sdtLocked"/>
                <w:richText/>
              </w:sdtPr>
              <w:sdtContent>
                <w:p>
                  <w:pPr>
                    <w:tabs>
                      <w:tab w:val="left" w:pos="1080"/>
                    </w:tabs>
                    <w:ind w:firstLine="567"/>
                    <w:jc w:val="both"/>
                  </w:pPr>
                  <w:sdt>
                    <w:sdtPr>
                      <w:alias w:val="Numeris"/>
                      <w:tag w:val="nr_7e17331e500e46ebaf37d35e61f40c4f"/>
                      <w:lock w:val="sdtLocked"/>
                      <w:richText/>
                    </w:sdtPr>
                    <w:sdtContent>
                      <w:r>
                        <w:t>1</w:t>
                      </w:r>
                    </w:sdtContent>
                  </w:sdt>
                  <w:r>
                    <w:t>. Žemės ūkio valdos ar ūkio bendrojo standartinio gamybinio pelno ir ekonominio dydžio, išreiškiamo ekonominio dydžio vienetais, apskaičiavimo tvarkos aprašas (toliau – Tvarkos aprašas) nustato žemės ūkio valdų, ūkininkų ūkių ir ūkinius gyvūnus įregistravusių subjektų ūkių, kurie neįregistruoti Žemės ūkio ir kaimo verslo ar Ūkininkų ūkių registruose (toliau – valda ar ūkis), bendrojo standartinio gamybinio pelno</w:t>
                  </w:r>
                  <w:r>
                    <w:rPr>
                      <w:b/>
                    </w:rPr>
                    <w:t xml:space="preserve"> </w:t>
                  </w:r>
                  <w:r>
                    <w:t>ir ekonominio dydžio,</w:t>
                  </w:r>
                  <w:r>
                    <w:rPr>
                      <w:b/>
                    </w:rPr>
                    <w:t xml:space="preserve"> </w:t>
                  </w:r>
                  <w:r>
                    <w:t>išreiškiamo ekonominio dydžio vienetais, apskaičiavimo tvarką.</w:t>
                  </w:r>
                </w:p>
              </w:sdtContent>
            </w:sdt>
            <w:sdt>
              <w:sdtPr>
                <w:alias w:val="2 p."/>
                <w:tag w:val="part_442a0984bf7e4a9aa9abf905ec3d868d"/>
                <w:lock w:val="sdtLocked"/>
                <w:richText/>
              </w:sdtPr>
              <w:sdtContent>
                <w:p>
                  <w:pPr>
                    <w:widowControl w:val="0"/>
                    <w:suppressAutoHyphens/>
                    <w:ind w:firstLine="567"/>
                    <w:jc w:val="both"/>
                    <w:rPr>
                      <w:color w:val="000000"/>
                    </w:rPr>
                  </w:pPr>
                  <w:sdt>
                    <w:sdtPr>
                      <w:alias w:val="Numeris"/>
                      <w:tag w:val="nr_442a0984bf7e4a9aa9abf905ec3d868d"/>
                      <w:lock w:val="sdtLocked"/>
                      <w:richText/>
                    </w:sdtPr>
                    <w:sdtContent>
                      <w:r>
                        <w:rPr>
                          <w:color w:val="000000"/>
                        </w:rPr>
                        <w:t>2</w:t>
                      </w:r>
                    </w:sdtContent>
                  </w:sdt>
                  <w:r>
                    <w:rPr>
                      <w:color w:val="000000"/>
                    </w:rPr>
                    <w:t>. Šiame Tvarkos apraše vartojamos sąvokos:</w:t>
                  </w:r>
                </w:p>
                <w:p>
                  <w:pPr>
                    <w:widowControl w:val="0"/>
                    <w:suppressAutoHyphens/>
                    <w:ind w:firstLine="567"/>
                    <w:jc w:val="both"/>
                    <w:rPr>
                      <w:color w:val="000000"/>
                    </w:rPr>
                  </w:pPr>
                  <w:r>
                    <w:rPr>
                      <w:b/>
                      <w:bCs/>
                      <w:color w:val="000000"/>
                    </w:rPr>
                    <w:t>Paslaugos žemės ūkiui</w:t>
                  </w:r>
                  <w:r>
                    <w:rPr>
                      <w:color w:val="000000"/>
                    </w:rPr>
                    <w:t xml:space="preserve"> – Vyriausybės ar jos įgaliotos institucijos patvirtintame sąraše išvardytos su žemės ūkiu susijusios paslaugos.</w:t>
                  </w:r>
                </w:p>
                <w:p>
                  <w:pPr>
                    <w:widowControl w:val="0"/>
                    <w:suppressAutoHyphens/>
                    <w:ind w:firstLine="567"/>
                    <w:jc w:val="both"/>
                    <w:rPr>
                      <w:color w:val="000000"/>
                    </w:rPr>
                  </w:pPr>
                  <w:r>
                    <w:rPr>
                      <w:b/>
                      <w:bCs/>
                      <w:color w:val="000000"/>
                    </w:rPr>
                    <w:t xml:space="preserve">Standartinis gamybinis pelnas </w:t>
                  </w:r>
                  <w:r>
                    <w:rPr>
                      <w:color w:val="000000"/>
                    </w:rPr>
                    <w:t>(toliau – SGP) – skirtumas tarp iš vieno pasėlių ar įveistų žuvininkystės tvenkinių hektaro, uždarųjų žuvų auginimo sistemų talpyklų kubinio metro ar vieno ūkinio gyvūno per metus gautos produkcijos vertės (pridėjus tiesiogines išmokas) ir tiesiogiai jos gamybai reikalingų išlaidų: sėklų, sodinukų, žuvų ikrų</w:t>
                  </w:r>
                  <w:r>
                    <w:rPr>
                      <w:i/>
                      <w:iCs/>
                      <w:color w:val="000000"/>
                    </w:rPr>
                    <w:t>,</w:t>
                  </w:r>
                  <w:r>
                    <w:rPr>
                      <w:color w:val="000000"/>
                    </w:rPr>
                    <w:t xml:space="preserve"> trąšų, pašarų, augalų apsaugos priemonių, vaistų, veterinarijos paslaugų, ūkinių gyvūnų sėklinimo, pasėlių ir ūkinių gyvūnų draudimo, dirvos analizės, žalio pieno testų, produkcijos pakavimo, saugojimo ir kt. išlaidų.</w:t>
                  </w:r>
                </w:p>
                <w:p>
                  <w:pPr>
                    <w:widowControl w:val="0"/>
                    <w:suppressAutoHyphens/>
                    <w:ind w:firstLine="567"/>
                    <w:jc w:val="both"/>
                  </w:pPr>
                  <w:r>
                    <w:rPr>
                      <w:b/>
                    </w:rPr>
                    <w:t>Žemės ūkio valdos ar ūkio ekonominis dydis</w:t>
                  </w:r>
                  <w:r>
                    <w:t xml:space="preserve"> (toliau – ekonominis dydis) – dydis, nustatomas bendrąjį standartinį gamybinį pelną padalijus iš ekonominio dydžio vieneto (toliau – EDV), kuris lygus 1200 Eur.</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7934BAA529C2">
                    <w:r w:rsidRPr="00532B9F">
                      <w:rPr>
                        <w:rFonts w:ascii="Arial" w:eastAsia="MS Mincho" w:hAnsi="Arial"/>
                        <w:sz w:val="20"/>
                        <w:i/>
                        <w:iCs/>
                        <w:color w:val="0000FF" w:themeColor="hyperlink"/>
                        <w:u w:val="single"/>
                      </w:rPr>
                      <w:t>3D-527</w:t>
                    </w:r>
                  </w:fldSimple>
                  <w:r>
                    <w:rPr>
                      <w:rFonts w:ascii="Arial" w:eastAsia="MS Mincho" w:hAnsi="Arial"/>
                      <w:sz w:val="20"/>
                      <w:i/>
                      <w:iCs/>
                    </w:rPr>
                    <w:t>,
2012-06-29,
Žin., 2012, Nr.
79-4111 (2012-07-05), i. k. 1122330ISAK003D-527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f5d2de0762b11e4805fa6cb12e2ef99">
                    <w:r w:rsidRPr="00532B9F">
                      <w:rPr>
                        <w:rFonts w:ascii="Arial" w:eastAsia="MS Mincho" w:hAnsi="Arial"/>
                        <w:sz w:val="20"/>
                        <w:i/>
                        <w:iCs/>
                        <w:color w:val="0000FF" w:themeColor="hyperlink"/>
                        <w:u w:val="single"/>
                      </w:rPr>
                      <w:t>3D-897</w:t>
                    </w:r>
                  </w:fldSimple>
                  <w:r>
                    <w:rPr>
                      <w:rFonts w:ascii="Arial" w:eastAsia="MS Mincho" w:hAnsi="Arial"/>
                      <w:sz w:val="20"/>
                      <w:i/>
                      <w:iCs/>
                    </w:rPr>
                    <w:t>,
2014-11-27,
paskelbta TAR 2014-11-28, i. k. 2014-18088            </w:t>
                  </w:r>
                </w:p>
                <w:p/>
              </w:sdtContent>
            </w:sdt>
          </w:sdtContent>
        </w:sdt>
        <w:sdt>
          <w:sdtPr>
            <w:alias w:val="skyrius"/>
            <w:tag w:val="part_92dcae793a40492a87573b8587845178"/>
            <w:lock w:val="sdtLocked"/>
            <w:richText/>
          </w:sdtPr>
          <w:sdtContent>
            <w:p>
              <w:pPr>
                <w:jc w:val="center"/>
                <w:rPr>
                  <w:b/>
                </w:rPr>
              </w:pPr>
              <w:sdt>
                <w:sdtPr>
                  <w:alias w:val="Numeris"/>
                  <w:tag w:val="nr_92dcae793a40492a87573b8587845178"/>
                  <w:lock w:val="sdtLocked"/>
                  <w:richText/>
                </w:sdtPr>
                <w:sdtContent>
                  <w:r>
                    <w:rPr>
                      <w:b/>
                    </w:rPr>
                    <w:t>II</w:t>
                  </w:r>
                </w:sdtContent>
              </w:sdt>
              <w:r>
                <w:rPr>
                  <w:b/>
                </w:rPr>
                <w:t xml:space="preserve">. </w:t>
              </w:r>
              <w:sdt>
                <w:sdtPr>
                  <w:alias w:val="Pavadinimas"/>
                  <w:tag w:val="title_92dcae793a40492a87573b8587845178"/>
                  <w:lock w:val="sdtLocked"/>
                  <w:richText/>
                </w:sdtPr>
                <w:sdtContent>
                  <w:r>
                    <w:rPr>
                      <w:b/>
                    </w:rPr>
                    <w:t>INFORMACIJOS ŠALTINIAI VALDOS AR ŪKIO BENDRAJAM SGP IR EKONOMINIAM DYDŽIUI APSKAIČIUOTI</w:t>
                  </w:r>
                </w:sdtContent>
              </w:sdt>
            </w:p>
            <w:p>
              <w:pPr>
                <w:ind w:firstLine="567"/>
                <w:jc w:val="both"/>
                <w:rPr>
                  <w:b/>
                </w:rPr>
              </w:pPr>
            </w:p>
            <w:sdt>
              <w:sdtPr>
                <w:alias w:val="3 p."/>
                <w:tag w:val="part_f6839c1ab796450896c1cbdaba013e31"/>
                <w:lock w:val="sdtLocked"/>
                <w:richText/>
              </w:sdtPr>
              <w:sdtContent>
                <w:p>
                  <w:pPr>
                    <w:overflowPunct w:val="0"/>
                    <w:ind w:firstLine="567"/>
                    <w:jc w:val="both"/>
                    <w:textAlignment w:val="baseline"/>
                    <w:rPr>
                      <w:szCs w:val="24"/>
                      <w:lang w:val="en-US"/>
                    </w:rPr>
                  </w:pPr>
                  <w:sdt>
                    <w:sdtPr>
                      <w:alias w:val="Numeris"/>
                      <w:tag w:val="nr_f6839c1ab796450896c1cbdaba013e31"/>
                      <w:lock w:val="sdtLocked"/>
                      <w:richText/>
                    </w:sdtPr>
                    <w:sdtContent>
                      <w:r>
                        <w:rPr>
                          <w:szCs w:val="24"/>
                        </w:rPr>
                        <w:t>3</w:t>
                      </w:r>
                    </w:sdtContent>
                  </w:sdt>
                  <w:r>
                    <w:rPr>
                      <w:szCs w:val="24"/>
                    </w:rPr>
                    <w:t xml:space="preserve">. Valdų ar ūkių duomenys apie deklaruotas žemės ūkio naudmenas, laikomus ūkinius gyvūnus, įveistus akvakultūros tvenkinių plotus, uždarųjų akvakultūros sistemų talpyklų tūrius ir auginamų grybų – </w:t>
                  </w:r>
                  <w:r>
                    <w:t>pievagrybių, valgomųjų dantenių (šitakių), gluosninių kreivabudžių ir stambiakočių kreivabudžių (eringių)</w:t>
                  </w:r>
                  <w:r>
                    <w:rPr>
                      <w:szCs w:val="24"/>
                    </w:rPr>
                    <w:t xml:space="preserve"> (toliau – grybai) – plotus gaunami iš:</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c81cb6768311efabdbb4a1fc8b0b63">
                    <w:r w:rsidRPr="00532B9F">
                      <w:rPr>
                        <w:rFonts w:ascii="Arial" w:eastAsia="MS Mincho" w:hAnsi="Arial"/>
                        <w:sz w:val="20"/>
                        <w:i/>
                        <w:iCs/>
                        <w:color w:val="0000FF" w:themeColor="hyperlink"/>
                        <w:u w:val="single"/>
                      </w:rPr>
                      <w:t>3D-669</w:t>
                    </w:r>
                  </w:fldSimple>
                  <w:r>
                    <w:rPr>
                      <w:rFonts w:ascii="Arial" w:eastAsia="MS Mincho" w:hAnsi="Arial"/>
                      <w:sz w:val="20"/>
                      <w:i/>
                      <w:iCs/>
                    </w:rPr>
                    <w:t>,
2024-09-19,
paskelbta TAR 2024-09-19, i. k. 2024-16415            </w:t>
                  </w:r>
                </w:p>
                <w:sdt>
                  <w:sdtPr>
                    <w:alias w:val="3.1 pp."/>
                    <w:tag w:val="part_9976f08b53114eaca2fff8d2ba829c3d"/>
                    <w:lock w:val="sdtLocked"/>
                    <w:richText/>
                  </w:sdtPr>
                  <w:sdtContent>
                    <w:p>
                      <w:pPr>
                        <w:overflowPunct w:val="0"/>
                        <w:ind w:firstLine="567"/>
                        <w:jc w:val="both"/>
                        <w:textAlignment w:val="baseline"/>
                        <w:rPr>
                          <w:szCs w:val="24"/>
                          <w:lang w:val="en-US"/>
                        </w:rPr>
                      </w:pPr>
                      <w:sdt>
                        <w:sdtPr>
                          <w:alias w:val="Numeris"/>
                          <w:tag w:val="nr_9976f08b53114eaca2fff8d2ba829c3d"/>
                          <w:lock w:val="sdtLocked"/>
                          <w:richText/>
                        </w:sdtPr>
                        <w:sdtContent>
                          <w:r>
                            <w:rPr>
                              <w:spacing w:val="2"/>
                              <w:szCs w:val="24"/>
                            </w:rPr>
                            <w:t>3.1</w:t>
                          </w:r>
                        </w:sdtContent>
                      </w:sdt>
                      <w:r>
                        <w:rPr>
                          <w:spacing w:val="2"/>
                          <w:szCs w:val="24"/>
                        </w:rPr>
                        <w:t xml:space="preserve">. </w:t>
                      </w:r>
                      <w:r>
                        <w:rPr>
                          <w:szCs w:val="24"/>
                        </w:rPr>
                        <w:t>VĮ Žemės ūkio duomenų centro (toliau – ŽŪDC) valdomų registrų ir informacinių sistemų</w:t>
                      </w:r>
                      <w:r>
                        <w:rPr>
                          <w:spacing w:val="2"/>
                          <w:szCs w:val="24"/>
                        </w:rPr>
                        <w:t>;</w:t>
                      </w:r>
                    </w:p>
                  </w:sdtContent>
                </w:sdt>
                <w:sdt>
                  <w:sdtPr>
                    <w:alias w:val="3.2 pp."/>
                    <w:tag w:val="part_0550fd93316744efa89fd510aee96a7f"/>
                    <w:lock w:val="sdtLocked"/>
                    <w:richText/>
                  </w:sdtPr>
                  <w:sdtContent>
                    <w:p>
                      <w:pPr>
                        <w:overflowPunct w:val="0"/>
                        <w:ind w:firstLine="567"/>
                        <w:jc w:val="both"/>
                        <w:textAlignment w:val="baseline"/>
                        <w:rPr>
                          <w:szCs w:val="24"/>
                          <w:lang w:val="en-US"/>
                        </w:rPr>
                      </w:pPr>
                      <w:sdt>
                        <w:sdtPr>
                          <w:alias w:val="Numeris"/>
                          <w:tag w:val="nr_0550fd93316744efa89fd510aee96a7f"/>
                          <w:lock w:val="sdtLocked"/>
                          <w:richText/>
                        </w:sdtPr>
                        <w:sdtContent>
                          <w:r>
                            <w:rPr>
                              <w:spacing w:val="2"/>
                              <w:szCs w:val="24"/>
                            </w:rPr>
                            <w:t>3.2</w:t>
                          </w:r>
                        </w:sdtContent>
                      </w:sdt>
                      <w:r>
                        <w:rPr>
                          <w:spacing w:val="2"/>
                          <w:szCs w:val="24"/>
                        </w:rPr>
                        <w:t>. Nacionalinės mokėjimo agentūros prie Žemės ūkio ministerijos supaprastintų tiesioginių išmokų informacinės sistemos duomenų bazės, kurioje registruojami deklaruoti pasėlių plotai ir augalų rūšys kiekvienų metų sausio 1 dieną, ir Pareiškėjų registravimo informacinės sistemos;</w:t>
                      </w:r>
                    </w:p>
                  </w:sdtContent>
                </w:sdt>
                <w:sdt>
                  <w:sdtPr>
                    <w:alias w:val="3.3 pp."/>
                    <w:tag w:val="part_30af1040e1ce45018502ffdeb36e57da"/>
                    <w:lock w:val="sdtLocked"/>
                    <w:richText/>
                  </w:sdtPr>
                  <w:sdtContent>
                    <w:p>
                      <w:pPr>
                        <w:ind w:firstLine="567"/>
                        <w:jc w:val="both"/>
                        <w:textAlignment w:val="baseline"/>
                      </w:pPr>
                      <w:sdt>
                        <w:sdtPr>
                          <w:alias w:val="Numeris"/>
                          <w:tag w:val="nr_30af1040e1ce45018502ffdeb36e57da"/>
                          <w:lock w:val="sdtLocked"/>
                          <w:richText/>
                        </w:sdtPr>
                        <w:sdtContent>
                          <w:r>
                            <w:t>3.3</w:t>
                          </w:r>
                        </w:sdtContent>
                      </w:sdt>
                      <w:r>
                        <w:t xml:space="preserve">. Akvakultūros įmonių ir ūkių teikiamų ŽŪDC statistinių ataskaitų, parengtų pagal Žuvininkystės statistinių duomenų teikimo taisykles, patvirtintas Lietuvos Respublikos žemės ūkio ministro 2010 m. rugpjūčio 4 d. įsakymu Nr. 3D-707 „Dėl Žuvininkystės statistinių duomenų teikimo taisyklių patvirtinimo“; </w:t>
                      </w:r>
                    </w:p>
                  </w:sdtContent>
                </w:sdt>
                <w:sdt>
                  <w:sdtPr>
                    <w:alias w:val="3.4 pp."/>
                    <w:tag w:val="part_7d8bd14d4e4e44da850736f8549841c7"/>
                    <w:lock w:val="sdtLocked"/>
                    <w:richText/>
                  </w:sdtPr>
                  <w:sdtContent>
                    <w:p>
                      <w:pPr>
                        <w:tabs>
                          <w:tab w:val="center" w:pos="4819"/>
                          <w:tab w:val="right" w:pos="9638"/>
                        </w:tabs>
                        <w:ind w:firstLine="567"/>
                        <w:jc w:val="both"/>
                        <w:rPr>
                          <w:color w:val="000000"/>
                        </w:rPr>
                      </w:pPr>
                      <w:sdt>
                        <w:sdtPr>
                          <w:alias w:val="Numeris"/>
                          <w:tag w:val="nr_7d8bd14d4e4e44da850736f8549841c7"/>
                          <w:lock w:val="sdtLocked"/>
                          <w:richText/>
                        </w:sdtPr>
                        <w:sdtContent>
                          <w:r>
                            <w:rPr>
                              <w:szCs w:val="24"/>
                            </w:rPr>
                            <w:t>3.4</w:t>
                          </w:r>
                        </w:sdtContent>
                      </w:sdt>
                      <w:r>
                        <w:rPr>
                          <w:szCs w:val="24"/>
                        </w:rPr>
                        <w:t xml:space="preserve">. </w:t>
                      </w:r>
                      <w:r>
                        <w:rPr>
                          <w:color w:val="000000"/>
                        </w:rPr>
                        <w:t>Žemės ūkio veiklos subjektų, auginančių grybus, per „NMA Agro“ programą ŽŪDC teikiamų duomenų. Auginami grybai į EDV apskaičiavimą įtraukiami, kai:</w:t>
                      </w:r>
                    </w:p>
                    <w:sdt>
                      <w:sdtPr>
                        <w:alias w:val="3.4.1 pp."/>
                        <w:tag w:val="part_017ff4af13ed49dba991383336f0b6d4"/>
                        <w:lock w:val="sdtLocked"/>
                        <w:richText/>
                      </w:sdtPr>
                      <w:sdtContent>
                        <w:p>
                          <w:pPr>
                            <w:tabs>
                              <w:tab w:val="center" w:pos="4819"/>
                              <w:tab w:val="right" w:pos="9638"/>
                            </w:tabs>
                            <w:ind w:firstLine="567"/>
                            <w:jc w:val="both"/>
                            <w:rPr>
                              <w:color w:val="000000"/>
                            </w:rPr>
                          </w:pPr>
                          <w:sdt>
                            <w:sdtPr>
                              <w:alias w:val="Numeris"/>
                              <w:tag w:val="nr_017ff4af13ed49dba991383336f0b6d4"/>
                              <w:lock w:val="sdtLocked"/>
                              <w:richText/>
                            </w:sdtPr>
                            <w:sdtContent>
                              <w:r>
                                <w:rPr>
                                  <w:color w:val="000000"/>
                                </w:rPr>
                                <w:t>3.4.1</w:t>
                              </w:r>
                            </w:sdtContent>
                          </w:sdt>
                          <w:r>
                            <w:rPr>
                              <w:color w:val="000000"/>
                            </w:rPr>
                            <w:t>. auginamų grybų plotas yra ne mažesnis kaip 100 m</w:t>
                          </w:r>
                          <w:r>
                            <w:rPr>
                              <w:color w:val="000000"/>
                              <w:vertAlign w:val="superscript"/>
                            </w:rPr>
                            <w:t>2</w:t>
                          </w:r>
                          <w:r>
                            <w:rPr>
                              <w:color w:val="000000"/>
                            </w:rPr>
                            <w:t>;</w:t>
                          </w:r>
                        </w:p>
                      </w:sdtContent>
                    </w:sdt>
                    <w:sdt>
                      <w:sdtPr>
                        <w:alias w:val="3.4.2 pp."/>
                        <w:tag w:val="part_2171d0584d764a6ea9f812db5aef59d0"/>
                        <w:lock w:val="sdtLocked"/>
                        <w:richText/>
                      </w:sdtPr>
                      <w:sdtContent>
                        <w:p>
                          <w:pPr>
                            <w:tabs>
                              <w:tab w:val="center" w:pos="4819"/>
                              <w:tab w:val="right" w:pos="9638"/>
                            </w:tabs>
                            <w:ind w:firstLine="567"/>
                            <w:jc w:val="both"/>
                            <w:rPr>
                              <w:color w:val="000000"/>
                            </w:rPr>
                          </w:pPr>
                          <w:sdt>
                            <w:sdtPr>
                              <w:alias w:val="Numeris"/>
                              <w:tag w:val="nr_2171d0584d764a6ea9f812db5aef59d0"/>
                              <w:lock w:val="sdtLocked"/>
                              <w:richText/>
                            </w:sdtPr>
                            <w:sdtContent>
                              <w:r>
                                <w:rPr>
                                  <w:color w:val="000000"/>
                                </w:rPr>
                                <w:t>3.4.2</w:t>
                              </w:r>
                            </w:sdtContent>
                          </w:sdt>
                          <w:r>
                            <w:rPr>
                              <w:color w:val="000000"/>
                            </w:rPr>
                            <w:t>. duomenys pateikti nuo einamųjų metų sausio 1 d. iki liepos 1 d.;</w:t>
                          </w:r>
                        </w:p>
                      </w:sdtContent>
                    </w:sdt>
                    <w:sdt>
                      <w:sdtPr>
                        <w:alias w:val="3.4.3 pp."/>
                        <w:tag w:val="part_58db3a231f2b4d96ad21f73040190665"/>
                        <w:lock w:val="sdtLocked"/>
                        <w:richText/>
                      </w:sdtPr>
                      <w:sdtContent>
                        <w:p>
                          <w:pPr>
                            <w:ind w:firstLine="567"/>
                            <w:jc w:val="both"/>
                          </w:pPr>
                          <w:sdt>
                            <w:sdtPr>
                              <w:alias w:val="Numeris"/>
                              <w:tag w:val="nr_58db3a231f2b4d96ad21f73040190665"/>
                              <w:lock w:val="sdtLocked"/>
                              <w:richText/>
                            </w:sdtPr>
                            <w:sdtContent>
                              <w:r>
                                <w:rPr>
                                  <w:color w:val="000000"/>
                                </w:rPr>
                                <w:t>3.4.3</w:t>
                              </w:r>
                            </w:sdtContent>
                          </w:sdt>
                          <w:r>
                            <w:rPr>
                              <w:color w:val="000000"/>
                            </w:rPr>
                            <w:t xml:space="preserve">. atitinka kitus </w:t>
                          </w:r>
                          <w:r>
                            <w:rPr>
                              <w:szCs w:val="24"/>
                            </w:rPr>
                            <w:t>auginamų grybų ploto apskaičiavimo reikalavimus, nustatytus</w:t>
                          </w:r>
                          <w:r>
                            <w:rPr>
                              <w:color w:val="000000"/>
                            </w:rPr>
                            <w:t xml:space="preserve"> Produkcijos standartine verte išreikšto žemės ūkio valdos ekonominio dydžio apskaičiavimo tvarkos aprašo, patvirtinto Lietuvos Respublikos žemės ūkio ministro </w:t>
                          </w:r>
                          <w:r>
                            <w:t xml:space="preserve">2014 m. birželio 23 d. įsakymu Nr. 3D-382 </w:t>
                          </w:r>
                          <w:r>
                            <w:rPr>
                              <w:color w:val="000000"/>
                            </w:rPr>
                            <w:t>„Dėl Produkcijos standartine verte išreikšto žemės ūkio valdos ekonominio dydžio apskaičiavimo tvarkos aprašo“, 5 priede.</w:t>
                          </w:r>
                          <w:r>
                            <w:t xml:space="preserve"> </w:t>
                          </w:r>
                        </w:p>
                      </w:sdtContent>
                    </w:sdt>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c81cb6768311efabdbb4a1fc8b0b63">
                        <w:r w:rsidRPr="00532B9F">
                          <w:rPr>
                            <w:rFonts w:ascii="Arial" w:eastAsia="MS Mincho" w:hAnsi="Arial"/>
                            <w:sz w:val="20"/>
                            <w:i/>
                            <w:iCs/>
                            <w:color w:val="0000FF" w:themeColor="hyperlink"/>
                            <w:u w:val="single"/>
                          </w:rPr>
                          <w:t>3D-669</w:t>
                        </w:r>
                      </w:fldSimple>
                      <w:r>
                        <w:rPr>
                          <w:rFonts w:ascii="Arial" w:eastAsia="MS Mincho" w:hAnsi="Arial"/>
                          <w:sz w:val="20"/>
                          <w:i/>
                          <w:iCs/>
                        </w:rPr>
                        <w:t>,
2024-09-19,
paskelbta TAR 2024-09-19, i. k. 2024-16415        </w:t>
                      </w:r>
                    </w:p>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7934BAA529C2">
                    <w:r w:rsidRPr="00532B9F">
                      <w:rPr>
                        <w:rFonts w:ascii="Arial" w:eastAsia="MS Mincho" w:hAnsi="Arial"/>
                        <w:sz w:val="20"/>
                        <w:i/>
                        <w:iCs/>
                        <w:color w:val="0000FF" w:themeColor="hyperlink"/>
                        <w:u w:val="single"/>
                      </w:rPr>
                      <w:t>3D-527</w:t>
                    </w:r>
                  </w:fldSimple>
                  <w:r>
                    <w:rPr>
                      <w:rFonts w:ascii="Arial" w:eastAsia="MS Mincho" w:hAnsi="Arial"/>
                      <w:sz w:val="20"/>
                      <w:i/>
                      <w:iCs/>
                    </w:rPr>
                    <w:t>,
2012-06-29,
Žin., 2012, Nr.
79-4111 (2012-07-05), i. k. 1122330ISAK003D-527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f5d2de0762b11e4805fa6cb12e2ef99">
                    <w:r w:rsidRPr="00532B9F">
                      <w:rPr>
                        <w:rFonts w:ascii="Arial" w:eastAsia="MS Mincho" w:hAnsi="Arial"/>
                        <w:sz w:val="20"/>
                        <w:i/>
                        <w:iCs/>
                        <w:color w:val="0000FF" w:themeColor="hyperlink"/>
                        <w:u w:val="single"/>
                      </w:rPr>
                      <w:t>3D-897</w:t>
                    </w:r>
                  </w:fldSimple>
                  <w:r>
                    <w:rPr>
                      <w:rFonts w:ascii="Arial" w:eastAsia="MS Mincho" w:hAnsi="Arial"/>
                      <w:sz w:val="20"/>
                      <w:i/>
                      <w:iCs/>
                    </w:rPr>
                    <w:t>,
2014-11-27,
paskelbta TAR 2014-11-28, i. k. 2014-18088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0baf3076d311edbc04912defe897d1">
                    <w:r w:rsidRPr="00532B9F">
                      <w:rPr>
                        <w:rFonts w:ascii="Arial" w:eastAsia="MS Mincho" w:hAnsi="Arial"/>
                        <w:sz w:val="20"/>
                        <w:i/>
                        <w:iCs/>
                        <w:color w:val="0000FF" w:themeColor="hyperlink"/>
                        <w:u w:val="single"/>
                      </w:rPr>
                      <w:t>3D-784</w:t>
                    </w:r>
                  </w:fldSimple>
                  <w:r>
                    <w:rPr>
                      <w:rFonts w:ascii="Arial" w:eastAsia="MS Mincho" w:hAnsi="Arial"/>
                      <w:sz w:val="20"/>
                      <w:i/>
                      <w:iCs/>
                    </w:rPr>
                    <w:t>,
2022-12-08,
paskelbta TAR 2022-12-08, i. k. 2022-25057            </w:t>
                  </w:r>
                </w:p>
                <w:p/>
              </w:sdtContent>
            </w:sdt>
            <w:sdt>
              <w:sdtPr>
                <w:alias w:val="4 p."/>
                <w:tag w:val="part_ba90ff1437534eb687bae785d1bc0ce5"/>
                <w:lock w:val="sdtLocked"/>
                <w:richText/>
              </w:sdtPr>
              <w:sdtContent>
                <w:p>
                  <w:pPr>
                    <w:overflowPunct w:val="0"/>
                    <w:ind w:firstLine="567"/>
                    <w:jc w:val="both"/>
                    <w:textAlignment w:val="baseline"/>
                  </w:pPr>
                  <w:sdt>
                    <w:sdtPr>
                      <w:alias w:val="Numeris"/>
                      <w:tag w:val="nr_ba90ff1437534eb687bae785d1bc0ce5"/>
                      <w:lock w:val="sdtLocked"/>
                      <w:richText/>
                    </w:sdtPr>
                    <w:sdtContent>
                      <w:r>
                        <w:rPr>
                          <w:bCs/>
                        </w:rPr>
                        <w:t>4</w:t>
                      </w:r>
                    </w:sdtContent>
                  </w:sdt>
                  <w:r>
                    <w:rPr>
                      <w:bCs/>
                    </w:rPr>
                    <w:t xml:space="preserve">. </w:t>
                  </w:r>
                  <w:r>
                    <w:rPr>
                      <w:spacing w:val="2"/>
                    </w:rPr>
                    <w:t>Valdų ar ūkių duomenys apie pajamas iš paslaugų žemės ūkiui teikimo gaunami iš Pažymos apie žemės ūkio veiklos subjekto pajamas per praėjusius kalendorinius metus (toliau – Pažyma). Šią Pažymą subjektas parengia vadovaudamasis Žemės ūkio veiklos subjektų pajamų dalies, gaunamos iš žemės ūkio veiklos, įvertinimo metodikos, patvirtintos Lietuvos Respublikos žemės ūkio ministro 2003 m. vasario 26 d. įsakymu Nr. 3D-66 „Dėl Žemės ūkio veiklos subjektų pajamų dalies, gaunamos iš žemės ūkio veiklos, įvertinimo metodikos patvirtinimo“, nuostatomis. Pažyma gali būti teikiama nuo einamųjų metų sausio 1 d. iki birželio 1 d. Teikiant Pažymą apie pajamas, paslaugomis žemės ūkiui laikomos paslaugos, nurodytos Paslaugų žemės ūkiui sąraše, patvirtintame Lietuvos Respublikos Vyriausybės 2012 m. sausio 25 d. nutarimu Nr. 76 „Dėl Paslaugų žemės ūkiui sąrašo patvirtinimo“</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7934BAA529C2">
                    <w:r w:rsidRPr="00532B9F">
                      <w:rPr>
                        <w:rFonts w:ascii="Arial" w:eastAsia="MS Mincho" w:hAnsi="Arial"/>
                        <w:sz w:val="20"/>
                        <w:i/>
                        <w:iCs/>
                        <w:color w:val="0000FF" w:themeColor="hyperlink"/>
                        <w:u w:val="single"/>
                      </w:rPr>
                      <w:t>3D-527</w:t>
                    </w:r>
                  </w:fldSimple>
                  <w:r>
                    <w:rPr>
                      <w:rFonts w:ascii="Arial" w:eastAsia="MS Mincho" w:hAnsi="Arial"/>
                      <w:sz w:val="20"/>
                      <w:i/>
                      <w:iCs/>
                    </w:rPr>
                    <w:t>,
2012-06-29,
Žin., 2012, Nr.
79-4111 (2012-07-05), i. k. 1122330ISAK003D-527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f5d2de0762b11e4805fa6cb12e2ef99">
                    <w:r w:rsidRPr="00532B9F">
                      <w:rPr>
                        <w:rFonts w:ascii="Arial" w:eastAsia="MS Mincho" w:hAnsi="Arial"/>
                        <w:sz w:val="20"/>
                        <w:i/>
                        <w:iCs/>
                        <w:color w:val="0000FF" w:themeColor="hyperlink"/>
                        <w:u w:val="single"/>
                      </w:rPr>
                      <w:t>3D-897</w:t>
                    </w:r>
                  </w:fldSimple>
                  <w:r>
                    <w:rPr>
                      <w:rFonts w:ascii="Arial" w:eastAsia="MS Mincho" w:hAnsi="Arial"/>
                      <w:sz w:val="20"/>
                      <w:i/>
                      <w:iCs/>
                    </w:rPr>
                    <w:t>,
2014-11-27,
paskelbta TAR 2014-11-28, i. k. 2014-18088            </w:t>
                  </w:r>
                </w:p>
                <w:p/>
              </w:sdtContent>
            </w:sdt>
            <w:sdt>
              <w:sdtPr>
                <w:alias w:val="5 p."/>
                <w:tag w:val="part_68589e7b8529409d82de486033c2c1fe"/>
                <w:lock w:val="sdtLocked"/>
                <w:richText/>
              </w:sdtPr>
              <w:sdtContent>
                <w:p>
                  <w:pPr>
                    <w:overflowPunct w:val="0"/>
                    <w:ind w:firstLine="567"/>
                    <w:jc w:val="both"/>
                    <w:textAlignment w:val="baseline"/>
                    <w:rPr>
                      <w:szCs w:val="24"/>
                      <w:lang w:val="en-US"/>
                    </w:rPr>
                  </w:pPr>
                  <w:sdt>
                    <w:sdtPr>
                      <w:alias w:val="Numeris"/>
                      <w:tag w:val="nr_68589e7b8529409d82de486033c2c1fe"/>
                      <w:lock w:val="sdtLocked"/>
                      <w:richText/>
                    </w:sdtPr>
                    <w:sdtContent>
                      <w:r>
                        <w:rPr>
                          <w:color w:val="000000"/>
                          <w:szCs w:val="24"/>
                        </w:rPr>
                        <w:t>5</w:t>
                      </w:r>
                    </w:sdtContent>
                  </w:sdt>
                  <w:r>
                    <w:rPr>
                      <w:color w:val="000000"/>
                      <w:szCs w:val="24"/>
                    </w:rPr>
                    <w:t xml:space="preserve">. Naujai įsteigtų kooperatinių bendrovių (kooperatyvų), kurios teikia paslaugas žemės ūkiui, duomenys apie pajamas iš paslaugų žemės ūkiui teikimo gaunami iš 4 punkte nurodytų Pažymų, kuriose nurodomos numatomos pirmųjų kalendorinių veiklos metų pajamos. </w:t>
                  </w:r>
                </w:p>
                <w:p>
                  <w:pPr>
                    <w:ind w:firstLine="567"/>
                    <w:jc w:val="both"/>
                    <w:textAlignment w:val="baseline"/>
                  </w:pPr>
                  <w:r>
                    <w:rPr>
                      <w:color w:val="000000"/>
                      <w:szCs w:val="24"/>
                    </w:rPr>
                    <w:t>Naujai įsteigtoms kooperatinėms bendrovėms (kooperatyvams), kurios teikia paslaugas žemės ūkiui ir yra įregistravę žemės ūkio valdą einamaisiais metais, apskaičiuojami preliminarūs žemės ūkio valdos ar ūkio bendrasis standartinis gamybinis pelnas ir ekonominis dydis. Preliminarus žemės ūkio valdos ar ūkio ekonominis dydis nurodomas ŽŪDC</w:t>
                  </w:r>
                  <w:r>
                    <w:rPr>
                      <w:b/>
                      <w:bCs/>
                      <w:color w:val="000000"/>
                      <w:szCs w:val="24"/>
                    </w:rPr>
                    <w:t xml:space="preserve"> </w:t>
                  </w:r>
                  <w:r>
                    <w:rPr>
                      <w:color w:val="000000"/>
                      <w:szCs w:val="24"/>
                    </w:rPr>
                    <w:t xml:space="preserve">išduodamoje naujai įsteigtoms kooperatinėms bendrovėms (kooperatyvams) pažymoje.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4F69C8EA1B6A">
                    <w:r w:rsidRPr="00532B9F">
                      <w:rPr>
                        <w:rFonts w:ascii="Arial" w:eastAsia="MS Mincho" w:hAnsi="Arial"/>
                        <w:sz w:val="20"/>
                        <w:i/>
                        <w:iCs/>
                        <w:color w:val="0000FF" w:themeColor="hyperlink"/>
                        <w:u w:val="single"/>
                      </w:rPr>
                      <w:t>3D-447</w:t>
                    </w:r>
                  </w:fldSimple>
                  <w:r>
                    <w:rPr>
                      <w:rFonts w:ascii="Arial" w:eastAsia="MS Mincho" w:hAnsi="Arial"/>
                      <w:sz w:val="20"/>
                      <w:i/>
                      <w:iCs/>
                    </w:rPr>
                    <w:t>,
2011-05-27,
Žin., 2011, Nr.
67-3177 (2011-06-02), i. k. 1112330ISAK003D-447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0baf3076d311edbc04912defe897d1">
                    <w:r w:rsidRPr="00532B9F">
                      <w:rPr>
                        <w:rFonts w:ascii="Arial" w:eastAsia="MS Mincho" w:hAnsi="Arial"/>
                        <w:sz w:val="20"/>
                        <w:i/>
                        <w:iCs/>
                        <w:color w:val="0000FF" w:themeColor="hyperlink"/>
                        <w:u w:val="single"/>
                      </w:rPr>
                      <w:t>3D-784</w:t>
                    </w:r>
                  </w:fldSimple>
                  <w:r>
                    <w:rPr>
                      <w:rFonts w:ascii="Arial" w:eastAsia="MS Mincho" w:hAnsi="Arial"/>
                      <w:sz w:val="20"/>
                      <w:i/>
                      <w:iCs/>
                    </w:rPr>
                    <w:t>,
2022-12-08,
paskelbta TAR 2022-12-08, i. k. 2022-25057            </w:t>
                  </w:r>
                </w:p>
                <w:p/>
              </w:sdtContent>
            </w:sdt>
            <w:sdt>
              <w:sdtPr>
                <w:alias w:val="6 p."/>
                <w:tag w:val="part_9e4352870b314394b52bb83ede88bb74"/>
                <w:lock w:val="sdtLocked"/>
                <w:richText/>
              </w:sdtPr>
              <w:sdtContent>
                <w:p>
                  <w:pPr>
                    <w:ind w:firstLine="567"/>
                    <w:jc w:val="both"/>
                  </w:pPr>
                  <w:sdt>
                    <w:sdtPr>
                      <w:alias w:val="Numeris"/>
                      <w:tag w:val="nr_9e4352870b314394b52bb83ede88bb74"/>
                      <w:lock w:val="sdtLocked"/>
                      <w:richText/>
                    </w:sdtPr>
                    <w:sdtContent>
                      <w:r>
                        <w:t>6</w:t>
                      </w:r>
                    </w:sdtContent>
                  </w:sdt>
                  <w:r>
                    <w:t>. Žemės ūkio produkcijos rūšių standartinis gamybinis pelnas pateikiamas šio Tvarkos aprašo 1 priede.</w:t>
                  </w:r>
                </w:p>
              </w:sdtContent>
            </w:sdt>
            <w:sdt>
              <w:sdtPr>
                <w:alias w:val="7 p."/>
                <w:tag w:val="part_d72e34c919214011af3e07d9baad60ed"/>
                <w:lock w:val="sdtLocked"/>
                <w:richText/>
              </w:sdtPr>
              <w:sdtContent>
                <w:p>
                  <w:pPr>
                    <w:ind w:firstLine="567"/>
                    <w:jc w:val="both"/>
                  </w:pPr>
                  <w:sdt>
                    <w:sdtPr>
                      <w:alias w:val="Numeris"/>
                      <w:tag w:val="nr_d72e34c919214011af3e07d9baad60ed"/>
                      <w:lock w:val="sdtLocked"/>
                      <w:richText/>
                    </w:sdtPr>
                    <w:sdtContent>
                      <w:r>
                        <w:t>7</w:t>
                      </w:r>
                    </w:sdtContent>
                  </w:sdt>
                  <w:r>
                    <w:t>. Pajamų iš</w:t>
                  </w:r>
                  <w:r>
                    <w:rPr>
                      <w:i/>
                    </w:rPr>
                    <w:t xml:space="preserve"> </w:t>
                  </w:r>
                  <w:r>
                    <w:t>paslaugų žemės ūkiui teikimo normatyvas apskaičiuojamas atsižvelgiant į Ūkių apskaitos duomenų tinklo tyrimo rezultatų duomenis.</w:t>
                  </w:r>
                </w:p>
                <w:p>
                  <w:pPr>
                    <w:ind w:firstLine="567"/>
                    <w:jc w:val="both"/>
                  </w:pPr>
                </w:p>
              </w:sdtContent>
            </w:sdt>
          </w:sdtContent>
        </w:sdt>
        <w:sdt>
          <w:sdtPr>
            <w:alias w:val="skyrius"/>
            <w:tag w:val="part_bef1648f26fc40f59f082b95debf342b"/>
            <w:lock w:val="sdtLocked"/>
            <w:richText/>
          </w:sdtPr>
          <w:sdtContent>
            <w:p>
              <w:pPr>
                <w:jc w:val="center"/>
                <w:rPr>
                  <w:b/>
                  <w:caps/>
                </w:rPr>
              </w:pPr>
              <w:sdt>
                <w:sdtPr>
                  <w:alias w:val="Numeris"/>
                  <w:tag w:val="nr_bef1648f26fc40f59f082b95debf342b"/>
                  <w:lock w:val="sdtLocked"/>
                  <w:richText/>
                </w:sdtPr>
                <w:sdtContent>
                  <w:r>
                    <w:rPr>
                      <w:b/>
                      <w:caps/>
                    </w:rPr>
                    <w:t>III</w:t>
                  </w:r>
                </w:sdtContent>
              </w:sdt>
              <w:r>
                <w:rPr>
                  <w:b/>
                  <w:caps/>
                </w:rPr>
                <w:t xml:space="preserve">. </w:t>
              </w:r>
              <w:sdt>
                <w:sdtPr>
                  <w:alias w:val="Pavadinimas"/>
                  <w:tag w:val="title_bef1648f26fc40f59f082b95debf342b"/>
                  <w:lock w:val="sdtLocked"/>
                  <w:richText/>
                </w:sdtPr>
                <w:sdtContent>
                  <w:r>
                    <w:rPr>
                      <w:b/>
                      <w:caps/>
                      <w:spacing w:val="2"/>
                    </w:rPr>
                    <w:t>Valdos ar ūkio bendrojo SGP ir ekonominio dydžio apskaičiavimas</w:t>
                  </w:r>
                </w:sdtContent>
              </w:sdt>
            </w:p>
            <w:p>
              <w:pPr>
                <w:ind w:firstLine="567"/>
                <w:jc w:val="both"/>
              </w:pPr>
            </w:p>
            <w:sdt>
              <w:sdtPr>
                <w:alias w:val="8 p."/>
                <w:tag w:val="part_cf5dffcd38c94358b62d968612ad09b9"/>
                <w:lock w:val="sdtLocked"/>
                <w:richText/>
              </w:sdtPr>
              <w:sdtContent>
                <w:p>
                  <w:pPr>
                    <w:ind w:firstLine="567"/>
                    <w:jc w:val="both"/>
                    <w:rPr>
                      <w:szCs w:val="24"/>
                    </w:rPr>
                  </w:pPr>
                  <w:sdt>
                    <w:sdtPr>
                      <w:alias w:val="Numeris"/>
                      <w:tag w:val="nr_cf5dffcd38c94358b62d968612ad09b9"/>
                      <w:lock w:val="sdtLocked"/>
                      <w:richText/>
                    </w:sdtPr>
                    <w:sdtContent>
                      <w:r>
                        <w:rPr>
                          <w:szCs w:val="24"/>
                        </w:rPr>
                        <w:t>8</w:t>
                      </w:r>
                    </w:sdtContent>
                  </w:sdt>
                  <w:r>
                    <w:rPr>
                      <w:szCs w:val="24"/>
                    </w:rPr>
                    <w:t>. Valdos ar ūkio bendrasis SGP apskaičiuojamas pagal šią formulę:</w:t>
                  </w:r>
                </w:p>
                <w:p>
                  <w:pPr>
                    <w:ind w:firstLine="567"/>
                    <w:jc w:val="both"/>
                    <w:rPr>
                      <w:szCs w:val="24"/>
                    </w:rPr>
                  </w:pPr>
                  <w:r>
                    <w:rPr>
                      <w:position w:val="-30"/>
                    </w:rPr>
                    <w:object w:dxaOrig="7260" w:dyaOrig="720">
                      <v:shape id="_x0000_i1039" type="#_x0000_t75" style="width:374.85pt;height:36pt" o:ole="" o:allowoverlap="f">
                        <v:imagedata r:id="rId37" o:title=""/>
                      </v:shape>
                      <o:OLEObject Type="Embed" ProgID="Equation.3" ShapeID="_x0000_i1039" DrawAspect="Content" ObjectID="_0000000001" r:id="rId38"/>
                    </w:object>
                  </w:r>
                  <w:r>
                    <w:rPr>
                      <w:szCs w:val="24"/>
                    </w:rPr>
                    <w:t>,</w:t>
                  </w:r>
                </w:p>
                <w:p>
                  <w:pPr>
                    <w:suppressAutoHyphens/>
                    <w:ind w:firstLine="567"/>
                    <w:jc w:val="both"/>
                    <w:textAlignment w:val="center"/>
                    <w:rPr>
                      <w:color w:val="000000"/>
                      <w:spacing w:val="2"/>
                      <w:szCs w:val="24"/>
                    </w:rPr>
                  </w:pPr>
                  <w:r>
                    <w:rPr>
                      <w:color w:val="000000"/>
                      <w:spacing w:val="2"/>
                      <w:szCs w:val="24"/>
                    </w:rPr>
                    <w:t>čia:</w:t>
                  </w:r>
                </w:p>
                <w:p>
                  <w:pPr>
                    <w:suppressAutoHyphens/>
                    <w:ind w:firstLine="567"/>
                    <w:jc w:val="both"/>
                    <w:textAlignment w:val="center"/>
                    <w:rPr>
                      <w:color w:val="000000"/>
                      <w:spacing w:val="2"/>
                      <w:szCs w:val="24"/>
                    </w:rPr>
                  </w:pPr>
                  <w:r>
                    <w:rPr>
                      <w:color w:val="000000"/>
                      <w:spacing w:val="2"/>
                      <w:szCs w:val="24"/>
                    </w:rPr>
                    <w:object w:dxaOrig="680" w:dyaOrig="279">
                      <v:shape id="_x0000_i1040" type="#_x0000_t75" style="width:36pt;height:14.85pt" o:ole="">
                        <v:imagedata r:id="rId39" o:title=""/>
                      </v:shape>
                      <o:OLEObject Type="Embed" ProgID="Equation.3" ShapeID="_x0000_i1040" DrawAspect="Content" ObjectID="_0000000001" r:id="rId40"/>
                    </w:object>
                    <w:t xml:space="preserve"> – bendrasis SGP;</w:t>
                  </w:r>
                </w:p>
                <w:p>
                  <w:pPr>
                    <w:suppressAutoHyphens/>
                    <w:ind w:firstLine="567"/>
                    <w:jc w:val="both"/>
                    <w:textAlignment w:val="center"/>
                    <w:rPr>
                      <w:color w:val="000000"/>
                      <w:spacing w:val="2"/>
                      <w:szCs w:val="24"/>
                    </w:rPr>
                  </w:pPr>
                  <w:r>
                    <w:rPr>
                      <w:color w:val="000000"/>
                      <w:spacing w:val="2"/>
                      <w:szCs w:val="24"/>
                    </w:rPr>
                    <w:object w:dxaOrig="320" w:dyaOrig="380">
                      <v:shape id="_x0000_i1041" type="#_x0000_t75" style="width:14.85pt;height:21.15pt" o:ole="">
                        <v:imagedata r:id="rId41" o:title=""/>
                      </v:shape>
                      <o:OLEObject Type="Embed" ProgID="Equation.3" ShapeID="_x0000_i1041" DrawAspect="Content" ObjectID="_0000000001" r:id="rId42"/>
                    </w:object>
                    <w:t xml:space="preserve"> – </w:t>
                  </w:r>
                  <w:r>
                    <w:rPr>
                      <w:color w:val="000000"/>
                      <w:spacing w:val="2"/>
                      <w:lang w:eastAsia="lt-LT"/>
                    </w:rPr>
                    <w:t>i-osios rūšies auginamų augalų pasėlių</w:t>
                  </w:r>
                  <w:r>
                    <w:rPr>
                      <w:b/>
                      <w:bCs/>
                      <w:color w:val="000000"/>
                      <w:spacing w:val="2"/>
                      <w:lang w:eastAsia="lt-LT"/>
                    </w:rPr>
                    <w:t xml:space="preserve"> </w:t>
                  </w:r>
                  <w:r>
                    <w:rPr>
                      <w:color w:val="000000"/>
                      <w:spacing w:val="2"/>
                      <w:lang w:eastAsia="lt-LT"/>
                    </w:rPr>
                    <w:t>ir</w:t>
                  </w:r>
                  <w:r>
                    <w:rPr>
                      <w:b/>
                      <w:bCs/>
                      <w:color w:val="000000"/>
                      <w:spacing w:val="2"/>
                      <w:lang w:eastAsia="lt-LT"/>
                    </w:rPr>
                    <w:t xml:space="preserve"> </w:t>
                  </w:r>
                  <w:r>
                    <w:rPr>
                      <w:color w:val="000000"/>
                      <w:spacing w:val="2"/>
                      <w:lang w:eastAsia="lt-LT"/>
                    </w:rPr>
                    <w:t>grybų plotai, ha;</w:t>
                  </w:r>
                </w:p>
                <w:p>
                  <w:pPr>
                    <w:suppressAutoHyphens/>
                    <w:ind w:firstLine="567"/>
                    <w:jc w:val="both"/>
                    <w:textAlignment w:val="center"/>
                    <w:rPr>
                      <w:color w:val="000000"/>
                      <w:spacing w:val="2"/>
                      <w:szCs w:val="24"/>
                    </w:rPr>
                  </w:pPr>
                  <w:r>
                    <w:rPr>
                      <w:color w:val="000000"/>
                      <w:spacing w:val="2"/>
                      <w:szCs w:val="24"/>
                    </w:rPr>
                    <w:object w:dxaOrig="480" w:dyaOrig="400">
                      <v:shape id="_x0000_i1042" type="#_x0000_t75" style="width:25.85pt;height:21.15pt" o:ole="">
                        <v:imagedata r:id="rId43" o:title=""/>
                      </v:shape>
                      <o:OLEObject Type="Embed" ProgID="Equation.3" ShapeID="_x0000_i1042" DrawAspect="Content" ObjectID="_0000000001" r:id="rId44"/>
                    </w:object>
                    <w:t xml:space="preserve"> – j-osios rūšies ūkinių gyvūnų vidutinis metinis skaičius, vnt. (apskaičiuojamas imant kiekvieno mėnesio paskutinę dieną Ūkinių gyvūnų registre užfiksuotus duomenis);</w:t>
                  </w:r>
                </w:p>
                <w:p>
                  <w:pPr>
                    <w:suppressAutoHyphens/>
                    <w:ind w:firstLine="567"/>
                    <w:jc w:val="both"/>
                    <w:textAlignment w:val="center"/>
                    <w:rPr>
                      <w:color w:val="000000"/>
                      <w:spacing w:val="2"/>
                      <w:szCs w:val="24"/>
                    </w:rPr>
                  </w:pPr>
                  <w:r>
                    <w:rPr>
                      <w:color w:val="000000"/>
                      <w:spacing w:val="2"/>
                      <w:szCs w:val="24"/>
                    </w:rPr>
                    <w:object w:dxaOrig="279" w:dyaOrig="340">
                      <v:shape id="_x0000_i1043" type="#_x0000_t75" style="width:14.85pt;height:21.15pt" o:ole="">
                        <v:imagedata r:id="rId45" o:title=""/>
                      </v:shape>
                      <o:OLEObject Type="Embed" ProgID="Equation.3" ShapeID="_x0000_i1043" DrawAspect="Content" ObjectID="_0000000001" r:id="rId46"/>
                    </w:object>
                    <w:t xml:space="preserve"> – įveistų </w:t>
                  </w:r>
                  <w:r>
                    <w:rPr>
                      <w:color w:val="000000"/>
                      <w:szCs w:val="24"/>
                    </w:rPr>
                    <w:t>akvakultūros</w:t>
                  </w:r>
                  <w:r>
                    <w:rPr>
                      <w:color w:val="000000"/>
                      <w:spacing w:val="2"/>
                      <w:szCs w:val="24"/>
                    </w:rPr>
                    <w:t xml:space="preserve"> tvenkinių plotas, ha;</w:t>
                  </w:r>
                </w:p>
                <w:p>
                  <w:pPr>
                    <w:suppressAutoHyphens/>
                    <w:ind w:firstLine="567"/>
                    <w:jc w:val="both"/>
                    <w:textAlignment w:val="center"/>
                    <w:rPr>
                      <w:color w:val="000000"/>
                      <w:spacing w:val="2"/>
                      <w:szCs w:val="24"/>
                    </w:rPr>
                  </w:pPr>
                  <w:r>
                    <w:rPr>
                      <w:color w:val="000000"/>
                      <w:spacing w:val="2"/>
                      <w:szCs w:val="24"/>
                    </w:rPr>
                    <w:object w:dxaOrig="360" w:dyaOrig="360">
                      <v:shape id="_x0000_i1044" type="#_x0000_t75" style="width:21.15pt;height:21.15pt" o:ole="">
                        <v:imagedata r:id="rId47" o:title=""/>
                      </v:shape>
                      <o:OLEObject Type="Embed" ProgID="Equation.3" ShapeID="_x0000_i1044" DrawAspect="Content" ObjectID="_0000000001" r:id="rId48"/>
                    </w:object>
                    <w:t xml:space="preserve"> – uždarųjų </w:t>
                  </w:r>
                  <w:r>
                    <w:rPr>
                      <w:color w:val="000000"/>
                      <w:szCs w:val="24"/>
                    </w:rPr>
                    <w:t>akvakultūros</w:t>
                  </w:r>
                  <w:r>
                    <w:rPr>
                      <w:color w:val="000000"/>
                      <w:spacing w:val="2"/>
                      <w:szCs w:val="24"/>
                    </w:rPr>
                    <w:t xml:space="preserve"> sistemų talpyklų tūris, m</w:t>
                  </w:r>
                  <w:r>
                    <w:rPr>
                      <w:color w:val="000000"/>
                      <w:spacing w:val="2"/>
                      <w:szCs w:val="24"/>
                      <w:vertAlign w:val="superscript"/>
                    </w:rPr>
                    <w:t>3</w:t>
                  </w:r>
                  <w:r>
                    <w:rPr>
                      <w:color w:val="000000"/>
                      <w:spacing w:val="2"/>
                      <w:szCs w:val="24"/>
                    </w:rPr>
                    <w:t>;</w:t>
                  </w:r>
                </w:p>
                <w:p>
                  <w:pPr>
                    <w:suppressAutoHyphens/>
                    <w:ind w:firstLine="567"/>
                    <w:jc w:val="both"/>
                    <w:textAlignment w:val="center"/>
                    <w:rPr>
                      <w:color w:val="000000"/>
                      <w:spacing w:val="2"/>
                      <w:szCs w:val="24"/>
                    </w:rPr>
                  </w:pPr>
                  <w:r>
                    <w:rPr>
                      <w:color w:val="000000"/>
                      <w:spacing w:val="2"/>
                      <w:szCs w:val="24"/>
                    </w:rPr>
                    <w:object w:dxaOrig="620" w:dyaOrig="380">
                      <v:shape id="_x0000_i1045" type="#_x0000_t75" style="width:30.5pt;height:21.15pt" o:ole="">
                        <v:imagedata r:id="rId49" o:title=""/>
                      </v:shape>
                      <o:OLEObject Type="Embed" ProgID="Equation.3" ShapeID="_x0000_i1045" DrawAspect="Content" ObjectID="_0000000001" r:id="rId50"/>
                    </w:object>
                    <w:t xml:space="preserve"> – </w:t>
                  </w:r>
                  <w:r>
                    <w:rPr>
                      <w:color w:val="000000"/>
                      <w:spacing w:val="2"/>
                      <w:lang w:eastAsia="lt-LT"/>
                    </w:rPr>
                    <w:t>i-osios rūšies auginamų augalų,</w:t>
                  </w:r>
                  <w:r>
                    <w:rPr>
                      <w:b/>
                      <w:bCs/>
                      <w:color w:val="000000"/>
                      <w:spacing w:val="2"/>
                      <w:lang w:eastAsia="lt-LT"/>
                    </w:rPr>
                    <w:t xml:space="preserve"> </w:t>
                  </w:r>
                  <w:r>
                    <w:rPr>
                      <w:color w:val="000000"/>
                      <w:spacing w:val="2"/>
                      <w:lang w:eastAsia="lt-LT"/>
                    </w:rPr>
                    <w:t>grybų produkcijos SGP, eurais;</w:t>
                  </w:r>
                </w:p>
                <w:p>
                  <w:pPr>
                    <w:suppressAutoHyphens/>
                    <w:ind w:firstLine="567"/>
                    <w:jc w:val="both"/>
                    <w:textAlignment w:val="center"/>
                    <w:rPr>
                      <w:color w:val="000000"/>
                      <w:spacing w:val="2"/>
                      <w:szCs w:val="24"/>
                    </w:rPr>
                  </w:pPr>
                  <w:r>
                    <w:rPr>
                      <w:color w:val="000000"/>
                      <w:spacing w:val="2"/>
                      <w:szCs w:val="24"/>
                    </w:rPr>
                    <w:object w:dxaOrig="720" w:dyaOrig="400">
                      <v:shape id="_x0000_i1046" type="#_x0000_t75" style="width:36pt;height:21.15pt" o:ole="">
                        <v:imagedata r:id="rId51" o:title=""/>
                      </v:shape>
                      <o:OLEObject Type="Embed" ProgID="Equation.3" ShapeID="_x0000_i1046" DrawAspect="Content" ObjectID="_0000000001" r:id="rId52"/>
                    </w:object>
                    <w:t xml:space="preserve"> –</w:t>
                  </w:r>
                  <w:r>
                    <w:rPr>
                      <w:color w:val="000000"/>
                      <w:szCs w:val="24"/>
                    </w:rPr>
                    <w:t xml:space="preserve"> j-osios rūšies ūkinių gyvūnų produkcijos SGP</w:t>
                  </w:r>
                  <w:r>
                    <w:rPr>
                      <w:color w:val="000000"/>
                      <w:spacing w:val="2"/>
                      <w:szCs w:val="24"/>
                    </w:rPr>
                    <w:t>, eurais;</w:t>
                  </w:r>
                </w:p>
                <w:p>
                  <w:pPr>
                    <w:suppressAutoHyphens/>
                    <w:ind w:firstLine="567"/>
                    <w:jc w:val="both"/>
                    <w:textAlignment w:val="center"/>
                    <w:rPr>
                      <w:color w:val="000000"/>
                      <w:szCs w:val="24"/>
                    </w:rPr>
                  </w:pPr>
                  <w:r>
                    <w:rPr>
                      <w:color w:val="000000"/>
                      <w:spacing w:val="2"/>
                      <w:szCs w:val="24"/>
                    </w:rPr>
                    <w:object w:dxaOrig="580" w:dyaOrig="340">
                      <v:shape id="_x0000_i1047" type="#_x0000_t75" style="width:30.5pt;height:21.15pt" o:ole="">
                        <v:imagedata r:id="rId53" o:title=""/>
                      </v:shape>
                      <o:OLEObject Type="Embed" ProgID="Equation.3" ShapeID="_x0000_i1047" DrawAspect="Content" ObjectID="_0000000001" r:id="rId54"/>
                    </w:object>
                    <w:t xml:space="preserve"> –</w:t>
                  </w:r>
                  <w:r>
                    <w:rPr>
                      <w:color w:val="000000"/>
                      <w:szCs w:val="24"/>
                    </w:rPr>
                    <w:t xml:space="preserve"> akvakultūros tvenkinių žuvų produkcijos SGP,</w:t>
                  </w:r>
                  <w:r>
                    <w:rPr>
                      <w:color w:val="000000"/>
                      <w:spacing w:val="2"/>
                      <w:szCs w:val="24"/>
                    </w:rPr>
                    <w:t xml:space="preserve"> eurais</w:t>
                  </w:r>
                  <w:r>
                    <w:rPr>
                      <w:color w:val="000000"/>
                      <w:szCs w:val="24"/>
                    </w:rPr>
                    <w:t>;</w:t>
                  </w:r>
                </w:p>
                <w:p>
                  <w:pPr>
                    <w:suppressAutoHyphens/>
                    <w:ind w:firstLine="567"/>
                    <w:jc w:val="both"/>
                    <w:textAlignment w:val="center"/>
                    <w:rPr>
                      <w:color w:val="000000"/>
                      <w:spacing w:val="2"/>
                      <w:szCs w:val="24"/>
                    </w:rPr>
                  </w:pPr>
                  <w:r>
                    <w:rPr>
                      <w:color w:val="000000"/>
                      <w:szCs w:val="24"/>
                    </w:rPr>
                    <w:object w:dxaOrig="660" w:dyaOrig="360">
                      <v:shape id="_x0000_i1048" type="#_x0000_t75" style="width:30.5pt;height:21.15pt" o:ole="">
                        <v:imagedata r:id="rId55" o:title=""/>
                      </v:shape>
                      <o:OLEObject Type="Embed" ProgID="Equation.3" ShapeID="_x0000_i1048" DrawAspect="Content" ObjectID="_0000000001" r:id="rId56"/>
                    </w:object>
                    <w:t xml:space="preserve"> </w:t>
                  </w:r>
                  <w:r>
                    <w:rPr>
                      <w:color w:val="000000"/>
                      <w:spacing w:val="2"/>
                      <w:szCs w:val="24"/>
                    </w:rPr>
                    <w:t xml:space="preserve">– uždarosiose </w:t>
                  </w:r>
                  <w:r>
                    <w:rPr>
                      <w:color w:val="000000"/>
                      <w:szCs w:val="24"/>
                    </w:rPr>
                    <w:t>akvakultūros</w:t>
                  </w:r>
                  <w:r>
                    <w:rPr>
                      <w:color w:val="000000"/>
                      <w:spacing w:val="2"/>
                      <w:szCs w:val="24"/>
                    </w:rPr>
                    <w:t xml:space="preserve"> sistemose auginamų žuvų produkcijos SGP, eurais;</w:t>
                  </w:r>
                </w:p>
                <w:p>
                  <w:pPr>
                    <w:suppressAutoHyphens/>
                    <w:ind w:firstLine="567"/>
                    <w:jc w:val="both"/>
                    <w:textAlignment w:val="center"/>
                    <w:rPr>
                      <w:color w:val="000000"/>
                      <w:spacing w:val="2"/>
                      <w:szCs w:val="24"/>
                    </w:rPr>
                  </w:pPr>
                  <w:r>
                    <w:rPr>
                      <w:color w:val="000000"/>
                      <w:spacing w:val="2"/>
                      <w:szCs w:val="24"/>
                    </w:rPr>
                    <w:object w:dxaOrig="380" w:dyaOrig="260">
                      <v:shape id="_x0000_i1049" type="#_x0000_t75" style="width:21.15pt;height:10.15pt" o:ole="">
                        <v:imagedata r:id="rId57" o:title=""/>
                      </v:shape>
                      <o:OLEObject Type="Embed" ProgID="Equation.3" ShapeID="_x0000_i1049" DrawAspect="Content" ObjectID="_0000000001" r:id="rId58"/>
                    </w:object>
                    <w:t xml:space="preserve"> – pajamos iš paslaugų žemės ūkiui teikimo, eurais;</w:t>
                  </w:r>
                </w:p>
                <w:p>
                  <w:pPr>
                    <w:ind w:firstLine="567"/>
                    <w:jc w:val="both"/>
                    <w:rPr>
                      <w:szCs w:val="24"/>
                    </w:rPr>
                  </w:pPr>
                  <w:r>
                    <w:rPr>
                      <w:spacing w:val="2"/>
                      <w:position w:val="-6"/>
                      <w:szCs w:val="24"/>
                    </w:rPr>
                    <w:object w:dxaOrig="200" w:dyaOrig="279">
                      <v:shape id="_x0000_i1050" type="#_x0000_t75" style="width:10.15pt;height:14.85pt" o:ole="">
                        <v:imagedata r:id="rId59" o:title=""/>
                      </v:shape>
                      <o:OLEObject Type="Embed" ProgID="Equation.3" ShapeID="_x0000_i1050" DrawAspect="Content" ObjectID="_0000000001" r:id="rId60"/>
                    </w:object>
                  </w:r>
                  <w:r>
                    <w:rPr>
                      <w:spacing w:val="2"/>
                      <w:szCs w:val="24"/>
                    </w:rPr>
                    <w:t xml:space="preserve"> </w:t>
                  </w:r>
                  <w:r>
                    <w:rPr>
                      <w:szCs w:val="24"/>
                    </w:rPr>
                    <w:t>– pajamų, gautų teikiant paslaugas</w:t>
                  </w:r>
                  <w:r>
                    <w:rPr>
                      <w:b/>
                      <w:szCs w:val="24"/>
                    </w:rPr>
                    <w:t xml:space="preserve"> </w:t>
                  </w:r>
                  <w:r>
                    <w:rPr>
                      <w:szCs w:val="24"/>
                    </w:rPr>
                    <w:t>žemės ūkiui, perskaičiavimo į</w:t>
                  </w:r>
                  <w:r>
                    <w:rPr>
                      <w:color w:val="8064A2"/>
                      <w:szCs w:val="24"/>
                    </w:rPr>
                    <w:t xml:space="preserve"> </w:t>
                  </w:r>
                  <w:r>
                    <w:rPr>
                      <w:szCs w:val="24"/>
                    </w:rPr>
                    <w:t>SGP koeficientas, apskaičiuojamas pagal formulę</w:t>
                  </w:r>
                  <w:r>
                    <w:rPr>
                      <w:b/>
                      <w:szCs w:val="24"/>
                    </w:rPr>
                    <w:t xml:space="preserve"> </w:t>
                  </w:r>
                  <w:r>
                    <w:rPr>
                      <w:szCs w:val="24"/>
                    </w:rPr>
                    <w:t>(apvalinamas 4 skaičių po kablelio tikslumu pagal matematines skaičių apvalinimo taisykles):</w:t>
                  </w:r>
                </w:p>
                <w:p>
                  <w:pPr>
                    <w:ind w:firstLine="567"/>
                    <w:jc w:val="both"/>
                    <w:rPr>
                      <w:i/>
                      <w:szCs w:val="24"/>
                    </w:rPr>
                  </w:pPr>
                  <w:r>
                    <w:rPr>
                      <w:i/>
                      <w:szCs w:val="24"/>
                    </w:rPr>
                    <w:t>k =1EDV / PN</w:t>
                  </w:r>
                  <w:r>
                    <w:rPr>
                      <w:szCs w:val="24"/>
                    </w:rPr>
                    <w:t>,</w:t>
                  </w:r>
                </w:p>
                <w:p>
                  <w:pPr>
                    <w:ind w:firstLine="567"/>
                    <w:jc w:val="both"/>
                    <w:rPr>
                      <w:i/>
                      <w:szCs w:val="24"/>
                    </w:rPr>
                  </w:pPr>
                  <w:r>
                    <w:rPr>
                      <w:i/>
                      <w:szCs w:val="24"/>
                    </w:rPr>
                    <w:t>čia:</w:t>
                  </w:r>
                </w:p>
                <w:p>
                  <w:pPr>
                    <w:ind w:firstLine="567"/>
                    <w:jc w:val="both"/>
                  </w:pPr>
                  <w:r>
                    <w:rPr>
                      <w:spacing w:val="2"/>
                      <w:position w:val="-6"/>
                      <w:szCs w:val="24"/>
                    </w:rPr>
                    <w:object w:dxaOrig="420" w:dyaOrig="279">
                      <v:shape id="_x0000_i1051" type="#_x0000_t75" style="width:21.15pt;height:14.85pt" o:ole="">
                        <v:imagedata r:id="rId61" o:title=""/>
                      </v:shape>
                      <o:OLEObject Type="Embed" ProgID="Equation.3" ShapeID="_x0000_i1051" DrawAspect="Content" ObjectID="_0000000001" r:id="rId62"/>
                    </w:object>
                  </w:r>
                  <w:r>
                    <w:rPr>
                      <w:i/>
                      <w:szCs w:val="24"/>
                    </w:rPr>
                    <w:t xml:space="preserve"> – </w:t>
                  </w:r>
                  <w:r>
                    <w:rPr>
                      <w:szCs w:val="24"/>
                    </w:rPr>
                    <w:t>pajamų iš</w:t>
                  </w:r>
                  <w:r>
                    <w:rPr>
                      <w:i/>
                      <w:szCs w:val="24"/>
                    </w:rPr>
                    <w:t xml:space="preserve"> </w:t>
                  </w:r>
                  <w:r>
                    <w:rPr>
                      <w:szCs w:val="24"/>
                    </w:rPr>
                    <w:t>paslaugų žemės ūkiui teikimo normatyvas, kuris prilyginamas 2172 Eur</w:t>
                  </w:r>
                  <w:r>
                    <w:rPr>
                      <w:b/>
                      <w:szCs w:val="24"/>
                    </w:rPr>
                    <w:t xml:space="preserve"> </w:t>
                  </w:r>
                  <w:r>
                    <w:rPr>
                      <w:szCs w:val="24"/>
                    </w:rPr>
                    <w:t>pajamų sumai.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f5d2de0762b11e4805fa6cb12e2ef99">
                    <w:r w:rsidRPr="00532B9F">
                      <w:rPr>
                        <w:rFonts w:ascii="Arial" w:eastAsia="MS Mincho" w:hAnsi="Arial"/>
                        <w:sz w:val="20"/>
                        <w:i/>
                        <w:iCs/>
                        <w:color w:val="0000FF" w:themeColor="hyperlink"/>
                        <w:u w:val="single"/>
                      </w:rPr>
                      <w:t>3D-897</w:t>
                    </w:r>
                  </w:fldSimple>
                  <w:r>
                    <w:rPr>
                      <w:rFonts w:ascii="Arial" w:eastAsia="MS Mincho" w:hAnsi="Arial"/>
                      <w:sz w:val="20"/>
                      <w:i/>
                      <w:iCs/>
                    </w:rPr>
                    <w:t>,
2014-11-27,
paskelbta TAR 2014-11-28, i. k. 2014-18088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c81cb6768311efabdbb4a1fc8b0b63">
                    <w:r w:rsidRPr="00532B9F">
                      <w:rPr>
                        <w:rFonts w:ascii="Arial" w:eastAsia="MS Mincho" w:hAnsi="Arial"/>
                        <w:sz w:val="20"/>
                        <w:i/>
                        <w:iCs/>
                        <w:color w:val="0000FF" w:themeColor="hyperlink"/>
                        <w:u w:val="single"/>
                      </w:rPr>
                      <w:t>3D-669</w:t>
                    </w:r>
                  </w:fldSimple>
                  <w:r>
                    <w:rPr>
                      <w:rFonts w:ascii="Arial" w:eastAsia="MS Mincho" w:hAnsi="Arial"/>
                      <w:sz w:val="20"/>
                      <w:i/>
                      <w:iCs/>
                    </w:rPr>
                    <w:t>,
2024-09-19,
paskelbta TAR 2024-09-19, i. k. 2024-16415            </w:t>
                  </w:r>
                </w:p>
                <w:p/>
              </w:sdtContent>
            </w:sdt>
            <w:sdt>
              <w:sdtPr>
                <w:alias w:val="9 p."/>
                <w:tag w:val="part_770b1d6d82ad4c54a3984de6f6e5f182"/>
                <w:lock w:val="sdtLocked"/>
                <w:richText/>
              </w:sdtPr>
              <w:sdtContent>
                <w:p>
                  <w:pPr>
                    <w:overflowPunct w:val="0"/>
                    <w:ind w:firstLine="567"/>
                    <w:jc w:val="both"/>
                    <w:textAlignment w:val="baseline"/>
                  </w:pPr>
                  <w:sdt>
                    <w:sdtPr>
                      <w:alias w:val="Numeris"/>
                      <w:tag w:val="nr_770b1d6d82ad4c54a3984de6f6e5f182"/>
                      <w:lock w:val="sdtLocked"/>
                      <w:richText/>
                    </w:sdtPr>
                    <w:sdtContent>
                      <w:r>
                        <w:rPr>
                          <w:szCs w:val="24"/>
                        </w:rPr>
                        <w:t>9</w:t>
                      </w:r>
                    </w:sdtContent>
                  </w:sdt>
                  <w:r>
                    <w:rPr>
                      <w:szCs w:val="24"/>
                    </w:rPr>
                    <w:t xml:space="preserve">. Apskaičiuojant </w:t>
                  </w:r>
                  <w:r>
                    <w:rPr>
                      <w:spacing w:val="2"/>
                      <w:szCs w:val="24"/>
                    </w:rPr>
                    <w:t>valdos ar ūkio</w:t>
                  </w:r>
                  <w:r>
                    <w:rPr>
                      <w:szCs w:val="24"/>
                    </w:rPr>
                    <w:t xml:space="preserve"> ekonominį dydį </w:t>
                  </w:r>
                  <w:r>
                    <w:rPr>
                      <w:spacing w:val="2"/>
                      <w:szCs w:val="24"/>
                    </w:rPr>
                    <w:t>valdos ar ūkio</w:t>
                  </w:r>
                  <w:r>
                    <w:rPr>
                      <w:szCs w:val="24"/>
                    </w:rPr>
                    <w:t xml:space="preserve"> bendrasis SGP </w:t>
                  </w:r>
                  <w:r>
                    <w:rPr>
                      <w:spacing w:val="2"/>
                      <w:szCs w:val="24"/>
                    </w:rPr>
                    <w:t>eurais</w:t>
                  </w:r>
                  <w:r>
                    <w:rPr>
                      <w:szCs w:val="24"/>
                    </w:rPr>
                    <w:t xml:space="preserve"> dalijamas iš EDV – 1200 Eur.</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f5d2de0762b11e4805fa6cb12e2ef99">
                    <w:r w:rsidRPr="00532B9F">
                      <w:rPr>
                        <w:rFonts w:ascii="Arial" w:eastAsia="MS Mincho" w:hAnsi="Arial"/>
                        <w:sz w:val="20"/>
                        <w:i/>
                        <w:iCs/>
                        <w:color w:val="0000FF" w:themeColor="hyperlink"/>
                        <w:u w:val="single"/>
                      </w:rPr>
                      <w:t>3D-897</w:t>
                    </w:r>
                  </w:fldSimple>
                  <w:r>
                    <w:rPr>
                      <w:rFonts w:ascii="Arial" w:eastAsia="MS Mincho" w:hAnsi="Arial"/>
                      <w:sz w:val="20"/>
                      <w:i/>
                      <w:iCs/>
                    </w:rPr>
                    <w:t>,
2014-11-27,
paskelbta TAR 2014-11-28, i. k. 2014-18088            </w:t>
                  </w:r>
                </w:p>
                <w:p/>
              </w:sdtContent>
            </w:sdt>
            <w:sdt>
              <w:sdtPr>
                <w:alias w:val="10 p."/>
                <w:tag w:val="part_e95726bd4ee6451f92d30619887fce3b"/>
                <w:lock w:val="sdtLocked"/>
                <w:richText/>
              </w:sdtPr>
              <w:sdtContent>
                <w:p>
                  <w:pPr>
                    <w:ind w:firstLine="567"/>
                    <w:jc w:val="both"/>
                  </w:pPr>
                  <w:sdt>
                    <w:sdtPr>
                      <w:alias w:val="Numeris"/>
                      <w:tag w:val="nr_e95726bd4ee6451f92d30619887fce3b"/>
                      <w:lock w:val="sdtLocked"/>
                      <w:richText/>
                    </w:sdtPr>
                    <w:sdtContent>
                      <w:r>
                        <w:t>10</w:t>
                      </w:r>
                    </w:sdtContent>
                  </w:sdt>
                  <w:r>
                    <w:t xml:space="preserve">. Žemės ūkio valdos ar ūkio, kurie teikia paslaugas žemės ūkiui, ekonominis dydis, apskaičiuotas ir paskelbtas einamųjų metų sausio 30 d., perskaičiuojamas pagal </w:t>
                  </w:r>
                  <w:r>
                    <w:rPr>
                      <w:bCs/>
                    </w:rPr>
                    <w:t>Pažymos apie žemės ūkio veiklos subjekto pajamas per praėjusius kalendorinius metus</w:t>
                  </w:r>
                  <w:r>
                    <w:t xml:space="preserve"> duomenis apie pajamas iš paslaugų žemės ūkiui teikimo ir paskelbiamas ne vėliau kaip per 10 darbo dienų nuo duomenų apie šias pajamas gavimo.</w:t>
                  </w:r>
                </w:p>
              </w:sdtContent>
            </w:sdt>
            <w:sdt>
              <w:sdtPr>
                <w:alias w:val="11 p."/>
                <w:tag w:val="part_d9571f73d9e34aca85a06f783e308467"/>
                <w:lock w:val="sdtLocked"/>
                <w:richText/>
              </w:sdtPr>
              <w:sdtContent>
                <w:p>
                  <w:pPr>
                    <w:tabs>
                      <w:tab w:val="left" w:pos="851"/>
                      <w:tab w:val="left" w:pos="993"/>
                    </w:tabs>
                    <w:overflowPunct w:val="0"/>
                    <w:ind w:firstLine="567"/>
                    <w:jc w:val="both"/>
                    <w:textAlignment w:val="baseline"/>
                  </w:pPr>
                  <w:sdt>
                    <w:sdtPr>
                      <w:alias w:val="Numeris"/>
                      <w:tag w:val="nr_d9571f73d9e34aca85a06f783e308467"/>
                      <w:lock w:val="sdtLocked"/>
                      <w:richText/>
                    </w:sdtPr>
                    <w:sdtContent>
                      <w:r>
                        <w:t>11</w:t>
                      </w:r>
                    </w:sdtContent>
                  </w:sdt>
                  <w:r>
                    <w:t>. Jei valdoje ar ūkyje auginami žolėdžiai ūkiniai gyvūnai, tuomet:</w:t>
                  </w:r>
                </w:p>
                <w:sdt>
                  <w:sdtPr>
                    <w:alias w:val="11.1 pp."/>
                    <w:tag w:val="part_46dc4612b3b046e189fc83b3891d67e6"/>
                    <w:lock w:val="sdtLocked"/>
                    <w:richText/>
                  </w:sdtPr>
                  <w:sdtContent>
                    <w:p>
                      <w:pPr>
                        <w:tabs>
                          <w:tab w:val="left" w:pos="851"/>
                          <w:tab w:val="left" w:pos="993"/>
                        </w:tabs>
                        <w:overflowPunct w:val="0"/>
                        <w:ind w:firstLine="567"/>
                        <w:jc w:val="both"/>
                        <w:textAlignment w:val="baseline"/>
                      </w:pPr>
                      <w:sdt>
                        <w:sdtPr>
                          <w:alias w:val="Numeris"/>
                          <w:tag w:val="nr_46dc4612b3b046e189fc83b3891d67e6"/>
                          <w:lock w:val="sdtLocked"/>
                          <w:richText/>
                        </w:sdtPr>
                        <w:sdtContent>
                          <w:r>
                            <w:t>11.1</w:t>
                          </w:r>
                        </w:sdtContent>
                      </w:sdt>
                      <w:r>
                        <w:t>. auginamų pašarinių augalų vienmečių ir daugiamečių žolių, pašarinių šakniavaisių, kukurūzų žaliajam pašarui ir kitų pašarinių augalų, išskyrus natūralias pievas ir ganyklas bei kultūrines pievas (daugiau kaip 5 metų), plotai (ha) proporcingai sumažinami 12</w:t>
                      </w:r>
                      <w:r>
                        <w:rPr>
                          <w:vertAlign w:val="superscript"/>
                        </w:rPr>
                        <w:t>1</w:t>
                      </w:r>
                      <w:r>
                        <w:t xml:space="preserve"> punkte nustatyta tvarka apskaičiuojamais plotais (ha), kuriems SGP neskaičiuojamas;</w:t>
                      </w:r>
                    </w:p>
                  </w:sdtContent>
                </w:sdt>
                <w:sdt>
                  <w:sdtPr>
                    <w:alias w:val="11.2 pp."/>
                    <w:tag w:val="part_12599562321b4cf28ac3296081bbeef7"/>
                    <w:lock w:val="sdtLocked"/>
                    <w:richText/>
                  </w:sdtPr>
                  <w:sdtContent>
                    <w:p>
                      <w:pPr>
                        <w:overflowPunct w:val="0"/>
                        <w:ind w:firstLine="567"/>
                        <w:jc w:val="both"/>
                        <w:textAlignment w:val="baseline"/>
                      </w:pPr>
                      <w:sdt>
                        <w:sdtPr>
                          <w:alias w:val="Numeris"/>
                          <w:tag w:val="nr_12599562321b4cf28ac3296081bbeef7"/>
                          <w:lock w:val="sdtLocked"/>
                          <w:richText/>
                        </w:sdtPr>
                        <w:sdtContent>
                          <w:r>
                            <w:t>11.2</w:t>
                          </w:r>
                        </w:sdtContent>
                      </w:sdt>
                      <w:r>
                        <w:t>. auginamų pašarinių javų (avižų, kvietrugių, kviečių, miežių, rugių ir kitų grūdinių augalų, jų ir ankštinių javų mišinių) plotai (ha) proporcingai sumažinami 12</w:t>
                      </w:r>
                      <w:r>
                        <w:rPr>
                          <w:vertAlign w:val="superscript"/>
                        </w:rPr>
                        <w:t>1</w:t>
                      </w:r>
                      <w:r>
                        <w:t xml:space="preserve"> punkte nustatyta tvarka apskaičiuojamais pašarinių javų plotais (ha), kuriems SGP neskaičiuojamas.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77a960d96611e68d79c2033f194657">
                        <w:r w:rsidRPr="00532B9F">
                          <w:rPr>
                            <w:rFonts w:ascii="Arial" w:eastAsia="MS Mincho" w:hAnsi="Arial"/>
                            <w:sz w:val="20"/>
                            <w:i/>
                            <w:iCs/>
                            <w:color w:val="0000FF" w:themeColor="hyperlink"/>
                            <w:u w:val="single"/>
                          </w:rPr>
                          <w:t>3D-25</w:t>
                        </w:r>
                      </w:fldSimple>
                      <w:r>
                        <w:rPr>
                          <w:rFonts w:ascii="Arial" w:eastAsia="MS Mincho" w:hAnsi="Arial"/>
                          <w:sz w:val="20"/>
                          <w:i/>
                          <w:iCs/>
                        </w:rPr>
                        <w:t>,
2017-01-13,
paskelbta TAR 2017-01-16, i. k. 2017-00876            </w:t>
                      </w:r>
                    </w:p>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7238e60c81e11e69dec860c1f4a5372">
                    <w:r w:rsidRPr="00532B9F">
                      <w:rPr>
                        <w:rFonts w:ascii="Arial" w:eastAsia="MS Mincho" w:hAnsi="Arial"/>
                        <w:sz w:val="20"/>
                        <w:i/>
                        <w:iCs/>
                        <w:color w:val="0000FF" w:themeColor="hyperlink"/>
                        <w:u w:val="single"/>
                      </w:rPr>
                      <w:t>3D-758</w:t>
                    </w:r>
                  </w:fldSimple>
                  <w:r>
                    <w:rPr>
                      <w:rFonts w:ascii="Arial" w:eastAsia="MS Mincho" w:hAnsi="Arial"/>
                      <w:sz w:val="20"/>
                      <w:i/>
                      <w:iCs/>
                    </w:rPr>
                    <w:t>,
2016-12-22,
paskelbta TAR 2016-12-23, i. k. 2016-29349            </w:t>
                  </w:r>
                </w:p>
                <w:p/>
              </w:sdtContent>
            </w:sdt>
            <w:sdt>
              <w:sdtPr>
                <w:alias w:val="12 p."/>
                <w:tag w:val="part_e438b233026e4b12967c7cadfaf92941"/>
                <w:lock w:val="sdtLocked"/>
                <w:richText/>
              </w:sdtPr>
              <w:sdtContent>
                <w:p>
                  <w:pPr>
                    <w:ind w:firstLine="567"/>
                    <w:jc w:val="both"/>
                  </w:pPr>
                  <w:sdt>
                    <w:sdtPr>
                      <w:alias w:val="Numeris"/>
                      <w:tag w:val="nr_e438b233026e4b12967c7cadfaf92941"/>
                      <w:lock w:val="sdtLocked"/>
                      <w:richText/>
                    </w:sdtPr>
                    <w:sdtContent>
                      <w:r>
                        <w:t>12</w:t>
                      </w:r>
                    </w:sdtContent>
                  </w:sdt>
                  <w:r>
                    <w:t>. Paršelių SGP skaičiuojamas tik tuo atveju, jei valdoje ar ūkyje nelaikomos paršavedės.</w:t>
                  </w:r>
                </w:p>
              </w:sdtContent>
            </w:sdt>
            <w:sdt>
              <w:sdtPr>
                <w:alias w:val="12-1 p."/>
                <w:tag w:val="part_e733e214cb484fc89351c0957030f145"/>
                <w:lock w:val="sdtLocked"/>
                <w:richText/>
              </w:sdtPr>
              <w:sdtContent>
                <w:p>
                  <w:pPr>
                    <w:tabs>
                      <w:tab w:val="left" w:pos="851"/>
                      <w:tab w:val="left" w:pos="993"/>
                    </w:tabs>
                    <w:overflowPunct w:val="0"/>
                    <w:ind w:firstLine="567"/>
                    <w:jc w:val="both"/>
                    <w:textAlignment w:val="baseline"/>
                  </w:pPr>
                  <w:sdt>
                    <w:sdtPr>
                      <w:alias w:val="Numeris"/>
                      <w:tag w:val="nr_e733e214cb484fc89351c0957030f145"/>
                      <w:lock w:val="sdtLocked"/>
                      <w:richText/>
                    </w:sdtPr>
                    <w:sdtContent>
                      <w:r>
                        <w:t>12</w:t>
                      </w:r>
                      <w:r>
                        <w:rPr>
                          <w:vertAlign w:val="superscript"/>
                        </w:rPr>
                        <w:t>1</w:t>
                      </w:r>
                    </w:sdtContent>
                  </w:sdt>
                  <w:r>
                    <w:t xml:space="preserve">. Pašarinių augalų ir pašarinių javų plotai, kuriems SGP neskaičiuojamas, nustatomi žolėdžių sutartinių gyvulių (toliau – ŽSG) vidutinį metinį skaičių padauginus iš vienam ŽSG tenkančio pašarinių augalų ar pašarinių javų ploto normatyvo, kuris yra: </w:t>
                  </w:r>
                </w:p>
                <w:sdt>
                  <w:sdtPr>
                    <w:alias w:val="12-1.1 pp."/>
                    <w:tag w:val="part_707e4636d79347adbb119e0ae77ea6a2"/>
                    <w:lock w:val="sdtLocked"/>
                    <w:richText/>
                  </w:sdtPr>
                  <w:sdtContent>
                    <w:p>
                      <w:pPr>
                        <w:tabs>
                          <w:tab w:val="left" w:pos="851"/>
                          <w:tab w:val="left" w:pos="993"/>
                        </w:tabs>
                        <w:overflowPunct w:val="0"/>
                        <w:ind w:firstLine="567"/>
                        <w:jc w:val="both"/>
                        <w:textAlignment w:val="baseline"/>
                      </w:pPr>
                      <w:sdt>
                        <w:sdtPr>
                          <w:alias w:val="Numeris"/>
                          <w:tag w:val="nr_707e4636d79347adbb119e0ae77ea6a2"/>
                          <w:lock w:val="sdtLocked"/>
                          <w:richText/>
                        </w:sdtPr>
                        <w:sdtContent>
                          <w:r>
                            <w:t>12</w:t>
                          </w:r>
                          <w:r>
                            <w:rPr>
                              <w:vertAlign w:val="superscript"/>
                            </w:rPr>
                            <w:t>1</w:t>
                          </w:r>
                          <w:r>
                            <w:t>.1</w:t>
                          </w:r>
                        </w:sdtContent>
                      </w:sdt>
                      <w:r>
                        <w:t>. 2,0 ha – pašariniams augalams, išskyrus pašarinius javus;</w:t>
                      </w:r>
                    </w:p>
                  </w:sdtContent>
                </w:sdt>
                <w:sdt>
                  <w:sdtPr>
                    <w:alias w:val="12-1.2 pp."/>
                    <w:tag w:val="part_e1c92e78d7394e50aec5f03c753cb904"/>
                    <w:lock w:val="sdtLocked"/>
                    <w:richText/>
                  </w:sdtPr>
                  <w:sdtContent>
                    <w:p>
                      <w:pPr>
                        <w:tabs>
                          <w:tab w:val="left" w:pos="851"/>
                          <w:tab w:val="left" w:pos="993"/>
                        </w:tabs>
                        <w:overflowPunct w:val="0"/>
                        <w:ind w:firstLine="567"/>
                        <w:jc w:val="both"/>
                        <w:textAlignment w:val="baseline"/>
                      </w:pPr>
                      <w:sdt>
                        <w:sdtPr>
                          <w:alias w:val="Numeris"/>
                          <w:tag w:val="nr_e1c92e78d7394e50aec5f03c753cb904"/>
                          <w:lock w:val="sdtLocked"/>
                          <w:richText/>
                        </w:sdtPr>
                        <w:sdtContent>
                          <w:r>
                            <w:t>12</w:t>
                          </w:r>
                          <w:r>
                            <w:rPr>
                              <w:vertAlign w:val="superscript"/>
                            </w:rPr>
                            <w:t>1</w:t>
                          </w:r>
                          <w:r>
                            <w:t>.2</w:t>
                          </w:r>
                        </w:sdtContent>
                      </w:sdt>
                      <w:r>
                        <w:t xml:space="preserve">. 0,35 ha – pašariniams javams. </w:t>
                      </w:r>
                    </w:p>
                  </w:sdtContent>
                </w:sdt>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7238e60c81e11e69dec860c1f4a5372">
                    <w:r w:rsidRPr="00532B9F">
                      <w:rPr>
                        <w:rFonts w:ascii="Arial" w:eastAsia="MS Mincho" w:hAnsi="Arial"/>
                        <w:sz w:val="20"/>
                        <w:i/>
                        <w:iCs/>
                        <w:color w:val="0000FF" w:themeColor="hyperlink"/>
                        <w:u w:val="single"/>
                      </w:rPr>
                      <w:t>3D-758</w:t>
                    </w:r>
                  </w:fldSimple>
                  <w:r>
                    <w:rPr>
                      <w:rFonts w:ascii="Arial" w:eastAsia="MS Mincho" w:hAnsi="Arial"/>
                      <w:sz w:val="20"/>
                      <w:i/>
                      <w:iCs/>
                    </w:rPr>
                    <w:t>,
2016-12-22,
paskelbta TAR 2016-12-23, i. k. 2016-29349        </w:t>
                  </w:r>
                </w:p>
                <w:p/>
              </w:sdtContent>
            </w:sdt>
            <w:sdt>
              <w:sdtPr>
                <w:alias w:val="12-2 p."/>
                <w:tag w:val="part_e4d5e5658720497bbc9404cd42ffc0ea"/>
                <w:lock w:val="sdtLocked"/>
                <w:richText/>
              </w:sdtPr>
              <w:sdtContent>
                <w:p>
                  <w:pPr>
                    <w:tabs>
                      <w:tab w:val="left" w:pos="851"/>
                      <w:tab w:val="left" w:pos="993"/>
                    </w:tabs>
                    <w:overflowPunct w:val="0"/>
                    <w:ind w:firstLine="567"/>
                    <w:jc w:val="both"/>
                    <w:textAlignment w:val="baseline"/>
                  </w:pPr>
                  <w:sdt>
                    <w:sdtPr>
                      <w:alias w:val="Numeris"/>
                      <w:tag w:val="nr_e4d5e5658720497bbc9404cd42ffc0ea"/>
                      <w:lock w:val="sdtLocked"/>
                      <w:richText/>
                    </w:sdtPr>
                    <w:sdtContent>
                      <w:r>
                        <w:t>12</w:t>
                      </w:r>
                      <w:r>
                        <w:rPr>
                          <w:vertAlign w:val="superscript"/>
                        </w:rPr>
                        <w:t>2</w:t>
                      </w:r>
                    </w:sdtContent>
                  </w:sdt>
                  <w:r>
                    <w:t xml:space="preserve">. </w:t>
                  </w:r>
                  <w:r>
                    <w:rPr>
                      <w:szCs w:val="24"/>
                    </w:rPr>
                    <w:t xml:space="preserve">ŽSG skaičius apskaičiuojamas naudojant valdos ar ūkio žolėdžių </w:t>
                  </w:r>
                  <w:r>
                    <w:rPr>
                      <w:color w:val="000000"/>
                      <w:spacing w:val="2"/>
                      <w:szCs w:val="24"/>
                    </w:rPr>
                    <w:t xml:space="preserve">ūkinių gyvūnų vidutinį metinį skaičių ir </w:t>
                  </w:r>
                  <w:r>
                    <w:rPr>
                      <w:color w:val="000000"/>
                      <w:szCs w:val="24"/>
                    </w:rPr>
                    <w:t>žolėdžių ūkinių gyvūnų skaičiavimo koeficientus, nurodytus Mėšlo ir srutų tvarkymo aplinkosaugos reikalavimų aprašo, patvirtinto Lietuvos Respublikos aplinkos ministro ir Lietuvos Respublikos žemės ūkio ministro 2005 m. liepos 14 d. įsakymu Nr. D1-367/3D-342 „Dėl Mėšlo ir srutų tvarkymo aplinkosaugos reikalavimų aprašo patvirtinimo“, priede.</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7238e60c81e11e69dec860c1f4a5372">
                    <w:r w:rsidRPr="00532B9F">
                      <w:rPr>
                        <w:rFonts w:ascii="Arial" w:eastAsia="MS Mincho" w:hAnsi="Arial"/>
                        <w:sz w:val="20"/>
                        <w:i/>
                        <w:iCs/>
                        <w:color w:val="0000FF" w:themeColor="hyperlink"/>
                        <w:u w:val="single"/>
                      </w:rPr>
                      <w:t>3D-758</w:t>
                    </w:r>
                  </w:fldSimple>
                  <w:r>
                    <w:rPr>
                      <w:rFonts w:ascii="Arial" w:eastAsia="MS Mincho" w:hAnsi="Arial"/>
                      <w:sz w:val="20"/>
                      <w:i/>
                      <w:iCs/>
                    </w:rPr>
                    <w:t>,
2016-12-22,
paskelbta TAR 2016-12-23, i. k. 2016-29349        </w:t>
                  </w:r>
                </w:p>
                <w:p/>
              </w:sdtContent>
            </w:sdt>
            <w:sdt>
              <w:sdtPr>
                <w:alias w:val="13 p."/>
                <w:tag w:val="part_2a628be490614812b7834e41c0ee7436"/>
                <w:lock w:val="sdtLocked"/>
                <w:richText/>
              </w:sdtPr>
              <w:sdtContent>
                <w:p>
                  <w:pPr>
                    <w:ind w:firstLine="567"/>
                    <w:jc w:val="both"/>
                  </w:pPr>
                  <w:sdt>
                    <w:sdtPr>
                      <w:alias w:val="Numeris"/>
                      <w:tag w:val="nr_2a628be490614812b7834e41c0ee7436"/>
                      <w:lock w:val="sdtLocked"/>
                      <w:richText/>
                    </w:sdtPr>
                    <w:sdtContent>
                      <w:r>
                        <w:t>13</w:t>
                      </w:r>
                    </w:sdtContent>
                  </w:sdt>
                  <w:r>
                    <w:t>. Valdos, kuri teikia paslaugas žemės ūkiui, pajamos iš paslaugų žemės ūkiui teikimo skaičiuojamos naudojant valdos valdytojo ir valdos partnerių duomenis apie praėjusių kalendorinių metų pajamas (valdos valdytojo šeimos narių duomenys neįtraukiami).</w:t>
                  </w:r>
                </w:p>
              </w:sdtContent>
            </w:sdt>
            <w:sdt>
              <w:sdtPr>
                <w:alias w:val="14 p."/>
                <w:tag w:val="part_ad46d1cdb7e34b9b945ac9359928d7c3"/>
                <w:lock w:val="sdtLocked"/>
                <w:richText/>
              </w:sdtPr>
              <w:sdtContent>
                <w:p>
                  <w:pPr>
                    <w:ind w:firstLine="567"/>
                    <w:jc w:val="both"/>
                  </w:pPr>
                  <w:sdt>
                    <w:sdtPr>
                      <w:alias w:val="Numeris"/>
                      <w:tag w:val="nr_ad46d1cdb7e34b9b945ac9359928d7c3"/>
                      <w:lock w:val="sdtLocked"/>
                      <w:richText/>
                    </w:sdtPr>
                    <w:sdtContent>
                      <w:r>
                        <w:t>14</w:t>
                      </w:r>
                    </w:sdtContent>
                  </w:sdt>
                  <w:r>
                    <w:t>. Skaičiuojant valdos bendrąjį SGP ir ekonominį dydį naudojami valdos valdytojo ir valdos partnerių duomenys (valdos valdytojo šeimos narių duomenys neįtraukiami).</w:t>
                  </w:r>
                </w:p>
              </w:sdtContent>
            </w:sdt>
            <w:sdt>
              <w:sdtPr>
                <w:alias w:val="15 p."/>
                <w:tag w:val="part_380e8047469b470da28d8fd645ee6664"/>
                <w:lock w:val="sdtLocked"/>
                <w:richText/>
              </w:sdtPr>
              <w:sdtContent>
                <w:p>
                  <w:pPr>
                    <w:ind w:firstLine="567"/>
                    <w:jc w:val="both"/>
                  </w:pPr>
                  <w:sdt>
                    <w:sdtPr>
                      <w:alias w:val="Numeris"/>
                      <w:tag w:val="nr_380e8047469b470da28d8fd645ee6664"/>
                      <w:lock w:val="sdtLocked"/>
                      <w:richText/>
                    </w:sdtPr>
                    <w:sdtContent>
                      <w:r>
                        <w:t>15</w:t>
                      </w:r>
                    </w:sdtContent>
                  </w:sdt>
                  <w:r>
                    <w:t>. Jei asmuo registruotas tik Ūkininkų ūkių registre, skaičiuojant ūkio bendrąjį SGP ir ekonominį dydį naudojami tik ūkininko duomenys. Ūkininko ūkio partnerių bendrasis SGP ir ekonominis dydis skaičiuojamas individualiai, vadovaujantis jų pateiktų Pažymų ir atitinkamų registrų duomenimis.</w:t>
                  </w:r>
                </w:p>
                <w:p>
                  <w:pPr>
                    <w:ind w:firstLine="567"/>
                    <w:jc w:val="both"/>
                  </w:pPr>
                </w:p>
              </w:sdtContent>
            </w:sdt>
          </w:sdtContent>
        </w:sdt>
        <w:sdt>
          <w:sdtPr>
            <w:alias w:val="skyrius"/>
            <w:tag w:val="part_441a63dee03d470691f216b2eef3eafa"/>
            <w:lock w:val="sdtLocked"/>
            <w:richText/>
          </w:sdtPr>
          <w:sdtContent>
            <w:p>
              <w:pPr>
                <w:jc w:val="center"/>
                <w:rPr>
                  <w:b/>
                  <w:bCs/>
                  <w:caps/>
                </w:rPr>
              </w:pPr>
              <w:sdt>
                <w:sdtPr>
                  <w:alias w:val="Numeris"/>
                  <w:tag w:val="nr_441a63dee03d470691f216b2eef3eafa"/>
                  <w:lock w:val="sdtLocked"/>
                  <w:richText/>
                </w:sdtPr>
                <w:sdtContent>
                  <w:r>
                    <w:rPr>
                      <w:b/>
                      <w:bCs/>
                      <w:caps/>
                    </w:rPr>
                    <w:t>IV</w:t>
                  </w:r>
                </w:sdtContent>
              </w:sdt>
              <w:r>
                <w:rPr>
                  <w:b/>
                  <w:bCs/>
                  <w:caps/>
                </w:rPr>
                <w:t xml:space="preserve">. </w:t>
              </w:r>
              <w:sdt>
                <w:sdtPr>
                  <w:alias w:val="Pavadinimas"/>
                  <w:tag w:val="title_441a63dee03d470691f216b2eef3eafa"/>
                  <w:lock w:val="sdtLocked"/>
                  <w:richText/>
                </w:sdtPr>
                <w:sdtContent>
                  <w:r>
                    <w:rPr>
                      <w:b/>
                      <w:bCs/>
                      <w:caps/>
                    </w:rPr>
                    <w:t>INSTITUCIJOS, ATSAKINGOS UŽ valdos ar ūkio beNdrojo SGP ir EKONOMINIO DYDŽIO apskaičiavimą</w:t>
                  </w:r>
                </w:sdtContent>
              </w:sdt>
            </w:p>
            <w:p>
              <w:pPr>
                <w:ind w:firstLine="567"/>
                <w:jc w:val="both"/>
              </w:pPr>
            </w:p>
            <w:sdt>
              <w:sdtPr>
                <w:alias w:val="16 p."/>
                <w:tag w:val="part_6dd3e84c9afa4c6484d59b885dcca0fa"/>
                <w:lock w:val="sdtLocked"/>
                <w:richText/>
              </w:sdtPr>
              <w:sdtContent>
                <w:p>
                  <w:pPr>
                    <w:pStyle w:val="PlainText"/>
                    <w:ind w:firstLine="567"/>
                    <w:jc w:val="both"/>
                    <w:rPr>
                      <w:rFonts w:ascii="Arial" w:hAnsi="Arial"/>
                      <w:b/>
                      <w:bCs/>
                      <w:sz w:val="22"/>
                    </w:rPr>
                  </w:pPr>
                  <w:r>
                    <w:rPr>
                      <w:rFonts w:ascii="Arial" w:hAnsi="Arial"/>
                      <w:sz w:val="22"/>
                    </w:rPr>
                    <w:t>16</w:t>
                  </w:r>
                  <w:r>
                    <w:rPr>
                      <w:rFonts w:ascii="Arial" w:hAnsi="Arial"/>
                      <w:sz w:val="22"/>
                    </w:rPr>
                    <w:t>.</w:t>
                  </w:r>
                  <w:r>
                    <w:rPr>
                      <w:rFonts w:ascii="Arial" w:eastAsia="MS Mincho" w:hAnsi="Arial"/>
                      <w:sz w:val="20"/>
                      <w:i/>
                      <w:iCs/>
                    </w:rPr>
                    <w:t xml:space="preserve"> Neteko galios nuo 2016-12-24</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7238e60c81e11e69dec860c1f4a5372">
                    <w:r w:rsidRPr="00532B9F">
                      <w:rPr>
                        <w:rFonts w:ascii="Arial" w:eastAsia="MS Mincho" w:hAnsi="Arial"/>
                        <w:sz w:val="20"/>
                        <w:i/>
                        <w:iCs/>
                        <w:color w:val="0000FF" w:themeColor="hyperlink"/>
                        <w:u w:val="single"/>
                      </w:rPr>
                      <w:t>3D-758</w:t>
                    </w:r>
                  </w:fldSimple>
                  <w:r>
                    <w:rPr>
                      <w:rFonts w:ascii="Arial" w:eastAsia="MS Mincho" w:hAnsi="Arial"/>
                      <w:sz w:val="20"/>
                      <w:i/>
                      <w:iCs/>
                    </w:rPr>
                    <w:t>,
2016-12-22,
paskelbta TAR 2016-12-23, i. k. 2016-29349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7934BAA529C2">
                    <w:r w:rsidRPr="00532B9F">
                      <w:rPr>
                        <w:rFonts w:ascii="Arial" w:eastAsia="MS Mincho" w:hAnsi="Arial"/>
                        <w:sz w:val="20"/>
                        <w:i/>
                        <w:iCs/>
                        <w:color w:val="0000FF" w:themeColor="hyperlink"/>
                        <w:u w:val="single"/>
                      </w:rPr>
                      <w:t>3D-527</w:t>
                    </w:r>
                  </w:fldSimple>
                  <w:r>
                    <w:rPr>
                      <w:rFonts w:ascii="Arial" w:eastAsia="MS Mincho" w:hAnsi="Arial"/>
                      <w:sz w:val="20"/>
                      <w:i/>
                      <w:iCs/>
                    </w:rPr>
                    <w:t>,
2012-06-29,
Žin., 2012, Nr.
79-4111 (2012-07-05), i. k. 1122330ISAK003D-527        </w:t>
                  </w:r>
                </w:p>
                <w:p/>
              </w:sdtContent>
            </w:sdt>
            <w:sdt>
              <w:sdtPr>
                <w:alias w:val="17 p."/>
                <w:tag w:val="part_7e58e3b8ee794fdf9e704c013156f203"/>
                <w:lock w:val="sdtLocked"/>
                <w:richText/>
              </w:sdtPr>
              <w:sdtContent>
                <w:p>
                  <w:pPr>
                    <w:ind w:firstLine="567"/>
                    <w:jc w:val="both"/>
                    <w:textAlignment w:val="center"/>
                  </w:pPr>
                  <w:sdt>
                    <w:sdtPr>
                      <w:alias w:val="Numeris"/>
                      <w:tag w:val="nr_7e58e3b8ee794fdf9e704c013156f203"/>
                      <w:lock w:val="sdtLocked"/>
                      <w:richText/>
                    </w:sdtPr>
                    <w:sdtContent>
                      <w:r>
                        <w:rPr>
                          <w:szCs w:val="24"/>
                          <w:lang w:eastAsia="lt-LT"/>
                        </w:rPr>
                        <w:t>17</w:t>
                      </w:r>
                    </w:sdtContent>
                  </w:sdt>
                  <w:r>
                    <w:rPr>
                      <w:szCs w:val="24"/>
                      <w:lang w:eastAsia="lt-LT"/>
                    </w:rPr>
                    <w:t>. Už Lietuvoje auginamų augalų, grybų, ūkinių gyvūnų, žuvų SGP apskaičiavimą ir pajamų iš paslaugų žemės ūkiui teikimo normatyvo nustatymą, aktualaus Žemės ūkio naudmenų ir kitų plotų klasifikatoriaus (Paramos už žemės ūkio naudmenas ir kitus plotus bei gyvulius paraiškos ir tiesioginių išmokų administravimo bei kontrolės taisyklių, patvirtintų Lietuvos Respublikos žemės ūkio ministro 2023 m. vasario 20 d. įsakymu Nr. 3D-92 „</w:t>
                  </w:r>
                  <w:r>
                    <w:t>Dėl Paramos už žemės ūkio naudmenas ir kitus plotus bei gyvulius paraiškos ir tiesioginių išmokų administravimo bei kontrolės taisyklių patvirtinimo„</w:t>
                  </w:r>
                  <w:r>
                    <w:rPr>
                      <w:szCs w:val="24"/>
                      <w:lang w:eastAsia="lt-LT"/>
                    </w:rPr>
                    <w:t xml:space="preserve"> 2 priedas) augalų priskyrimą Tvarkos aprašo 1 priede nurodytoms žemės ūkio produkcijos rūšims atsakingas ŽŪDC. Atliktas aktualaus Žemės ūkio naudmenų ir kitų plotų klasifikatoriaus augalų priskyrimas Tvarkos aprašo 1 priede nurodytoms žemės ūkio produkcijos rūšims rašytiniu būdu suderinamas su Žemės ūkio ministerija.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7238e60c81e11e69dec860c1f4a5372">
                    <w:r w:rsidRPr="00532B9F">
                      <w:rPr>
                        <w:rFonts w:ascii="Arial" w:eastAsia="MS Mincho" w:hAnsi="Arial"/>
                        <w:sz w:val="20"/>
                        <w:i/>
                        <w:iCs/>
                        <w:color w:val="0000FF" w:themeColor="hyperlink"/>
                        <w:u w:val="single"/>
                      </w:rPr>
                      <w:t>3D-758</w:t>
                    </w:r>
                  </w:fldSimple>
                  <w:r>
                    <w:rPr>
                      <w:rFonts w:ascii="Arial" w:eastAsia="MS Mincho" w:hAnsi="Arial"/>
                      <w:sz w:val="20"/>
                      <w:i/>
                      <w:iCs/>
                    </w:rPr>
                    <w:t>,
2016-12-22,
paskelbta TAR 2016-12-23, i. k. 2016-29349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36d1330b19111eba871a26c1fc3fbc1">
                    <w:r w:rsidRPr="00532B9F">
                      <w:rPr>
                        <w:rFonts w:ascii="Arial" w:eastAsia="MS Mincho" w:hAnsi="Arial"/>
                        <w:sz w:val="20"/>
                        <w:i/>
                        <w:iCs/>
                        <w:color w:val="0000FF" w:themeColor="hyperlink"/>
                        <w:u w:val="single"/>
                      </w:rPr>
                      <w:t>3D-313</w:t>
                    </w:r>
                  </w:fldSimple>
                  <w:r>
                    <w:rPr>
                      <w:rFonts w:ascii="Arial" w:eastAsia="MS Mincho" w:hAnsi="Arial"/>
                      <w:sz w:val="20"/>
                      <w:i/>
                      <w:iCs/>
                    </w:rPr>
                    <w:t>,
2021-05-10,
paskelbta TAR 2021-05-10, i. k. 2021-10363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0baf3076d311edbc04912defe897d1">
                    <w:r w:rsidRPr="00532B9F">
                      <w:rPr>
                        <w:rFonts w:ascii="Arial" w:eastAsia="MS Mincho" w:hAnsi="Arial"/>
                        <w:sz w:val="20"/>
                        <w:i/>
                        <w:iCs/>
                        <w:color w:val="0000FF" w:themeColor="hyperlink"/>
                        <w:u w:val="single"/>
                      </w:rPr>
                      <w:t>3D-784</w:t>
                    </w:r>
                  </w:fldSimple>
                  <w:r>
                    <w:rPr>
                      <w:rFonts w:ascii="Arial" w:eastAsia="MS Mincho" w:hAnsi="Arial"/>
                      <w:sz w:val="20"/>
                      <w:i/>
                      <w:iCs/>
                    </w:rPr>
                    <w:t>,
2022-12-08,
paskelbta TAR 2022-12-08, i. k. 2022-25057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c81cb6768311efabdbb4a1fc8b0b63">
                    <w:r w:rsidRPr="00532B9F">
                      <w:rPr>
                        <w:rFonts w:ascii="Arial" w:eastAsia="MS Mincho" w:hAnsi="Arial"/>
                        <w:sz w:val="20"/>
                        <w:i/>
                        <w:iCs/>
                        <w:color w:val="0000FF" w:themeColor="hyperlink"/>
                        <w:u w:val="single"/>
                      </w:rPr>
                      <w:t>3D-669</w:t>
                    </w:r>
                  </w:fldSimple>
                  <w:r>
                    <w:rPr>
                      <w:rFonts w:ascii="Arial" w:eastAsia="MS Mincho" w:hAnsi="Arial"/>
                      <w:sz w:val="20"/>
                      <w:i/>
                      <w:iCs/>
                    </w:rPr>
                    <w:t>,
2024-09-19,
paskelbta TAR 2024-09-19, i. k. 2024-16415            </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7934BAA529C2">
                    <w:r w:rsidRPr="00532B9F">
                      <w:rPr>
                        <w:rFonts w:ascii="Arial" w:eastAsia="MS Mincho" w:hAnsi="Arial"/>
                        <w:sz w:val="20"/>
                        <w:i/>
                        <w:iCs/>
                        <w:color w:val="0000FF" w:themeColor="hyperlink"/>
                        <w:u w:val="single"/>
                      </w:rPr>
                      <w:t>3D-527</w:t>
                    </w:r>
                  </w:fldSimple>
                  <w:r>
                    <w:rPr>
                      <w:rFonts w:ascii="Arial" w:eastAsia="MS Mincho" w:hAnsi="Arial"/>
                      <w:sz w:val="20"/>
                      <w:i/>
                      <w:iCs/>
                    </w:rPr>
                    <w:t>,
2012-06-29,
Žin., 2012, Nr.
79-4111 (2012-07-05), i. k. 1122330ISAK003D-527        </w:t>
                  </w:r>
                </w:p>
                <w:p/>
              </w:sdtContent>
            </w:sdt>
            <w:sdt>
              <w:sdtPr>
                <w:alias w:val="18 p."/>
                <w:tag w:val="part_404399c932924cbdafddb867526ece1a"/>
                <w:lock w:val="sdtLocked"/>
                <w:richText/>
              </w:sdtPr>
              <w:sdtContent>
                <w:p>
                  <w:pPr>
                    <w:ind w:firstLine="567"/>
                    <w:jc w:val="both"/>
                    <w:textAlignment w:val="baseline"/>
                    <w:rPr>
                      <w:i/>
                    </w:rPr>
                  </w:pPr>
                  <w:sdt>
                    <w:sdtPr>
                      <w:alias w:val="Numeris"/>
                      <w:tag w:val="nr_404399c932924cbdafddb867526ece1a"/>
                      <w:lock w:val="sdtLocked"/>
                      <w:richText/>
                    </w:sdtPr>
                    <w:sdtContent>
                      <w:r>
                        <w:rPr>
                          <w:szCs w:val="24"/>
                        </w:rPr>
                        <w:t>18</w:t>
                      </w:r>
                    </w:sdtContent>
                  </w:sdt>
                  <w:r>
                    <w:rPr>
                      <w:szCs w:val="24"/>
                    </w:rPr>
                    <w:t xml:space="preserve">. </w:t>
                  </w:r>
                  <w:r>
                    <w:rPr>
                      <w:color w:val="000000"/>
                    </w:rPr>
                    <w:t xml:space="preserve">Už </w:t>
                  </w:r>
                  <w:r>
                    <w:rPr>
                      <w:color w:val="000000"/>
                      <w:spacing w:val="2"/>
                    </w:rPr>
                    <w:t>valdos ar ūkio</w:t>
                  </w:r>
                  <w:r>
                    <w:rPr>
                      <w:color w:val="000000"/>
                    </w:rPr>
                    <w:t xml:space="preserve"> bendrojo SGP ir ekonominio dydžio apskaičiavimą ir ekonominio dydžio pateikimą </w:t>
                  </w:r>
                  <w:r>
                    <w:rPr>
                      <w:color w:val="000000"/>
                      <w:spacing w:val="2"/>
                    </w:rPr>
                    <w:t>valdų ar ūkių valdytojams</w:t>
                  </w:r>
                  <w:r>
                    <w:rPr>
                      <w:color w:val="000000"/>
                    </w:rPr>
                    <w:t xml:space="preserve"> ir valstybės institucijoms bei aktualaus pasėlių klasifikatoriaus, suderinto su žemės ūkio produkcijos rūšimis, paskelbimą </w:t>
                  </w:r>
                  <w:r>
                    <w:rPr>
                      <w:color w:val="000000"/>
                      <w:szCs w:val="24"/>
                    </w:rPr>
                    <w:t>ŽŪDC</w:t>
                  </w:r>
                  <w:r>
                    <w:rPr>
                      <w:color w:val="000000"/>
                    </w:rPr>
                    <w:t xml:space="preserve"> interneto svetainėje atsakingas </w:t>
                  </w:r>
                  <w:r>
                    <w:rPr>
                      <w:color w:val="000000"/>
                      <w:szCs w:val="24"/>
                    </w:rPr>
                    <w:t>ŽŪDC</w:t>
                  </w:r>
                  <w:r>
                    <w:rPr>
                      <w:color w:val="000000"/>
                    </w:rPr>
                    <w:t>.</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78015787E0EF">
                    <w:r w:rsidRPr="00532B9F">
                      <w:rPr>
                        <w:rFonts w:ascii="Arial" w:eastAsia="MS Mincho" w:hAnsi="Arial"/>
                        <w:sz w:val="20"/>
                        <w:i/>
                        <w:iCs/>
                        <w:color w:val="0000FF" w:themeColor="hyperlink"/>
                        <w:u w:val="single"/>
                      </w:rPr>
                      <w:t>3D-969</w:t>
                    </w:r>
                  </w:fldSimple>
                  <w:r>
                    <w:rPr>
                      <w:rFonts w:ascii="Arial" w:eastAsia="MS Mincho" w:hAnsi="Arial"/>
                      <w:sz w:val="20"/>
                      <w:i/>
                      <w:iCs/>
                    </w:rPr>
                    <w:t>,
2012-12-31,
Žin., 2013, Nr.
1-10 (2013-01-03), i. k. 1122330ISAK003D-969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0baf3076d311edbc04912defe897d1">
                    <w:r w:rsidRPr="00532B9F">
                      <w:rPr>
                        <w:rFonts w:ascii="Arial" w:eastAsia="MS Mincho" w:hAnsi="Arial"/>
                        <w:sz w:val="20"/>
                        <w:i/>
                        <w:iCs/>
                        <w:color w:val="0000FF" w:themeColor="hyperlink"/>
                        <w:u w:val="single"/>
                      </w:rPr>
                      <w:t>3D-784</w:t>
                    </w:r>
                  </w:fldSimple>
                  <w:r>
                    <w:rPr>
                      <w:rFonts w:ascii="Arial" w:eastAsia="MS Mincho" w:hAnsi="Arial"/>
                      <w:sz w:val="20"/>
                      <w:i/>
                      <w:iCs/>
                    </w:rPr>
                    <w:t>,
2022-12-08,
paskelbta TAR 2022-12-08, i. k. 2022-25057            </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7934BAA529C2">
                    <w:r w:rsidRPr="00532B9F">
                      <w:rPr>
                        <w:rFonts w:ascii="Arial" w:eastAsia="MS Mincho" w:hAnsi="Arial"/>
                        <w:sz w:val="20"/>
                        <w:i/>
                        <w:iCs/>
                        <w:color w:val="0000FF" w:themeColor="hyperlink"/>
                        <w:u w:val="single"/>
                      </w:rPr>
                      <w:t>3D-527</w:t>
                    </w:r>
                  </w:fldSimple>
                  <w:r>
                    <w:rPr>
                      <w:rFonts w:ascii="Arial" w:eastAsia="MS Mincho" w:hAnsi="Arial"/>
                      <w:sz w:val="20"/>
                      <w:i/>
                      <w:iCs/>
                    </w:rPr>
                    <w:t>,
2012-06-29,
Žin., 2012, Nr.
79-4111 (2012-07-05), i. k. 1122330ISAK003D-527        </w:t>
                  </w:r>
                </w:p>
                <w:p/>
              </w:sdtContent>
            </w:sdt>
          </w:sdtContent>
        </w:sdt>
        <w:sdt>
          <w:sdtPr>
            <w:alias w:val="skyrius"/>
            <w:tag w:val="part_04a6ddc83bff425bb2fdfe41035c019e"/>
            <w:lock w:val="sdtLocked"/>
            <w:richText/>
          </w:sdtPr>
          <w:sdtContent>
            <w:p>
              <w:pPr>
                <w:jc w:val="center"/>
                <w:rPr>
                  <w:b/>
                  <w:bCs/>
                  <w:caps/>
                </w:rPr>
              </w:pPr>
              <w:sdt>
                <w:sdtPr>
                  <w:alias w:val="Numeris"/>
                  <w:tag w:val="nr_04a6ddc83bff425bb2fdfe41035c019e"/>
                  <w:lock w:val="sdtLocked"/>
                  <w:richText/>
                </w:sdtPr>
                <w:sdtContent>
                  <w:r>
                    <w:rPr>
                      <w:b/>
                      <w:bCs/>
                      <w:caps/>
                    </w:rPr>
                    <w:t>V</w:t>
                  </w:r>
                </w:sdtContent>
              </w:sdt>
              <w:r>
                <w:rPr>
                  <w:b/>
                  <w:bCs/>
                  <w:caps/>
                </w:rPr>
                <w:t xml:space="preserve">. </w:t>
              </w:r>
              <w:sdt>
                <w:sdtPr>
                  <w:alias w:val="Pavadinimas"/>
                  <w:tag w:val="title_04a6ddc83bff425bb2fdfe41035c019e"/>
                  <w:lock w:val="sdtLocked"/>
                  <w:richText/>
                </w:sdtPr>
                <w:sdtContent>
                  <w:r>
                    <w:rPr>
                      <w:b/>
                      <w:bCs/>
                      <w:caps/>
                    </w:rPr>
                    <w:t>BAIGIAMOSIOS NUOSTATOS</w:t>
                  </w:r>
                </w:sdtContent>
              </w:sdt>
            </w:p>
            <w:p>
              <w:pPr>
                <w:ind w:firstLine="567"/>
                <w:jc w:val="both"/>
              </w:pPr>
            </w:p>
            <w:sdt>
              <w:sdtPr>
                <w:alias w:val="19 p."/>
                <w:tag w:val="part_c5d5efc0a0a5409eaccfe1b635295059"/>
                <w:lock w:val="sdtLocked"/>
                <w:richText/>
              </w:sdtPr>
              <w:sdtContent>
                <w:p>
                  <w:pPr>
                    <w:ind w:firstLine="567"/>
                    <w:jc w:val="both"/>
                    <w:textAlignment w:val="baseline"/>
                  </w:pPr>
                  <w:sdt>
                    <w:sdtPr>
                      <w:alias w:val="Numeris"/>
                      <w:tag w:val="nr_c5d5efc0a0a5409eaccfe1b635295059"/>
                      <w:lock w:val="sdtLocked"/>
                      <w:richText/>
                    </w:sdtPr>
                    <w:sdtContent>
                      <w:r>
                        <w:rPr>
                          <w:szCs w:val="24"/>
                        </w:rPr>
                        <w:t>19</w:t>
                      </w:r>
                    </w:sdtContent>
                  </w:sdt>
                  <w:r>
                    <w:rPr>
                      <w:szCs w:val="24"/>
                    </w:rPr>
                    <w:t>. Valdos ar ūkio valdytojas, nesutinkantis su valdos ar ūkio bendrojo SGP ir ekonominio dydžio apskaičiavimo rezultatais, gali kreiptis į ŽŪDC ir patikslinti savo valdos ar ūkio duomenis arba skųsti atitinkamos institucijos veiksmus (neveikimą) teisės aktų nustatyta tvarka.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0baf3076d311edbc04912defe897d1">
                    <w:r w:rsidRPr="00532B9F">
                      <w:rPr>
                        <w:rFonts w:ascii="Arial" w:eastAsia="MS Mincho" w:hAnsi="Arial"/>
                        <w:sz w:val="20"/>
                        <w:i/>
                        <w:iCs/>
                        <w:color w:val="0000FF" w:themeColor="hyperlink"/>
                        <w:u w:val="single"/>
                      </w:rPr>
                      <w:t>3D-784</w:t>
                    </w:r>
                  </w:fldSimple>
                  <w:r>
                    <w:rPr>
                      <w:rFonts w:ascii="Arial" w:eastAsia="MS Mincho" w:hAnsi="Arial"/>
                      <w:sz w:val="20"/>
                      <w:i/>
                      <w:iCs/>
                    </w:rPr>
                    <w:t>,
2022-12-08,
paskelbta TAR 2022-12-08, i. k. 2022-25057            </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7934BAA529C2">
                    <w:r w:rsidRPr="00532B9F">
                      <w:rPr>
                        <w:rFonts w:ascii="Arial" w:eastAsia="MS Mincho" w:hAnsi="Arial"/>
                        <w:sz w:val="20"/>
                        <w:i/>
                        <w:iCs/>
                        <w:color w:val="0000FF" w:themeColor="hyperlink"/>
                        <w:u w:val="single"/>
                      </w:rPr>
                      <w:t>3D-527</w:t>
                    </w:r>
                  </w:fldSimple>
                  <w:r>
                    <w:rPr>
                      <w:rFonts w:ascii="Arial" w:eastAsia="MS Mincho" w:hAnsi="Arial"/>
                      <w:sz w:val="20"/>
                      <w:i/>
                      <w:iCs/>
                    </w:rPr>
                    <w:t>,
2012-06-29,
Žin., 2012, Nr.
79-4111 (2012-07-05), i. k. 1122330ISAK003D-527        </w:t>
                  </w:r>
                </w:p>
                <w:p/>
              </w:sdtContent>
            </w:sdt>
            <w:sdt>
              <w:sdtPr>
                <w:alias w:val="20 p."/>
                <w:tag w:val="part_409b8096ed3b467289cc00368dffb701"/>
                <w:lock w:val="sdtLocked"/>
                <w:richText/>
              </w:sdtPr>
              <w:sdtContent>
                <w:p>
                  <w:pPr>
                    <w:ind w:firstLine="567"/>
                    <w:jc w:val="both"/>
                  </w:pPr>
                  <w:sdt>
                    <w:sdtPr>
                      <w:alias w:val="Numeris"/>
                      <w:tag w:val="nr_409b8096ed3b467289cc00368dffb701"/>
                      <w:lock w:val="sdtLocked"/>
                      <w:richText/>
                    </w:sdtPr>
                    <w:sdtContent>
                      <w:r>
                        <w:t>20</w:t>
                      </w:r>
                    </w:sdtContent>
                  </w:sdt>
                  <w:r>
                    <w:t>. Už teikiamų duomenų teisingumą, tikslumą ir išsamumą atsako duomenų teikėjas.</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7934BAA529C2">
                    <w:r w:rsidRPr="00532B9F">
                      <w:rPr>
                        <w:rFonts w:ascii="Arial" w:eastAsia="MS Mincho" w:hAnsi="Arial"/>
                        <w:sz w:val="20"/>
                        <w:i/>
                        <w:iCs/>
                        <w:color w:val="0000FF" w:themeColor="hyperlink"/>
                        <w:u w:val="single"/>
                      </w:rPr>
                      <w:t>3D-527</w:t>
                    </w:r>
                  </w:fldSimple>
                  <w:r>
                    <w:rPr>
                      <w:rFonts w:ascii="Arial" w:eastAsia="MS Mincho" w:hAnsi="Arial"/>
                      <w:sz w:val="20"/>
                      <w:i/>
                      <w:iCs/>
                    </w:rPr>
                    <w:t>,
2012-06-29,
Žin., 2012, Nr.
79-4111 (2012-07-05), i. k. 1122330ISAK003D-527        </w:t>
                  </w:r>
                </w:p>
                <w:p/>
              </w:sdtContent>
            </w:sdt>
            <w:sdt>
              <w:sdtPr>
                <w:alias w:val="21 p."/>
                <w:tag w:val="part_18f2946faa724f598f0328062ce47dc2"/>
                <w:lock w:val="sdtLocked"/>
                <w:richText/>
              </w:sdtPr>
              <w:sdtContent>
                <w:p>
                  <w:pPr>
                    <w:ind w:firstLine="567"/>
                    <w:jc w:val="both"/>
                  </w:pPr>
                  <w:sdt>
                    <w:sdtPr>
                      <w:alias w:val="Numeris"/>
                      <w:tag w:val="nr_18f2946faa724f598f0328062ce47dc2"/>
                      <w:lock w:val="sdtLocked"/>
                      <w:richText/>
                    </w:sdtPr>
                    <w:sdtContent>
                      <w:r>
                        <w:t>21</w:t>
                      </w:r>
                    </w:sdtContent>
                  </w:sdt>
                  <w:r>
                    <w:t>. Valdos ar ūkio bendrojo SGP ir ekonominio dydžio apskaičiavimo pavyzdys pateikiamas 2 priede.</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7934BAA529C2">
                    <w:r w:rsidRPr="00532B9F">
                      <w:rPr>
                        <w:rFonts w:ascii="Arial" w:eastAsia="MS Mincho" w:hAnsi="Arial"/>
                        <w:sz w:val="20"/>
                        <w:i/>
                        <w:iCs/>
                        <w:color w:val="0000FF" w:themeColor="hyperlink"/>
                        <w:u w:val="single"/>
                      </w:rPr>
                      <w:t>3D-527</w:t>
                    </w:r>
                  </w:fldSimple>
                  <w:r>
                    <w:rPr>
                      <w:rFonts w:ascii="Arial" w:eastAsia="MS Mincho" w:hAnsi="Arial"/>
                      <w:sz w:val="20"/>
                      <w:i/>
                      <w:iCs/>
                    </w:rPr>
                    <w:t>,
2012-06-29,
Žin., 2012, Nr.
79-4111 (2012-07-05), i. k. 1122330ISAK003D-527        </w:t>
                  </w:r>
                </w:p>
                <w:p/>
              </w:sdtContent>
            </w:sdt>
          </w:sdtContent>
        </w:sdt>
        <w:sdt>
          <w:sdtPr>
            <w:alias w:val="pabaiga"/>
            <w:tag w:val="part_fcc0a4e592d84970aca535459962bd1a"/>
            <w:lock w:val="sdtLocked"/>
            <w:richText/>
          </w:sdtPr>
          <w:sdtContent>
            <w:p>
              <w:pPr>
                <w:jc w:val="center"/>
              </w:pPr>
              <w:r>
                <w:t>_________________</w:t>
              </w:r>
            </w:p>
          </w:sdtContent>
        </w:sdt>
      </w:sdtContent>
    </w:sdt>
    <w:sdt>
      <w:sdtPr>
        <w:alias w:val="1 pr."/>
        <w:tag w:val="part_1684646f46d04bd98208a9a465e4c134"/>
        <w:lock w:val="sdtLocked"/>
        <w:richText/>
      </w:sdtPr>
      <w:sdtContent>
        <w:p>
          <w:pPr>
            <w:overflowPunct w:val="0"/>
            <w:spacing w:line="360" w:lineRule="auto"/>
            <w:jc w:val="both"/>
            <w:textAlignment w:val="baseline"/>
            <w:sectPr>
              <w:pgSz w:w="11907" w:h="16840"/>
              <w:pgMar w:top="1247" w:right="567" w:bottom="1134" w:left="1701" w:header="567" w:footer="567" w:gutter="0"/>
              <w:pgNumType w:start="1"/>
              <w:cols w:space="1296"/>
              <w:titlePg/>
              <w:docGrid w:linePitch="326"/>
            </w:sectPr>
          </w:pPr>
        </w:p>
        <w:p>
          <w:pPr>
            <w:tabs>
              <w:tab w:val="left" w:pos="1304"/>
              <w:tab w:val="left" w:pos="1457"/>
              <w:tab w:val="left" w:pos="1604"/>
              <w:tab w:val="left" w:pos="1757"/>
            </w:tabs>
            <w:overflowPunct w:val="0"/>
            <w:ind w:left="5953"/>
            <w:jc w:val="both"/>
            <w:textAlignment w:val="baseline"/>
            <w:rPr>
              <w:sz w:val="22"/>
              <w:szCs w:val="22"/>
            </w:rPr>
          </w:pPr>
          <w:r>
            <w:rPr>
              <w:sz w:val="22"/>
              <w:szCs w:val="22"/>
            </w:rPr>
            <w:t>Žemės ūkio valdos ar ūkio bendrojo</w:t>
          </w:r>
        </w:p>
        <w:p>
          <w:pPr>
            <w:tabs>
              <w:tab w:val="left" w:pos="1304"/>
              <w:tab w:val="left" w:pos="1457"/>
              <w:tab w:val="left" w:pos="1604"/>
              <w:tab w:val="left" w:pos="1757"/>
            </w:tabs>
            <w:overflowPunct w:val="0"/>
            <w:ind w:left="5953"/>
            <w:jc w:val="both"/>
            <w:textAlignment w:val="baseline"/>
            <w:rPr>
              <w:sz w:val="22"/>
              <w:szCs w:val="22"/>
            </w:rPr>
          </w:pPr>
          <w:r>
            <w:rPr>
              <w:sz w:val="22"/>
              <w:szCs w:val="22"/>
            </w:rPr>
            <w:t>standartinio gamybinio pelno ir</w:t>
          </w:r>
        </w:p>
        <w:p>
          <w:pPr>
            <w:tabs>
              <w:tab w:val="left" w:pos="1304"/>
              <w:tab w:val="left" w:pos="1457"/>
              <w:tab w:val="left" w:pos="1604"/>
              <w:tab w:val="left" w:pos="1757"/>
            </w:tabs>
            <w:overflowPunct w:val="0"/>
            <w:ind w:left="5953"/>
            <w:jc w:val="both"/>
            <w:textAlignment w:val="baseline"/>
            <w:rPr>
              <w:sz w:val="22"/>
              <w:szCs w:val="22"/>
            </w:rPr>
          </w:pPr>
          <w:r>
            <w:rPr>
              <w:sz w:val="22"/>
              <w:szCs w:val="22"/>
            </w:rPr>
            <w:t>ekonominio dydžio, išreiškiamo</w:t>
          </w:r>
        </w:p>
        <w:p>
          <w:pPr>
            <w:tabs>
              <w:tab w:val="left" w:pos="1304"/>
              <w:tab w:val="left" w:pos="1457"/>
              <w:tab w:val="left" w:pos="1604"/>
              <w:tab w:val="left" w:pos="1757"/>
            </w:tabs>
            <w:overflowPunct w:val="0"/>
            <w:ind w:left="5953"/>
            <w:jc w:val="both"/>
            <w:textAlignment w:val="baseline"/>
            <w:rPr>
              <w:sz w:val="22"/>
              <w:szCs w:val="22"/>
            </w:rPr>
          </w:pPr>
          <w:r>
            <w:rPr>
              <w:sz w:val="22"/>
              <w:szCs w:val="22"/>
            </w:rPr>
            <w:t>ekonominio dydžio vienetais,</w:t>
          </w:r>
        </w:p>
        <w:p>
          <w:pPr>
            <w:tabs>
              <w:tab w:val="left" w:pos="1304"/>
              <w:tab w:val="left" w:pos="1457"/>
              <w:tab w:val="left" w:pos="1604"/>
              <w:tab w:val="left" w:pos="1757"/>
            </w:tabs>
            <w:overflowPunct w:val="0"/>
            <w:ind w:left="5953"/>
            <w:jc w:val="both"/>
            <w:textAlignment w:val="baseline"/>
            <w:rPr>
              <w:sz w:val="22"/>
              <w:szCs w:val="22"/>
            </w:rPr>
          </w:pPr>
          <w:r>
            <w:rPr>
              <w:sz w:val="22"/>
              <w:szCs w:val="22"/>
            </w:rPr>
            <w:t xml:space="preserve">apskaičiavimo tvarkos aprašo </w:t>
          </w:r>
        </w:p>
        <w:p>
          <w:pPr>
            <w:tabs>
              <w:tab w:val="left" w:pos="1304"/>
              <w:tab w:val="left" w:pos="1457"/>
              <w:tab w:val="left" w:pos="1604"/>
              <w:tab w:val="left" w:pos="1757"/>
            </w:tabs>
            <w:overflowPunct w:val="0"/>
            <w:ind w:left="5953"/>
            <w:jc w:val="both"/>
            <w:textAlignment w:val="baseline"/>
            <w:rPr>
              <w:sz w:val="22"/>
              <w:szCs w:val="22"/>
            </w:rPr>
          </w:pPr>
          <w:r>
            <w:rPr>
              <w:sz w:val="22"/>
              <w:szCs w:val="22"/>
            </w:rPr>
            <w:t>1 priedas</w:t>
          </w:r>
        </w:p>
        <w:p>
          <w:pPr>
            <w:overflowPunct w:val="0"/>
            <w:ind w:firstLine="312"/>
            <w:jc w:val="both"/>
            <w:textAlignment w:val="baseline"/>
            <w:rPr>
              <w:rFonts w:eastAsia="Calibri"/>
              <w:sz w:val="22"/>
            </w:rPr>
          </w:pPr>
        </w:p>
        <w:p>
          <w:pPr>
            <w:overflowPunct w:val="0"/>
            <w:ind w:firstLine="312"/>
            <w:jc w:val="both"/>
            <w:textAlignment w:val="baseline"/>
            <w:rPr>
              <w:rFonts w:eastAsia="Calibri"/>
              <w:sz w:val="22"/>
            </w:rPr>
          </w:pPr>
        </w:p>
        <w:p>
          <w:pPr>
            <w:overflowPunct w:val="0"/>
            <w:jc w:val="center"/>
            <w:textAlignment w:val="baseline"/>
            <w:rPr>
              <w:caps/>
              <w:sz w:val="22"/>
            </w:rPr>
          </w:pPr>
          <w:sdt>
            <w:sdtPr>
              <w:alias w:val="Pavadinimas"/>
              <w:tag w:val="title_1684646f46d04bd98208a9a465e4c134"/>
              <w:lock w:val="sdtLocked"/>
              <w:richText/>
            </w:sdtPr>
            <w:sdtContent>
              <w:r>
                <w:rPr>
                  <w:b/>
                  <w:bCs/>
                  <w:caps/>
                  <w:sz w:val="22"/>
                </w:rPr>
                <w:t>ŽEMĖS ŪKIO PRODUKCIJOS RŪŠIŲ SGP*</w:t>
              </w:r>
            </w:sdtContent>
          </w:sdt>
          <w:r>
            <w:rPr>
              <w:b/>
              <w:bCs/>
              <w:caps/>
              <w:sz w:val="22"/>
            </w:rPr>
            <w:t> </w:t>
          </w:r>
        </w:p>
        <w:p>
          <w:pPr>
            <w:tabs>
              <w:tab w:val="left" w:pos="4507"/>
              <w:tab w:val="left" w:pos="7087"/>
            </w:tabs>
            <w:overflowPunct w:val="0"/>
            <w:jc w:val="both"/>
            <w:textAlignment w:val="baseline"/>
            <w:rPr>
              <w:rFonts w:eastAsia="Calibri"/>
              <w:sz w:val="22"/>
            </w:rPr>
          </w:pPr>
        </w:p>
        <w:tbl>
          <w:tblPr>
            <w:tblW w:w="985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388"/>
            <w:gridCol w:w="2280"/>
            <w:gridCol w:w="2186"/>
          </w:tblGrid>
          <w:tr>
            <w:trPr>
              <w:cantSplit/>
              <w:tblHeader/>
            </w:trPr>
            <w:tc>
              <w:tcPr>
                <w:tcW w:w="5388" w:type="dxa"/>
              </w:tcPr>
              <w:p>
                <w:pPr>
                  <w:overflowPunct w:val="0"/>
                  <w:jc w:val="center"/>
                  <w:textAlignment w:val="baseline"/>
                  <w:rPr>
                    <w:rFonts w:ascii="Calibri" w:hAnsi="Calibri"/>
                    <w:b/>
                  </w:rPr>
                </w:pPr>
                <w:r>
                  <w:rPr>
                    <w:b/>
                    <w:sz w:val="22"/>
                  </w:rPr>
                  <w:t>Pavadinimas</w:t>
                </w:r>
              </w:p>
            </w:tc>
            <w:tc>
              <w:tcPr>
                <w:tcW w:w="2280" w:type="dxa"/>
              </w:tcPr>
              <w:p>
                <w:pPr>
                  <w:overflowPunct w:val="0"/>
                  <w:jc w:val="center"/>
                  <w:textAlignment w:val="baseline"/>
                  <w:rPr>
                    <w:rFonts w:ascii="Calibri" w:hAnsi="Calibri"/>
                    <w:b/>
                  </w:rPr>
                </w:pPr>
                <w:r>
                  <w:rPr>
                    <w:b/>
                    <w:sz w:val="22"/>
                  </w:rPr>
                  <w:t>Matavimo vienetas</w:t>
                </w:r>
              </w:p>
            </w:tc>
            <w:tc>
              <w:tcPr>
                <w:tcW w:w="2186" w:type="dxa"/>
              </w:tcPr>
              <w:p>
                <w:pPr>
                  <w:overflowPunct w:val="0"/>
                  <w:jc w:val="right"/>
                  <w:textAlignment w:val="baseline"/>
                  <w:rPr>
                    <w:rFonts w:ascii="Calibri" w:hAnsi="Calibri"/>
                    <w:b/>
                  </w:rPr>
                </w:pPr>
                <w:r>
                  <w:rPr>
                    <w:b/>
                    <w:sz w:val="22"/>
                  </w:rPr>
                  <w:t>Reikšmė, Eur</w:t>
                </w:r>
              </w:p>
            </w:tc>
          </w:tr>
          <w:tr>
            <w:tc>
              <w:tcPr>
                <w:tcW w:w="5388" w:type="dxa"/>
              </w:tcPr>
              <w:p>
                <w:pPr>
                  <w:overflowPunct w:val="0"/>
                  <w:jc w:val="both"/>
                  <w:textAlignment w:val="baseline"/>
                  <w:rPr>
                    <w:rFonts w:ascii="Calibri" w:hAnsi="Calibri"/>
                  </w:rPr>
                </w:pPr>
                <w:r>
                  <w:rPr>
                    <w:sz w:val="22"/>
                  </w:rPr>
                  <w:t>Kviečiai</w:t>
                </w:r>
              </w:p>
            </w:tc>
            <w:tc>
              <w:tcPr>
                <w:tcW w:w="2280" w:type="dxa"/>
              </w:tcPr>
              <w:p>
                <w:pPr>
                  <w:overflowPunct w:val="0"/>
                  <w:jc w:val="center"/>
                  <w:textAlignment w:val="baseline"/>
                  <w:rPr>
                    <w:rFonts w:ascii="Calibri" w:hAnsi="Calibri"/>
                  </w:rPr>
                </w:pPr>
                <w:r>
                  <w:rPr>
                    <w:sz w:val="22"/>
                  </w:rPr>
                  <w:t>ha</w:t>
                </w:r>
              </w:p>
            </w:tc>
            <w:tc>
              <w:tcPr>
                <w:tcW w:w="2186" w:type="dxa"/>
              </w:tcPr>
              <w:p>
                <w:pPr>
                  <w:overflowPunct w:val="0"/>
                  <w:ind w:right="57" w:firstLine="55"/>
                  <w:jc w:val="right"/>
                  <w:textAlignment w:val="baseline"/>
                  <w:rPr>
                    <w:rFonts w:ascii="Calibri" w:hAnsi="Calibri"/>
                  </w:rPr>
                </w:pPr>
                <w:r>
                  <w:rPr>
                    <w:sz w:val="22"/>
                  </w:rPr>
                  <w:t>272</w:t>
                </w:r>
              </w:p>
            </w:tc>
          </w:tr>
          <w:tr>
            <w:tc>
              <w:tcPr>
                <w:tcW w:w="5388" w:type="dxa"/>
              </w:tcPr>
              <w:p>
                <w:pPr>
                  <w:overflowPunct w:val="0"/>
                  <w:jc w:val="both"/>
                  <w:textAlignment w:val="baseline"/>
                  <w:rPr>
                    <w:rFonts w:ascii="Calibri" w:hAnsi="Calibri"/>
                  </w:rPr>
                </w:pPr>
                <w:r>
                  <w:rPr>
                    <w:sz w:val="22"/>
                  </w:rPr>
                  <w:t>Rugiai</w:t>
                </w:r>
              </w:p>
            </w:tc>
            <w:tc>
              <w:tcPr>
                <w:tcW w:w="2280" w:type="dxa"/>
              </w:tcPr>
              <w:p>
                <w:pPr>
                  <w:overflowPunct w:val="0"/>
                  <w:jc w:val="center"/>
                  <w:textAlignment w:val="baseline"/>
                  <w:rPr>
                    <w:rFonts w:ascii="Calibri" w:hAnsi="Calibri"/>
                  </w:rPr>
                </w:pPr>
                <w:r>
                  <w:rPr>
                    <w:sz w:val="22"/>
                  </w:rPr>
                  <w:t>ha</w:t>
                </w:r>
              </w:p>
            </w:tc>
            <w:tc>
              <w:tcPr>
                <w:tcW w:w="2186" w:type="dxa"/>
              </w:tcPr>
              <w:p>
                <w:pPr>
                  <w:overflowPunct w:val="0"/>
                  <w:ind w:right="57"/>
                  <w:jc w:val="right"/>
                  <w:textAlignment w:val="baseline"/>
                  <w:rPr>
                    <w:rFonts w:ascii="Calibri" w:hAnsi="Calibri"/>
                  </w:rPr>
                </w:pPr>
                <w:r>
                  <w:rPr>
                    <w:sz w:val="22"/>
                  </w:rPr>
                  <w:t>160</w:t>
                </w:r>
              </w:p>
            </w:tc>
          </w:tr>
          <w:tr>
            <w:tc>
              <w:tcPr>
                <w:tcW w:w="5388" w:type="dxa"/>
              </w:tcPr>
              <w:p>
                <w:pPr>
                  <w:overflowPunct w:val="0"/>
                  <w:jc w:val="both"/>
                  <w:textAlignment w:val="baseline"/>
                  <w:rPr>
                    <w:rFonts w:ascii="Calibri" w:hAnsi="Calibri"/>
                  </w:rPr>
                </w:pPr>
                <w:r>
                  <w:rPr>
                    <w:sz w:val="22"/>
                  </w:rPr>
                  <w:t>Miežiai</w:t>
                </w:r>
              </w:p>
            </w:tc>
            <w:tc>
              <w:tcPr>
                <w:tcW w:w="2280" w:type="dxa"/>
              </w:tcPr>
              <w:p>
                <w:pPr>
                  <w:overflowPunct w:val="0"/>
                  <w:jc w:val="center"/>
                  <w:textAlignment w:val="baseline"/>
                  <w:rPr>
                    <w:rFonts w:ascii="Calibri" w:hAnsi="Calibri"/>
                  </w:rPr>
                </w:pPr>
                <w:r>
                  <w:rPr>
                    <w:sz w:val="22"/>
                  </w:rPr>
                  <w:t>ha</w:t>
                </w:r>
              </w:p>
            </w:tc>
            <w:tc>
              <w:tcPr>
                <w:tcW w:w="2186" w:type="dxa"/>
              </w:tcPr>
              <w:p>
                <w:pPr>
                  <w:overflowPunct w:val="0"/>
                  <w:ind w:right="57"/>
                  <w:jc w:val="right"/>
                  <w:textAlignment w:val="baseline"/>
                  <w:rPr>
                    <w:rFonts w:ascii="Calibri" w:hAnsi="Calibri"/>
                  </w:rPr>
                </w:pPr>
                <w:r>
                  <w:rPr>
                    <w:sz w:val="22"/>
                  </w:rPr>
                  <w:t>214</w:t>
                </w:r>
              </w:p>
            </w:tc>
          </w:tr>
          <w:tr>
            <w:tc>
              <w:tcPr>
                <w:tcW w:w="5388" w:type="dxa"/>
              </w:tcPr>
              <w:p>
                <w:pPr>
                  <w:overflowPunct w:val="0"/>
                  <w:jc w:val="both"/>
                  <w:textAlignment w:val="baseline"/>
                  <w:rPr>
                    <w:rFonts w:ascii="Calibri" w:hAnsi="Calibri"/>
                  </w:rPr>
                </w:pPr>
                <w:r>
                  <w:rPr>
                    <w:sz w:val="22"/>
                  </w:rPr>
                  <w:t>Avižos</w:t>
                </w:r>
              </w:p>
            </w:tc>
            <w:tc>
              <w:tcPr>
                <w:tcW w:w="2280" w:type="dxa"/>
              </w:tcPr>
              <w:p>
                <w:pPr>
                  <w:overflowPunct w:val="0"/>
                  <w:jc w:val="center"/>
                  <w:textAlignment w:val="baseline"/>
                  <w:rPr>
                    <w:rFonts w:ascii="Calibri" w:hAnsi="Calibri"/>
                  </w:rPr>
                </w:pPr>
                <w:r>
                  <w:rPr>
                    <w:sz w:val="22"/>
                  </w:rPr>
                  <w:t>ha</w:t>
                </w:r>
              </w:p>
            </w:tc>
            <w:tc>
              <w:tcPr>
                <w:tcW w:w="2186" w:type="dxa"/>
              </w:tcPr>
              <w:p>
                <w:pPr>
                  <w:overflowPunct w:val="0"/>
                  <w:ind w:right="57"/>
                  <w:jc w:val="right"/>
                  <w:textAlignment w:val="baseline"/>
                  <w:rPr>
                    <w:rFonts w:ascii="Calibri" w:hAnsi="Calibri"/>
                  </w:rPr>
                </w:pPr>
                <w:r>
                  <w:rPr>
                    <w:sz w:val="22"/>
                  </w:rPr>
                  <w:t>144</w:t>
                </w:r>
              </w:p>
            </w:tc>
          </w:tr>
          <w:tr>
            <w:tc>
              <w:tcPr>
                <w:tcW w:w="5388" w:type="dxa"/>
              </w:tcPr>
              <w:p>
                <w:pPr>
                  <w:overflowPunct w:val="0"/>
                  <w:jc w:val="both"/>
                  <w:textAlignment w:val="baseline"/>
                  <w:rPr>
                    <w:rFonts w:ascii="Calibri" w:hAnsi="Calibri"/>
                  </w:rPr>
                </w:pPr>
                <w:r>
                  <w:rPr>
                    <w:sz w:val="22"/>
                  </w:rPr>
                  <w:t>Kukurūzai grūdams</w:t>
                </w:r>
              </w:p>
            </w:tc>
            <w:tc>
              <w:tcPr>
                <w:tcW w:w="2280" w:type="dxa"/>
              </w:tcPr>
              <w:p>
                <w:pPr>
                  <w:overflowPunct w:val="0"/>
                  <w:jc w:val="center"/>
                  <w:textAlignment w:val="baseline"/>
                  <w:rPr>
                    <w:rFonts w:ascii="Calibri" w:hAnsi="Calibri"/>
                  </w:rPr>
                </w:pPr>
                <w:r>
                  <w:rPr>
                    <w:sz w:val="22"/>
                  </w:rPr>
                  <w:t>ha</w:t>
                </w:r>
              </w:p>
            </w:tc>
            <w:tc>
              <w:tcPr>
                <w:tcW w:w="2186" w:type="dxa"/>
              </w:tcPr>
              <w:p>
                <w:pPr>
                  <w:overflowPunct w:val="0"/>
                  <w:ind w:right="57"/>
                  <w:jc w:val="right"/>
                  <w:textAlignment w:val="baseline"/>
                  <w:rPr>
                    <w:rFonts w:ascii="Calibri" w:hAnsi="Calibri"/>
                  </w:rPr>
                </w:pPr>
                <w:r>
                  <w:rPr>
                    <w:sz w:val="22"/>
                  </w:rPr>
                  <w:t>235</w:t>
                </w:r>
              </w:p>
            </w:tc>
          </w:tr>
          <w:tr>
            <w:tc>
              <w:tcPr>
                <w:tcW w:w="5388" w:type="dxa"/>
              </w:tcPr>
              <w:p>
                <w:pPr>
                  <w:overflowPunct w:val="0"/>
                  <w:jc w:val="both"/>
                  <w:textAlignment w:val="baseline"/>
                  <w:rPr>
                    <w:rFonts w:ascii="Calibri" w:hAnsi="Calibri"/>
                  </w:rPr>
                </w:pPr>
                <w:r>
                  <w:rPr>
                    <w:sz w:val="22"/>
                  </w:rPr>
                  <w:t>Kiti grūdiniai augalai</w:t>
                </w:r>
              </w:p>
            </w:tc>
            <w:tc>
              <w:tcPr>
                <w:tcW w:w="2280" w:type="dxa"/>
              </w:tcPr>
              <w:p>
                <w:pPr>
                  <w:overflowPunct w:val="0"/>
                  <w:jc w:val="center"/>
                  <w:textAlignment w:val="baseline"/>
                  <w:rPr>
                    <w:rFonts w:ascii="Calibri" w:hAnsi="Calibri"/>
                  </w:rPr>
                </w:pPr>
                <w:r>
                  <w:rPr>
                    <w:sz w:val="22"/>
                  </w:rPr>
                  <w:t>ha</w:t>
                </w:r>
              </w:p>
            </w:tc>
            <w:tc>
              <w:tcPr>
                <w:tcW w:w="2186" w:type="dxa"/>
              </w:tcPr>
              <w:p>
                <w:pPr>
                  <w:overflowPunct w:val="0"/>
                  <w:ind w:right="57"/>
                  <w:jc w:val="right"/>
                  <w:textAlignment w:val="baseline"/>
                  <w:rPr>
                    <w:rFonts w:ascii="Calibri" w:hAnsi="Calibri"/>
                  </w:rPr>
                </w:pPr>
                <w:r>
                  <w:rPr>
                    <w:sz w:val="22"/>
                  </w:rPr>
                  <w:t>162</w:t>
                </w:r>
              </w:p>
            </w:tc>
          </w:tr>
          <w:tr>
            <w:tc>
              <w:tcPr>
                <w:tcW w:w="5388" w:type="dxa"/>
              </w:tcPr>
              <w:p>
                <w:pPr>
                  <w:overflowPunct w:val="0"/>
                  <w:jc w:val="both"/>
                  <w:textAlignment w:val="baseline"/>
                  <w:rPr>
                    <w:rFonts w:ascii="Calibri" w:hAnsi="Calibri"/>
                  </w:rPr>
                </w:pPr>
                <w:r>
                  <w:rPr>
                    <w:sz w:val="22"/>
                  </w:rPr>
                  <w:t>Ankštiniai javai</w:t>
                </w:r>
              </w:p>
            </w:tc>
            <w:tc>
              <w:tcPr>
                <w:tcW w:w="2280" w:type="dxa"/>
              </w:tcPr>
              <w:p>
                <w:pPr>
                  <w:overflowPunct w:val="0"/>
                  <w:jc w:val="center"/>
                  <w:textAlignment w:val="baseline"/>
                  <w:rPr>
                    <w:rFonts w:ascii="Calibri" w:hAnsi="Calibri"/>
                  </w:rPr>
                </w:pPr>
                <w:r>
                  <w:rPr>
                    <w:sz w:val="22"/>
                  </w:rPr>
                  <w:t>ha</w:t>
                </w:r>
              </w:p>
            </w:tc>
            <w:tc>
              <w:tcPr>
                <w:tcW w:w="2186" w:type="dxa"/>
              </w:tcPr>
              <w:p>
                <w:pPr>
                  <w:overflowPunct w:val="0"/>
                  <w:ind w:right="57"/>
                  <w:jc w:val="right"/>
                  <w:textAlignment w:val="baseline"/>
                  <w:rPr>
                    <w:rFonts w:ascii="Calibri" w:hAnsi="Calibri"/>
                  </w:rPr>
                </w:pPr>
                <w:r>
                  <w:rPr>
                    <w:sz w:val="22"/>
                  </w:rPr>
                  <w:t>220</w:t>
                </w:r>
              </w:p>
            </w:tc>
          </w:tr>
          <w:tr>
            <w:tc>
              <w:tcPr>
                <w:tcW w:w="5388" w:type="dxa"/>
              </w:tcPr>
              <w:p>
                <w:pPr>
                  <w:overflowPunct w:val="0"/>
                  <w:jc w:val="both"/>
                  <w:textAlignment w:val="baseline"/>
                  <w:rPr>
                    <w:rFonts w:ascii="Calibri" w:hAnsi="Calibri"/>
                  </w:rPr>
                </w:pPr>
                <w:r>
                  <w:rPr>
                    <w:sz w:val="22"/>
                  </w:rPr>
                  <w:t>Bulvės</w:t>
                </w:r>
              </w:p>
            </w:tc>
            <w:tc>
              <w:tcPr>
                <w:tcW w:w="2280" w:type="dxa"/>
              </w:tcPr>
              <w:p>
                <w:pPr>
                  <w:overflowPunct w:val="0"/>
                  <w:jc w:val="center"/>
                  <w:textAlignment w:val="baseline"/>
                  <w:rPr>
                    <w:rFonts w:ascii="Calibri" w:hAnsi="Calibri"/>
                  </w:rPr>
                </w:pPr>
                <w:r>
                  <w:rPr>
                    <w:sz w:val="22"/>
                  </w:rPr>
                  <w:t>ha</w:t>
                </w:r>
              </w:p>
            </w:tc>
            <w:tc>
              <w:tcPr>
                <w:tcW w:w="2186" w:type="dxa"/>
              </w:tcPr>
              <w:p>
                <w:pPr>
                  <w:overflowPunct w:val="0"/>
                  <w:ind w:right="57"/>
                  <w:jc w:val="right"/>
                  <w:textAlignment w:val="baseline"/>
                  <w:rPr>
                    <w:rFonts w:ascii="Calibri" w:hAnsi="Calibri"/>
                  </w:rPr>
                </w:pPr>
                <w:r>
                  <w:rPr>
                    <w:sz w:val="22"/>
                  </w:rPr>
                  <w:t>765</w:t>
                </w:r>
              </w:p>
            </w:tc>
          </w:tr>
          <w:tr>
            <w:tc>
              <w:tcPr>
                <w:tcW w:w="5388" w:type="dxa"/>
              </w:tcPr>
              <w:p>
                <w:pPr>
                  <w:overflowPunct w:val="0"/>
                  <w:jc w:val="both"/>
                  <w:textAlignment w:val="baseline"/>
                  <w:rPr>
                    <w:rFonts w:ascii="Calibri" w:hAnsi="Calibri"/>
                  </w:rPr>
                </w:pPr>
                <w:r>
                  <w:rPr>
                    <w:sz w:val="22"/>
                  </w:rPr>
                  <w:t>Cukriniai runkeliai</w:t>
                </w:r>
              </w:p>
            </w:tc>
            <w:tc>
              <w:tcPr>
                <w:tcW w:w="2280" w:type="dxa"/>
              </w:tcPr>
              <w:p>
                <w:pPr>
                  <w:overflowPunct w:val="0"/>
                  <w:jc w:val="center"/>
                  <w:textAlignment w:val="baseline"/>
                  <w:rPr>
                    <w:rFonts w:ascii="Calibri" w:hAnsi="Calibri"/>
                  </w:rPr>
                </w:pPr>
                <w:r>
                  <w:rPr>
                    <w:sz w:val="22"/>
                  </w:rPr>
                  <w:t>ha</w:t>
                </w:r>
              </w:p>
            </w:tc>
            <w:tc>
              <w:tcPr>
                <w:tcW w:w="2186" w:type="dxa"/>
              </w:tcPr>
              <w:p>
                <w:pPr>
                  <w:overflowPunct w:val="0"/>
                  <w:ind w:right="57"/>
                  <w:jc w:val="right"/>
                  <w:textAlignment w:val="baseline"/>
                  <w:rPr>
                    <w:rFonts w:ascii="Calibri" w:hAnsi="Calibri"/>
                  </w:rPr>
                </w:pPr>
                <w:r>
                  <w:rPr>
                    <w:sz w:val="22"/>
                  </w:rPr>
                  <w:t>1261</w:t>
                </w:r>
              </w:p>
            </w:tc>
          </w:tr>
          <w:tr>
            <w:tc>
              <w:tcPr>
                <w:tcW w:w="5388" w:type="dxa"/>
              </w:tcPr>
              <w:p>
                <w:pPr>
                  <w:overflowPunct w:val="0"/>
                  <w:jc w:val="both"/>
                  <w:textAlignment w:val="baseline"/>
                  <w:rPr>
                    <w:rFonts w:ascii="Calibri" w:hAnsi="Calibri"/>
                  </w:rPr>
                </w:pPr>
                <w:r>
                  <w:rPr>
                    <w:sz w:val="22"/>
                  </w:rPr>
                  <w:t>Pašariniai šakniavaisiai</w:t>
                </w:r>
              </w:p>
            </w:tc>
            <w:tc>
              <w:tcPr>
                <w:tcW w:w="2280" w:type="dxa"/>
              </w:tcPr>
              <w:p>
                <w:pPr>
                  <w:overflowPunct w:val="0"/>
                  <w:jc w:val="center"/>
                  <w:textAlignment w:val="baseline"/>
                  <w:rPr>
                    <w:rFonts w:ascii="Calibri" w:hAnsi="Calibri"/>
                  </w:rPr>
                </w:pPr>
                <w:r>
                  <w:rPr>
                    <w:sz w:val="22"/>
                  </w:rPr>
                  <w:t>ha</w:t>
                </w:r>
              </w:p>
            </w:tc>
            <w:tc>
              <w:tcPr>
                <w:tcW w:w="2186" w:type="dxa"/>
              </w:tcPr>
              <w:p>
                <w:pPr>
                  <w:overflowPunct w:val="0"/>
                  <w:ind w:right="57"/>
                  <w:jc w:val="right"/>
                  <w:textAlignment w:val="baseline"/>
                  <w:rPr>
                    <w:rFonts w:ascii="Calibri" w:hAnsi="Calibri"/>
                  </w:rPr>
                </w:pPr>
                <w:r>
                  <w:rPr>
                    <w:sz w:val="22"/>
                  </w:rPr>
                  <w:t>350</w:t>
                </w:r>
              </w:p>
            </w:tc>
          </w:tr>
          <w:tr>
            <w:tc>
              <w:tcPr>
                <w:tcW w:w="5388" w:type="dxa"/>
              </w:tcPr>
              <w:p>
                <w:pPr>
                  <w:overflowPunct w:val="0"/>
                  <w:jc w:val="both"/>
                  <w:textAlignment w:val="baseline"/>
                  <w:rPr>
                    <w:rFonts w:ascii="Calibri" w:hAnsi="Calibri"/>
                  </w:rPr>
                </w:pPr>
                <w:r>
                  <w:rPr>
                    <w:sz w:val="22"/>
                  </w:rPr>
                  <w:t>Lauko daržovės, braškės</w:t>
                </w:r>
              </w:p>
            </w:tc>
            <w:tc>
              <w:tcPr>
                <w:tcW w:w="2280" w:type="dxa"/>
              </w:tcPr>
              <w:p>
                <w:pPr>
                  <w:overflowPunct w:val="0"/>
                  <w:jc w:val="center"/>
                  <w:textAlignment w:val="baseline"/>
                  <w:rPr>
                    <w:rFonts w:ascii="Calibri" w:hAnsi="Calibri"/>
                  </w:rPr>
                </w:pPr>
                <w:r>
                  <w:rPr>
                    <w:sz w:val="22"/>
                  </w:rPr>
                  <w:t>ha</w:t>
                </w:r>
              </w:p>
            </w:tc>
            <w:tc>
              <w:tcPr>
                <w:tcW w:w="2186" w:type="dxa"/>
              </w:tcPr>
              <w:p>
                <w:pPr>
                  <w:overflowPunct w:val="0"/>
                  <w:ind w:right="57"/>
                  <w:jc w:val="right"/>
                  <w:textAlignment w:val="baseline"/>
                  <w:rPr>
                    <w:rFonts w:ascii="Calibri" w:hAnsi="Calibri"/>
                  </w:rPr>
                </w:pPr>
                <w:r>
                  <w:rPr>
                    <w:sz w:val="22"/>
                  </w:rPr>
                  <w:t>1313</w:t>
                </w:r>
              </w:p>
            </w:tc>
          </w:tr>
          <w:tr>
            <w:tc>
              <w:tcPr>
                <w:tcW w:w="5388" w:type="dxa"/>
              </w:tcPr>
              <w:p>
                <w:pPr>
                  <w:overflowPunct w:val="0"/>
                  <w:jc w:val="both"/>
                  <w:textAlignment w:val="baseline"/>
                  <w:rPr>
                    <w:rFonts w:ascii="Calibri" w:hAnsi="Calibri"/>
                  </w:rPr>
                </w:pPr>
                <w:r>
                  <w:rPr>
                    <w:sz w:val="22"/>
                  </w:rPr>
                  <w:t>Uždaro grunto daržovės, braškės</w:t>
                </w:r>
              </w:p>
            </w:tc>
            <w:tc>
              <w:tcPr>
                <w:tcW w:w="2280" w:type="dxa"/>
              </w:tcPr>
              <w:p>
                <w:pPr>
                  <w:overflowPunct w:val="0"/>
                  <w:jc w:val="center"/>
                  <w:textAlignment w:val="baseline"/>
                  <w:rPr>
                    <w:rFonts w:ascii="Calibri" w:hAnsi="Calibri"/>
                  </w:rPr>
                </w:pPr>
                <w:r>
                  <w:rPr>
                    <w:sz w:val="22"/>
                  </w:rPr>
                  <w:t>ha</w:t>
                </w:r>
              </w:p>
            </w:tc>
            <w:tc>
              <w:tcPr>
                <w:tcW w:w="2186" w:type="dxa"/>
              </w:tcPr>
              <w:p>
                <w:pPr>
                  <w:overflowPunct w:val="0"/>
                  <w:ind w:right="57"/>
                  <w:jc w:val="right"/>
                  <w:textAlignment w:val="baseline"/>
                  <w:rPr>
                    <w:rFonts w:ascii="Calibri" w:hAnsi="Calibri"/>
                  </w:rPr>
                </w:pPr>
                <w:r>
                  <w:rPr>
                    <w:sz w:val="22"/>
                  </w:rPr>
                  <w:t>23773</w:t>
                </w:r>
              </w:p>
            </w:tc>
          </w:tr>
          <w:tr>
            <w:tc>
              <w:tcPr>
                <w:tcW w:w="5388" w:type="dxa"/>
              </w:tcPr>
              <w:p>
                <w:pPr>
                  <w:overflowPunct w:val="0"/>
                  <w:jc w:val="both"/>
                  <w:textAlignment w:val="baseline"/>
                  <w:rPr>
                    <w:rFonts w:ascii="Calibri" w:hAnsi="Calibri"/>
                  </w:rPr>
                </w:pPr>
                <w:r>
                  <w:rPr>
                    <w:sz w:val="22"/>
                  </w:rPr>
                  <w:t>Lauko gėlės</w:t>
                </w:r>
              </w:p>
            </w:tc>
            <w:tc>
              <w:tcPr>
                <w:tcW w:w="2280" w:type="dxa"/>
              </w:tcPr>
              <w:p>
                <w:pPr>
                  <w:overflowPunct w:val="0"/>
                  <w:jc w:val="center"/>
                  <w:textAlignment w:val="baseline"/>
                  <w:rPr>
                    <w:rFonts w:ascii="Calibri" w:hAnsi="Calibri"/>
                  </w:rPr>
                </w:pPr>
                <w:r>
                  <w:rPr>
                    <w:sz w:val="22"/>
                  </w:rPr>
                  <w:t>ha</w:t>
                </w:r>
              </w:p>
            </w:tc>
            <w:tc>
              <w:tcPr>
                <w:tcW w:w="2186" w:type="dxa"/>
              </w:tcPr>
              <w:p>
                <w:pPr>
                  <w:overflowPunct w:val="0"/>
                  <w:ind w:right="57"/>
                  <w:jc w:val="right"/>
                  <w:textAlignment w:val="baseline"/>
                  <w:rPr>
                    <w:rFonts w:ascii="Calibri" w:hAnsi="Calibri"/>
                  </w:rPr>
                </w:pPr>
                <w:r>
                  <w:rPr>
                    <w:sz w:val="22"/>
                  </w:rPr>
                  <w:t>1313</w:t>
                </w:r>
              </w:p>
            </w:tc>
          </w:tr>
          <w:tr>
            <w:tc>
              <w:tcPr>
                <w:tcW w:w="5388" w:type="dxa"/>
              </w:tcPr>
              <w:p>
                <w:pPr>
                  <w:overflowPunct w:val="0"/>
                  <w:jc w:val="both"/>
                  <w:textAlignment w:val="baseline"/>
                  <w:rPr>
                    <w:rFonts w:ascii="Calibri" w:hAnsi="Calibri"/>
                  </w:rPr>
                </w:pPr>
                <w:r>
                  <w:rPr>
                    <w:sz w:val="22"/>
                  </w:rPr>
                  <w:t>Šiltnaminės gėlės</w:t>
                </w:r>
              </w:p>
            </w:tc>
            <w:tc>
              <w:tcPr>
                <w:tcW w:w="2280" w:type="dxa"/>
              </w:tcPr>
              <w:p>
                <w:pPr>
                  <w:overflowPunct w:val="0"/>
                  <w:jc w:val="center"/>
                  <w:textAlignment w:val="baseline"/>
                  <w:rPr>
                    <w:rFonts w:ascii="Calibri" w:hAnsi="Calibri"/>
                  </w:rPr>
                </w:pPr>
                <w:r>
                  <w:rPr>
                    <w:sz w:val="22"/>
                  </w:rPr>
                  <w:t>ha</w:t>
                </w:r>
              </w:p>
            </w:tc>
            <w:tc>
              <w:tcPr>
                <w:tcW w:w="2186" w:type="dxa"/>
              </w:tcPr>
              <w:p>
                <w:pPr>
                  <w:overflowPunct w:val="0"/>
                  <w:ind w:right="57"/>
                  <w:jc w:val="right"/>
                  <w:textAlignment w:val="baseline"/>
                  <w:rPr>
                    <w:rFonts w:ascii="Calibri" w:hAnsi="Calibri"/>
                    <w:strike/>
                  </w:rPr>
                </w:pPr>
                <w:r>
                  <w:rPr>
                    <w:sz w:val="22"/>
                  </w:rPr>
                  <w:t>23773</w:t>
                </w:r>
              </w:p>
            </w:tc>
          </w:tr>
          <w:tr>
            <w:tc>
              <w:tcPr>
                <w:tcW w:w="5388" w:type="dxa"/>
              </w:tcPr>
              <w:p>
                <w:pPr>
                  <w:overflowPunct w:val="0"/>
                  <w:jc w:val="both"/>
                  <w:textAlignment w:val="baseline"/>
                  <w:rPr>
                    <w:rFonts w:ascii="Calibri" w:hAnsi="Calibri"/>
                  </w:rPr>
                </w:pPr>
                <w:r>
                  <w:rPr>
                    <w:sz w:val="22"/>
                  </w:rPr>
                  <w:t>Vienmetės ir daugiametės žolės (mažiau kaip 5 metų)</w:t>
                </w:r>
              </w:p>
            </w:tc>
            <w:tc>
              <w:tcPr>
                <w:tcW w:w="2280" w:type="dxa"/>
              </w:tcPr>
              <w:p>
                <w:pPr>
                  <w:overflowPunct w:val="0"/>
                  <w:jc w:val="center"/>
                  <w:textAlignment w:val="baseline"/>
                  <w:rPr>
                    <w:rFonts w:ascii="Calibri" w:hAnsi="Calibri"/>
                  </w:rPr>
                </w:pPr>
                <w:r>
                  <w:rPr>
                    <w:sz w:val="22"/>
                  </w:rPr>
                  <w:t>ha</w:t>
                </w:r>
              </w:p>
            </w:tc>
            <w:tc>
              <w:tcPr>
                <w:tcW w:w="2186" w:type="dxa"/>
              </w:tcPr>
              <w:p>
                <w:pPr>
                  <w:overflowPunct w:val="0"/>
                  <w:ind w:right="57"/>
                  <w:jc w:val="right"/>
                  <w:textAlignment w:val="baseline"/>
                  <w:rPr>
                    <w:rFonts w:ascii="Calibri" w:hAnsi="Calibri"/>
                  </w:rPr>
                </w:pPr>
                <w:r>
                  <w:rPr>
                    <w:sz w:val="22"/>
                  </w:rPr>
                  <w:t>49</w:t>
                </w:r>
              </w:p>
            </w:tc>
          </w:tr>
          <w:tr>
            <w:tc>
              <w:tcPr>
                <w:tcW w:w="5388" w:type="dxa"/>
              </w:tcPr>
              <w:p>
                <w:pPr>
                  <w:overflowPunct w:val="0"/>
                  <w:jc w:val="both"/>
                  <w:textAlignment w:val="baseline"/>
                  <w:rPr>
                    <w:rFonts w:ascii="Calibri" w:hAnsi="Calibri"/>
                  </w:rPr>
                </w:pPr>
                <w:r>
                  <w:rPr>
                    <w:sz w:val="22"/>
                  </w:rPr>
                  <w:t>Kukurūzai žaliajam pašarui</w:t>
                </w:r>
              </w:p>
            </w:tc>
            <w:tc>
              <w:tcPr>
                <w:tcW w:w="2280" w:type="dxa"/>
              </w:tcPr>
              <w:p>
                <w:pPr>
                  <w:overflowPunct w:val="0"/>
                  <w:jc w:val="center"/>
                  <w:textAlignment w:val="baseline"/>
                  <w:rPr>
                    <w:rFonts w:ascii="Calibri" w:hAnsi="Calibri"/>
                  </w:rPr>
                </w:pPr>
                <w:r>
                  <w:rPr>
                    <w:sz w:val="22"/>
                  </w:rPr>
                  <w:t>ha</w:t>
                </w:r>
              </w:p>
            </w:tc>
            <w:tc>
              <w:tcPr>
                <w:tcW w:w="2186" w:type="dxa"/>
              </w:tcPr>
              <w:p>
                <w:pPr>
                  <w:overflowPunct w:val="0"/>
                  <w:ind w:right="57"/>
                  <w:jc w:val="right"/>
                  <w:textAlignment w:val="baseline"/>
                  <w:rPr>
                    <w:rFonts w:ascii="Calibri" w:hAnsi="Calibri"/>
                  </w:rPr>
                </w:pPr>
                <w:r>
                  <w:rPr>
                    <w:sz w:val="22"/>
                  </w:rPr>
                  <w:t>194</w:t>
                </w:r>
              </w:p>
            </w:tc>
          </w:tr>
          <w:tr>
            <w:tc>
              <w:tcPr>
                <w:tcW w:w="5388" w:type="dxa"/>
              </w:tcPr>
              <w:p>
                <w:pPr>
                  <w:overflowPunct w:val="0"/>
                  <w:jc w:val="both"/>
                  <w:textAlignment w:val="baseline"/>
                  <w:rPr>
                    <w:rFonts w:ascii="Calibri" w:hAnsi="Calibri"/>
                  </w:rPr>
                </w:pPr>
                <w:r>
                  <w:rPr>
                    <w:sz w:val="22"/>
                  </w:rPr>
                  <w:t>Kiti pašariniai augalai</w:t>
                </w:r>
              </w:p>
            </w:tc>
            <w:tc>
              <w:tcPr>
                <w:tcW w:w="2280" w:type="dxa"/>
              </w:tcPr>
              <w:p>
                <w:pPr>
                  <w:overflowPunct w:val="0"/>
                  <w:jc w:val="center"/>
                  <w:textAlignment w:val="baseline"/>
                  <w:rPr>
                    <w:rFonts w:ascii="Calibri" w:hAnsi="Calibri"/>
                  </w:rPr>
                </w:pPr>
                <w:r>
                  <w:rPr>
                    <w:sz w:val="22"/>
                  </w:rPr>
                  <w:t>ha</w:t>
                </w:r>
              </w:p>
            </w:tc>
            <w:tc>
              <w:tcPr>
                <w:tcW w:w="2186" w:type="dxa"/>
              </w:tcPr>
              <w:p>
                <w:pPr>
                  <w:overflowPunct w:val="0"/>
                  <w:ind w:right="57"/>
                  <w:jc w:val="right"/>
                  <w:textAlignment w:val="baseline"/>
                  <w:rPr>
                    <w:rFonts w:ascii="Calibri" w:hAnsi="Calibri"/>
                  </w:rPr>
                </w:pPr>
                <w:r>
                  <w:rPr>
                    <w:sz w:val="22"/>
                  </w:rPr>
                  <w:t>105</w:t>
                </w:r>
              </w:p>
            </w:tc>
          </w:tr>
          <w:tr>
            <w:tc>
              <w:tcPr>
                <w:tcW w:w="5388" w:type="dxa"/>
              </w:tcPr>
              <w:p>
                <w:pPr>
                  <w:overflowPunct w:val="0"/>
                  <w:jc w:val="both"/>
                  <w:textAlignment w:val="baseline"/>
                  <w:rPr>
                    <w:rFonts w:ascii="Calibri" w:hAnsi="Calibri"/>
                  </w:rPr>
                </w:pPr>
                <w:r>
                  <w:rPr>
                    <w:sz w:val="22"/>
                  </w:rPr>
                  <w:t>Sėklos ir sodinukai</w:t>
                </w:r>
              </w:p>
            </w:tc>
            <w:tc>
              <w:tcPr>
                <w:tcW w:w="2280" w:type="dxa"/>
              </w:tcPr>
              <w:p>
                <w:pPr>
                  <w:overflowPunct w:val="0"/>
                  <w:jc w:val="center"/>
                  <w:textAlignment w:val="baseline"/>
                  <w:rPr>
                    <w:rFonts w:ascii="Calibri" w:hAnsi="Calibri"/>
                  </w:rPr>
                </w:pPr>
                <w:r>
                  <w:rPr>
                    <w:sz w:val="22"/>
                  </w:rPr>
                  <w:t>ha</w:t>
                </w:r>
              </w:p>
            </w:tc>
            <w:tc>
              <w:tcPr>
                <w:tcW w:w="2186" w:type="dxa"/>
              </w:tcPr>
              <w:p>
                <w:pPr>
                  <w:overflowPunct w:val="0"/>
                  <w:ind w:right="57"/>
                  <w:jc w:val="right"/>
                  <w:textAlignment w:val="baseline"/>
                  <w:rPr>
                    <w:rFonts w:ascii="Calibri" w:hAnsi="Calibri"/>
                  </w:rPr>
                </w:pPr>
                <w:r>
                  <w:rPr>
                    <w:sz w:val="22"/>
                  </w:rPr>
                  <w:t>384</w:t>
                </w:r>
              </w:p>
            </w:tc>
          </w:tr>
          <w:tr>
            <w:tc>
              <w:tcPr>
                <w:tcW w:w="5388" w:type="dxa"/>
              </w:tcPr>
              <w:p>
                <w:pPr>
                  <w:overflowPunct w:val="0"/>
                  <w:jc w:val="both"/>
                  <w:textAlignment w:val="baseline"/>
                  <w:rPr>
                    <w:rFonts w:ascii="Calibri" w:hAnsi="Calibri"/>
                  </w:rPr>
                </w:pPr>
                <w:r>
                  <w:rPr>
                    <w:sz w:val="22"/>
                  </w:rPr>
                  <w:t>Kiti augalai</w:t>
                </w:r>
              </w:p>
            </w:tc>
            <w:tc>
              <w:tcPr>
                <w:tcW w:w="2280" w:type="dxa"/>
              </w:tcPr>
              <w:p>
                <w:pPr>
                  <w:overflowPunct w:val="0"/>
                  <w:jc w:val="center"/>
                  <w:textAlignment w:val="baseline"/>
                  <w:rPr>
                    <w:rFonts w:ascii="Calibri" w:hAnsi="Calibri"/>
                  </w:rPr>
                </w:pPr>
                <w:r>
                  <w:rPr>
                    <w:sz w:val="22"/>
                  </w:rPr>
                  <w:t>ha</w:t>
                </w:r>
              </w:p>
            </w:tc>
            <w:tc>
              <w:tcPr>
                <w:tcW w:w="2186" w:type="dxa"/>
              </w:tcPr>
              <w:p>
                <w:pPr>
                  <w:overflowPunct w:val="0"/>
                  <w:ind w:right="57"/>
                  <w:jc w:val="right"/>
                  <w:textAlignment w:val="baseline"/>
                  <w:rPr>
                    <w:rFonts w:ascii="Calibri" w:hAnsi="Calibri"/>
                  </w:rPr>
                </w:pPr>
                <w:r>
                  <w:rPr>
                    <w:sz w:val="22"/>
                  </w:rPr>
                  <w:t>198</w:t>
                </w:r>
              </w:p>
            </w:tc>
          </w:tr>
          <w:tr>
            <w:tc>
              <w:tcPr>
                <w:tcW w:w="5388" w:type="dxa"/>
              </w:tcPr>
              <w:p>
                <w:pPr>
                  <w:overflowPunct w:val="0"/>
                  <w:jc w:val="both"/>
                  <w:textAlignment w:val="baseline"/>
                  <w:rPr>
                    <w:rFonts w:ascii="Calibri" w:hAnsi="Calibri"/>
                  </w:rPr>
                </w:pPr>
                <w:r>
                  <w:rPr>
                    <w:sz w:val="22"/>
                  </w:rPr>
                  <w:t>Pūdymai</w:t>
                </w:r>
              </w:p>
            </w:tc>
            <w:tc>
              <w:tcPr>
                <w:tcW w:w="2280" w:type="dxa"/>
              </w:tcPr>
              <w:p>
                <w:pPr>
                  <w:overflowPunct w:val="0"/>
                  <w:jc w:val="center"/>
                  <w:textAlignment w:val="baseline"/>
                  <w:rPr>
                    <w:rFonts w:ascii="Calibri" w:hAnsi="Calibri"/>
                  </w:rPr>
                </w:pPr>
                <w:r>
                  <w:rPr>
                    <w:sz w:val="22"/>
                  </w:rPr>
                  <w:t>ha</w:t>
                </w:r>
              </w:p>
            </w:tc>
            <w:tc>
              <w:tcPr>
                <w:tcW w:w="2186" w:type="dxa"/>
              </w:tcPr>
              <w:p>
                <w:pPr>
                  <w:overflowPunct w:val="0"/>
                  <w:ind w:right="57"/>
                  <w:jc w:val="right"/>
                  <w:textAlignment w:val="baseline"/>
                  <w:rPr>
                    <w:rFonts w:ascii="Calibri" w:hAnsi="Calibri"/>
                  </w:rPr>
                </w:pPr>
                <w:r>
                  <w:rPr>
                    <w:sz w:val="22"/>
                  </w:rPr>
                  <w:t>24</w:t>
                </w:r>
              </w:p>
            </w:tc>
          </w:tr>
          <w:tr>
            <w:tc>
              <w:tcPr>
                <w:tcW w:w="5388" w:type="dxa"/>
              </w:tcPr>
              <w:p>
                <w:pPr>
                  <w:overflowPunct w:val="0"/>
                  <w:jc w:val="both"/>
                  <w:textAlignment w:val="baseline"/>
                  <w:rPr>
                    <w:rFonts w:ascii="Calibri" w:hAnsi="Calibri"/>
                  </w:rPr>
                </w:pPr>
                <w:r>
                  <w:rPr>
                    <w:sz w:val="22"/>
                  </w:rPr>
                  <w:t>Rapsai</w:t>
                </w:r>
              </w:p>
            </w:tc>
            <w:tc>
              <w:tcPr>
                <w:tcW w:w="2280" w:type="dxa"/>
              </w:tcPr>
              <w:p>
                <w:pPr>
                  <w:overflowPunct w:val="0"/>
                  <w:jc w:val="center"/>
                  <w:textAlignment w:val="baseline"/>
                  <w:rPr>
                    <w:rFonts w:ascii="Calibri" w:hAnsi="Calibri"/>
                  </w:rPr>
                </w:pPr>
                <w:r>
                  <w:rPr>
                    <w:sz w:val="22"/>
                  </w:rPr>
                  <w:t>ha</w:t>
                </w:r>
              </w:p>
            </w:tc>
            <w:tc>
              <w:tcPr>
                <w:tcW w:w="2186" w:type="dxa"/>
              </w:tcPr>
              <w:p>
                <w:pPr>
                  <w:overflowPunct w:val="0"/>
                  <w:ind w:right="57"/>
                  <w:jc w:val="right"/>
                  <w:textAlignment w:val="baseline"/>
                  <w:rPr>
                    <w:rFonts w:ascii="Calibri" w:hAnsi="Calibri"/>
                  </w:rPr>
                </w:pPr>
                <w:r>
                  <w:rPr>
                    <w:sz w:val="22"/>
                  </w:rPr>
                  <w:t>333</w:t>
                </w:r>
              </w:p>
            </w:tc>
          </w:tr>
          <w:tr>
            <w:tc>
              <w:tcPr>
                <w:tcW w:w="5388" w:type="dxa"/>
              </w:tcPr>
              <w:p>
                <w:pPr>
                  <w:overflowPunct w:val="0"/>
                  <w:jc w:val="both"/>
                  <w:textAlignment w:val="baseline"/>
                  <w:rPr>
                    <w:rFonts w:ascii="Calibri" w:hAnsi="Calibri"/>
                  </w:rPr>
                </w:pPr>
                <w:r>
                  <w:rPr>
                    <w:sz w:val="22"/>
                  </w:rPr>
                  <w:t>Kiti aliejiniai augalai</w:t>
                </w:r>
              </w:p>
            </w:tc>
            <w:tc>
              <w:tcPr>
                <w:tcW w:w="2280" w:type="dxa"/>
              </w:tcPr>
              <w:p>
                <w:pPr>
                  <w:overflowPunct w:val="0"/>
                  <w:jc w:val="center"/>
                  <w:textAlignment w:val="baseline"/>
                  <w:rPr>
                    <w:rFonts w:ascii="Calibri" w:hAnsi="Calibri"/>
                  </w:rPr>
                </w:pPr>
                <w:r>
                  <w:rPr>
                    <w:sz w:val="22"/>
                  </w:rPr>
                  <w:t>ha</w:t>
                </w:r>
              </w:p>
            </w:tc>
            <w:tc>
              <w:tcPr>
                <w:tcW w:w="2186" w:type="dxa"/>
              </w:tcPr>
              <w:p>
                <w:pPr>
                  <w:overflowPunct w:val="0"/>
                  <w:ind w:right="57"/>
                  <w:jc w:val="right"/>
                  <w:textAlignment w:val="baseline"/>
                  <w:rPr>
                    <w:rFonts w:ascii="Calibri" w:hAnsi="Calibri"/>
                  </w:rPr>
                </w:pPr>
                <w:r>
                  <w:rPr>
                    <w:sz w:val="22"/>
                  </w:rPr>
                  <w:t>333</w:t>
                </w:r>
              </w:p>
            </w:tc>
          </w:tr>
          <w:tr>
            <w:tc>
              <w:tcPr>
                <w:tcW w:w="5388" w:type="dxa"/>
              </w:tcPr>
              <w:p>
                <w:pPr>
                  <w:overflowPunct w:val="0"/>
                  <w:jc w:val="both"/>
                  <w:textAlignment w:val="baseline"/>
                  <w:rPr>
                    <w:rFonts w:ascii="Calibri" w:hAnsi="Calibri"/>
                  </w:rPr>
                </w:pPr>
                <w:r>
                  <w:rPr>
                    <w:sz w:val="22"/>
                  </w:rPr>
                  <w:t>Linai</w:t>
                </w:r>
              </w:p>
            </w:tc>
            <w:tc>
              <w:tcPr>
                <w:tcW w:w="2280" w:type="dxa"/>
              </w:tcPr>
              <w:p>
                <w:pPr>
                  <w:overflowPunct w:val="0"/>
                  <w:jc w:val="center"/>
                  <w:textAlignment w:val="baseline"/>
                  <w:rPr>
                    <w:rFonts w:ascii="Calibri" w:hAnsi="Calibri"/>
                  </w:rPr>
                </w:pPr>
                <w:r>
                  <w:rPr>
                    <w:sz w:val="22"/>
                  </w:rPr>
                  <w:t>ha</w:t>
                </w:r>
              </w:p>
            </w:tc>
            <w:tc>
              <w:tcPr>
                <w:tcW w:w="2186" w:type="dxa"/>
              </w:tcPr>
              <w:p>
                <w:pPr>
                  <w:overflowPunct w:val="0"/>
                  <w:ind w:right="57"/>
                  <w:jc w:val="right"/>
                  <w:textAlignment w:val="baseline"/>
                  <w:rPr>
                    <w:rFonts w:ascii="Calibri" w:hAnsi="Calibri"/>
                  </w:rPr>
                </w:pPr>
                <w:r>
                  <w:rPr>
                    <w:sz w:val="22"/>
                  </w:rPr>
                  <w:t>342</w:t>
                </w:r>
              </w:p>
            </w:tc>
          </w:tr>
          <w:tr>
            <w:tc>
              <w:tcPr>
                <w:tcW w:w="5388" w:type="dxa"/>
              </w:tcPr>
              <w:p>
                <w:pPr>
                  <w:overflowPunct w:val="0"/>
                  <w:jc w:val="both"/>
                  <w:textAlignment w:val="baseline"/>
                  <w:rPr>
                    <w:rFonts w:ascii="Calibri" w:hAnsi="Calibri"/>
                  </w:rPr>
                </w:pPr>
                <w:r>
                  <w:rPr>
                    <w:sz w:val="22"/>
                  </w:rPr>
                  <w:t>Aromatiniai, medicininiai augalai</w:t>
                </w:r>
              </w:p>
            </w:tc>
            <w:tc>
              <w:tcPr>
                <w:tcW w:w="2280" w:type="dxa"/>
              </w:tcPr>
              <w:p>
                <w:pPr>
                  <w:overflowPunct w:val="0"/>
                  <w:jc w:val="center"/>
                  <w:textAlignment w:val="baseline"/>
                  <w:rPr>
                    <w:rFonts w:ascii="Calibri" w:hAnsi="Calibri"/>
                  </w:rPr>
                </w:pPr>
                <w:r>
                  <w:rPr>
                    <w:sz w:val="22"/>
                  </w:rPr>
                  <w:t>ha</w:t>
                </w:r>
              </w:p>
            </w:tc>
            <w:tc>
              <w:tcPr>
                <w:tcW w:w="2186" w:type="dxa"/>
              </w:tcPr>
              <w:p>
                <w:pPr>
                  <w:overflowPunct w:val="0"/>
                  <w:ind w:right="57"/>
                  <w:jc w:val="right"/>
                  <w:textAlignment w:val="baseline"/>
                  <w:rPr>
                    <w:rFonts w:ascii="Calibri" w:hAnsi="Calibri"/>
                  </w:rPr>
                </w:pPr>
                <w:r>
                  <w:rPr>
                    <w:sz w:val="22"/>
                  </w:rPr>
                  <w:t>580</w:t>
                </w:r>
              </w:p>
            </w:tc>
          </w:tr>
          <w:tr>
            <w:tc>
              <w:tcPr>
                <w:tcW w:w="5388" w:type="dxa"/>
              </w:tcPr>
              <w:p>
                <w:pPr>
                  <w:overflowPunct w:val="0"/>
                  <w:jc w:val="both"/>
                  <w:textAlignment w:val="baseline"/>
                  <w:rPr>
                    <w:rFonts w:ascii="Calibri" w:hAnsi="Calibri"/>
                  </w:rPr>
                </w:pPr>
                <w:r>
                  <w:rPr>
                    <w:sz w:val="22"/>
                  </w:rPr>
                  <w:t>Kiti pramoniniai augalai</w:t>
                </w:r>
              </w:p>
            </w:tc>
            <w:tc>
              <w:tcPr>
                <w:tcW w:w="2280" w:type="dxa"/>
              </w:tcPr>
              <w:p>
                <w:pPr>
                  <w:overflowPunct w:val="0"/>
                  <w:jc w:val="center"/>
                  <w:textAlignment w:val="baseline"/>
                  <w:rPr>
                    <w:rFonts w:ascii="Calibri" w:hAnsi="Calibri"/>
                  </w:rPr>
                </w:pPr>
                <w:r>
                  <w:rPr>
                    <w:sz w:val="22"/>
                  </w:rPr>
                  <w:t>ha</w:t>
                </w:r>
              </w:p>
            </w:tc>
            <w:tc>
              <w:tcPr>
                <w:tcW w:w="2186" w:type="dxa"/>
              </w:tcPr>
              <w:p>
                <w:pPr>
                  <w:overflowPunct w:val="0"/>
                  <w:ind w:right="57"/>
                  <w:jc w:val="right"/>
                  <w:textAlignment w:val="baseline"/>
                  <w:rPr>
                    <w:rFonts w:ascii="Calibri" w:hAnsi="Calibri"/>
                  </w:rPr>
                </w:pPr>
                <w:r>
                  <w:rPr>
                    <w:sz w:val="22"/>
                  </w:rPr>
                  <w:t>580</w:t>
                </w:r>
              </w:p>
            </w:tc>
          </w:tr>
          <w:tr>
            <w:tc>
              <w:tcPr>
                <w:tcW w:w="5388" w:type="dxa"/>
              </w:tcPr>
              <w:p>
                <w:pPr>
                  <w:overflowPunct w:val="0"/>
                  <w:jc w:val="both"/>
                  <w:textAlignment w:val="baseline"/>
                  <w:rPr>
                    <w:rFonts w:ascii="Calibri" w:hAnsi="Calibri"/>
                  </w:rPr>
                </w:pPr>
                <w:r>
                  <w:rPr>
                    <w:sz w:val="22"/>
                  </w:rPr>
                  <w:t>Kultūrinės pievos (daugiau kaip 5 metų)</w:t>
                </w:r>
              </w:p>
            </w:tc>
            <w:tc>
              <w:tcPr>
                <w:tcW w:w="2280" w:type="dxa"/>
              </w:tcPr>
              <w:p>
                <w:pPr>
                  <w:overflowPunct w:val="0"/>
                  <w:jc w:val="center"/>
                  <w:textAlignment w:val="baseline"/>
                  <w:rPr>
                    <w:rFonts w:ascii="Calibri" w:hAnsi="Calibri"/>
                  </w:rPr>
                </w:pPr>
                <w:r>
                  <w:rPr>
                    <w:sz w:val="22"/>
                  </w:rPr>
                  <w:t>ha</w:t>
                </w:r>
              </w:p>
            </w:tc>
            <w:tc>
              <w:tcPr>
                <w:tcW w:w="2186" w:type="dxa"/>
              </w:tcPr>
              <w:p>
                <w:pPr>
                  <w:overflowPunct w:val="0"/>
                  <w:ind w:right="57"/>
                  <w:jc w:val="right"/>
                  <w:textAlignment w:val="baseline"/>
                  <w:rPr>
                    <w:rFonts w:ascii="Calibri" w:hAnsi="Calibri"/>
                  </w:rPr>
                </w:pPr>
                <w:r>
                  <w:rPr>
                    <w:sz w:val="22"/>
                  </w:rPr>
                  <w:t>31</w:t>
                </w:r>
              </w:p>
            </w:tc>
          </w:tr>
          <w:tr>
            <w:tc>
              <w:tcPr>
                <w:tcW w:w="5388" w:type="dxa"/>
              </w:tcPr>
              <w:p>
                <w:pPr>
                  <w:overflowPunct w:val="0"/>
                  <w:jc w:val="both"/>
                  <w:textAlignment w:val="baseline"/>
                  <w:rPr>
                    <w:rFonts w:ascii="Calibri" w:hAnsi="Calibri"/>
                  </w:rPr>
                </w:pPr>
                <w:r>
                  <w:rPr>
                    <w:sz w:val="22"/>
                  </w:rPr>
                  <w:t>Natūralios pievos ir ganyklos</w:t>
                </w:r>
              </w:p>
            </w:tc>
            <w:tc>
              <w:tcPr>
                <w:tcW w:w="2280" w:type="dxa"/>
              </w:tcPr>
              <w:p>
                <w:pPr>
                  <w:overflowPunct w:val="0"/>
                  <w:jc w:val="center"/>
                  <w:textAlignment w:val="baseline"/>
                  <w:rPr>
                    <w:rFonts w:ascii="Calibri" w:hAnsi="Calibri"/>
                  </w:rPr>
                </w:pPr>
                <w:r>
                  <w:rPr>
                    <w:sz w:val="22"/>
                  </w:rPr>
                  <w:t>ha</w:t>
                </w:r>
              </w:p>
            </w:tc>
            <w:tc>
              <w:tcPr>
                <w:tcW w:w="2186" w:type="dxa"/>
              </w:tcPr>
              <w:p>
                <w:pPr>
                  <w:overflowPunct w:val="0"/>
                  <w:ind w:right="57"/>
                  <w:jc w:val="right"/>
                  <w:textAlignment w:val="baseline"/>
                  <w:rPr>
                    <w:rFonts w:ascii="Calibri" w:hAnsi="Calibri"/>
                  </w:rPr>
                </w:pPr>
                <w:r>
                  <w:rPr>
                    <w:sz w:val="22"/>
                  </w:rPr>
                  <w:t>11</w:t>
                </w:r>
              </w:p>
            </w:tc>
          </w:tr>
          <w:tr>
            <w:tc>
              <w:tcPr>
                <w:tcW w:w="5388" w:type="dxa"/>
              </w:tcPr>
              <w:p>
                <w:pPr>
                  <w:overflowPunct w:val="0"/>
                  <w:jc w:val="both"/>
                  <w:textAlignment w:val="baseline"/>
                  <w:rPr>
                    <w:rFonts w:ascii="Calibri" w:hAnsi="Calibri"/>
                  </w:rPr>
                </w:pPr>
                <w:r>
                  <w:rPr>
                    <w:sz w:val="22"/>
                  </w:rPr>
                  <w:t>Vaisiai ir uogos</w:t>
                </w:r>
              </w:p>
            </w:tc>
            <w:tc>
              <w:tcPr>
                <w:tcW w:w="2280" w:type="dxa"/>
              </w:tcPr>
              <w:p>
                <w:pPr>
                  <w:overflowPunct w:val="0"/>
                  <w:jc w:val="center"/>
                  <w:textAlignment w:val="baseline"/>
                  <w:rPr>
                    <w:rFonts w:ascii="Calibri" w:hAnsi="Calibri"/>
                  </w:rPr>
                </w:pPr>
                <w:r>
                  <w:rPr>
                    <w:sz w:val="22"/>
                  </w:rPr>
                  <w:t>ha</w:t>
                </w:r>
              </w:p>
            </w:tc>
            <w:tc>
              <w:tcPr>
                <w:tcW w:w="2186" w:type="dxa"/>
              </w:tcPr>
              <w:p>
                <w:pPr>
                  <w:overflowPunct w:val="0"/>
                  <w:ind w:right="57"/>
                  <w:jc w:val="right"/>
                  <w:textAlignment w:val="baseline"/>
                  <w:rPr>
                    <w:rFonts w:ascii="Calibri" w:hAnsi="Calibri"/>
                  </w:rPr>
                </w:pPr>
                <w:r>
                  <w:rPr>
                    <w:sz w:val="22"/>
                  </w:rPr>
                  <w:t>1028</w:t>
                </w:r>
              </w:p>
            </w:tc>
          </w:tr>
          <w:tr>
            <w:tc>
              <w:tcPr>
                <w:tcW w:w="5388" w:type="dxa"/>
              </w:tcPr>
              <w:p>
                <w:pPr>
                  <w:overflowPunct w:val="0"/>
                  <w:jc w:val="both"/>
                  <w:textAlignment w:val="baseline"/>
                  <w:rPr>
                    <w:rFonts w:ascii="Calibri" w:hAnsi="Calibri"/>
                  </w:rPr>
                </w:pPr>
                <w:r>
                  <w:rPr>
                    <w:sz w:val="22"/>
                  </w:rPr>
                  <w:t>Medelynai</w:t>
                </w:r>
              </w:p>
            </w:tc>
            <w:tc>
              <w:tcPr>
                <w:tcW w:w="2280" w:type="dxa"/>
              </w:tcPr>
              <w:p>
                <w:pPr>
                  <w:overflowPunct w:val="0"/>
                  <w:jc w:val="center"/>
                  <w:textAlignment w:val="baseline"/>
                  <w:rPr>
                    <w:rFonts w:ascii="Calibri" w:hAnsi="Calibri"/>
                  </w:rPr>
                </w:pPr>
                <w:r>
                  <w:rPr>
                    <w:sz w:val="22"/>
                  </w:rPr>
                  <w:t>ha</w:t>
                </w:r>
              </w:p>
            </w:tc>
            <w:tc>
              <w:tcPr>
                <w:tcW w:w="2186" w:type="dxa"/>
              </w:tcPr>
              <w:p>
                <w:pPr>
                  <w:overflowPunct w:val="0"/>
                  <w:ind w:right="57"/>
                  <w:jc w:val="right"/>
                  <w:textAlignment w:val="baseline"/>
                  <w:rPr>
                    <w:rFonts w:ascii="Calibri" w:hAnsi="Calibri"/>
                  </w:rPr>
                </w:pPr>
                <w:r>
                  <w:rPr>
                    <w:sz w:val="22"/>
                  </w:rPr>
                  <w:t>8954</w:t>
                </w:r>
              </w:p>
            </w:tc>
          </w:tr>
          <w:tr>
            <w:tc>
              <w:tcPr>
                <w:tcW w:w="5388" w:type="dxa"/>
              </w:tcPr>
              <w:p>
                <w:pPr>
                  <w:overflowPunct w:val="0"/>
                  <w:jc w:val="both"/>
                  <w:textAlignment w:val="baseline"/>
                  <w:rPr>
                    <w:rFonts w:ascii="Calibri" w:hAnsi="Calibri"/>
                  </w:rPr>
                </w:pPr>
                <w:r>
                  <w:rPr>
                    <w:sz w:val="22"/>
                  </w:rPr>
                  <w:t>Kiti daugiamečiai augalai</w:t>
                </w:r>
              </w:p>
            </w:tc>
            <w:tc>
              <w:tcPr>
                <w:tcW w:w="2280" w:type="dxa"/>
              </w:tcPr>
              <w:p>
                <w:pPr>
                  <w:overflowPunct w:val="0"/>
                  <w:jc w:val="center"/>
                  <w:textAlignment w:val="baseline"/>
                  <w:rPr>
                    <w:rFonts w:ascii="Calibri" w:hAnsi="Calibri"/>
                  </w:rPr>
                </w:pPr>
                <w:r>
                  <w:rPr>
                    <w:sz w:val="22"/>
                  </w:rPr>
                  <w:t>ha</w:t>
                </w:r>
              </w:p>
            </w:tc>
            <w:tc>
              <w:tcPr>
                <w:tcW w:w="2186" w:type="dxa"/>
              </w:tcPr>
              <w:p>
                <w:pPr>
                  <w:overflowPunct w:val="0"/>
                  <w:ind w:right="57"/>
                  <w:jc w:val="right"/>
                  <w:textAlignment w:val="baseline"/>
                  <w:rPr>
                    <w:rFonts w:ascii="Calibri" w:hAnsi="Calibri"/>
                  </w:rPr>
                </w:pPr>
                <w:r>
                  <w:rPr>
                    <w:sz w:val="22"/>
                  </w:rPr>
                  <w:t>29</w:t>
                </w:r>
              </w:p>
            </w:tc>
          </w:tr>
          <w:tr>
            <w:tc>
              <w:tcPr>
                <w:tcW w:w="5388" w:type="dxa"/>
              </w:tcPr>
              <w:p>
                <w:pPr>
                  <w:overflowPunct w:val="0"/>
                  <w:jc w:val="both"/>
                  <w:textAlignment w:val="baseline"/>
                </w:pPr>
                <w:r>
                  <w:rPr>
                    <w:sz w:val="22"/>
                  </w:rPr>
                  <w:t>Grybai</w:t>
                </w:r>
              </w:p>
            </w:tc>
            <w:tc>
              <w:tcPr>
                <w:tcW w:w="2280" w:type="dxa"/>
              </w:tcPr>
              <w:p>
                <w:pPr>
                  <w:overflowPunct w:val="0"/>
                  <w:jc w:val="center"/>
                  <w:textAlignment w:val="baseline"/>
                </w:pPr>
                <w:r>
                  <w:rPr>
                    <w:sz w:val="22"/>
                  </w:rPr>
                  <w:t>ha</w:t>
                </w:r>
              </w:p>
            </w:tc>
            <w:tc>
              <w:tcPr>
                <w:tcW w:w="2186" w:type="dxa"/>
              </w:tcPr>
              <w:p>
                <w:pPr>
                  <w:overflowPunct w:val="0"/>
                  <w:ind w:right="57"/>
                  <w:jc w:val="right"/>
                  <w:textAlignment w:val="baseline"/>
                </w:pPr>
                <w:r>
                  <w:rPr>
                    <w:sz w:val="22"/>
                  </w:rPr>
                  <w:t>648575</w:t>
                </w:r>
              </w:p>
            </w:tc>
          </w:tr>
          <w:tr>
            <w:tc>
              <w:tcPr>
                <w:tcW w:w="5388" w:type="dxa"/>
              </w:tcPr>
              <w:p>
                <w:pPr>
                  <w:overflowPunct w:val="0"/>
                  <w:jc w:val="both"/>
                  <w:textAlignment w:val="baseline"/>
                  <w:rPr>
                    <w:strike/>
                  </w:rPr>
                </w:pPr>
                <w:r>
                  <w:rPr>
                    <w:sz w:val="22"/>
                  </w:rPr>
                  <w:t xml:space="preserve">Neveisliniai arkliai </w:t>
                </w:r>
              </w:p>
            </w:tc>
            <w:tc>
              <w:tcPr>
                <w:tcW w:w="2280" w:type="dxa"/>
              </w:tcPr>
              <w:p>
                <w:pPr>
                  <w:overflowPunct w:val="0"/>
                  <w:jc w:val="center"/>
                  <w:textAlignment w:val="baseline"/>
                </w:pPr>
                <w:r>
                  <w:rPr>
                    <w:sz w:val="22"/>
                  </w:rPr>
                  <w:t>vnt.</w:t>
                </w:r>
              </w:p>
            </w:tc>
            <w:tc>
              <w:tcPr>
                <w:tcW w:w="2186" w:type="dxa"/>
              </w:tcPr>
              <w:p>
                <w:pPr>
                  <w:overflowPunct w:val="0"/>
                  <w:ind w:right="57"/>
                  <w:jc w:val="right"/>
                  <w:textAlignment w:val="baseline"/>
                </w:pPr>
                <w:r>
                  <w:rPr>
                    <w:sz w:val="22"/>
                  </w:rPr>
                  <w:t>0,29</w:t>
                </w:r>
              </w:p>
            </w:tc>
          </w:tr>
          <w:tr>
            <w:tc>
              <w:tcPr>
                <w:tcW w:w="5388" w:type="dxa"/>
              </w:tcPr>
              <w:p>
                <w:pPr>
                  <w:overflowPunct w:val="0"/>
                  <w:jc w:val="both"/>
                  <w:textAlignment w:val="baseline"/>
                  <w:rPr>
                    <w:highlight w:val="green"/>
                  </w:rPr>
                </w:pPr>
                <w:r>
                  <w:rPr>
                    <w:sz w:val="22"/>
                  </w:rPr>
                  <w:t>Veisliniai arkliai</w:t>
                </w:r>
              </w:p>
            </w:tc>
            <w:tc>
              <w:tcPr>
                <w:tcW w:w="2280" w:type="dxa"/>
              </w:tcPr>
              <w:p>
                <w:pPr>
                  <w:overflowPunct w:val="0"/>
                  <w:jc w:val="center"/>
                  <w:textAlignment w:val="baseline"/>
                  <w:rPr>
                    <w:highlight w:val="green"/>
                  </w:rPr>
                </w:pPr>
                <w:r>
                  <w:rPr>
                    <w:sz w:val="22"/>
                  </w:rPr>
                  <w:t>vnt.</w:t>
                </w:r>
              </w:p>
            </w:tc>
            <w:tc>
              <w:tcPr>
                <w:tcW w:w="2186" w:type="dxa"/>
              </w:tcPr>
              <w:p>
                <w:pPr>
                  <w:overflowPunct w:val="0"/>
                  <w:ind w:right="57"/>
                  <w:jc w:val="right"/>
                  <w:textAlignment w:val="baseline"/>
                  <w:rPr>
                    <w:highlight w:val="green"/>
                  </w:rPr>
                </w:pPr>
                <w:r>
                  <w:rPr>
                    <w:sz w:val="22"/>
                  </w:rPr>
                  <w:t>119</w:t>
                </w:r>
              </w:p>
            </w:tc>
          </w:tr>
          <w:tr>
            <w:tc>
              <w:tcPr>
                <w:tcW w:w="5388" w:type="dxa"/>
              </w:tcPr>
              <w:p>
                <w:pPr>
                  <w:overflowPunct w:val="0"/>
                  <w:jc w:val="both"/>
                  <w:textAlignment w:val="baseline"/>
                  <w:rPr>
                    <w:rFonts w:ascii="Calibri" w:hAnsi="Calibri"/>
                  </w:rPr>
                </w:pPr>
                <w:r>
                  <w:rPr>
                    <w:sz w:val="22"/>
                  </w:rPr>
                  <w:t>Galvijai &lt;</w:t>
                </w:r>
                <w:smartTag w:uri="urn:schemas-microsoft-com:office:smarttags" w:element="metricconverter">
                  <w:smartTagPr>
                    <w:attr w:name="ProductID" w:val="1 m"/>
                  </w:smartTagPr>
                  <w:smartTag w:uri="schemas-tilde-lv/tildestengine" w:element="metric2">
                    <w:smartTagPr>
                      <w:attr w:name="metric_value" w:val="1"/>
                      <w:attr w:name="metric_text" w:val="m"/>
                    </w:smartTagPr>
                    <w:r>
                      <w:rPr>
                        <w:sz w:val="22"/>
                      </w:rPr>
                      <w:t>1 m</w:t>
                    </w:r>
                  </w:smartTag>
                </w:smartTag>
                <w:r>
                  <w:rPr>
                    <w:sz w:val="22"/>
                  </w:rPr>
                  <w:t>.</w:t>
                </w:r>
              </w:p>
            </w:tc>
            <w:tc>
              <w:tcPr>
                <w:tcW w:w="2280" w:type="dxa"/>
              </w:tcPr>
              <w:p>
                <w:pPr>
                  <w:overflowPunct w:val="0"/>
                  <w:jc w:val="center"/>
                  <w:textAlignment w:val="baseline"/>
                  <w:rPr>
                    <w:rFonts w:ascii="Calibri" w:hAnsi="Calibri"/>
                  </w:rPr>
                </w:pPr>
                <w:r>
                  <w:rPr>
                    <w:sz w:val="22"/>
                  </w:rPr>
                  <w:t>vnt.</w:t>
                </w:r>
              </w:p>
            </w:tc>
            <w:tc>
              <w:tcPr>
                <w:tcW w:w="2186" w:type="dxa"/>
              </w:tcPr>
              <w:p>
                <w:pPr>
                  <w:overflowPunct w:val="0"/>
                  <w:ind w:right="57"/>
                  <w:jc w:val="right"/>
                  <w:textAlignment w:val="baseline"/>
                  <w:rPr>
                    <w:rFonts w:ascii="Calibri" w:hAnsi="Calibri"/>
                  </w:rPr>
                </w:pPr>
                <w:r>
                  <w:rPr>
                    <w:sz w:val="22"/>
                  </w:rPr>
                  <w:t>57</w:t>
                </w:r>
              </w:p>
            </w:tc>
          </w:tr>
          <w:tr>
            <w:tc>
              <w:tcPr>
                <w:tcW w:w="5388" w:type="dxa"/>
              </w:tcPr>
              <w:p>
                <w:pPr>
                  <w:overflowPunct w:val="0"/>
                  <w:jc w:val="both"/>
                  <w:textAlignment w:val="baseline"/>
                  <w:rPr>
                    <w:rFonts w:ascii="Calibri" w:hAnsi="Calibri"/>
                  </w:rPr>
                </w:pPr>
                <w:r>
                  <w:rPr>
                    <w:sz w:val="22"/>
                  </w:rPr>
                  <w:t>Buliai 1–&lt;</w:t>
                </w:r>
                <w:smartTag w:uri="urn:schemas-microsoft-com:office:smarttags" w:element="metricconverter">
                  <w:smartTagPr>
                    <w:attr w:name="ProductID" w:val="2 m"/>
                  </w:smartTagPr>
                  <w:smartTag w:uri="schemas-tilde-lv/tildestengine" w:element="metric2">
                    <w:smartTagPr>
                      <w:attr w:name="metric_value" w:val="2"/>
                      <w:attr w:name="metric_text" w:val="m"/>
                    </w:smartTagPr>
                    <w:r>
                      <w:rPr>
                        <w:sz w:val="22"/>
                      </w:rPr>
                      <w:t>2 m</w:t>
                    </w:r>
                  </w:smartTag>
                </w:smartTag>
                <w:r>
                  <w:rPr>
                    <w:sz w:val="22"/>
                  </w:rPr>
                  <w:t>.</w:t>
                </w:r>
              </w:p>
            </w:tc>
            <w:tc>
              <w:tcPr>
                <w:tcW w:w="2280" w:type="dxa"/>
              </w:tcPr>
              <w:p>
                <w:pPr>
                  <w:overflowPunct w:val="0"/>
                  <w:jc w:val="center"/>
                  <w:textAlignment w:val="baseline"/>
                  <w:rPr>
                    <w:rFonts w:ascii="Calibri" w:hAnsi="Calibri"/>
                  </w:rPr>
                </w:pPr>
                <w:r>
                  <w:rPr>
                    <w:sz w:val="22"/>
                  </w:rPr>
                  <w:t>vnt.</w:t>
                </w:r>
              </w:p>
            </w:tc>
            <w:tc>
              <w:tcPr>
                <w:tcW w:w="2186" w:type="dxa"/>
              </w:tcPr>
              <w:p>
                <w:pPr>
                  <w:overflowPunct w:val="0"/>
                  <w:ind w:right="57"/>
                  <w:jc w:val="right"/>
                  <w:textAlignment w:val="baseline"/>
                  <w:rPr>
                    <w:rFonts w:ascii="Calibri" w:hAnsi="Calibri"/>
                  </w:rPr>
                </w:pPr>
                <w:r>
                  <w:rPr>
                    <w:sz w:val="22"/>
                  </w:rPr>
                  <w:t>171</w:t>
                </w:r>
              </w:p>
            </w:tc>
          </w:tr>
          <w:tr>
            <w:tc>
              <w:tcPr>
                <w:tcW w:w="5388" w:type="dxa"/>
              </w:tcPr>
              <w:p>
                <w:pPr>
                  <w:overflowPunct w:val="0"/>
                  <w:jc w:val="both"/>
                  <w:textAlignment w:val="baseline"/>
                  <w:rPr>
                    <w:rFonts w:ascii="Calibri" w:hAnsi="Calibri"/>
                  </w:rPr>
                </w:pPr>
                <w:r>
                  <w:rPr>
                    <w:sz w:val="22"/>
                  </w:rPr>
                  <w:t>Telyčios 1–&lt;</w:t>
                </w:r>
                <w:smartTag w:uri="urn:schemas-microsoft-com:office:smarttags" w:element="metricconverter">
                  <w:smartTagPr>
                    <w:attr w:name="ProductID" w:val="2 m"/>
                  </w:smartTagPr>
                  <w:smartTag w:uri="schemas-tilde-lv/tildestengine" w:element="metric2">
                    <w:smartTagPr>
                      <w:attr w:name="metric_value" w:val="2"/>
                      <w:attr w:name="metric_text" w:val="m"/>
                    </w:smartTagPr>
                    <w:r>
                      <w:rPr>
                        <w:sz w:val="22"/>
                      </w:rPr>
                      <w:t>2 m</w:t>
                    </w:r>
                  </w:smartTag>
                </w:smartTag>
                <w:r>
                  <w:rPr>
                    <w:sz w:val="22"/>
                  </w:rPr>
                  <w:t>.</w:t>
                </w:r>
              </w:p>
            </w:tc>
            <w:tc>
              <w:tcPr>
                <w:tcW w:w="2280" w:type="dxa"/>
              </w:tcPr>
              <w:p>
                <w:pPr>
                  <w:overflowPunct w:val="0"/>
                  <w:jc w:val="center"/>
                  <w:textAlignment w:val="baseline"/>
                  <w:rPr>
                    <w:rFonts w:ascii="Calibri" w:hAnsi="Calibri"/>
                  </w:rPr>
                </w:pPr>
                <w:r>
                  <w:rPr>
                    <w:sz w:val="22"/>
                  </w:rPr>
                  <w:t>vnt.</w:t>
                </w:r>
              </w:p>
            </w:tc>
            <w:tc>
              <w:tcPr>
                <w:tcW w:w="2186" w:type="dxa"/>
              </w:tcPr>
              <w:p>
                <w:pPr>
                  <w:overflowPunct w:val="0"/>
                  <w:ind w:right="57"/>
                  <w:jc w:val="right"/>
                  <w:textAlignment w:val="baseline"/>
                  <w:rPr>
                    <w:rFonts w:ascii="Calibri" w:hAnsi="Calibri"/>
                  </w:rPr>
                </w:pPr>
                <w:r>
                  <w:rPr>
                    <w:sz w:val="22"/>
                  </w:rPr>
                  <w:t>27</w:t>
                </w:r>
              </w:p>
            </w:tc>
          </w:tr>
          <w:tr>
            <w:tc>
              <w:tcPr>
                <w:tcW w:w="5388" w:type="dxa"/>
              </w:tcPr>
              <w:p>
                <w:pPr>
                  <w:overflowPunct w:val="0"/>
                  <w:jc w:val="both"/>
                  <w:textAlignment w:val="baseline"/>
                  <w:rPr>
                    <w:rFonts w:ascii="Calibri" w:hAnsi="Calibri"/>
                  </w:rPr>
                </w:pPr>
                <w:r>
                  <w:rPr>
                    <w:sz w:val="22"/>
                  </w:rPr>
                  <w:t>Buliai &gt;=</w:t>
                </w:r>
                <w:smartTag w:uri="schemas-tilde-lv/tildestengine" w:element="metric2">
                  <w:smartTagPr>
                    <w:attr w:name="metric_value" w:val="2"/>
                    <w:attr w:name="metric_text" w:val="m"/>
                  </w:smartTagPr>
                  <w:r>
                    <w:rPr>
                      <w:sz w:val="22"/>
                    </w:rPr>
                    <w:t>2 m.</w:t>
                  </w:r>
                </w:smartTag>
              </w:p>
            </w:tc>
            <w:tc>
              <w:tcPr>
                <w:tcW w:w="2280" w:type="dxa"/>
              </w:tcPr>
              <w:p>
                <w:pPr>
                  <w:overflowPunct w:val="0"/>
                  <w:jc w:val="center"/>
                  <w:textAlignment w:val="baseline"/>
                  <w:rPr>
                    <w:rFonts w:ascii="Calibri" w:hAnsi="Calibri"/>
                  </w:rPr>
                </w:pPr>
                <w:r>
                  <w:rPr>
                    <w:sz w:val="22"/>
                  </w:rPr>
                  <w:t>vnt.</w:t>
                </w:r>
              </w:p>
            </w:tc>
            <w:tc>
              <w:tcPr>
                <w:tcW w:w="2186" w:type="dxa"/>
              </w:tcPr>
              <w:p>
                <w:pPr>
                  <w:overflowPunct w:val="0"/>
                  <w:ind w:right="57"/>
                  <w:jc w:val="right"/>
                  <w:textAlignment w:val="baseline"/>
                  <w:rPr>
                    <w:rFonts w:ascii="Calibri" w:hAnsi="Calibri"/>
                  </w:rPr>
                </w:pPr>
                <w:r>
                  <w:rPr>
                    <w:sz w:val="22"/>
                  </w:rPr>
                  <w:t>141</w:t>
                </w:r>
              </w:p>
            </w:tc>
          </w:tr>
          <w:tr>
            <w:tc>
              <w:tcPr>
                <w:tcW w:w="5388" w:type="dxa"/>
              </w:tcPr>
              <w:p>
                <w:pPr>
                  <w:overflowPunct w:val="0"/>
                  <w:jc w:val="both"/>
                  <w:textAlignment w:val="baseline"/>
                  <w:rPr>
                    <w:rFonts w:ascii="Calibri" w:hAnsi="Calibri"/>
                  </w:rPr>
                </w:pPr>
                <w:r>
                  <w:rPr>
                    <w:sz w:val="22"/>
                  </w:rPr>
                  <w:t>Telyčios &gt;=</w:t>
                </w:r>
                <w:smartTag w:uri="schemas-tilde-lv/tildestengine" w:element="metric2">
                  <w:smartTagPr>
                    <w:attr w:name="metric_value" w:val="2"/>
                    <w:attr w:name="metric_text" w:val="m"/>
                  </w:smartTagPr>
                  <w:r>
                    <w:rPr>
                      <w:sz w:val="22"/>
                    </w:rPr>
                    <w:t>2 m</w:t>
                  </w:r>
                </w:smartTag>
                <w:r>
                  <w:rPr>
                    <w:sz w:val="22"/>
                  </w:rPr>
                  <w:t>.</w:t>
                </w:r>
              </w:p>
            </w:tc>
            <w:tc>
              <w:tcPr>
                <w:tcW w:w="2280" w:type="dxa"/>
              </w:tcPr>
              <w:p>
                <w:pPr>
                  <w:overflowPunct w:val="0"/>
                  <w:jc w:val="center"/>
                  <w:textAlignment w:val="baseline"/>
                  <w:rPr>
                    <w:rFonts w:ascii="Calibri" w:hAnsi="Calibri"/>
                  </w:rPr>
                </w:pPr>
                <w:r>
                  <w:rPr>
                    <w:sz w:val="22"/>
                  </w:rPr>
                  <w:t>vnt.</w:t>
                </w:r>
              </w:p>
            </w:tc>
            <w:tc>
              <w:tcPr>
                <w:tcW w:w="2186" w:type="dxa"/>
              </w:tcPr>
              <w:p>
                <w:pPr>
                  <w:overflowPunct w:val="0"/>
                  <w:ind w:right="57"/>
                  <w:jc w:val="right"/>
                  <w:textAlignment w:val="baseline"/>
                  <w:rPr>
                    <w:rFonts w:ascii="Calibri" w:hAnsi="Calibri"/>
                  </w:rPr>
                </w:pPr>
                <w:r>
                  <w:rPr>
                    <w:sz w:val="22"/>
                  </w:rPr>
                  <w:t>38</w:t>
                </w:r>
              </w:p>
            </w:tc>
          </w:tr>
          <w:tr>
            <w:tc>
              <w:tcPr>
                <w:tcW w:w="5388" w:type="dxa"/>
              </w:tcPr>
              <w:p>
                <w:pPr>
                  <w:overflowPunct w:val="0"/>
                  <w:jc w:val="both"/>
                  <w:textAlignment w:val="baseline"/>
                  <w:rPr>
                    <w:rFonts w:ascii="Calibri" w:hAnsi="Calibri"/>
                  </w:rPr>
                </w:pPr>
                <w:r>
                  <w:rPr>
                    <w:sz w:val="22"/>
                  </w:rPr>
                  <w:t>Melžiamos karvės (pieninių veislių)</w:t>
                </w:r>
              </w:p>
            </w:tc>
            <w:tc>
              <w:tcPr>
                <w:tcW w:w="2280" w:type="dxa"/>
              </w:tcPr>
              <w:p>
                <w:pPr>
                  <w:overflowPunct w:val="0"/>
                  <w:jc w:val="center"/>
                  <w:textAlignment w:val="baseline"/>
                  <w:rPr>
                    <w:rFonts w:ascii="Calibri" w:hAnsi="Calibri"/>
                  </w:rPr>
                </w:pPr>
                <w:r>
                  <w:rPr>
                    <w:sz w:val="22"/>
                  </w:rPr>
                  <w:t>vnt.</w:t>
                </w:r>
              </w:p>
            </w:tc>
            <w:tc>
              <w:tcPr>
                <w:tcW w:w="2186" w:type="dxa"/>
              </w:tcPr>
              <w:p>
                <w:pPr>
                  <w:overflowPunct w:val="0"/>
                  <w:ind w:right="57"/>
                  <w:jc w:val="right"/>
                  <w:textAlignment w:val="baseline"/>
                  <w:rPr>
                    <w:rFonts w:ascii="Calibri" w:hAnsi="Calibri"/>
                  </w:rPr>
                </w:pPr>
                <w:r>
                  <w:rPr>
                    <w:sz w:val="22"/>
                  </w:rPr>
                  <w:t>436</w:t>
                </w:r>
              </w:p>
            </w:tc>
          </w:tr>
          <w:tr>
            <w:tc>
              <w:tcPr>
                <w:tcW w:w="5388" w:type="dxa"/>
              </w:tcPr>
              <w:p>
                <w:pPr>
                  <w:overflowPunct w:val="0"/>
                  <w:jc w:val="both"/>
                  <w:textAlignment w:val="baseline"/>
                  <w:rPr>
                    <w:rFonts w:ascii="Calibri" w:hAnsi="Calibri"/>
                  </w:rPr>
                </w:pPr>
                <w:r>
                  <w:rPr>
                    <w:sz w:val="22"/>
                  </w:rPr>
                  <w:t>Kitos karvės (mėsinių ir mėsinių mišrūnų veislių)</w:t>
                </w:r>
              </w:p>
            </w:tc>
            <w:tc>
              <w:tcPr>
                <w:tcW w:w="2280" w:type="dxa"/>
              </w:tcPr>
              <w:p>
                <w:pPr>
                  <w:overflowPunct w:val="0"/>
                  <w:jc w:val="center"/>
                  <w:textAlignment w:val="baseline"/>
                  <w:rPr>
                    <w:rFonts w:ascii="Calibri" w:hAnsi="Calibri"/>
                  </w:rPr>
                </w:pPr>
                <w:r>
                  <w:rPr>
                    <w:sz w:val="22"/>
                  </w:rPr>
                  <w:t>vnt.</w:t>
                </w:r>
              </w:p>
            </w:tc>
            <w:tc>
              <w:tcPr>
                <w:tcW w:w="2186" w:type="dxa"/>
              </w:tcPr>
              <w:p>
                <w:pPr>
                  <w:overflowPunct w:val="0"/>
                  <w:ind w:right="57"/>
                  <w:jc w:val="right"/>
                  <w:textAlignment w:val="baseline"/>
                  <w:rPr>
                    <w:rFonts w:ascii="Calibri" w:hAnsi="Calibri"/>
                  </w:rPr>
                </w:pPr>
                <w:r>
                  <w:rPr>
                    <w:sz w:val="22"/>
                  </w:rPr>
                  <w:t>150</w:t>
                </w:r>
              </w:p>
            </w:tc>
          </w:tr>
          <w:tr>
            <w:tc>
              <w:tcPr>
                <w:tcW w:w="5388" w:type="dxa"/>
              </w:tcPr>
              <w:p>
                <w:pPr>
                  <w:overflowPunct w:val="0"/>
                  <w:jc w:val="both"/>
                  <w:textAlignment w:val="baseline"/>
                  <w:rPr>
                    <w:rFonts w:ascii="Calibri" w:hAnsi="Calibri"/>
                  </w:rPr>
                </w:pPr>
                <w:r>
                  <w:rPr>
                    <w:sz w:val="22"/>
                  </w:rPr>
                  <w:t>Ėriavedės</w:t>
                </w:r>
              </w:p>
            </w:tc>
            <w:tc>
              <w:tcPr>
                <w:tcW w:w="2280" w:type="dxa"/>
              </w:tcPr>
              <w:p>
                <w:pPr>
                  <w:overflowPunct w:val="0"/>
                  <w:jc w:val="center"/>
                  <w:textAlignment w:val="baseline"/>
                  <w:rPr>
                    <w:rFonts w:ascii="Calibri" w:hAnsi="Calibri"/>
                  </w:rPr>
                </w:pPr>
                <w:r>
                  <w:rPr>
                    <w:sz w:val="22"/>
                  </w:rPr>
                  <w:t>vnt.</w:t>
                </w:r>
              </w:p>
            </w:tc>
            <w:tc>
              <w:tcPr>
                <w:tcW w:w="2186" w:type="dxa"/>
              </w:tcPr>
              <w:p>
                <w:pPr>
                  <w:overflowPunct w:val="0"/>
                  <w:ind w:right="57"/>
                  <w:jc w:val="right"/>
                  <w:textAlignment w:val="baseline"/>
                  <w:rPr>
                    <w:rFonts w:ascii="Calibri" w:hAnsi="Calibri"/>
                  </w:rPr>
                </w:pPr>
                <w:r>
                  <w:rPr>
                    <w:sz w:val="22"/>
                  </w:rPr>
                  <w:t>27</w:t>
                </w:r>
              </w:p>
            </w:tc>
          </w:tr>
          <w:tr>
            <w:tc>
              <w:tcPr>
                <w:tcW w:w="5388" w:type="dxa"/>
              </w:tcPr>
              <w:p>
                <w:pPr>
                  <w:overflowPunct w:val="0"/>
                  <w:jc w:val="both"/>
                  <w:textAlignment w:val="baseline"/>
                  <w:rPr>
                    <w:rFonts w:ascii="Calibri" w:hAnsi="Calibri"/>
                  </w:rPr>
                </w:pPr>
                <w:r>
                  <w:rPr>
                    <w:sz w:val="22"/>
                  </w:rPr>
                  <w:t>Kitos avys (avinai, avys), lamos</w:t>
                </w:r>
              </w:p>
            </w:tc>
            <w:tc>
              <w:tcPr>
                <w:tcW w:w="2280" w:type="dxa"/>
              </w:tcPr>
              <w:p>
                <w:pPr>
                  <w:overflowPunct w:val="0"/>
                  <w:jc w:val="center"/>
                  <w:textAlignment w:val="baseline"/>
                  <w:rPr>
                    <w:rFonts w:ascii="Calibri" w:hAnsi="Calibri"/>
                  </w:rPr>
                </w:pPr>
                <w:r>
                  <w:rPr>
                    <w:sz w:val="22"/>
                  </w:rPr>
                  <w:t>vnt.</w:t>
                </w:r>
              </w:p>
            </w:tc>
            <w:tc>
              <w:tcPr>
                <w:tcW w:w="2186" w:type="dxa"/>
              </w:tcPr>
              <w:p>
                <w:pPr>
                  <w:overflowPunct w:val="0"/>
                  <w:ind w:right="57"/>
                  <w:jc w:val="right"/>
                  <w:textAlignment w:val="baseline"/>
                  <w:rPr>
                    <w:rFonts w:ascii="Calibri" w:hAnsi="Calibri"/>
                  </w:rPr>
                </w:pPr>
                <w:r>
                  <w:rPr>
                    <w:sz w:val="22"/>
                  </w:rPr>
                  <w:t>9</w:t>
                </w:r>
              </w:p>
            </w:tc>
          </w:tr>
          <w:tr>
            <w:tc>
              <w:tcPr>
                <w:tcW w:w="5388" w:type="dxa"/>
              </w:tcPr>
              <w:p>
                <w:pPr>
                  <w:overflowPunct w:val="0"/>
                  <w:jc w:val="both"/>
                  <w:textAlignment w:val="baseline"/>
                  <w:rPr>
                    <w:rFonts w:ascii="Calibri" w:hAnsi="Calibri"/>
                  </w:rPr>
                </w:pPr>
                <w:r>
                  <w:rPr>
                    <w:sz w:val="22"/>
                  </w:rPr>
                  <w:t>Ožkos vedeklės</w:t>
                </w:r>
              </w:p>
            </w:tc>
            <w:tc>
              <w:tcPr>
                <w:tcW w:w="2280" w:type="dxa"/>
              </w:tcPr>
              <w:p>
                <w:pPr>
                  <w:overflowPunct w:val="0"/>
                  <w:jc w:val="center"/>
                  <w:textAlignment w:val="baseline"/>
                  <w:rPr>
                    <w:rFonts w:ascii="Calibri" w:hAnsi="Calibri"/>
                  </w:rPr>
                </w:pPr>
                <w:r>
                  <w:rPr>
                    <w:sz w:val="22"/>
                  </w:rPr>
                  <w:t>vnt.</w:t>
                </w:r>
              </w:p>
            </w:tc>
            <w:tc>
              <w:tcPr>
                <w:tcW w:w="2186" w:type="dxa"/>
              </w:tcPr>
              <w:p>
                <w:pPr>
                  <w:overflowPunct w:val="0"/>
                  <w:ind w:right="57"/>
                  <w:jc w:val="right"/>
                  <w:textAlignment w:val="baseline"/>
                  <w:rPr>
                    <w:rFonts w:ascii="Calibri" w:hAnsi="Calibri"/>
                  </w:rPr>
                </w:pPr>
                <w:r>
                  <w:rPr>
                    <w:sz w:val="22"/>
                  </w:rPr>
                  <w:t>69</w:t>
                </w:r>
              </w:p>
            </w:tc>
          </w:tr>
          <w:tr>
            <w:tc>
              <w:tcPr>
                <w:tcW w:w="5388" w:type="dxa"/>
              </w:tcPr>
              <w:p>
                <w:pPr>
                  <w:overflowPunct w:val="0"/>
                  <w:jc w:val="both"/>
                  <w:textAlignment w:val="baseline"/>
                  <w:rPr>
                    <w:rFonts w:ascii="Calibri" w:hAnsi="Calibri"/>
                  </w:rPr>
                </w:pPr>
                <w:r>
                  <w:rPr>
                    <w:sz w:val="22"/>
                  </w:rPr>
                  <w:t>Kitos ožkos (ožiai, ožkos)</w:t>
                </w:r>
              </w:p>
            </w:tc>
            <w:tc>
              <w:tcPr>
                <w:tcW w:w="2280" w:type="dxa"/>
              </w:tcPr>
              <w:p>
                <w:pPr>
                  <w:overflowPunct w:val="0"/>
                  <w:jc w:val="center"/>
                  <w:textAlignment w:val="baseline"/>
                  <w:rPr>
                    <w:rFonts w:ascii="Calibri" w:hAnsi="Calibri"/>
                  </w:rPr>
                </w:pPr>
                <w:r>
                  <w:rPr>
                    <w:sz w:val="22"/>
                  </w:rPr>
                  <w:t>vnt.</w:t>
                </w:r>
              </w:p>
            </w:tc>
            <w:tc>
              <w:tcPr>
                <w:tcW w:w="2186" w:type="dxa"/>
              </w:tcPr>
              <w:p>
                <w:pPr>
                  <w:overflowPunct w:val="0"/>
                  <w:jc w:val="right"/>
                  <w:textAlignment w:val="baseline"/>
                  <w:rPr>
                    <w:rFonts w:ascii="Calibri" w:hAnsi="Calibri"/>
                  </w:rPr>
                </w:pPr>
                <w:r>
                  <w:rPr>
                    <w:sz w:val="22"/>
                  </w:rPr>
                  <w:t>25</w:t>
                </w:r>
              </w:p>
            </w:tc>
          </w:tr>
          <w:tr>
            <w:tc>
              <w:tcPr>
                <w:tcW w:w="5388" w:type="dxa"/>
              </w:tcPr>
              <w:p>
                <w:pPr>
                  <w:overflowPunct w:val="0"/>
                  <w:jc w:val="both"/>
                  <w:textAlignment w:val="baseline"/>
                  <w:rPr>
                    <w:rFonts w:ascii="Calibri" w:hAnsi="Calibri"/>
                  </w:rPr>
                </w:pPr>
                <w:r>
                  <w:rPr>
                    <w:sz w:val="22"/>
                  </w:rPr>
                  <w:t>Paršeliai iki 3 mėn.</w:t>
                </w:r>
              </w:p>
            </w:tc>
            <w:tc>
              <w:tcPr>
                <w:tcW w:w="2280" w:type="dxa"/>
              </w:tcPr>
              <w:p>
                <w:pPr>
                  <w:overflowPunct w:val="0"/>
                  <w:jc w:val="center"/>
                  <w:textAlignment w:val="baseline"/>
                  <w:rPr>
                    <w:rFonts w:ascii="Calibri" w:hAnsi="Calibri"/>
                  </w:rPr>
                </w:pPr>
                <w:r>
                  <w:rPr>
                    <w:sz w:val="22"/>
                  </w:rPr>
                  <w:t>vnt.</w:t>
                </w:r>
              </w:p>
            </w:tc>
            <w:tc>
              <w:tcPr>
                <w:tcW w:w="2186" w:type="dxa"/>
              </w:tcPr>
              <w:p>
                <w:pPr>
                  <w:overflowPunct w:val="0"/>
                  <w:jc w:val="right"/>
                  <w:textAlignment w:val="baseline"/>
                  <w:rPr>
                    <w:rFonts w:ascii="Calibri" w:hAnsi="Calibri"/>
                  </w:rPr>
                </w:pPr>
                <w:r>
                  <w:rPr>
                    <w:sz w:val="22"/>
                  </w:rPr>
                  <w:t>43</w:t>
                </w:r>
              </w:p>
            </w:tc>
          </w:tr>
          <w:tr>
            <w:tc>
              <w:tcPr>
                <w:tcW w:w="5388" w:type="dxa"/>
              </w:tcPr>
              <w:p>
                <w:pPr>
                  <w:overflowPunct w:val="0"/>
                  <w:jc w:val="both"/>
                  <w:textAlignment w:val="baseline"/>
                  <w:rPr>
                    <w:rFonts w:ascii="Calibri" w:hAnsi="Calibri"/>
                  </w:rPr>
                </w:pPr>
                <w:r>
                  <w:rPr>
                    <w:sz w:val="22"/>
                  </w:rPr>
                  <w:t>Kiaulės nuo 3 iki 8 mėn.</w:t>
                </w:r>
              </w:p>
            </w:tc>
            <w:tc>
              <w:tcPr>
                <w:tcW w:w="2280" w:type="dxa"/>
              </w:tcPr>
              <w:p>
                <w:pPr>
                  <w:overflowPunct w:val="0"/>
                  <w:jc w:val="center"/>
                  <w:textAlignment w:val="baseline"/>
                  <w:rPr>
                    <w:rFonts w:ascii="Calibri" w:hAnsi="Calibri"/>
                  </w:rPr>
                </w:pPr>
                <w:r>
                  <w:rPr>
                    <w:sz w:val="22"/>
                  </w:rPr>
                  <w:t>vnt.</w:t>
                </w:r>
              </w:p>
            </w:tc>
            <w:tc>
              <w:tcPr>
                <w:tcW w:w="2186" w:type="dxa"/>
              </w:tcPr>
              <w:p>
                <w:pPr>
                  <w:overflowPunct w:val="0"/>
                  <w:jc w:val="right"/>
                  <w:textAlignment w:val="baseline"/>
                  <w:rPr>
                    <w:rFonts w:ascii="Calibri" w:hAnsi="Calibri"/>
                  </w:rPr>
                </w:pPr>
                <w:r>
                  <w:rPr>
                    <w:sz w:val="22"/>
                  </w:rPr>
                  <w:t>61</w:t>
                </w:r>
              </w:p>
            </w:tc>
          </w:tr>
          <w:tr>
            <w:tc>
              <w:tcPr>
                <w:tcW w:w="5388" w:type="dxa"/>
              </w:tcPr>
              <w:p>
                <w:pPr>
                  <w:pBdr>
                    <w:left w:val="single" w:sz="4" w:space="4" w:color="auto"/>
                    <w:right w:val="single" w:sz="4" w:space="4" w:color="auto"/>
                  </w:pBdr>
                  <w:tabs>
                    <w:tab w:val="left" w:pos="4860"/>
                    <w:tab w:val="left" w:pos="7740"/>
                  </w:tabs>
                  <w:overflowPunct w:val="0"/>
                  <w:textAlignment w:val="baseline"/>
                  <w:rPr>
                    <w:rFonts w:eastAsia="Calibri"/>
                    <w:sz w:val="22"/>
                  </w:rPr>
                </w:pPr>
                <w:r>
                  <w:rPr>
                    <w:rFonts w:eastAsia="Calibri"/>
                    <w:sz w:val="22"/>
                  </w:rPr>
                  <w:t>Kiaulės nuo 8 mėn.</w:t>
                </w:r>
              </w:p>
            </w:tc>
            <w:tc>
              <w:tcPr>
                <w:tcW w:w="2280" w:type="dxa"/>
              </w:tcPr>
              <w:p>
                <w:pPr>
                  <w:overflowPunct w:val="0"/>
                  <w:jc w:val="center"/>
                  <w:textAlignment w:val="baseline"/>
                  <w:rPr>
                    <w:rFonts w:ascii="Calibri" w:hAnsi="Calibri"/>
                  </w:rPr>
                </w:pPr>
                <w:r>
                  <w:rPr>
                    <w:sz w:val="22"/>
                  </w:rPr>
                  <w:t>vnt.</w:t>
                </w:r>
              </w:p>
            </w:tc>
            <w:tc>
              <w:tcPr>
                <w:tcW w:w="2186" w:type="dxa"/>
              </w:tcPr>
              <w:p>
                <w:pPr>
                  <w:overflowPunct w:val="0"/>
                  <w:jc w:val="right"/>
                  <w:textAlignment w:val="baseline"/>
                  <w:rPr>
                    <w:rFonts w:ascii="Calibri" w:hAnsi="Calibri"/>
                  </w:rPr>
                </w:pPr>
                <w:r>
                  <w:rPr>
                    <w:sz w:val="22"/>
                  </w:rPr>
                  <w:t>68</w:t>
                </w:r>
              </w:p>
            </w:tc>
          </w:tr>
          <w:tr>
            <w:tc>
              <w:tcPr>
                <w:tcW w:w="5388" w:type="dxa"/>
              </w:tcPr>
              <w:p>
                <w:pPr>
                  <w:pBdr>
                    <w:left w:val="single" w:sz="4" w:space="4" w:color="auto"/>
                    <w:right w:val="single" w:sz="4" w:space="4" w:color="auto"/>
                  </w:pBdr>
                  <w:tabs>
                    <w:tab w:val="left" w:pos="4860"/>
                    <w:tab w:val="left" w:pos="7740"/>
                  </w:tabs>
                  <w:overflowPunct w:val="0"/>
                  <w:textAlignment w:val="baseline"/>
                  <w:rPr>
                    <w:rFonts w:eastAsia="Calibri"/>
                    <w:sz w:val="22"/>
                  </w:rPr>
                </w:pPr>
                <w:r>
                  <w:rPr>
                    <w:rFonts w:eastAsia="Calibri"/>
                    <w:sz w:val="22"/>
                  </w:rPr>
                  <w:t>Kuiliai</w:t>
                </w:r>
              </w:p>
            </w:tc>
            <w:tc>
              <w:tcPr>
                <w:tcW w:w="2280" w:type="dxa"/>
              </w:tcPr>
              <w:p>
                <w:pPr>
                  <w:overflowPunct w:val="0"/>
                  <w:jc w:val="center"/>
                  <w:textAlignment w:val="baseline"/>
                  <w:rPr>
                    <w:sz w:val="22"/>
                  </w:rPr>
                </w:pPr>
                <w:r>
                  <w:rPr>
                    <w:sz w:val="22"/>
                  </w:rPr>
                  <w:t>vnt.</w:t>
                </w:r>
              </w:p>
            </w:tc>
            <w:tc>
              <w:tcPr>
                <w:tcW w:w="2186" w:type="dxa"/>
              </w:tcPr>
              <w:p>
                <w:pPr>
                  <w:overflowPunct w:val="0"/>
                  <w:jc w:val="right"/>
                  <w:textAlignment w:val="baseline"/>
                  <w:rPr>
                    <w:sz w:val="22"/>
                  </w:rPr>
                </w:pPr>
                <w:r>
                  <w:rPr>
                    <w:sz w:val="22"/>
                  </w:rPr>
                  <w:t>0,29</w:t>
                </w:r>
              </w:p>
            </w:tc>
          </w:tr>
          <w:tr>
            <w:tc>
              <w:tcPr>
                <w:tcW w:w="5388" w:type="dxa"/>
              </w:tcPr>
              <w:p>
                <w:pPr>
                  <w:pBdr>
                    <w:left w:val="single" w:sz="4" w:space="4" w:color="auto"/>
                    <w:right w:val="single" w:sz="4" w:space="4" w:color="auto"/>
                  </w:pBdr>
                  <w:tabs>
                    <w:tab w:val="left" w:pos="4860"/>
                    <w:tab w:val="left" w:pos="7740"/>
                  </w:tabs>
                  <w:overflowPunct w:val="0"/>
                  <w:textAlignment w:val="baseline"/>
                  <w:rPr>
                    <w:rFonts w:eastAsia="Calibri"/>
                    <w:sz w:val="22"/>
                  </w:rPr>
                </w:pPr>
                <w:r>
                  <w:rPr>
                    <w:rFonts w:eastAsia="Calibri"/>
                    <w:sz w:val="22"/>
                  </w:rPr>
                  <w:t>Paršavedės</w:t>
                </w:r>
              </w:p>
            </w:tc>
            <w:tc>
              <w:tcPr>
                <w:tcW w:w="2280" w:type="dxa"/>
              </w:tcPr>
              <w:p>
                <w:pPr>
                  <w:overflowPunct w:val="0"/>
                  <w:jc w:val="center"/>
                  <w:textAlignment w:val="baseline"/>
                  <w:rPr>
                    <w:sz w:val="22"/>
                  </w:rPr>
                </w:pPr>
                <w:r>
                  <w:rPr>
                    <w:sz w:val="22"/>
                  </w:rPr>
                  <w:t>vnt.</w:t>
                </w:r>
              </w:p>
            </w:tc>
            <w:tc>
              <w:tcPr>
                <w:tcW w:w="2186" w:type="dxa"/>
              </w:tcPr>
              <w:p>
                <w:pPr>
                  <w:overflowPunct w:val="0"/>
                  <w:jc w:val="right"/>
                  <w:textAlignment w:val="baseline"/>
                  <w:rPr>
                    <w:sz w:val="22"/>
                  </w:rPr>
                </w:pPr>
                <w:r>
                  <w:rPr>
                    <w:sz w:val="22"/>
                  </w:rPr>
                  <w:t>169</w:t>
                </w:r>
              </w:p>
            </w:tc>
          </w:tr>
          <w:tr>
            <w:tc>
              <w:tcPr>
                <w:tcW w:w="5388" w:type="dxa"/>
              </w:tcPr>
              <w:p>
                <w:pPr>
                  <w:overflowPunct w:val="0"/>
                  <w:jc w:val="both"/>
                  <w:textAlignment w:val="baseline"/>
                  <w:rPr>
                    <w:rFonts w:ascii="Calibri" w:hAnsi="Calibri"/>
                  </w:rPr>
                </w:pPr>
                <w:r>
                  <w:rPr>
                    <w:sz w:val="22"/>
                  </w:rPr>
                  <w:t>Mėsiniai viščiukai (broileriai)</w:t>
                </w:r>
              </w:p>
            </w:tc>
            <w:tc>
              <w:tcPr>
                <w:tcW w:w="2280" w:type="dxa"/>
              </w:tcPr>
              <w:p>
                <w:pPr>
                  <w:overflowPunct w:val="0"/>
                  <w:jc w:val="center"/>
                  <w:textAlignment w:val="baseline"/>
                  <w:rPr>
                    <w:rFonts w:ascii="Calibri" w:hAnsi="Calibri"/>
                  </w:rPr>
                </w:pPr>
                <w:r>
                  <w:rPr>
                    <w:sz w:val="22"/>
                  </w:rPr>
                  <w:t>vnt.</w:t>
                </w:r>
              </w:p>
            </w:tc>
            <w:tc>
              <w:tcPr>
                <w:tcW w:w="2186" w:type="dxa"/>
              </w:tcPr>
              <w:p>
                <w:pPr>
                  <w:overflowPunct w:val="0"/>
                  <w:jc w:val="right"/>
                  <w:textAlignment w:val="baseline"/>
                  <w:rPr>
                    <w:rFonts w:ascii="Calibri" w:hAnsi="Calibri"/>
                  </w:rPr>
                </w:pPr>
                <w:r>
                  <w:rPr>
                    <w:sz w:val="22"/>
                  </w:rPr>
                  <w:t>0,59</w:t>
                </w:r>
              </w:p>
            </w:tc>
          </w:tr>
          <w:tr>
            <w:tc>
              <w:tcPr>
                <w:tcW w:w="5388" w:type="dxa"/>
              </w:tcPr>
              <w:p>
                <w:pPr>
                  <w:overflowPunct w:val="0"/>
                  <w:jc w:val="both"/>
                  <w:textAlignment w:val="baseline"/>
                  <w:rPr>
                    <w:rFonts w:ascii="Calibri" w:hAnsi="Calibri"/>
                  </w:rPr>
                </w:pPr>
                <w:r>
                  <w:rPr>
                    <w:sz w:val="22"/>
                  </w:rPr>
                  <w:t>Vištos dedeklės, kitos vištos</w:t>
                </w:r>
              </w:p>
            </w:tc>
            <w:tc>
              <w:tcPr>
                <w:tcW w:w="2280" w:type="dxa"/>
              </w:tcPr>
              <w:p>
                <w:pPr>
                  <w:overflowPunct w:val="0"/>
                  <w:jc w:val="center"/>
                  <w:textAlignment w:val="baseline"/>
                  <w:rPr>
                    <w:rFonts w:ascii="Calibri" w:hAnsi="Calibri"/>
                  </w:rPr>
                </w:pPr>
                <w:r>
                  <w:rPr>
                    <w:sz w:val="22"/>
                  </w:rPr>
                  <w:t>vnt.</w:t>
                </w:r>
              </w:p>
            </w:tc>
            <w:tc>
              <w:tcPr>
                <w:tcW w:w="2186" w:type="dxa"/>
              </w:tcPr>
              <w:p>
                <w:pPr>
                  <w:overflowPunct w:val="0"/>
                  <w:jc w:val="right"/>
                  <w:textAlignment w:val="baseline"/>
                  <w:rPr>
                    <w:rFonts w:ascii="Calibri" w:hAnsi="Calibri"/>
                    <w:strike/>
                  </w:rPr>
                </w:pPr>
                <w:r>
                  <w:rPr>
                    <w:sz w:val="22"/>
                  </w:rPr>
                  <w:t>0,90</w:t>
                </w:r>
              </w:p>
            </w:tc>
          </w:tr>
          <w:tr>
            <w:tc>
              <w:tcPr>
                <w:tcW w:w="5388" w:type="dxa"/>
              </w:tcPr>
              <w:p>
                <w:pPr>
                  <w:pBdr>
                    <w:left w:val="single" w:sz="4" w:space="4" w:color="auto"/>
                    <w:right w:val="single" w:sz="4" w:space="4" w:color="auto"/>
                  </w:pBdr>
                  <w:tabs>
                    <w:tab w:val="left" w:pos="4860"/>
                    <w:tab w:val="left" w:pos="7740"/>
                  </w:tabs>
                  <w:overflowPunct w:val="0"/>
                  <w:textAlignment w:val="baseline"/>
                  <w:rPr>
                    <w:rFonts w:eastAsia="Calibri"/>
                    <w:sz w:val="22"/>
                  </w:rPr>
                </w:pPr>
                <w:r>
                  <w:rPr>
                    <w:rFonts w:eastAsia="Calibri"/>
                    <w:sz w:val="22"/>
                  </w:rPr>
                  <w:t>Kiti paukščiai (žąsys, antys, kalakutai, putpelės, stručiai, kurapkos, fazanai, balandžiai, povai)</w:t>
                </w:r>
              </w:p>
            </w:tc>
            <w:tc>
              <w:tcPr>
                <w:tcW w:w="2280" w:type="dxa"/>
              </w:tcPr>
              <w:p>
                <w:pPr>
                  <w:overflowPunct w:val="0"/>
                  <w:jc w:val="center"/>
                  <w:textAlignment w:val="baseline"/>
                  <w:rPr>
                    <w:rFonts w:ascii="Calibri" w:hAnsi="Calibri"/>
                  </w:rPr>
                </w:pPr>
                <w:r>
                  <w:rPr>
                    <w:sz w:val="22"/>
                  </w:rPr>
                  <w:t>vnt.</w:t>
                </w:r>
              </w:p>
            </w:tc>
            <w:tc>
              <w:tcPr>
                <w:tcW w:w="2186" w:type="dxa"/>
              </w:tcPr>
              <w:p>
                <w:pPr>
                  <w:overflowPunct w:val="0"/>
                  <w:jc w:val="right"/>
                  <w:textAlignment w:val="baseline"/>
                  <w:rPr>
                    <w:rFonts w:ascii="Calibri" w:hAnsi="Calibri"/>
                  </w:rPr>
                </w:pPr>
                <w:r>
                  <w:rPr>
                    <w:sz w:val="22"/>
                  </w:rPr>
                  <w:t>3</w:t>
                </w:r>
              </w:p>
            </w:tc>
          </w:tr>
          <w:tr>
            <w:trPr>
              <w:trHeight w:val="165"/>
            </w:trPr>
            <w:tc>
              <w:tcPr>
                <w:tcW w:w="5388" w:type="dxa"/>
              </w:tcPr>
              <w:p>
                <w:pPr>
                  <w:overflowPunct w:val="0"/>
                  <w:jc w:val="both"/>
                  <w:textAlignment w:val="baseline"/>
                  <w:rPr>
                    <w:strike/>
                  </w:rPr>
                </w:pPr>
                <w:r>
                  <w:rPr>
                    <w:sz w:val="22"/>
                  </w:rPr>
                  <w:t>Triušių patelės</w:t>
                </w:r>
              </w:p>
            </w:tc>
            <w:tc>
              <w:tcPr>
                <w:tcW w:w="2280" w:type="dxa"/>
              </w:tcPr>
              <w:p>
                <w:pPr>
                  <w:overflowPunct w:val="0"/>
                  <w:jc w:val="center"/>
                  <w:textAlignment w:val="baseline"/>
                  <w:rPr>
                    <w:rFonts w:ascii="Calibri" w:hAnsi="Calibri"/>
                  </w:rPr>
                </w:pPr>
                <w:r>
                  <w:rPr>
                    <w:sz w:val="22"/>
                  </w:rPr>
                  <w:t>vnt.</w:t>
                </w:r>
              </w:p>
            </w:tc>
            <w:tc>
              <w:tcPr>
                <w:tcW w:w="2186" w:type="dxa"/>
              </w:tcPr>
              <w:p>
                <w:pPr>
                  <w:overflowPunct w:val="0"/>
                  <w:jc w:val="right"/>
                  <w:textAlignment w:val="baseline"/>
                  <w:rPr>
                    <w:rFonts w:ascii="Calibri" w:hAnsi="Calibri"/>
                  </w:rPr>
                </w:pPr>
                <w:r>
                  <w:rPr>
                    <w:sz w:val="22"/>
                  </w:rPr>
                  <w:t>8</w:t>
                </w:r>
              </w:p>
            </w:tc>
          </w:tr>
          <w:tr>
            <w:tc>
              <w:tcPr>
                <w:tcW w:w="5388" w:type="dxa"/>
              </w:tcPr>
              <w:p>
                <w:pPr>
                  <w:overflowPunct w:val="0"/>
                  <w:jc w:val="both"/>
                  <w:textAlignment w:val="baseline"/>
                  <w:rPr>
                    <w:rFonts w:ascii="Calibri" w:hAnsi="Calibri"/>
                  </w:rPr>
                </w:pPr>
                <w:r>
                  <w:rPr>
                    <w:sz w:val="22"/>
                  </w:rPr>
                  <w:t>Bičių šeimos</w:t>
                </w:r>
              </w:p>
            </w:tc>
            <w:tc>
              <w:tcPr>
                <w:tcW w:w="2280" w:type="dxa"/>
              </w:tcPr>
              <w:p>
                <w:pPr>
                  <w:overflowPunct w:val="0"/>
                  <w:jc w:val="center"/>
                  <w:textAlignment w:val="baseline"/>
                  <w:rPr>
                    <w:rFonts w:ascii="Calibri" w:hAnsi="Calibri"/>
                  </w:rPr>
                </w:pPr>
                <w:r>
                  <w:rPr>
                    <w:sz w:val="22"/>
                  </w:rPr>
                  <w:t>vnt.</w:t>
                </w:r>
              </w:p>
            </w:tc>
            <w:tc>
              <w:tcPr>
                <w:tcW w:w="2186" w:type="dxa"/>
              </w:tcPr>
              <w:p>
                <w:pPr>
                  <w:overflowPunct w:val="0"/>
                  <w:jc w:val="right"/>
                  <w:textAlignment w:val="baseline"/>
                  <w:rPr>
                    <w:rFonts w:ascii="Calibri" w:hAnsi="Calibri"/>
                  </w:rPr>
                </w:pPr>
                <w:r>
                  <w:rPr>
                    <w:sz w:val="22"/>
                  </w:rPr>
                  <w:t>26</w:t>
                </w:r>
              </w:p>
            </w:tc>
          </w:tr>
          <w:tr>
            <w:tc>
              <w:tcPr>
                <w:tcW w:w="5388" w:type="dxa"/>
              </w:tcPr>
              <w:p>
                <w:pPr>
                  <w:overflowPunct w:val="0"/>
                  <w:jc w:val="both"/>
                  <w:textAlignment w:val="baseline"/>
                  <w:rPr>
                    <w:rFonts w:ascii="Calibri" w:hAnsi="Calibri"/>
                  </w:rPr>
                </w:pPr>
                <w:r>
                  <w:rPr>
                    <w:sz w:val="22"/>
                  </w:rPr>
                  <w:t>Elniai, briedžiai</w:t>
                </w:r>
              </w:p>
            </w:tc>
            <w:tc>
              <w:tcPr>
                <w:tcW w:w="2280" w:type="dxa"/>
              </w:tcPr>
              <w:p>
                <w:pPr>
                  <w:overflowPunct w:val="0"/>
                  <w:jc w:val="center"/>
                  <w:textAlignment w:val="baseline"/>
                  <w:rPr>
                    <w:rFonts w:ascii="Calibri" w:hAnsi="Calibri"/>
                  </w:rPr>
                </w:pPr>
                <w:r>
                  <w:rPr>
                    <w:sz w:val="22"/>
                  </w:rPr>
                  <w:t>vnt.</w:t>
                </w:r>
              </w:p>
            </w:tc>
            <w:tc>
              <w:tcPr>
                <w:tcW w:w="2186" w:type="dxa"/>
              </w:tcPr>
              <w:p>
                <w:pPr>
                  <w:overflowPunct w:val="0"/>
                  <w:jc w:val="right"/>
                  <w:textAlignment w:val="baseline"/>
                  <w:rPr>
                    <w:rFonts w:ascii="Calibri" w:hAnsi="Calibri"/>
                  </w:rPr>
                </w:pPr>
                <w:r>
                  <w:rPr>
                    <w:sz w:val="22"/>
                  </w:rPr>
                  <w:t>431</w:t>
                </w:r>
              </w:p>
            </w:tc>
          </w:tr>
          <w:tr>
            <w:tc>
              <w:tcPr>
                <w:tcW w:w="5388" w:type="dxa"/>
              </w:tcPr>
              <w:p>
                <w:pPr>
                  <w:overflowPunct w:val="0"/>
                  <w:jc w:val="both"/>
                  <w:textAlignment w:val="baseline"/>
                  <w:rPr>
                    <w:rFonts w:ascii="Calibri" w:hAnsi="Calibri"/>
                  </w:rPr>
                </w:pPr>
                <w:r>
                  <w:rPr>
                    <w:sz w:val="22"/>
                  </w:rPr>
                  <w:t>Danieliai</w:t>
                </w:r>
              </w:p>
            </w:tc>
            <w:tc>
              <w:tcPr>
                <w:tcW w:w="2280" w:type="dxa"/>
              </w:tcPr>
              <w:p>
                <w:pPr>
                  <w:overflowPunct w:val="0"/>
                  <w:jc w:val="center"/>
                  <w:textAlignment w:val="baseline"/>
                  <w:rPr>
                    <w:rFonts w:ascii="Calibri" w:hAnsi="Calibri"/>
                  </w:rPr>
                </w:pPr>
                <w:r>
                  <w:rPr>
                    <w:sz w:val="22"/>
                  </w:rPr>
                  <w:t>vnt.</w:t>
                </w:r>
              </w:p>
            </w:tc>
            <w:tc>
              <w:tcPr>
                <w:tcW w:w="2186" w:type="dxa"/>
              </w:tcPr>
              <w:p>
                <w:pPr>
                  <w:overflowPunct w:val="0"/>
                  <w:jc w:val="right"/>
                  <w:textAlignment w:val="baseline"/>
                  <w:rPr>
                    <w:rFonts w:ascii="Calibri" w:hAnsi="Calibri"/>
                  </w:rPr>
                </w:pPr>
                <w:r>
                  <w:rPr>
                    <w:sz w:val="22"/>
                  </w:rPr>
                  <w:t>112</w:t>
                </w:r>
              </w:p>
            </w:tc>
          </w:tr>
          <w:tr>
            <w:tc>
              <w:tcPr>
                <w:tcW w:w="5388" w:type="dxa"/>
              </w:tcPr>
              <w:p>
                <w:pPr>
                  <w:overflowPunct w:val="0"/>
                  <w:jc w:val="both"/>
                  <w:textAlignment w:val="baseline"/>
                  <w:rPr>
                    <w:rFonts w:ascii="Calibri" w:hAnsi="Calibri"/>
                    <w:sz w:val="22"/>
                    <w:szCs w:val="22"/>
                  </w:rPr>
                </w:pPr>
                <w:r>
                  <w:rPr>
                    <w:sz w:val="22"/>
                    <w:szCs w:val="22"/>
                  </w:rPr>
                  <w:t>Šinšilai</w:t>
                </w:r>
              </w:p>
            </w:tc>
            <w:tc>
              <w:tcPr>
                <w:tcW w:w="2280" w:type="dxa"/>
              </w:tcPr>
              <w:p>
                <w:pPr>
                  <w:overflowPunct w:val="0"/>
                  <w:jc w:val="center"/>
                  <w:textAlignment w:val="baseline"/>
                  <w:rPr>
                    <w:rFonts w:ascii="Calibri" w:hAnsi="Calibri"/>
                    <w:sz w:val="22"/>
                    <w:szCs w:val="22"/>
                  </w:rPr>
                </w:pPr>
                <w:r>
                  <w:rPr>
                    <w:sz w:val="22"/>
                    <w:szCs w:val="22"/>
                  </w:rPr>
                  <w:t>vnt.</w:t>
                </w:r>
              </w:p>
            </w:tc>
            <w:tc>
              <w:tcPr>
                <w:tcW w:w="2186" w:type="dxa"/>
              </w:tcPr>
              <w:p>
                <w:pPr>
                  <w:overflowPunct w:val="0"/>
                  <w:jc w:val="right"/>
                  <w:textAlignment w:val="baseline"/>
                  <w:rPr>
                    <w:rFonts w:ascii="Calibri" w:hAnsi="Calibri"/>
                    <w:sz w:val="22"/>
                    <w:szCs w:val="22"/>
                  </w:rPr>
                </w:pPr>
                <w:r>
                  <w:rPr>
                    <w:sz w:val="22"/>
                    <w:szCs w:val="22"/>
                  </w:rPr>
                  <w:t>23</w:t>
                </w:r>
              </w:p>
            </w:tc>
          </w:tr>
          <w:tr>
            <w:tc>
              <w:tcPr>
                <w:tcW w:w="5388" w:type="dxa"/>
              </w:tcPr>
              <w:p>
                <w:pPr>
                  <w:overflowPunct w:val="0"/>
                  <w:jc w:val="both"/>
                  <w:textAlignment w:val="baseline"/>
                  <w:rPr>
                    <w:rFonts w:ascii="Calibri" w:hAnsi="Calibri"/>
                    <w:sz w:val="22"/>
                    <w:szCs w:val="22"/>
                  </w:rPr>
                </w:pPr>
                <w:r>
                  <w:rPr>
                    <w:sz w:val="22"/>
                    <w:szCs w:val="22"/>
                  </w:rPr>
                  <w:t>Audinės, nutrijos ir kiti kailiniai žvėreliai</w:t>
                </w:r>
              </w:p>
            </w:tc>
            <w:tc>
              <w:tcPr>
                <w:tcW w:w="2280" w:type="dxa"/>
              </w:tcPr>
              <w:p>
                <w:pPr>
                  <w:overflowPunct w:val="0"/>
                  <w:jc w:val="center"/>
                  <w:textAlignment w:val="baseline"/>
                  <w:rPr>
                    <w:rFonts w:ascii="Calibri" w:hAnsi="Calibri"/>
                    <w:sz w:val="22"/>
                    <w:szCs w:val="22"/>
                  </w:rPr>
                </w:pPr>
                <w:r>
                  <w:rPr>
                    <w:sz w:val="22"/>
                    <w:szCs w:val="22"/>
                  </w:rPr>
                  <w:t>vnt.</w:t>
                </w:r>
              </w:p>
            </w:tc>
            <w:tc>
              <w:tcPr>
                <w:tcW w:w="2186" w:type="dxa"/>
              </w:tcPr>
              <w:p>
                <w:pPr>
                  <w:overflowPunct w:val="0"/>
                  <w:jc w:val="right"/>
                  <w:textAlignment w:val="baseline"/>
                  <w:rPr>
                    <w:rFonts w:ascii="Calibri" w:hAnsi="Calibri"/>
                    <w:sz w:val="22"/>
                    <w:szCs w:val="22"/>
                  </w:rPr>
                </w:pPr>
                <w:r>
                  <w:rPr>
                    <w:sz w:val="22"/>
                    <w:szCs w:val="22"/>
                  </w:rPr>
                  <w:t>15</w:t>
                </w:r>
              </w:p>
            </w:tc>
          </w:tr>
          <w:tr>
            <w:tc>
              <w:tcPr>
                <w:tcW w:w="5388" w:type="dxa"/>
              </w:tcPr>
              <w:p>
                <w:pPr>
                  <w:overflowPunct w:val="0"/>
                  <w:jc w:val="both"/>
                  <w:textAlignment w:val="baseline"/>
                  <w:rPr>
                    <w:rFonts w:ascii="Calibri" w:hAnsi="Calibri"/>
                    <w:sz w:val="22"/>
                    <w:szCs w:val="22"/>
                  </w:rPr>
                </w:pPr>
                <w:r>
                  <w:rPr>
                    <w:sz w:val="22"/>
                    <w:szCs w:val="22"/>
                  </w:rPr>
                  <w:t>Stumbrai, bizonai</w:t>
                </w:r>
              </w:p>
            </w:tc>
            <w:tc>
              <w:tcPr>
                <w:tcW w:w="2280" w:type="dxa"/>
              </w:tcPr>
              <w:p>
                <w:pPr>
                  <w:overflowPunct w:val="0"/>
                  <w:jc w:val="center"/>
                  <w:textAlignment w:val="baseline"/>
                  <w:rPr>
                    <w:rFonts w:ascii="Calibri" w:hAnsi="Calibri"/>
                    <w:sz w:val="22"/>
                    <w:szCs w:val="22"/>
                  </w:rPr>
                </w:pPr>
                <w:r>
                  <w:rPr>
                    <w:sz w:val="22"/>
                    <w:szCs w:val="22"/>
                  </w:rPr>
                  <w:t>vnt.</w:t>
                </w:r>
              </w:p>
            </w:tc>
            <w:tc>
              <w:tcPr>
                <w:tcW w:w="2186" w:type="dxa"/>
              </w:tcPr>
              <w:p>
                <w:pPr>
                  <w:overflowPunct w:val="0"/>
                  <w:jc w:val="right"/>
                  <w:textAlignment w:val="baseline"/>
                  <w:rPr>
                    <w:rFonts w:ascii="Calibri" w:hAnsi="Calibri"/>
                    <w:sz w:val="22"/>
                    <w:szCs w:val="22"/>
                  </w:rPr>
                </w:pPr>
                <w:r>
                  <w:rPr>
                    <w:sz w:val="22"/>
                    <w:szCs w:val="22"/>
                  </w:rPr>
                  <w:t>250</w:t>
                </w:r>
              </w:p>
            </w:tc>
          </w:tr>
          <w:tr>
            <w:tc>
              <w:tcPr>
                <w:tcW w:w="5388" w:type="dxa"/>
              </w:tcPr>
              <w:p>
                <w:pPr>
                  <w:overflowPunct w:val="0"/>
                  <w:jc w:val="both"/>
                  <w:textAlignment w:val="baseline"/>
                  <w:rPr>
                    <w:rFonts w:ascii="Calibri" w:hAnsi="Calibri"/>
                    <w:sz w:val="22"/>
                    <w:szCs w:val="22"/>
                  </w:rPr>
                </w:pPr>
                <w:r>
                  <w:rPr>
                    <w:sz w:val="22"/>
                    <w:szCs w:val="22"/>
                  </w:rPr>
                  <w:t>Muflonai</w:t>
                </w:r>
              </w:p>
            </w:tc>
            <w:tc>
              <w:tcPr>
                <w:tcW w:w="2280" w:type="dxa"/>
              </w:tcPr>
              <w:p>
                <w:pPr>
                  <w:overflowPunct w:val="0"/>
                  <w:jc w:val="center"/>
                  <w:textAlignment w:val="baseline"/>
                  <w:rPr>
                    <w:rFonts w:ascii="Calibri" w:hAnsi="Calibri"/>
                    <w:sz w:val="22"/>
                    <w:szCs w:val="22"/>
                  </w:rPr>
                </w:pPr>
                <w:r>
                  <w:rPr>
                    <w:sz w:val="22"/>
                    <w:szCs w:val="22"/>
                  </w:rPr>
                  <w:t>vnt.</w:t>
                </w:r>
              </w:p>
            </w:tc>
            <w:tc>
              <w:tcPr>
                <w:tcW w:w="2186" w:type="dxa"/>
              </w:tcPr>
              <w:p>
                <w:pPr>
                  <w:overflowPunct w:val="0"/>
                  <w:jc w:val="right"/>
                  <w:textAlignment w:val="baseline"/>
                  <w:rPr>
                    <w:rFonts w:ascii="Calibri" w:hAnsi="Calibri"/>
                    <w:sz w:val="22"/>
                    <w:szCs w:val="22"/>
                  </w:rPr>
                </w:pPr>
                <w:r>
                  <w:rPr>
                    <w:sz w:val="22"/>
                    <w:szCs w:val="22"/>
                  </w:rPr>
                  <w:t>99</w:t>
                </w:r>
              </w:p>
            </w:tc>
          </w:tr>
          <w:tr>
            <w:tc>
              <w:tcPr>
                <w:tcW w:w="5388" w:type="dxa"/>
              </w:tcPr>
              <w:p>
                <w:pPr>
                  <w:overflowPunct w:val="0"/>
                  <w:jc w:val="both"/>
                  <w:textAlignment w:val="baseline"/>
                  <w:rPr>
                    <w:rFonts w:ascii="Calibri" w:hAnsi="Calibri"/>
                    <w:sz w:val="22"/>
                    <w:szCs w:val="22"/>
                  </w:rPr>
                </w:pPr>
                <w:r>
                  <w:rPr>
                    <w:sz w:val="22"/>
                    <w:szCs w:val="22"/>
                  </w:rPr>
                  <w:t>Lapės</w:t>
                </w:r>
              </w:p>
            </w:tc>
            <w:tc>
              <w:tcPr>
                <w:tcW w:w="2280" w:type="dxa"/>
              </w:tcPr>
              <w:p>
                <w:pPr>
                  <w:overflowPunct w:val="0"/>
                  <w:jc w:val="center"/>
                  <w:textAlignment w:val="baseline"/>
                  <w:rPr>
                    <w:rFonts w:ascii="Calibri" w:hAnsi="Calibri"/>
                    <w:sz w:val="22"/>
                    <w:szCs w:val="22"/>
                  </w:rPr>
                </w:pPr>
                <w:r>
                  <w:rPr>
                    <w:sz w:val="22"/>
                    <w:szCs w:val="22"/>
                  </w:rPr>
                  <w:t>vnt.</w:t>
                </w:r>
              </w:p>
            </w:tc>
            <w:tc>
              <w:tcPr>
                <w:tcW w:w="2186" w:type="dxa"/>
              </w:tcPr>
              <w:p>
                <w:pPr>
                  <w:overflowPunct w:val="0"/>
                  <w:jc w:val="right"/>
                  <w:textAlignment w:val="baseline"/>
                  <w:rPr>
                    <w:rFonts w:ascii="Calibri" w:hAnsi="Calibri"/>
                    <w:sz w:val="22"/>
                    <w:szCs w:val="22"/>
                  </w:rPr>
                </w:pPr>
                <w:r>
                  <w:rPr>
                    <w:sz w:val="22"/>
                    <w:szCs w:val="22"/>
                  </w:rPr>
                  <w:t>23</w:t>
                </w:r>
              </w:p>
            </w:tc>
          </w:tr>
          <w:tr>
            <w:tc>
              <w:tcPr>
                <w:tcW w:w="5388" w:type="dxa"/>
              </w:tcPr>
              <w:p>
                <w:pPr>
                  <w:overflowPunct w:val="0"/>
                  <w:jc w:val="both"/>
                  <w:textAlignment w:val="baseline"/>
                  <w:rPr>
                    <w:sz w:val="22"/>
                    <w:szCs w:val="22"/>
                  </w:rPr>
                </w:pPr>
                <w:r>
                  <w:rPr>
                    <w:sz w:val="22"/>
                    <w:szCs w:val="22"/>
                  </w:rPr>
                  <w:t>Šernai</w:t>
                </w:r>
              </w:p>
            </w:tc>
            <w:tc>
              <w:tcPr>
                <w:tcW w:w="2280" w:type="dxa"/>
              </w:tcPr>
              <w:p>
                <w:pPr>
                  <w:overflowPunct w:val="0"/>
                  <w:jc w:val="center"/>
                  <w:textAlignment w:val="baseline"/>
                  <w:rPr>
                    <w:sz w:val="22"/>
                    <w:szCs w:val="22"/>
                  </w:rPr>
                </w:pPr>
                <w:r>
                  <w:rPr>
                    <w:sz w:val="22"/>
                    <w:szCs w:val="22"/>
                  </w:rPr>
                  <w:t>vnt.</w:t>
                </w:r>
              </w:p>
            </w:tc>
            <w:tc>
              <w:tcPr>
                <w:tcW w:w="2186" w:type="dxa"/>
              </w:tcPr>
              <w:p>
                <w:pPr>
                  <w:overflowPunct w:val="0"/>
                  <w:jc w:val="right"/>
                  <w:textAlignment w:val="baseline"/>
                  <w:rPr>
                    <w:sz w:val="22"/>
                    <w:szCs w:val="22"/>
                  </w:rPr>
                </w:pPr>
                <w:r>
                  <w:rPr>
                    <w:sz w:val="22"/>
                  </w:rPr>
                  <w:t>0,29</w:t>
                </w:r>
              </w:p>
            </w:tc>
          </w:tr>
          <w:tr>
            <w:tc>
              <w:tcPr>
                <w:tcW w:w="5388" w:type="dxa"/>
              </w:tcPr>
              <w:p>
                <w:pPr>
                  <w:overflowPunct w:val="0"/>
                  <w:jc w:val="both"/>
                  <w:textAlignment w:val="baseline"/>
                  <w:rPr>
                    <w:sz w:val="22"/>
                    <w:szCs w:val="22"/>
                  </w:rPr>
                </w:pPr>
                <w:r>
                  <w:rPr>
                    <w:sz w:val="22"/>
                    <w:szCs w:val="22"/>
                  </w:rPr>
                  <w:t>Sraigės</w:t>
                </w:r>
              </w:p>
            </w:tc>
            <w:tc>
              <w:tcPr>
                <w:tcW w:w="2280" w:type="dxa"/>
              </w:tcPr>
              <w:p>
                <w:pPr>
                  <w:overflowPunct w:val="0"/>
                  <w:jc w:val="center"/>
                  <w:textAlignment w:val="baseline"/>
                  <w:rPr>
                    <w:sz w:val="22"/>
                    <w:szCs w:val="22"/>
                  </w:rPr>
                </w:pPr>
                <w:r>
                  <w:rPr>
                    <w:sz w:val="22"/>
                    <w:szCs w:val="22"/>
                  </w:rPr>
                  <w:t>ha</w:t>
                </w:r>
              </w:p>
            </w:tc>
            <w:tc>
              <w:tcPr>
                <w:tcW w:w="2186" w:type="dxa"/>
              </w:tcPr>
              <w:p>
                <w:pPr>
                  <w:overflowPunct w:val="0"/>
                  <w:jc w:val="right"/>
                  <w:textAlignment w:val="baseline"/>
                  <w:rPr>
                    <w:sz w:val="22"/>
                    <w:szCs w:val="22"/>
                  </w:rPr>
                </w:pPr>
                <w:r>
                  <w:rPr>
                    <w:sz w:val="22"/>
                    <w:szCs w:val="22"/>
                  </w:rPr>
                  <w:t>1816</w:t>
                </w:r>
              </w:p>
            </w:tc>
          </w:tr>
          <w:tr>
            <w:tc>
              <w:tcPr>
                <w:tcW w:w="5388" w:type="dxa"/>
              </w:tcPr>
              <w:p>
                <w:pPr>
                  <w:overflowPunct w:val="0"/>
                  <w:jc w:val="both"/>
                  <w:textAlignment w:val="baseline"/>
                  <w:rPr>
                    <w:sz w:val="22"/>
                  </w:rPr>
                </w:pPr>
                <w:r>
                  <w:rPr>
                    <w:sz w:val="22"/>
                  </w:rPr>
                  <w:t>Sraigės (auginamos uždarose patalpose)</w:t>
                </w:r>
              </w:p>
            </w:tc>
            <w:tc>
              <w:tcPr>
                <w:tcW w:w="2280" w:type="dxa"/>
              </w:tcPr>
              <w:p>
                <w:pPr>
                  <w:overflowPunct w:val="0"/>
                  <w:jc w:val="center"/>
                  <w:textAlignment w:val="baseline"/>
                  <w:rPr>
                    <w:sz w:val="22"/>
                  </w:rPr>
                </w:pPr>
                <w:r>
                  <w:rPr>
                    <w:sz w:val="22"/>
                  </w:rPr>
                  <w:t>vnt.</w:t>
                </w:r>
              </w:p>
            </w:tc>
            <w:tc>
              <w:tcPr>
                <w:tcW w:w="2186" w:type="dxa"/>
              </w:tcPr>
              <w:p>
                <w:pPr>
                  <w:overflowPunct w:val="0"/>
                  <w:jc w:val="right"/>
                  <w:textAlignment w:val="baseline"/>
                  <w:rPr>
                    <w:sz w:val="22"/>
                  </w:rPr>
                </w:pPr>
                <w:r>
                  <w:rPr>
                    <w:sz w:val="22"/>
                  </w:rPr>
                  <w:t>0,0139</w:t>
                </w:r>
              </w:p>
            </w:tc>
          </w:tr>
          <w:tr>
            <w:tc>
              <w:tcPr>
                <w:tcW w:w="5388" w:type="dxa"/>
              </w:tcPr>
              <w:p>
                <w:pPr>
                  <w:overflowPunct w:val="0"/>
                  <w:jc w:val="both"/>
                  <w:textAlignment w:val="baseline"/>
                  <w:rPr>
                    <w:sz w:val="22"/>
                    <w:szCs w:val="22"/>
                  </w:rPr>
                </w:pPr>
                <w:r>
                  <w:t>A</w:t>
                </w:r>
                <w:r>
                  <w:rPr>
                    <w:szCs w:val="24"/>
                  </w:rPr>
                  <w:t>kvakultūros</w:t>
                </w:r>
                <w:r>
                  <w:rPr>
                    <w:sz w:val="22"/>
                    <w:szCs w:val="22"/>
                  </w:rPr>
                  <w:t xml:space="preserve"> tvenkinių žuvys</w:t>
                </w:r>
              </w:p>
            </w:tc>
            <w:tc>
              <w:tcPr>
                <w:tcW w:w="2280" w:type="dxa"/>
              </w:tcPr>
              <w:p>
                <w:pPr>
                  <w:overflowPunct w:val="0"/>
                  <w:jc w:val="center"/>
                  <w:textAlignment w:val="baseline"/>
                  <w:rPr>
                    <w:sz w:val="22"/>
                    <w:szCs w:val="22"/>
                  </w:rPr>
                </w:pPr>
                <w:r>
                  <w:rPr>
                    <w:sz w:val="22"/>
                    <w:szCs w:val="22"/>
                  </w:rPr>
                  <w:t>ha</w:t>
                </w:r>
              </w:p>
            </w:tc>
            <w:tc>
              <w:tcPr>
                <w:tcW w:w="2186" w:type="dxa"/>
              </w:tcPr>
              <w:p>
                <w:pPr>
                  <w:overflowPunct w:val="0"/>
                  <w:jc w:val="right"/>
                  <w:textAlignment w:val="baseline"/>
                  <w:rPr>
                    <w:sz w:val="22"/>
                    <w:szCs w:val="22"/>
                  </w:rPr>
                </w:pPr>
                <w:r>
                  <w:rPr>
                    <w:sz w:val="22"/>
                    <w:szCs w:val="22"/>
                  </w:rPr>
                  <w:t>504</w:t>
                </w:r>
              </w:p>
            </w:tc>
          </w:tr>
          <w:tr>
            <w:trPr>
              <w:trHeight w:val="161"/>
            </w:trPr>
            <w:tc>
              <w:tcPr>
                <w:tcW w:w="5388" w:type="dxa"/>
              </w:tcPr>
              <w:p>
                <w:pPr>
                  <w:overflowPunct w:val="0"/>
                  <w:jc w:val="both"/>
                  <w:textAlignment w:val="baseline"/>
                  <w:rPr>
                    <w:color w:val="000000"/>
                    <w:sz w:val="22"/>
                    <w:szCs w:val="22"/>
                  </w:rPr>
                </w:pPr>
                <w:r>
                  <w:rPr>
                    <w:sz w:val="22"/>
                    <w:szCs w:val="22"/>
                  </w:rPr>
                  <w:t xml:space="preserve">Uždarosiose </w:t>
                </w:r>
                <w:r>
                  <w:rPr>
                    <w:szCs w:val="24"/>
                  </w:rPr>
                  <w:t>akvakultūros</w:t>
                </w:r>
                <w:r>
                  <w:rPr>
                    <w:sz w:val="22"/>
                    <w:szCs w:val="22"/>
                  </w:rPr>
                  <w:t xml:space="preserve"> sistemose veisiamos ir (ar) auginamos žuvys</w:t>
                </w:r>
              </w:p>
            </w:tc>
            <w:tc>
              <w:tcPr>
                <w:tcW w:w="2280" w:type="dxa"/>
              </w:tcPr>
              <w:p>
                <w:pPr>
                  <w:overflowPunct w:val="0"/>
                  <w:jc w:val="center"/>
                  <w:textAlignment w:val="baseline"/>
                  <w:rPr>
                    <w:color w:val="000000"/>
                    <w:sz w:val="22"/>
                    <w:szCs w:val="22"/>
                  </w:rPr>
                </w:pPr>
                <w:r>
                  <w:rPr>
                    <w:sz w:val="22"/>
                    <w:szCs w:val="22"/>
                  </w:rPr>
                  <w:t>m</w:t>
                </w:r>
                <w:r>
                  <w:rPr>
                    <w:sz w:val="22"/>
                    <w:szCs w:val="22"/>
                    <w:vertAlign w:val="superscript"/>
                  </w:rPr>
                  <w:t>3</w:t>
                </w:r>
              </w:p>
            </w:tc>
            <w:tc>
              <w:tcPr>
                <w:tcW w:w="2186" w:type="dxa"/>
              </w:tcPr>
              <w:p>
                <w:pPr>
                  <w:overflowPunct w:val="0"/>
                  <w:jc w:val="right"/>
                  <w:textAlignment w:val="baseline"/>
                  <w:rPr>
                    <w:color w:val="000000"/>
                    <w:sz w:val="22"/>
                    <w:szCs w:val="22"/>
                  </w:rPr>
                </w:pPr>
                <w:r>
                  <w:rPr>
                    <w:sz w:val="22"/>
                    <w:szCs w:val="22"/>
                  </w:rPr>
                  <w:t>777</w:t>
                </w:r>
              </w:p>
            </w:tc>
          </w:tr>
        </w:tbl>
        <w:p>
          <w:pPr>
            <w:tabs>
              <w:tab w:val="left" w:pos="4507"/>
              <w:tab w:val="left" w:pos="7087"/>
            </w:tabs>
            <w:overflowPunct w:val="0"/>
            <w:jc w:val="both"/>
            <w:textAlignment w:val="baseline"/>
            <w:rPr>
              <w:rFonts w:eastAsia="Calibri"/>
              <w:b/>
              <w:sz w:val="22"/>
            </w:rPr>
          </w:pPr>
        </w:p>
        <w:p>
          <w:pPr>
            <w:tabs>
              <w:tab w:val="left" w:pos="4507"/>
              <w:tab w:val="left" w:pos="7087"/>
            </w:tabs>
            <w:overflowPunct w:val="0"/>
            <w:jc w:val="both"/>
            <w:textAlignment w:val="baseline"/>
          </w:pPr>
          <w:r>
            <w:rPr>
              <w:rFonts w:eastAsia="Calibri"/>
              <w:sz w:val="22"/>
            </w:rPr>
            <w:t>*</w:t>
          </w:r>
          <w:r>
            <w:rPr>
              <w:rFonts w:eastAsia="Calibri"/>
              <w:szCs w:val="24"/>
            </w:rPr>
            <w:t>Augalų pasėliams, nepriklausomai nuo to, ar nuėmus derlių jie suariami, ar paliekamos ražienos, taikoma ta pati SGP reikšmė.</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CA596202C326">
            <w:r w:rsidRPr="00532B9F">
              <w:rPr>
                <w:rFonts w:ascii="Arial" w:eastAsia="MS Mincho" w:hAnsi="Arial"/>
                <w:sz w:val="20"/>
                <w:i/>
                <w:iCs/>
                <w:color w:val="0000FF" w:themeColor="hyperlink"/>
                <w:u w:val="single"/>
              </w:rPr>
              <w:t>3D-936</w:t>
            </w:r>
          </w:fldSimple>
          <w:r>
            <w:rPr>
              <w:rFonts w:ascii="Arial" w:eastAsia="MS Mincho" w:hAnsi="Arial"/>
              <w:sz w:val="20"/>
              <w:i/>
              <w:iCs/>
            </w:rPr>
            <w:t>,
2011-12-21,
Žin., 2011, Nr.
160-7608 (2011-12-28), i. k. 1112330ISAK003D-936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78015787E0EF">
            <w:r w:rsidRPr="00532B9F">
              <w:rPr>
                <w:rFonts w:ascii="Arial" w:eastAsia="MS Mincho" w:hAnsi="Arial"/>
                <w:sz w:val="20"/>
                <w:i/>
                <w:iCs/>
                <w:color w:val="0000FF" w:themeColor="hyperlink"/>
                <w:u w:val="single"/>
              </w:rPr>
              <w:t>3D-969</w:t>
            </w:r>
          </w:fldSimple>
          <w:r>
            <w:rPr>
              <w:rFonts w:ascii="Arial" w:eastAsia="MS Mincho" w:hAnsi="Arial"/>
              <w:sz w:val="20"/>
              <w:i/>
              <w:iCs/>
            </w:rPr>
            <w:t>,
2012-12-31,
Žin., 2013, Nr.
1-10 (2013-01-03), i. k. 1122330ISAK003D-969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f5d2de0762b11e4805fa6cb12e2ef99">
            <w:r w:rsidRPr="00532B9F">
              <w:rPr>
                <w:rFonts w:ascii="Arial" w:eastAsia="MS Mincho" w:hAnsi="Arial"/>
                <w:sz w:val="20"/>
                <w:i/>
                <w:iCs/>
                <w:color w:val="0000FF" w:themeColor="hyperlink"/>
                <w:u w:val="single"/>
              </w:rPr>
              <w:t>3D-897</w:t>
            </w:r>
          </w:fldSimple>
          <w:r>
            <w:rPr>
              <w:rFonts w:ascii="Arial" w:eastAsia="MS Mincho" w:hAnsi="Arial"/>
              <w:sz w:val="20"/>
              <w:i/>
              <w:iCs/>
            </w:rPr>
            <w:t>,
2014-11-27,
paskelbta TAR 2014-11-28, i. k. 2014-18088            </w:t>
          </w:r>
        </w:p>
        <w:p/>
      </w:sdtContent>
    </w:sdt>
    <w:sdt>
      <w:sdtPr>
        <w:alias w:val="2 pr."/>
        <w:tag w:val="part_43599f0103ac485d893d8eba33a27412"/>
        <w:lock w:val="sdtLocked"/>
        <w:richText/>
      </w:sdtPr>
      <w:sdtContent>
        <w:p>
          <w:pPr>
            <w:overflowPunct w:val="0"/>
            <w:spacing w:line="360" w:lineRule="auto"/>
            <w:jc w:val="both"/>
            <w:textAlignment w:val="baseline"/>
            <w:sectPr>
              <w:headerReference w:type="default" r:id="rId63"/>
              <w:pgSz w:w="11907" w:h="16840"/>
              <w:pgMar w:top="1247" w:right="283" w:bottom="1134" w:left="1701" w:header="567" w:footer="567" w:gutter="0"/>
              <w:pgNumType w:start="1"/>
              <w:cols w:space="1296"/>
              <w:titlePg/>
              <w:docGrid w:linePitch="326"/>
            </w:sectPr>
          </w:pPr>
        </w:p>
        <w:p>
          <w:pPr>
            <w:tabs>
              <w:tab w:val="left" w:pos="1304"/>
              <w:tab w:val="left" w:pos="1457"/>
              <w:tab w:val="left" w:pos="1604"/>
              <w:tab w:val="left" w:pos="1757"/>
            </w:tabs>
            <w:overflowPunct w:val="0"/>
            <w:ind w:left="5103"/>
            <w:jc w:val="both"/>
            <w:textAlignment w:val="baseline"/>
            <w:rPr>
              <w:sz w:val="22"/>
              <w:szCs w:val="22"/>
            </w:rPr>
          </w:pPr>
          <w:r>
            <w:rPr>
              <w:sz w:val="22"/>
              <w:szCs w:val="22"/>
            </w:rPr>
            <w:t>Žemės ūkio valdos ar ūkio bendrojo</w:t>
          </w:r>
        </w:p>
        <w:p>
          <w:pPr>
            <w:tabs>
              <w:tab w:val="left" w:pos="1304"/>
              <w:tab w:val="left" w:pos="1457"/>
              <w:tab w:val="left" w:pos="1604"/>
              <w:tab w:val="left" w:pos="1757"/>
            </w:tabs>
            <w:overflowPunct w:val="0"/>
            <w:ind w:left="5103"/>
            <w:jc w:val="both"/>
            <w:textAlignment w:val="baseline"/>
            <w:rPr>
              <w:sz w:val="22"/>
              <w:szCs w:val="22"/>
            </w:rPr>
          </w:pPr>
          <w:r>
            <w:rPr>
              <w:sz w:val="22"/>
              <w:szCs w:val="22"/>
            </w:rPr>
            <w:t>standartinio gamybinio pelno ir</w:t>
          </w:r>
        </w:p>
        <w:p>
          <w:pPr>
            <w:tabs>
              <w:tab w:val="left" w:pos="1304"/>
              <w:tab w:val="left" w:pos="1457"/>
              <w:tab w:val="left" w:pos="1604"/>
              <w:tab w:val="left" w:pos="1757"/>
            </w:tabs>
            <w:overflowPunct w:val="0"/>
            <w:ind w:left="5103"/>
            <w:jc w:val="both"/>
            <w:textAlignment w:val="baseline"/>
            <w:rPr>
              <w:sz w:val="22"/>
              <w:szCs w:val="22"/>
            </w:rPr>
          </w:pPr>
          <w:r>
            <w:rPr>
              <w:sz w:val="22"/>
              <w:szCs w:val="22"/>
            </w:rPr>
            <w:t>ekonominio dydžio, išreiškiamo</w:t>
          </w:r>
        </w:p>
        <w:p>
          <w:pPr>
            <w:tabs>
              <w:tab w:val="left" w:pos="1304"/>
              <w:tab w:val="left" w:pos="1457"/>
              <w:tab w:val="left" w:pos="1604"/>
              <w:tab w:val="left" w:pos="1757"/>
            </w:tabs>
            <w:overflowPunct w:val="0"/>
            <w:ind w:left="5103"/>
            <w:jc w:val="both"/>
            <w:textAlignment w:val="baseline"/>
            <w:rPr>
              <w:sz w:val="22"/>
              <w:szCs w:val="22"/>
            </w:rPr>
          </w:pPr>
          <w:r>
            <w:rPr>
              <w:sz w:val="22"/>
              <w:szCs w:val="22"/>
            </w:rPr>
            <w:t>ekonominio dydžio vienetais,</w:t>
          </w:r>
        </w:p>
        <w:p>
          <w:pPr>
            <w:tabs>
              <w:tab w:val="left" w:pos="1304"/>
              <w:tab w:val="left" w:pos="1457"/>
              <w:tab w:val="left" w:pos="1604"/>
              <w:tab w:val="left" w:pos="1757"/>
            </w:tabs>
            <w:overflowPunct w:val="0"/>
            <w:ind w:left="5103"/>
            <w:jc w:val="both"/>
            <w:textAlignment w:val="baseline"/>
            <w:rPr>
              <w:sz w:val="22"/>
              <w:szCs w:val="22"/>
            </w:rPr>
          </w:pPr>
          <w:r>
            <w:rPr>
              <w:sz w:val="22"/>
              <w:szCs w:val="22"/>
            </w:rPr>
            <w:t xml:space="preserve">apskaičiavimo tvarkos aprašo </w:t>
          </w:r>
        </w:p>
        <w:p>
          <w:pPr>
            <w:tabs>
              <w:tab w:val="left" w:pos="1304"/>
              <w:tab w:val="left" w:pos="1457"/>
              <w:tab w:val="left" w:pos="1604"/>
              <w:tab w:val="left" w:pos="1757"/>
            </w:tabs>
            <w:overflowPunct w:val="0"/>
            <w:ind w:left="5103"/>
            <w:jc w:val="both"/>
            <w:textAlignment w:val="baseline"/>
            <w:rPr>
              <w:sz w:val="22"/>
              <w:szCs w:val="22"/>
            </w:rPr>
          </w:pPr>
          <w:r>
            <w:rPr>
              <w:sz w:val="22"/>
              <w:szCs w:val="22"/>
            </w:rPr>
            <w:t>2 priedas</w:t>
          </w:r>
        </w:p>
        <w:p>
          <w:pPr>
            <w:overflowPunct w:val="0"/>
            <w:jc w:val="center"/>
            <w:textAlignment w:val="baseline"/>
            <w:rPr>
              <w:rFonts w:ascii="TimesLT" w:hAnsi="TimesLT"/>
              <w:b/>
              <w:bCs/>
              <w:caps/>
            </w:rPr>
          </w:pPr>
        </w:p>
        <w:p>
          <w:pPr>
            <w:ind w:firstLine="709"/>
            <w:jc w:val="center"/>
            <w:rPr>
              <w:sz w:val="22"/>
              <w:szCs w:val="12"/>
            </w:rPr>
          </w:pPr>
        </w:p>
        <w:sdt>
          <w:sdtPr>
            <w:alias w:val="Pavadinimas"/>
            <w:tag w:val="title_43599f0103ac485d893d8eba33a27412"/>
            <w:lock w:val="sdtLocked"/>
            <w:richText/>
          </w:sdtPr>
          <w:sdtContent>
            <w:p>
              <w:pPr>
                <w:overflowPunct w:val="0"/>
                <w:jc w:val="center"/>
                <w:textAlignment w:val="baseline"/>
                <w:rPr>
                  <w:b/>
                  <w:bCs/>
                  <w:caps/>
                  <w:sz w:val="22"/>
                </w:rPr>
              </w:pPr>
              <w:r>
                <w:rPr>
                  <w:b/>
                  <w:bCs/>
                  <w:caps/>
                  <w:sz w:val="22"/>
                </w:rPr>
                <w:t>valdos ar ūkio bendrojo SGP ir EKONOMINIO DYDŽIO APSKAIČIAVIMO PAVYZDYS</w:t>
              </w:r>
            </w:p>
          </w:sdtContent>
        </w:sdt>
        <w:p>
          <w:pPr>
            <w:tabs>
              <w:tab w:val="left" w:pos="3402"/>
              <w:tab w:val="left" w:pos="5669"/>
              <w:tab w:val="left" w:pos="7710"/>
            </w:tabs>
            <w:overflowPunct w:val="0"/>
            <w:jc w:val="both"/>
            <w:textAlignment w:val="baseline"/>
            <w:rPr>
              <w:rFonts w:eastAsia="Calibri"/>
              <w:sz w:val="16"/>
              <w:szCs w:val="16"/>
            </w:rPr>
          </w:pPr>
        </w:p>
        <w:tbl>
          <w:tblPr>
            <w:tblW w:w="4874"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646"/>
            <w:gridCol w:w="1603"/>
            <w:gridCol w:w="1470"/>
            <w:gridCol w:w="1335"/>
          </w:tblGrid>
          <w:tr>
            <w:trPr>
              <w:trHeight w:val="1656"/>
            </w:trPr>
            <w:tc>
              <w:tcPr>
                <w:tcW w:w="2566" w:type="pct"/>
                <w:shd w:val="clear" w:color="auto" w:fill="D9D9D9"/>
                <w:vAlign w:val="center"/>
              </w:tcPr>
              <w:p>
                <w:pPr>
                  <w:overflowPunct w:val="0"/>
                  <w:jc w:val="center"/>
                  <w:textAlignment w:val="baseline"/>
                </w:pPr>
                <w:r>
                  <w:t>Produkcijos rūšys</w:t>
                </w:r>
              </w:p>
            </w:tc>
            <w:tc>
              <w:tcPr>
                <w:tcW w:w="885" w:type="pct"/>
                <w:shd w:val="clear" w:color="auto" w:fill="D9D9D9"/>
                <w:vAlign w:val="center"/>
              </w:tcPr>
              <w:p>
                <w:pPr>
                  <w:overflowPunct w:val="0"/>
                  <w:jc w:val="center"/>
                  <w:textAlignment w:val="baseline"/>
                </w:pPr>
                <w:r>
                  <w:t xml:space="preserve">Augalai ha, </w:t>
                </w:r>
                <w:r>
                  <w:rPr>
                    <w:szCs w:val="24"/>
                  </w:rPr>
                  <w:t>akvakultūros</w:t>
                </w:r>
                <w:r>
                  <w:t xml:space="preserve"> tvenkiniai ha, gyvuliai vnt.</w:t>
                </w:r>
              </w:p>
            </w:tc>
            <w:tc>
              <w:tcPr>
                <w:tcW w:w="812" w:type="pct"/>
                <w:shd w:val="clear" w:color="auto" w:fill="D9D9D9"/>
                <w:vAlign w:val="center"/>
              </w:tcPr>
              <w:p>
                <w:pPr>
                  <w:overflowPunct w:val="0"/>
                  <w:jc w:val="center"/>
                  <w:textAlignment w:val="baseline"/>
                </w:pPr>
                <w:r>
                  <w:t>Standartinis gamybinis pelnas (SGP) Eur už ha; Eur už ūkinį gyvūną</w:t>
                </w:r>
              </w:p>
            </w:tc>
            <w:tc>
              <w:tcPr>
                <w:tcW w:w="737" w:type="pct"/>
                <w:shd w:val="clear" w:color="auto" w:fill="D9D9D9"/>
                <w:vAlign w:val="center"/>
              </w:tcPr>
              <w:p>
                <w:pPr>
                  <w:overflowPunct w:val="0"/>
                  <w:jc w:val="center"/>
                  <w:textAlignment w:val="baseline"/>
                </w:pPr>
                <w:r>
                  <w:t>Iš viso,</w:t>
                </w:r>
              </w:p>
              <w:p>
                <w:pPr>
                  <w:overflowPunct w:val="0"/>
                  <w:jc w:val="center"/>
                  <w:textAlignment w:val="baseline"/>
                </w:pPr>
                <w:r>
                  <w:t xml:space="preserve">Eur </w:t>
                  <w:br/>
                  <w:t>(2x3)</w:t>
                </w:r>
              </w:p>
            </w:tc>
          </w:tr>
          <w:tr>
            <w:trPr>
              <w:trHeight w:val="20"/>
            </w:trPr>
            <w:tc>
              <w:tcPr>
                <w:tcW w:w="2566" w:type="pct"/>
                <w:vAlign w:val="bottom"/>
              </w:tcPr>
              <w:p>
                <w:pPr>
                  <w:overflowPunct w:val="0"/>
                  <w:jc w:val="center"/>
                  <w:textAlignment w:val="baseline"/>
                </w:pPr>
                <w:r>
                  <w:t>1</w:t>
                </w:r>
              </w:p>
            </w:tc>
            <w:tc>
              <w:tcPr>
                <w:tcW w:w="885" w:type="pct"/>
                <w:vAlign w:val="bottom"/>
              </w:tcPr>
              <w:p>
                <w:pPr>
                  <w:overflowPunct w:val="0"/>
                  <w:jc w:val="center"/>
                  <w:textAlignment w:val="baseline"/>
                </w:pPr>
                <w:r>
                  <w:t>2</w:t>
                </w:r>
              </w:p>
            </w:tc>
            <w:tc>
              <w:tcPr>
                <w:tcW w:w="812" w:type="pct"/>
                <w:vAlign w:val="bottom"/>
              </w:tcPr>
              <w:p>
                <w:pPr>
                  <w:overflowPunct w:val="0"/>
                  <w:jc w:val="center"/>
                  <w:textAlignment w:val="baseline"/>
                </w:pPr>
                <w:r>
                  <w:t>3</w:t>
                </w:r>
              </w:p>
            </w:tc>
            <w:tc>
              <w:tcPr>
                <w:tcW w:w="737" w:type="pct"/>
                <w:vAlign w:val="bottom"/>
              </w:tcPr>
              <w:p>
                <w:pPr>
                  <w:overflowPunct w:val="0"/>
                  <w:jc w:val="center"/>
                  <w:textAlignment w:val="baseline"/>
                </w:pPr>
                <w:r>
                  <w:t>4</w:t>
                </w:r>
              </w:p>
            </w:tc>
          </w:tr>
          <w:tr>
            <w:trPr>
              <w:trHeight w:val="20"/>
            </w:trPr>
            <w:tc>
              <w:tcPr>
                <w:tcW w:w="2566" w:type="pct"/>
                <w:noWrap/>
                <w:vAlign w:val="bottom"/>
              </w:tcPr>
              <w:p>
                <w:pPr>
                  <w:overflowPunct w:val="0"/>
                  <w:jc w:val="both"/>
                  <w:textAlignment w:val="baseline"/>
                </w:pPr>
                <w:r>
                  <w:t>Kviečiai</w:t>
                </w:r>
              </w:p>
            </w:tc>
            <w:tc>
              <w:tcPr>
                <w:tcW w:w="885" w:type="pct"/>
                <w:noWrap/>
                <w:vAlign w:val="bottom"/>
              </w:tcPr>
              <w:p>
                <w:pPr>
                  <w:overflowPunct w:val="0"/>
                  <w:jc w:val="right"/>
                  <w:textAlignment w:val="baseline"/>
                </w:pPr>
                <w:r>
                  <w:t>5</w:t>
                </w:r>
              </w:p>
            </w:tc>
            <w:tc>
              <w:tcPr>
                <w:tcW w:w="812" w:type="pct"/>
                <w:noWrap/>
                <w:vAlign w:val="bottom"/>
              </w:tcPr>
              <w:p>
                <w:pPr>
                  <w:overflowPunct w:val="0"/>
                  <w:jc w:val="right"/>
                  <w:textAlignment w:val="baseline"/>
                  <w:rPr>
                    <w:strike/>
                  </w:rPr>
                </w:pPr>
                <w:r>
                  <w:rPr>
                    <w:sz w:val="22"/>
                  </w:rPr>
                  <w:t>272</w:t>
                </w:r>
              </w:p>
            </w:tc>
            <w:tc>
              <w:tcPr>
                <w:tcW w:w="737" w:type="pct"/>
                <w:noWrap/>
                <w:vAlign w:val="bottom"/>
              </w:tcPr>
              <w:p>
                <w:pPr>
                  <w:overflowPunct w:val="0"/>
                  <w:jc w:val="right"/>
                  <w:textAlignment w:val="baseline"/>
                </w:pPr>
                <w:r>
                  <w:t>1360</w:t>
                </w:r>
              </w:p>
            </w:tc>
          </w:tr>
          <w:tr>
            <w:trPr>
              <w:trHeight w:val="20"/>
            </w:trPr>
            <w:tc>
              <w:tcPr>
                <w:tcW w:w="2566" w:type="pct"/>
                <w:noWrap/>
                <w:vAlign w:val="bottom"/>
              </w:tcPr>
              <w:p>
                <w:pPr>
                  <w:overflowPunct w:val="0"/>
                  <w:jc w:val="both"/>
                  <w:textAlignment w:val="baseline"/>
                </w:pPr>
                <w:r>
                  <w:t>Miežiai</w:t>
                </w:r>
              </w:p>
            </w:tc>
            <w:tc>
              <w:tcPr>
                <w:tcW w:w="885" w:type="pct"/>
                <w:noWrap/>
                <w:vAlign w:val="bottom"/>
              </w:tcPr>
              <w:p>
                <w:pPr>
                  <w:overflowPunct w:val="0"/>
                  <w:jc w:val="right"/>
                  <w:textAlignment w:val="baseline"/>
                </w:pPr>
                <w:r>
                  <w:t>3</w:t>
                </w:r>
              </w:p>
            </w:tc>
            <w:tc>
              <w:tcPr>
                <w:tcW w:w="812" w:type="pct"/>
                <w:noWrap/>
                <w:vAlign w:val="bottom"/>
              </w:tcPr>
              <w:p>
                <w:pPr>
                  <w:overflowPunct w:val="0"/>
                  <w:jc w:val="right"/>
                  <w:textAlignment w:val="baseline"/>
                </w:pPr>
                <w:r>
                  <w:rPr>
                    <w:sz w:val="22"/>
                  </w:rPr>
                  <w:t>214</w:t>
                </w:r>
              </w:p>
            </w:tc>
            <w:tc>
              <w:tcPr>
                <w:tcW w:w="737" w:type="pct"/>
                <w:noWrap/>
                <w:vAlign w:val="bottom"/>
              </w:tcPr>
              <w:p>
                <w:pPr>
                  <w:overflowPunct w:val="0"/>
                  <w:jc w:val="right"/>
                  <w:textAlignment w:val="baseline"/>
                </w:pPr>
                <w:r>
                  <w:t>642</w:t>
                </w:r>
              </w:p>
            </w:tc>
          </w:tr>
          <w:tr>
            <w:trPr>
              <w:trHeight w:val="20"/>
            </w:trPr>
            <w:tc>
              <w:tcPr>
                <w:tcW w:w="2566" w:type="pct"/>
                <w:noWrap/>
                <w:vAlign w:val="bottom"/>
              </w:tcPr>
              <w:p>
                <w:pPr>
                  <w:overflowPunct w:val="0"/>
                  <w:jc w:val="both"/>
                  <w:textAlignment w:val="baseline"/>
                </w:pPr>
                <w:r>
                  <w:t>Bulvės</w:t>
                </w:r>
              </w:p>
            </w:tc>
            <w:tc>
              <w:tcPr>
                <w:tcW w:w="885" w:type="pct"/>
                <w:noWrap/>
                <w:vAlign w:val="bottom"/>
              </w:tcPr>
              <w:p>
                <w:pPr>
                  <w:overflowPunct w:val="0"/>
                  <w:jc w:val="right"/>
                  <w:textAlignment w:val="baseline"/>
                </w:pPr>
                <w:r>
                  <w:t>0,5</w:t>
                </w:r>
              </w:p>
            </w:tc>
            <w:tc>
              <w:tcPr>
                <w:tcW w:w="812" w:type="pct"/>
                <w:noWrap/>
                <w:vAlign w:val="bottom"/>
              </w:tcPr>
              <w:p>
                <w:pPr>
                  <w:overflowPunct w:val="0"/>
                  <w:jc w:val="right"/>
                  <w:textAlignment w:val="baseline"/>
                </w:pPr>
                <w:r>
                  <w:rPr>
                    <w:sz w:val="22"/>
                  </w:rPr>
                  <w:t>765</w:t>
                </w:r>
              </w:p>
            </w:tc>
            <w:tc>
              <w:tcPr>
                <w:tcW w:w="737" w:type="pct"/>
                <w:noWrap/>
                <w:vAlign w:val="bottom"/>
              </w:tcPr>
              <w:p>
                <w:pPr>
                  <w:overflowPunct w:val="0"/>
                  <w:jc w:val="right"/>
                  <w:textAlignment w:val="baseline"/>
                </w:pPr>
                <w:r>
                  <w:t>382,5</w:t>
                </w:r>
              </w:p>
            </w:tc>
          </w:tr>
          <w:tr>
            <w:trPr>
              <w:trHeight w:val="20"/>
            </w:trPr>
            <w:tc>
              <w:tcPr>
                <w:tcW w:w="2566" w:type="pct"/>
                <w:noWrap/>
                <w:vAlign w:val="bottom"/>
              </w:tcPr>
              <w:p>
                <w:pPr>
                  <w:overflowPunct w:val="0"/>
                  <w:jc w:val="both"/>
                  <w:textAlignment w:val="baseline"/>
                </w:pPr>
                <w:r>
                  <w:t xml:space="preserve">Daugiametės žolės </w:t>
                </w:r>
              </w:p>
            </w:tc>
            <w:tc>
              <w:tcPr>
                <w:tcW w:w="885" w:type="pct"/>
                <w:noWrap/>
                <w:vAlign w:val="bottom"/>
              </w:tcPr>
              <w:p>
                <w:pPr>
                  <w:overflowPunct w:val="0"/>
                  <w:jc w:val="right"/>
                  <w:textAlignment w:val="baseline"/>
                </w:pPr>
                <w:r>
                  <w:t>9</w:t>
                </w:r>
              </w:p>
            </w:tc>
            <w:tc>
              <w:tcPr>
                <w:tcW w:w="812" w:type="pct"/>
                <w:noWrap/>
                <w:vAlign w:val="bottom"/>
              </w:tcPr>
              <w:p>
                <w:pPr>
                  <w:overflowPunct w:val="0"/>
                  <w:jc w:val="right"/>
                  <w:textAlignment w:val="baseline"/>
                </w:pPr>
                <w:r>
                  <w:rPr>
                    <w:sz w:val="22"/>
                  </w:rPr>
                  <w:t>49</w:t>
                </w:r>
              </w:p>
            </w:tc>
            <w:tc>
              <w:tcPr>
                <w:tcW w:w="737" w:type="pct"/>
                <w:noWrap/>
                <w:vAlign w:val="bottom"/>
              </w:tcPr>
              <w:p>
                <w:pPr>
                  <w:overflowPunct w:val="0"/>
                  <w:jc w:val="right"/>
                  <w:textAlignment w:val="baseline"/>
                </w:pPr>
                <w:r>
                  <w:t>x</w:t>
                </w:r>
              </w:p>
            </w:tc>
          </w:tr>
          <w:tr>
            <w:trPr>
              <w:trHeight w:val="20"/>
            </w:trPr>
            <w:tc>
              <w:tcPr>
                <w:tcW w:w="2566" w:type="pct"/>
                <w:noWrap/>
                <w:vAlign w:val="bottom"/>
              </w:tcPr>
              <w:p>
                <w:pPr>
                  <w:overflowPunct w:val="0"/>
                  <w:jc w:val="both"/>
                  <w:textAlignment w:val="baseline"/>
                </w:pPr>
                <w:r>
                  <w:t xml:space="preserve">Melžiamos karvės </w:t>
                </w:r>
              </w:p>
            </w:tc>
            <w:tc>
              <w:tcPr>
                <w:tcW w:w="885" w:type="pct"/>
                <w:noWrap/>
                <w:vAlign w:val="bottom"/>
              </w:tcPr>
              <w:p>
                <w:pPr>
                  <w:overflowPunct w:val="0"/>
                  <w:jc w:val="right"/>
                  <w:textAlignment w:val="baseline"/>
                </w:pPr>
                <w:r>
                  <w:t>7</w:t>
                </w:r>
              </w:p>
            </w:tc>
            <w:tc>
              <w:tcPr>
                <w:tcW w:w="812" w:type="pct"/>
                <w:noWrap/>
                <w:vAlign w:val="bottom"/>
              </w:tcPr>
              <w:p>
                <w:pPr>
                  <w:overflowPunct w:val="0"/>
                  <w:jc w:val="right"/>
                  <w:textAlignment w:val="baseline"/>
                </w:pPr>
                <w:r>
                  <w:rPr>
                    <w:sz w:val="22"/>
                  </w:rPr>
                  <w:t>436</w:t>
                </w:r>
              </w:p>
            </w:tc>
            <w:tc>
              <w:tcPr>
                <w:tcW w:w="737" w:type="pct"/>
                <w:noWrap/>
                <w:vAlign w:val="bottom"/>
              </w:tcPr>
              <w:p>
                <w:pPr>
                  <w:overflowPunct w:val="0"/>
                  <w:jc w:val="right"/>
                  <w:textAlignment w:val="baseline"/>
                </w:pPr>
                <w:r>
                  <w:t>3052</w:t>
                </w:r>
              </w:p>
            </w:tc>
          </w:tr>
          <w:tr>
            <w:trPr>
              <w:trHeight w:val="20"/>
            </w:trPr>
            <w:tc>
              <w:tcPr>
                <w:tcW w:w="2566" w:type="pct"/>
                <w:noWrap/>
                <w:vAlign w:val="bottom"/>
              </w:tcPr>
              <w:p>
                <w:pPr>
                  <w:overflowPunct w:val="0"/>
                  <w:jc w:val="both"/>
                  <w:textAlignment w:val="baseline"/>
                </w:pPr>
                <w:r>
                  <w:t>Veršeliai iki 1 metų</w:t>
                </w:r>
              </w:p>
            </w:tc>
            <w:tc>
              <w:tcPr>
                <w:tcW w:w="885" w:type="pct"/>
                <w:noWrap/>
                <w:vAlign w:val="bottom"/>
              </w:tcPr>
              <w:p>
                <w:pPr>
                  <w:overflowPunct w:val="0"/>
                  <w:jc w:val="right"/>
                  <w:textAlignment w:val="baseline"/>
                </w:pPr>
                <w:r>
                  <w:t>3</w:t>
                </w:r>
              </w:p>
            </w:tc>
            <w:tc>
              <w:tcPr>
                <w:tcW w:w="812" w:type="pct"/>
                <w:noWrap/>
                <w:vAlign w:val="bottom"/>
              </w:tcPr>
              <w:p>
                <w:pPr>
                  <w:overflowPunct w:val="0"/>
                  <w:jc w:val="right"/>
                  <w:textAlignment w:val="baseline"/>
                </w:pPr>
                <w:r>
                  <w:rPr>
                    <w:sz w:val="22"/>
                  </w:rPr>
                  <w:t>57</w:t>
                </w:r>
              </w:p>
            </w:tc>
            <w:tc>
              <w:tcPr>
                <w:tcW w:w="737" w:type="pct"/>
                <w:noWrap/>
                <w:vAlign w:val="bottom"/>
              </w:tcPr>
              <w:p>
                <w:pPr>
                  <w:overflowPunct w:val="0"/>
                  <w:jc w:val="right"/>
                  <w:textAlignment w:val="baseline"/>
                </w:pPr>
                <w:r>
                  <w:t>171</w:t>
                </w:r>
              </w:p>
            </w:tc>
          </w:tr>
          <w:tr>
            <w:trPr>
              <w:trHeight w:val="20"/>
            </w:trPr>
            <w:tc>
              <w:tcPr>
                <w:tcW w:w="2566" w:type="pct"/>
                <w:noWrap/>
                <w:vAlign w:val="bottom"/>
              </w:tcPr>
              <w:p>
                <w:pPr>
                  <w:overflowPunct w:val="0"/>
                  <w:jc w:val="both"/>
                  <w:textAlignment w:val="baseline"/>
                </w:pPr>
                <w:r>
                  <w:t>Bulius 1–&lt;2 m.</w:t>
                </w:r>
              </w:p>
            </w:tc>
            <w:tc>
              <w:tcPr>
                <w:tcW w:w="885" w:type="pct"/>
                <w:noWrap/>
                <w:vAlign w:val="bottom"/>
              </w:tcPr>
              <w:p>
                <w:pPr>
                  <w:overflowPunct w:val="0"/>
                  <w:jc w:val="right"/>
                  <w:textAlignment w:val="baseline"/>
                </w:pPr>
                <w:r>
                  <w:t>1</w:t>
                </w:r>
              </w:p>
            </w:tc>
            <w:tc>
              <w:tcPr>
                <w:tcW w:w="812" w:type="pct"/>
                <w:noWrap/>
                <w:vAlign w:val="bottom"/>
              </w:tcPr>
              <w:p>
                <w:pPr>
                  <w:overflowPunct w:val="0"/>
                  <w:jc w:val="right"/>
                  <w:textAlignment w:val="baseline"/>
                </w:pPr>
                <w:r>
                  <w:rPr>
                    <w:sz w:val="22"/>
                  </w:rPr>
                  <w:t>171</w:t>
                </w:r>
              </w:p>
            </w:tc>
            <w:tc>
              <w:tcPr>
                <w:tcW w:w="737" w:type="pct"/>
                <w:noWrap/>
                <w:vAlign w:val="bottom"/>
              </w:tcPr>
              <w:p>
                <w:pPr>
                  <w:overflowPunct w:val="0"/>
                  <w:jc w:val="right"/>
                  <w:textAlignment w:val="baseline"/>
                </w:pPr>
                <w:r>
                  <w:rPr>
                    <w:sz w:val="22"/>
                  </w:rPr>
                  <w:t>171</w:t>
                </w:r>
              </w:p>
            </w:tc>
          </w:tr>
          <w:tr>
            <w:trPr>
              <w:trHeight w:val="20"/>
            </w:trPr>
            <w:tc>
              <w:tcPr>
                <w:tcW w:w="2566" w:type="pct"/>
                <w:noWrap/>
                <w:vAlign w:val="bottom"/>
              </w:tcPr>
              <w:p>
                <w:pPr>
                  <w:overflowPunct w:val="0"/>
                  <w:jc w:val="both"/>
                  <w:textAlignment w:val="baseline"/>
                </w:pPr>
                <w:r>
                  <w:t>Telyčia 1–&lt;2 m.</w:t>
                </w:r>
              </w:p>
            </w:tc>
            <w:tc>
              <w:tcPr>
                <w:tcW w:w="885" w:type="pct"/>
                <w:noWrap/>
                <w:vAlign w:val="bottom"/>
              </w:tcPr>
              <w:p>
                <w:pPr>
                  <w:overflowPunct w:val="0"/>
                  <w:jc w:val="right"/>
                  <w:textAlignment w:val="baseline"/>
                </w:pPr>
                <w:r>
                  <w:t>1</w:t>
                </w:r>
              </w:p>
            </w:tc>
            <w:tc>
              <w:tcPr>
                <w:tcW w:w="812" w:type="pct"/>
                <w:noWrap/>
                <w:vAlign w:val="bottom"/>
              </w:tcPr>
              <w:p>
                <w:pPr>
                  <w:overflowPunct w:val="0"/>
                  <w:jc w:val="right"/>
                  <w:textAlignment w:val="baseline"/>
                </w:pPr>
                <w:r>
                  <w:rPr>
                    <w:sz w:val="22"/>
                  </w:rPr>
                  <w:t>27</w:t>
                </w:r>
              </w:p>
            </w:tc>
            <w:tc>
              <w:tcPr>
                <w:tcW w:w="737" w:type="pct"/>
                <w:noWrap/>
                <w:vAlign w:val="bottom"/>
              </w:tcPr>
              <w:p>
                <w:pPr>
                  <w:overflowPunct w:val="0"/>
                  <w:jc w:val="right"/>
                  <w:textAlignment w:val="baseline"/>
                </w:pPr>
                <w:r>
                  <w:rPr>
                    <w:sz w:val="22"/>
                  </w:rPr>
                  <w:t>27</w:t>
                </w:r>
              </w:p>
            </w:tc>
          </w:tr>
          <w:tr>
            <w:trPr>
              <w:trHeight w:val="20"/>
            </w:trPr>
            <w:tc>
              <w:tcPr>
                <w:tcW w:w="2566" w:type="pct"/>
                <w:noWrap/>
                <w:vAlign w:val="bottom"/>
              </w:tcPr>
              <w:p>
                <w:pPr>
                  <w:overflowPunct w:val="0"/>
                  <w:jc w:val="both"/>
                  <w:textAlignment w:val="baseline"/>
                </w:pPr>
                <w:r>
                  <w:t>A</w:t>
                </w:r>
                <w:r>
                  <w:rPr>
                    <w:szCs w:val="24"/>
                  </w:rPr>
                  <w:t>kvakultūros</w:t>
                </w:r>
                <w:r>
                  <w:t xml:space="preserve"> tvenkinių žuvys</w:t>
                </w:r>
              </w:p>
            </w:tc>
            <w:tc>
              <w:tcPr>
                <w:tcW w:w="885" w:type="pct"/>
                <w:noWrap/>
                <w:vAlign w:val="bottom"/>
              </w:tcPr>
              <w:p>
                <w:pPr>
                  <w:overflowPunct w:val="0"/>
                  <w:jc w:val="right"/>
                  <w:textAlignment w:val="baseline"/>
                </w:pPr>
                <w:r>
                  <w:t>0,5</w:t>
                </w:r>
              </w:p>
            </w:tc>
            <w:tc>
              <w:tcPr>
                <w:tcW w:w="812" w:type="pct"/>
                <w:noWrap/>
                <w:vAlign w:val="bottom"/>
              </w:tcPr>
              <w:p>
                <w:pPr>
                  <w:overflowPunct w:val="0"/>
                  <w:jc w:val="right"/>
                  <w:textAlignment w:val="baseline"/>
                </w:pPr>
                <w:r>
                  <w:rPr>
                    <w:sz w:val="22"/>
                    <w:szCs w:val="22"/>
                  </w:rPr>
                  <w:t>504</w:t>
                </w:r>
              </w:p>
            </w:tc>
            <w:tc>
              <w:tcPr>
                <w:tcW w:w="737" w:type="pct"/>
                <w:noWrap/>
                <w:vAlign w:val="bottom"/>
              </w:tcPr>
              <w:p>
                <w:pPr>
                  <w:overflowPunct w:val="0"/>
                  <w:jc w:val="right"/>
                  <w:textAlignment w:val="baseline"/>
                </w:pPr>
                <w:r>
                  <w:t>252</w:t>
                </w:r>
              </w:p>
            </w:tc>
          </w:tr>
          <w:tr>
            <w:trPr>
              <w:trHeight w:val="20"/>
            </w:trPr>
            <w:tc>
              <w:tcPr>
                <w:tcW w:w="2566" w:type="pct"/>
                <w:noWrap/>
                <w:vAlign w:val="bottom"/>
              </w:tcPr>
              <w:p>
                <w:pPr>
                  <w:overflowPunct w:val="0"/>
                  <w:jc w:val="both"/>
                  <w:textAlignment w:val="baseline"/>
                </w:pPr>
                <w:r>
                  <w:t xml:space="preserve">Iš viso SGP </w:t>
                </w:r>
              </w:p>
            </w:tc>
            <w:tc>
              <w:tcPr>
                <w:tcW w:w="885" w:type="pct"/>
                <w:noWrap/>
                <w:vAlign w:val="bottom"/>
              </w:tcPr>
              <w:p>
                <w:pPr>
                  <w:overflowPunct w:val="0"/>
                  <w:jc w:val="center"/>
                  <w:textAlignment w:val="baseline"/>
                </w:pPr>
                <w:r>
                  <w:t>x</w:t>
                </w:r>
              </w:p>
            </w:tc>
            <w:tc>
              <w:tcPr>
                <w:tcW w:w="812" w:type="pct"/>
                <w:noWrap/>
                <w:vAlign w:val="bottom"/>
              </w:tcPr>
              <w:p>
                <w:pPr>
                  <w:overflowPunct w:val="0"/>
                  <w:jc w:val="center"/>
                  <w:textAlignment w:val="baseline"/>
                </w:pPr>
                <w:r>
                  <w:t>x</w:t>
                </w:r>
              </w:p>
            </w:tc>
            <w:tc>
              <w:tcPr>
                <w:tcW w:w="737" w:type="pct"/>
                <w:noWrap/>
                <w:vAlign w:val="bottom"/>
              </w:tcPr>
              <w:p>
                <w:pPr>
                  <w:overflowPunct w:val="0"/>
                  <w:jc w:val="right"/>
                  <w:textAlignment w:val="baseline"/>
                </w:pPr>
                <w:r>
                  <w:t>6057,5</w:t>
                </w:r>
              </w:p>
            </w:tc>
          </w:tr>
          <w:tr>
            <w:tc>
              <w:tcPr>
                <w:tcW w:w="2566" w:type="pct"/>
                <w:shd w:val="clear" w:color="auto" w:fill="D9D9D9"/>
                <w:noWrap/>
                <w:vAlign w:val="center"/>
              </w:tcPr>
              <w:p>
                <w:pPr>
                  <w:overflowPunct w:val="0"/>
                  <w:jc w:val="center"/>
                  <w:textAlignment w:val="baseline"/>
                </w:pPr>
                <w:r>
                  <w:t>Pajamos</w:t>
                </w:r>
              </w:p>
            </w:tc>
            <w:tc>
              <w:tcPr>
                <w:tcW w:w="2434" w:type="pct"/>
                <w:gridSpan w:val="3"/>
                <w:shd w:val="clear" w:color="auto" w:fill="D9D9D9"/>
                <w:noWrap/>
                <w:vAlign w:val="center"/>
              </w:tcPr>
              <w:p>
                <w:pPr>
                  <w:overflowPunct w:val="0"/>
                  <w:jc w:val="center"/>
                  <w:textAlignment w:val="baseline"/>
                  <w:rPr>
                    <w:b/>
                    <w:bCs/>
                  </w:rPr>
                </w:pPr>
                <w:r>
                  <w:t>Suma, Eur</w:t>
                </w:r>
              </w:p>
            </w:tc>
          </w:tr>
          <w:tr>
            <w:tc>
              <w:tcPr>
                <w:tcW w:w="2566" w:type="pct"/>
                <w:noWrap/>
                <w:vAlign w:val="bottom"/>
              </w:tcPr>
              <w:p>
                <w:pPr>
                  <w:overflowPunct w:val="0"/>
                  <w:jc w:val="both"/>
                  <w:textAlignment w:val="baseline"/>
                </w:pPr>
                <w:r>
                  <w:t>Pajamos iš paslaugų žemės ūkiui teikimo, Eur</w:t>
                </w:r>
              </w:p>
            </w:tc>
            <w:tc>
              <w:tcPr>
                <w:tcW w:w="2434" w:type="pct"/>
                <w:gridSpan w:val="3"/>
                <w:noWrap/>
                <w:vAlign w:val="bottom"/>
              </w:tcPr>
              <w:p>
                <w:pPr>
                  <w:overflowPunct w:val="0"/>
                  <w:jc w:val="right"/>
                  <w:textAlignment w:val="baseline"/>
                </w:pPr>
                <w:r>
                  <w:rPr>
                    <w:bCs/>
                  </w:rPr>
                  <w:t>2534</w:t>
                </w:r>
              </w:p>
            </w:tc>
          </w:tr>
          <w:tr>
            <w:tc>
              <w:tcPr>
                <w:tcW w:w="2566" w:type="pct"/>
                <w:noWrap/>
                <w:vAlign w:val="bottom"/>
              </w:tcPr>
              <w:p>
                <w:pPr>
                  <w:overflowPunct w:val="0"/>
                  <w:jc w:val="both"/>
                  <w:textAlignment w:val="baseline"/>
                </w:pPr>
                <w:r>
                  <w:t>Pajamų, gautų teikiant paslaugas žemės ūkiui, perskaičiavimo į</w:t>
                </w:r>
                <w:r>
                  <w:rPr>
                    <w:color w:val="8064A2"/>
                  </w:rPr>
                  <w:t xml:space="preserve"> </w:t>
                </w:r>
                <w:r>
                  <w:t>SGP koeficientas</w:t>
                </w:r>
              </w:p>
            </w:tc>
            <w:tc>
              <w:tcPr>
                <w:tcW w:w="2434" w:type="pct"/>
                <w:gridSpan w:val="3"/>
                <w:noWrap/>
                <w:vAlign w:val="bottom"/>
              </w:tcPr>
              <w:p>
                <w:pPr>
                  <w:overflowPunct w:val="0"/>
                  <w:jc w:val="right"/>
                  <w:textAlignment w:val="baseline"/>
                  <w:rPr>
                    <w:bCs/>
                  </w:rPr>
                </w:pPr>
                <w:r>
                  <w:rPr>
                    <w:bCs/>
                  </w:rPr>
                  <w:t>0,5525</w:t>
                </w:r>
              </w:p>
            </w:tc>
          </w:tr>
          <w:tr>
            <w:tc>
              <w:tcPr>
                <w:tcW w:w="2566" w:type="pct"/>
                <w:noWrap/>
                <w:vAlign w:val="bottom"/>
              </w:tcPr>
              <w:p>
                <w:pPr>
                  <w:overflowPunct w:val="0"/>
                  <w:jc w:val="both"/>
                  <w:textAlignment w:val="baseline"/>
                </w:pPr>
                <w:r>
                  <w:t>Perskaičiuotos pajamos* Eur</w:t>
                </w:r>
              </w:p>
            </w:tc>
            <w:tc>
              <w:tcPr>
                <w:tcW w:w="2434" w:type="pct"/>
                <w:gridSpan w:val="3"/>
                <w:noWrap/>
                <w:vAlign w:val="bottom"/>
              </w:tcPr>
              <w:p>
                <w:pPr>
                  <w:overflowPunct w:val="0"/>
                  <w:jc w:val="right"/>
                  <w:textAlignment w:val="baseline"/>
                  <w:rPr>
                    <w:bCs/>
                  </w:rPr>
                </w:pPr>
                <w:r>
                  <w:rPr>
                    <w:bCs/>
                  </w:rPr>
                  <w:t>1400,04</w:t>
                </w:r>
              </w:p>
            </w:tc>
          </w:tr>
          <w:tr>
            <w:tc>
              <w:tcPr>
                <w:tcW w:w="2566" w:type="pct"/>
                <w:shd w:val="clear" w:color="auto" w:fill="D9D9D9"/>
                <w:noWrap/>
                <w:vAlign w:val="bottom"/>
              </w:tcPr>
              <w:p>
                <w:pPr>
                  <w:overflowPunct w:val="0"/>
                  <w:jc w:val="both"/>
                  <w:textAlignment w:val="baseline"/>
                  <w:rPr>
                    <w:b/>
                  </w:rPr>
                </w:pPr>
                <w:r>
                  <w:rPr>
                    <w:b/>
                  </w:rPr>
                  <w:t>Bendrasis standartinis gamybinis pelnas</w:t>
                </w:r>
                <w:r>
                  <w:t>** Eur</w:t>
                </w:r>
              </w:p>
            </w:tc>
            <w:tc>
              <w:tcPr>
                <w:tcW w:w="2434" w:type="pct"/>
                <w:gridSpan w:val="3"/>
                <w:shd w:val="clear" w:color="auto" w:fill="D9D9D9"/>
                <w:noWrap/>
                <w:vAlign w:val="bottom"/>
              </w:tcPr>
              <w:p>
                <w:pPr>
                  <w:overflowPunct w:val="0"/>
                  <w:jc w:val="right"/>
                  <w:textAlignment w:val="baseline"/>
                  <w:rPr>
                    <w:b/>
                    <w:bCs/>
                  </w:rPr>
                </w:pPr>
                <w:r>
                  <w:rPr>
                    <w:b/>
                    <w:bCs/>
                  </w:rPr>
                  <w:t>7457,54</w:t>
                </w:r>
              </w:p>
            </w:tc>
          </w:tr>
          <w:tr>
            <w:tc>
              <w:tcPr>
                <w:tcW w:w="2566" w:type="pct"/>
                <w:shd w:val="clear" w:color="auto" w:fill="D9D9D9"/>
                <w:noWrap/>
                <w:vAlign w:val="bottom"/>
              </w:tcPr>
              <w:p>
                <w:pPr>
                  <w:overflowPunct w:val="0"/>
                  <w:jc w:val="both"/>
                  <w:textAlignment w:val="baseline"/>
                  <w:rPr>
                    <w:b/>
                  </w:rPr>
                </w:pPr>
                <w:r>
                  <w:rPr>
                    <w:b/>
                  </w:rPr>
                  <w:t>Valdos ar ūkio ekonominis dydis, išreiškiamas EDV</w:t>
                </w:r>
                <w:r>
                  <w:t xml:space="preserve">*** </w:t>
                </w:r>
              </w:p>
            </w:tc>
            <w:tc>
              <w:tcPr>
                <w:tcW w:w="2434" w:type="pct"/>
                <w:gridSpan w:val="3"/>
                <w:shd w:val="clear" w:color="auto" w:fill="D9D9D9"/>
                <w:noWrap/>
                <w:vAlign w:val="bottom"/>
              </w:tcPr>
              <w:p>
                <w:pPr>
                  <w:overflowPunct w:val="0"/>
                  <w:jc w:val="right"/>
                  <w:textAlignment w:val="baseline"/>
                  <w:rPr>
                    <w:b/>
                    <w:bCs/>
                  </w:rPr>
                </w:pPr>
                <w:r>
                  <w:rPr>
                    <w:b/>
                    <w:bCs/>
                  </w:rPr>
                  <w:t>6,2</w:t>
                </w:r>
              </w:p>
            </w:tc>
          </w:tr>
        </w:tbl>
        <w:p>
          <w:pPr>
            <w:tabs>
              <w:tab w:val="left" w:pos="0"/>
              <w:tab w:val="left" w:pos="3402"/>
              <w:tab w:val="left" w:pos="5669"/>
              <w:tab w:val="left" w:pos="7710"/>
            </w:tabs>
            <w:overflowPunct w:val="0"/>
            <w:ind w:firstLine="312"/>
            <w:jc w:val="both"/>
            <w:textAlignment w:val="baseline"/>
            <w:rPr>
              <w:rFonts w:eastAsia="Calibri"/>
              <w:strike/>
              <w:sz w:val="16"/>
              <w:szCs w:val="16"/>
            </w:rPr>
          </w:pPr>
        </w:p>
        <w:p>
          <w:pPr>
            <w:overflowPunct w:val="0"/>
            <w:ind w:firstLine="312"/>
            <w:jc w:val="both"/>
            <w:textAlignment w:val="baseline"/>
            <w:rPr>
              <w:rFonts w:eastAsia="Calibri"/>
              <w:sz w:val="22"/>
              <w:szCs w:val="22"/>
            </w:rPr>
          </w:pPr>
          <w:r>
            <w:rPr>
              <w:rFonts w:eastAsia="Calibri"/>
              <w:sz w:val="22"/>
            </w:rPr>
            <w:t>*</w:t>
          </w:r>
          <w:r>
            <w:rPr>
              <w:rFonts w:eastAsia="Calibri"/>
              <w:sz w:val="22"/>
              <w:szCs w:val="22"/>
            </w:rPr>
            <w:t>Perskaičiuotos pajamos apskaičiuojamos „Pajamų iš paslaugų žemės ūkiui teikimo“ sumą dauginant iš pajamų, gautų teikiant paslaugas</w:t>
          </w:r>
          <w:r>
            <w:rPr>
              <w:rFonts w:eastAsia="Calibri"/>
              <w:b/>
              <w:sz w:val="22"/>
              <w:szCs w:val="22"/>
            </w:rPr>
            <w:t xml:space="preserve"> </w:t>
          </w:r>
          <w:r>
            <w:rPr>
              <w:rFonts w:eastAsia="Calibri"/>
              <w:sz w:val="22"/>
              <w:szCs w:val="22"/>
            </w:rPr>
            <w:t>žemės ūkiui, perskaičiavimo į</w:t>
          </w:r>
          <w:r>
            <w:rPr>
              <w:rFonts w:eastAsia="Calibri"/>
              <w:color w:val="8064A2"/>
              <w:sz w:val="22"/>
              <w:szCs w:val="22"/>
            </w:rPr>
            <w:t xml:space="preserve"> </w:t>
          </w:r>
          <w:r>
            <w:rPr>
              <w:rFonts w:eastAsia="Calibri"/>
              <w:sz w:val="22"/>
              <w:szCs w:val="22"/>
            </w:rPr>
            <w:t>SGP koeficiento (0,5525).</w:t>
          </w:r>
        </w:p>
        <w:p>
          <w:pPr>
            <w:overflowPunct w:val="0"/>
            <w:ind w:firstLine="312"/>
            <w:jc w:val="both"/>
            <w:textAlignment w:val="baseline"/>
            <w:rPr>
              <w:rFonts w:eastAsia="Calibri"/>
              <w:sz w:val="22"/>
              <w:szCs w:val="22"/>
            </w:rPr>
          </w:pPr>
          <w:r>
            <w:rPr>
              <w:rFonts w:eastAsia="Calibri"/>
              <w:sz w:val="22"/>
              <w:szCs w:val="22"/>
            </w:rPr>
            <w:t>**Bendrasis standartinis gamybinis pelnas apskaičiuojamas susumavus „Perskaičiuotos pajamos“ (</w:t>
          </w:r>
          <w:r>
            <w:rPr>
              <w:rFonts w:eastAsia="Calibri"/>
              <w:bCs/>
              <w:sz w:val="22"/>
              <w:szCs w:val="22"/>
            </w:rPr>
            <w:t xml:space="preserve">1400,04 </w:t>
          </w:r>
          <w:r>
            <w:rPr>
              <w:rFonts w:eastAsia="Calibri"/>
              <w:sz w:val="22"/>
              <w:szCs w:val="22"/>
            </w:rPr>
            <w:t>Eur) reikšmę su „Iš viso SGP“ reikšme (6057,5 Eur).</w:t>
          </w:r>
        </w:p>
        <w:p>
          <w:pPr>
            <w:overflowPunct w:val="0"/>
            <w:ind w:firstLine="312"/>
            <w:jc w:val="both"/>
            <w:textAlignment w:val="baseline"/>
            <w:rPr>
              <w:rFonts w:eastAsia="Calibri"/>
              <w:strike/>
              <w:sz w:val="22"/>
              <w:szCs w:val="22"/>
            </w:rPr>
          </w:pPr>
          <w:r>
            <w:rPr>
              <w:rFonts w:eastAsia="Calibri"/>
              <w:sz w:val="22"/>
              <w:szCs w:val="22"/>
            </w:rPr>
            <w:t>***Bendrąjį standartinį gamybinį pelną (</w:t>
          </w:r>
          <w:r>
            <w:rPr>
              <w:rFonts w:eastAsia="Calibri"/>
              <w:bCs/>
              <w:sz w:val="22"/>
              <w:szCs w:val="22"/>
            </w:rPr>
            <w:t>7457,54 Eur</w:t>
          </w:r>
          <w:r>
            <w:rPr>
              <w:rFonts w:eastAsia="Calibri"/>
              <w:sz w:val="22"/>
              <w:szCs w:val="22"/>
            </w:rPr>
            <w:t>) padalijus iš ekonominio dydžio vieneto (1200 Eur), apskaičiuojamas valdos ar ūkio ekonominis dydis, išreiškiamas EDV.</w:t>
          </w:r>
        </w:p>
        <w:sdt>
          <w:sdtPr>
            <w:alias w:val="pabaiga"/>
            <w:tag w:val="part_c27dbeba3b834e81acb9b34f40d5dc58"/>
            <w:lock w:val="sdtLocked"/>
            <w:richText/>
          </w:sdtPr>
          <w:sdtContent>
            <w:p>
              <w:pPr>
                <w:overflowPunct w:val="0"/>
                <w:jc w:val="center"/>
                <w:textAlignment w:val="baseline"/>
              </w:pPr>
              <w:r>
                <w:rPr>
                  <w:sz w:val="22"/>
                </w:rPr>
                <w:t>______________</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f5d2de0762b11e4805fa6cb12e2ef99">
            <w:r w:rsidRPr="00532B9F">
              <w:rPr>
                <w:rFonts w:ascii="Arial" w:eastAsia="MS Mincho" w:hAnsi="Arial"/>
                <w:sz w:val="20"/>
                <w:i/>
                <w:iCs/>
                <w:color w:val="0000FF" w:themeColor="hyperlink"/>
                <w:u w:val="single"/>
              </w:rPr>
              <w:t>3D-897</w:t>
            </w:r>
          </w:fldSimple>
          <w:r>
            <w:rPr>
              <w:rFonts w:ascii="Arial" w:eastAsia="MS Mincho" w:hAnsi="Arial"/>
              <w:sz w:val="20"/>
              <w:i/>
              <w:iCs/>
            </w:rPr>
            <w:t>,
2014-11-27,
paskelbta TAR 2014-11-28, i. k. 2014-18088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žemės ūkio ministerija, Įsakymas
                </w:t>
          </w:r>
        </w:p>
        <w:p>
          <w:pPr>
            <w:jc w:val="both"/>
            <w:rPr>
              <w:rFonts w:ascii="Arial" w:hAnsi="Arial"/>
            </w:rPr>
          </w:pPr>
          <w:r>
            <w:rPr>
              <w:rFonts w:ascii="Arial" w:hAnsi="Arial"/>
              <w:sz w:val="20"/>
            </w:rPr>
            <w:t xml:space="preserve">Nr. </w:t>
          </w:r>
          <w:fldSimple w:instr="HYPERLINK https://www.e-tar.lt/portal/legalAct.html?documentId=TAR.4F69C8EA1B6A">
            <w:r w:rsidRPr="00532B9F">
              <w:rPr>
                <w:rFonts w:ascii="Arial" w:eastAsia="MS Mincho" w:hAnsi="Arial"/>
                <w:sz w:val="20"/>
                <w:iCs/>
                <w:color w:val="0000FF" w:themeColor="hyperlink"/>
                <w:u w:val="single"/>
              </w:rPr>
              <w:t>3D-447</w:t>
            </w:r>
          </w:fldSimple>
          <w:r>
            <w:rPr>
              <w:rFonts w:ascii="Arial" w:eastAsia="MS Mincho" w:hAnsi="Arial"/>
              <w:sz w:val="20"/>
              <w:iCs/>
            </w:rPr>
            <w:t>,
2011-05-27,
Žin., 2011, Nr.
67-3177 (2011-06-02), i. k. 1112330ISAK003D-447                </w:t>
          </w:r>
        </w:p>
        <w:p>
          <w:pPr>
            <w:jc w:val="both"/>
            <w:rPr>
              <w:rFonts w:ascii="Arial" w:hAnsi="Arial"/>
            </w:rPr>
          </w:pPr>
          <w:r>
            <w:rPr>
              <w:rFonts w:ascii="Arial" w:hAnsi="Arial"/>
              <w:sz w:val="20"/>
            </w:rPr>
            <w:t>Dėl žemės ūkio ministro 2010 m. gruodžio 23 d. įsakymo Nr. 3D-1106 "Dėl Žemės ūkio valdos ar ūkio bendrojo standartinio gamybinio pelno ir ekonominio dydžio, išreiškiamo ekonominio dydžio vienetais, apskaičiavimo tvarkos aprašo patvirtinimo"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žemės ūkio ministerija, Įsakymas
                </w:t>
          </w:r>
        </w:p>
        <w:p>
          <w:pPr>
            <w:jc w:val="both"/>
            <w:rPr>
              <w:rFonts w:ascii="Arial" w:hAnsi="Arial"/>
            </w:rPr>
          </w:pPr>
          <w:r>
            <w:rPr>
              <w:rFonts w:ascii="Arial" w:hAnsi="Arial"/>
              <w:sz w:val="20"/>
            </w:rPr>
            <w:t xml:space="preserve">Nr. </w:t>
          </w:r>
          <w:fldSimple w:instr="HYPERLINK https://www.e-tar.lt/portal/legalAct.html?documentId=TAR.CA596202C326">
            <w:r w:rsidRPr="00532B9F">
              <w:rPr>
                <w:rFonts w:ascii="Arial" w:eastAsia="MS Mincho" w:hAnsi="Arial"/>
                <w:sz w:val="20"/>
                <w:iCs/>
                <w:color w:val="0000FF" w:themeColor="hyperlink"/>
                <w:u w:val="single"/>
              </w:rPr>
              <w:t>3D-936</w:t>
            </w:r>
          </w:fldSimple>
          <w:r>
            <w:rPr>
              <w:rFonts w:ascii="Arial" w:eastAsia="MS Mincho" w:hAnsi="Arial"/>
              <w:sz w:val="20"/>
              <w:iCs/>
            </w:rPr>
            <w:t>,
2011-12-21,
Žin., 2011, Nr.
160-7608 (2011-12-28), i. k. 1112330ISAK003D-936                </w:t>
          </w:r>
        </w:p>
        <w:p>
          <w:pPr>
            <w:jc w:val="both"/>
            <w:rPr>
              <w:rFonts w:ascii="Arial" w:hAnsi="Arial"/>
            </w:rPr>
          </w:pPr>
          <w:r>
            <w:rPr>
              <w:rFonts w:ascii="Arial" w:hAnsi="Arial"/>
              <w:sz w:val="20"/>
            </w:rPr>
            <w:t>Dėl žemės ūkio ministro 2010 m. gruodžio 23 d. įsakymo Nr. 3D-1106 "Dėl Žemės ūkio valdos ar ūkio bendrojo standartinio gamybinio pelno ir ekonominio dydžio, išreiškiamo ekonominio dydžio vienetais, apskaičiavimo tvarkos aprašo patvirtinimo"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žemės ūkio ministerija, Įsakymas
                </w:t>
          </w:r>
        </w:p>
        <w:p>
          <w:pPr>
            <w:jc w:val="both"/>
            <w:rPr>
              <w:rFonts w:ascii="Arial" w:hAnsi="Arial"/>
            </w:rPr>
          </w:pPr>
          <w:r>
            <w:rPr>
              <w:rFonts w:ascii="Arial" w:hAnsi="Arial"/>
              <w:sz w:val="20"/>
            </w:rPr>
            <w:t xml:space="preserve">Nr. </w:t>
          </w:r>
          <w:fldSimple w:instr="HYPERLINK https://www.e-tar.lt/portal/legalAct.html?documentId=TAR.7934BAA529C2">
            <w:r w:rsidRPr="00532B9F">
              <w:rPr>
                <w:rFonts w:ascii="Arial" w:eastAsia="MS Mincho" w:hAnsi="Arial"/>
                <w:sz w:val="20"/>
                <w:iCs/>
                <w:color w:val="0000FF" w:themeColor="hyperlink"/>
                <w:u w:val="single"/>
              </w:rPr>
              <w:t>3D-527</w:t>
            </w:r>
          </w:fldSimple>
          <w:r>
            <w:rPr>
              <w:rFonts w:ascii="Arial" w:eastAsia="MS Mincho" w:hAnsi="Arial"/>
              <w:sz w:val="20"/>
              <w:iCs/>
            </w:rPr>
            <w:t>,
2012-06-29,
Žin., 2012, Nr.
79-4111 (2012-07-05), i. k. 1122330ISAK003D-527                </w:t>
          </w:r>
        </w:p>
        <w:p>
          <w:pPr>
            <w:jc w:val="both"/>
            <w:rPr>
              <w:rFonts w:ascii="Arial" w:hAnsi="Arial"/>
            </w:rPr>
          </w:pPr>
          <w:r>
            <w:rPr>
              <w:rFonts w:ascii="Arial" w:hAnsi="Arial"/>
              <w:sz w:val="20"/>
            </w:rPr>
            <w:t>Dėl žemės ūkio ministro 2010 m. gruodžio 23 d. įsakymo Nr. 3D-1106 "Dėl Žemės ūkio valdos ar ūkio bendrojo standartinio gamybinio pelno ir ekonominio dydžio, išreiškiamo ekonominio dydžio vienetais, apskaičiavimo tvarkos aprašo patvirtinimo"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žemės ūkio ministerija, Įsakymas
                </w:t>
          </w:r>
        </w:p>
        <w:p>
          <w:pPr>
            <w:jc w:val="both"/>
            <w:rPr>
              <w:rFonts w:ascii="Arial" w:hAnsi="Arial"/>
            </w:rPr>
          </w:pPr>
          <w:r>
            <w:rPr>
              <w:rFonts w:ascii="Arial" w:hAnsi="Arial"/>
              <w:sz w:val="20"/>
            </w:rPr>
            <w:t xml:space="preserve">Nr. </w:t>
          </w:r>
          <w:fldSimple w:instr="HYPERLINK https://www.e-tar.lt/portal/legalAct.html?documentId=TAR.78015787E0EF">
            <w:r w:rsidRPr="00532B9F">
              <w:rPr>
                <w:rFonts w:ascii="Arial" w:eastAsia="MS Mincho" w:hAnsi="Arial"/>
                <w:sz w:val="20"/>
                <w:iCs/>
                <w:color w:val="0000FF" w:themeColor="hyperlink"/>
                <w:u w:val="single"/>
              </w:rPr>
              <w:t>3D-969</w:t>
            </w:r>
          </w:fldSimple>
          <w:r>
            <w:rPr>
              <w:rFonts w:ascii="Arial" w:eastAsia="MS Mincho" w:hAnsi="Arial"/>
              <w:sz w:val="20"/>
              <w:iCs/>
            </w:rPr>
            <w:t>,
2012-12-31,
Žin., 2013, Nr.
1-10 (2013-01-03), i. k. 1122330ISAK003D-969                </w:t>
          </w:r>
        </w:p>
        <w:p>
          <w:pPr>
            <w:jc w:val="both"/>
            <w:rPr>
              <w:rFonts w:ascii="Arial" w:hAnsi="Arial"/>
            </w:rPr>
          </w:pPr>
          <w:r>
            <w:rPr>
              <w:rFonts w:ascii="Arial" w:hAnsi="Arial"/>
              <w:sz w:val="20"/>
            </w:rPr>
            <w:t>Dėl žemės ūkio ministro 2010 m. gruodžio 23 d. įsakymo Nr. 3D-1106 "Dėl Žemės ūkio valdos ar ūkio bendrojo standartinio gamybinio pelno ir ekonominio dydžio, išreiškiamo ekonominio dydžio vienetais, apskaičiavimo tvarkos aprašo patvirtinimo" pakeitimo</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žemės ūkio ministerija, Įsakymas
                </w:t>
          </w:r>
        </w:p>
        <w:p>
          <w:pPr>
            <w:jc w:val="both"/>
            <w:rPr>
              <w:rFonts w:ascii="Arial" w:hAnsi="Arial"/>
            </w:rPr>
          </w:pPr>
          <w:r>
            <w:rPr>
              <w:rFonts w:ascii="Arial" w:hAnsi="Arial"/>
              <w:sz w:val="20"/>
            </w:rPr>
            <w:t xml:space="preserve">Nr. </w:t>
          </w:r>
          <w:fldSimple w:instr="HYPERLINK https://www.e-tar.lt/portal/legalAct.html?documentId=3f5d2de0762b11e4805fa6cb12e2ef99">
            <w:r w:rsidRPr="00532B9F">
              <w:rPr>
                <w:rFonts w:ascii="Arial" w:eastAsia="MS Mincho" w:hAnsi="Arial"/>
                <w:sz w:val="20"/>
                <w:iCs/>
                <w:color w:val="0000FF" w:themeColor="hyperlink"/>
                <w:u w:val="single"/>
              </w:rPr>
              <w:t>3D-897</w:t>
            </w:r>
          </w:fldSimple>
          <w:r>
            <w:rPr>
              <w:rFonts w:ascii="Arial" w:eastAsia="MS Mincho" w:hAnsi="Arial"/>
              <w:sz w:val="20"/>
              <w:iCs/>
            </w:rPr>
            <w:t>,
2014-11-27,
paskelbta TAR 2014-11-28, i. k. 2014-18088                </w:t>
          </w:r>
        </w:p>
        <w:p>
          <w:pPr>
            <w:jc w:val="both"/>
            <w:rPr>
              <w:rFonts w:ascii="Arial" w:hAnsi="Arial"/>
            </w:rPr>
          </w:pPr>
          <w:r>
            <w:rPr>
              <w:rFonts w:ascii="Arial" w:hAnsi="Arial"/>
              <w:sz w:val="20"/>
            </w:rPr>
            <w:t>Dėl žemės ūkio ministro 2010 m. gruodžio 23 d. įsakymo Nr. 3D-1106 „Dėl Žemės ūkio valdos ar ūkio bendrojo standartinio gamybinio pelno ir ekonominio dydžio, išreiškiamo ekonominio dydžio vienetais, apskaičiavimo tvarkos aprašo patvirtinimo“ pakeitimo</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žemės ūkio ministerija, Įsakymas
                </w:t>
          </w:r>
        </w:p>
        <w:p>
          <w:pPr>
            <w:jc w:val="both"/>
            <w:rPr>
              <w:rFonts w:ascii="Arial" w:hAnsi="Arial"/>
            </w:rPr>
          </w:pPr>
          <w:r>
            <w:rPr>
              <w:rFonts w:ascii="Arial" w:hAnsi="Arial"/>
              <w:sz w:val="20"/>
            </w:rPr>
            <w:t xml:space="preserve">Nr. </w:t>
          </w:r>
          <w:fldSimple w:instr="HYPERLINK https://www.e-tar.lt/portal/legalAct.html?documentId=e7238e60c81e11e69dec860c1f4a5372">
            <w:r w:rsidRPr="00532B9F">
              <w:rPr>
                <w:rFonts w:ascii="Arial" w:eastAsia="MS Mincho" w:hAnsi="Arial"/>
                <w:sz w:val="20"/>
                <w:iCs/>
                <w:color w:val="0000FF" w:themeColor="hyperlink"/>
                <w:u w:val="single"/>
              </w:rPr>
              <w:t>3D-758</w:t>
            </w:r>
          </w:fldSimple>
          <w:r>
            <w:rPr>
              <w:rFonts w:ascii="Arial" w:eastAsia="MS Mincho" w:hAnsi="Arial"/>
              <w:sz w:val="20"/>
              <w:iCs/>
            </w:rPr>
            <w:t>,
2016-12-22,
paskelbta TAR 2016-12-23, i. k. 2016-29349                </w:t>
          </w:r>
        </w:p>
        <w:p>
          <w:pPr>
            <w:jc w:val="both"/>
            <w:rPr>
              <w:rFonts w:ascii="Arial" w:hAnsi="Arial"/>
            </w:rPr>
          </w:pPr>
          <w:r>
            <w:rPr>
              <w:rFonts w:ascii="Arial" w:hAnsi="Arial"/>
              <w:sz w:val="20"/>
            </w:rPr>
            <w:t>Dėl žemės ūkio ministro 2010 m. gruodžio 23 d. įsakymo Nr. 3D-1106 „Dėl Žemės ūkio valdos ar ūkio bendrojo standartinio gamybinio pelno ir ekonominio dydžio, išreiškiamo ekonominio dydžio vienetais, apskaičiavimo tvarkos aprašo patvirtinimo“ pakeitimo</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žemės ūkio ministerija, Įsakymas
                </w:t>
          </w:r>
        </w:p>
        <w:p>
          <w:pPr>
            <w:jc w:val="both"/>
            <w:rPr>
              <w:rFonts w:ascii="Arial" w:hAnsi="Arial"/>
            </w:rPr>
          </w:pPr>
          <w:r>
            <w:rPr>
              <w:rFonts w:ascii="Arial" w:hAnsi="Arial"/>
              <w:sz w:val="20"/>
            </w:rPr>
            <w:t xml:space="preserve">Nr. </w:t>
          </w:r>
          <w:fldSimple w:instr="HYPERLINK https://www.e-tar.lt/portal/legalAct.html?documentId=8d77a960d96611e68d79c2033f194657">
            <w:r w:rsidRPr="00532B9F">
              <w:rPr>
                <w:rFonts w:ascii="Arial" w:eastAsia="MS Mincho" w:hAnsi="Arial"/>
                <w:sz w:val="20"/>
                <w:iCs/>
                <w:color w:val="0000FF" w:themeColor="hyperlink"/>
                <w:u w:val="single"/>
              </w:rPr>
              <w:t>3D-25</w:t>
            </w:r>
          </w:fldSimple>
          <w:r>
            <w:rPr>
              <w:rFonts w:ascii="Arial" w:eastAsia="MS Mincho" w:hAnsi="Arial"/>
              <w:sz w:val="20"/>
              <w:iCs/>
            </w:rPr>
            <w:t>,
2017-01-13,
paskelbta TAR 2017-01-16, i. k. 2017-00876                </w:t>
          </w:r>
        </w:p>
        <w:p>
          <w:pPr>
            <w:jc w:val="both"/>
            <w:rPr>
              <w:rFonts w:ascii="Arial" w:hAnsi="Arial"/>
            </w:rPr>
          </w:pPr>
          <w:r>
            <w:rPr>
              <w:rFonts w:ascii="Arial" w:hAnsi="Arial"/>
              <w:sz w:val="20"/>
            </w:rPr>
            <w:t>Dėl žemės ūkio ministro 2010 m. gruodžio 23 d. įsakymo Nr. 3D-1106 „Dėl Žemės ūkio valdos ar ūkio bendrojo standartinio gamybinio pelno ir ekonominio dydžio, išreiškiamo ekonominio dydžio vienetais, apskaičiavimo tvarkos aprašo patvirtinimo“ pakeitimo</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žemės ūkio ministerija, Įsakymas
                </w:t>
          </w:r>
        </w:p>
        <w:p>
          <w:pPr>
            <w:jc w:val="both"/>
            <w:rPr>
              <w:rFonts w:ascii="Arial" w:hAnsi="Arial"/>
            </w:rPr>
          </w:pPr>
          <w:r>
            <w:rPr>
              <w:rFonts w:ascii="Arial" w:hAnsi="Arial"/>
              <w:sz w:val="20"/>
            </w:rPr>
            <w:t xml:space="preserve">Nr. </w:t>
          </w:r>
          <w:fldSimple w:instr="HYPERLINK https://www.e-tar.lt/portal/legalAct.html?documentId=836d1330b19111eba871a26c1fc3fbc1">
            <w:r w:rsidRPr="00532B9F">
              <w:rPr>
                <w:rFonts w:ascii="Arial" w:eastAsia="MS Mincho" w:hAnsi="Arial"/>
                <w:sz w:val="20"/>
                <w:iCs/>
                <w:color w:val="0000FF" w:themeColor="hyperlink"/>
                <w:u w:val="single"/>
              </w:rPr>
              <w:t>3D-313</w:t>
            </w:r>
          </w:fldSimple>
          <w:r>
            <w:rPr>
              <w:rFonts w:ascii="Arial" w:eastAsia="MS Mincho" w:hAnsi="Arial"/>
              <w:sz w:val="20"/>
              <w:iCs/>
            </w:rPr>
            <w:t>,
2021-05-10,
paskelbta TAR 2021-05-10, i. k. 2021-10363                </w:t>
          </w:r>
        </w:p>
        <w:p>
          <w:pPr>
            <w:jc w:val="both"/>
            <w:rPr>
              <w:rFonts w:ascii="Arial" w:hAnsi="Arial"/>
            </w:rPr>
          </w:pPr>
          <w:r>
            <w:rPr>
              <w:rFonts w:ascii="Arial" w:hAnsi="Arial"/>
              <w:sz w:val="20"/>
            </w:rPr>
            <w:t>Dėl žemės ūkio ministro 2010 m. gruodžio 23 d. įsakymo Nr. 3D-1106 „Dėl Žemės ūkio valdos ar ūkio bendrojo standartinio gamybinio pelno ir ekonominio dydžio, išreiškiamo ekonominio dydžio vienetais, apskaičiavimo tvarkos aprašo patvirtinimo“ pakeitimo</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žemės ūkio ministerija, Įsakymas
                </w:t>
          </w:r>
        </w:p>
        <w:p>
          <w:pPr>
            <w:jc w:val="both"/>
            <w:rPr>
              <w:rFonts w:ascii="Arial" w:hAnsi="Arial"/>
            </w:rPr>
          </w:pPr>
          <w:r>
            <w:rPr>
              <w:rFonts w:ascii="Arial" w:hAnsi="Arial"/>
              <w:sz w:val="20"/>
            </w:rPr>
            <w:t xml:space="preserve">Nr. </w:t>
          </w:r>
          <w:fldSimple w:instr="HYPERLINK https://www.e-tar.lt/portal/legalAct.html?documentId=bd0baf3076d311edbc04912defe897d1">
            <w:r w:rsidRPr="00532B9F">
              <w:rPr>
                <w:rFonts w:ascii="Arial" w:eastAsia="MS Mincho" w:hAnsi="Arial"/>
                <w:sz w:val="20"/>
                <w:iCs/>
                <w:color w:val="0000FF" w:themeColor="hyperlink"/>
                <w:u w:val="single"/>
              </w:rPr>
              <w:t>3D-784</w:t>
            </w:r>
          </w:fldSimple>
          <w:r>
            <w:rPr>
              <w:rFonts w:ascii="Arial" w:eastAsia="MS Mincho" w:hAnsi="Arial"/>
              <w:sz w:val="20"/>
              <w:iCs/>
            </w:rPr>
            <w:t>,
2022-12-08,
paskelbta TAR 2022-12-08, i. k. 2022-25057                </w:t>
          </w:r>
        </w:p>
        <w:p>
          <w:pPr>
            <w:jc w:val="both"/>
            <w:rPr>
              <w:rFonts w:ascii="Arial" w:hAnsi="Arial"/>
            </w:rPr>
          </w:pPr>
          <w:r>
            <w:rPr>
              <w:rFonts w:ascii="Arial" w:hAnsi="Arial"/>
              <w:sz w:val="20"/>
            </w:rPr>
            <w:t>Dėl žemės ūkio ministro 2010 m. gruodžio 23 d. įsakymo Nr. 3D-1106 „Dėl Žemės ūkio valdos ar ūkio bendrojo standartinio gamybinio pelno ir ekonominio dydžio, išreiškiamo ekonominio dydžio vienetais, apskaičiavimo tvarkos aprašo patvirtinimo“ pakeitimo</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žemės ūkio ministerija, Įsakymas
                </w:t>
          </w:r>
        </w:p>
        <w:p>
          <w:pPr>
            <w:jc w:val="both"/>
            <w:rPr>
              <w:rFonts w:ascii="Arial" w:hAnsi="Arial"/>
            </w:rPr>
          </w:pPr>
          <w:r>
            <w:rPr>
              <w:rFonts w:ascii="Arial" w:hAnsi="Arial"/>
              <w:sz w:val="20"/>
            </w:rPr>
            <w:t xml:space="preserve">Nr. </w:t>
          </w:r>
          <w:fldSimple w:instr="HYPERLINK https://www.e-tar.lt/portal/legalAct.html?documentId=3ec81cb6768311efabdbb4a1fc8b0b63">
            <w:r w:rsidRPr="00532B9F">
              <w:rPr>
                <w:rFonts w:ascii="Arial" w:eastAsia="MS Mincho" w:hAnsi="Arial"/>
                <w:sz w:val="20"/>
                <w:iCs/>
                <w:color w:val="0000FF" w:themeColor="hyperlink"/>
                <w:u w:val="single"/>
              </w:rPr>
              <w:t>3D-669</w:t>
            </w:r>
          </w:fldSimple>
          <w:r>
            <w:rPr>
              <w:rFonts w:ascii="Arial" w:eastAsia="MS Mincho" w:hAnsi="Arial"/>
              <w:sz w:val="20"/>
              <w:iCs/>
            </w:rPr>
            <w:t>,
2024-09-19,
paskelbta TAR 2024-09-19, i. k. 2024-16415                </w:t>
          </w:r>
        </w:p>
        <w:p>
          <w:pPr>
            <w:jc w:val="both"/>
            <w:rPr>
              <w:rFonts w:ascii="Arial" w:hAnsi="Arial"/>
            </w:rPr>
          </w:pPr>
          <w:r>
            <w:rPr>
              <w:rFonts w:ascii="Arial" w:hAnsi="Arial"/>
              <w:sz w:val="20"/>
            </w:rPr>
            <w:t>Dėl žemės ūkio ministro 2010 m. gruodžio 23 d. įsakymo Nr. 3D-1106 „Dėl Žemės ūkio valdos ar ūkio bendrojo standartinio gamybinio pelno ir ekonominio dydžio, išreiškiamo ekonominio dydžio vienetais, apskaičiavimo tvarkos aprašo patvirtinimo“ pakeitimo</w:t>
          </w:r>
        </w:p>
        <w:p>
          <w:pPr>
            <w:jc w:val="both"/>
            <w:rPr>
              <w:rFonts w:ascii="Arial" w:hAnsi="Arial"/>
              <w:sz w:val="20"/>
            </w:rPr>
          </w:pPr>
        </w:p>
        <w:p>
          <w:pPr>
            <w:widowControl w:val="0"/>
            <w:rPr>
              <w:rFonts w:ascii="Arial" w:hAnsi="Arial"/>
              <w:snapToGrid w:val="0"/>
            </w:rPr>
          </w:pPr>
        </w:p>
      </w:sdtContent>
    </w:sdt>
    <w:sectPr>
      <w:pgSz w:w="11907" w:h="16840" w:code="9"/>
      <w:pgMar w:top="1134" w:right="1134" w:bottom="1134" w:left="1701" w:header="567" w:footer="284" w:gutter="0"/>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 New Roman Bold">
    <w:panose1 w:val="02020803070505020304"/>
    <w:charset w:val="00"/>
    <w:family w:val="roman"/>
    <w:notTrueType/>
    <w:pitch w:val="default"/>
  </w:font>
  <w:font w:name="TimesLT">
    <w:altName w:val="Times New Roman"/>
    <w:charset w:val="BA"/>
    <w:family w:val="roman"/>
    <w:pitch w:val="variable"/>
    <w:sig w:usb0="00000287" w:usb1="00000000" w:usb2="00000000" w:usb3="00000000" w:csb0="0000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PAGE   \* MERGEFORMAT</w:instrText>
    </w:r>
    <w:r>
      <w:rPr>
        <w:rFonts w:ascii="Times New Roman" w:hAnsi="Times New Roman" w:cs="Times New Roman"/>
        <w:sz w:val="24"/>
        <w:szCs w:val="24"/>
      </w:rPr>
      <w:fldChar w:fldCharType="separate"/>
    </w:r>
    <w:r>
      <w:rPr>
        <w:rFonts w:ascii="Times New Roman" w:hAnsi="Times New Roman" w:cs="Times New Roman"/>
        <w:sz w:val="24"/>
        <w:szCs w:val="24"/>
      </w:rPr>
      <w:t>5</w:t>
    </w:r>
    <w:r>
      <w:rPr>
        <w:rFonts w:ascii="Times New Roman" w:hAnsi="Times New Roman" w:cs="Times New Roman"/>
        <w:sz w:val="24"/>
        <w:szCs w:val="24"/>
      </w:rPr>
      <w:fldChar w:fldCharType="end"/>
    </w:r>
  </w:p>
  <w:p>
    <w:pPr>
      <w:tabs>
        <w:tab w:val="center" w:pos="4153"/>
        <w:tab w:val="right" w:pos="8306"/>
      </w:tabs>
      <w:overflowPunct w:val="0"/>
      <w:jc w:val="both"/>
      <w:textAlignment w:val="baseline"/>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center"/>
      <w:textAlignment w:val="baseline"/>
      <w:rPr>
        <w:lang w:val="en-GB"/>
      </w:rPr>
    </w:pPr>
    <w:r>
      <w:rPr>
        <w:lang w:val="en-GB"/>
      </w:rPr>
      <w:fldChar w:fldCharType="begin"/>
    </w:r>
    <w:r>
      <w:rPr>
        <w:lang w:val="en-GB"/>
      </w:rPr>
      <w:instrText xml:space="preserve"> PAGE   \* MERGEFORMAT </w:instrText>
    </w:r>
    <w:r>
      <w:rPr>
        <w:lang w:val="en-GB"/>
      </w:rPr>
      <w:fldChar w:fldCharType="separate"/>
    </w:r>
    <w:r>
      <w:rPr>
        <w:lang w:val="en-GB"/>
      </w:rPr>
      <w:t>6</w:t>
    </w:r>
    <w:r>
      <w:rPr>
        <w:lang w:val="en-GB"/>
      </w:rPr>
      <w:fldChar w:fldCharType="end"/>
    </w:r>
  </w:p>
  <w:p>
    <w:pPr>
      <w:tabs>
        <w:tab w:val="center" w:pos="4153"/>
        <w:tab w:val="right" w:pos="8306"/>
      </w:tabs>
      <w:overflowPunct w:val="0"/>
      <w:jc w:val="both"/>
      <w:textAlignment w:val="baseline"/>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center"/>
      <w:textAlignment w:val="baseline"/>
      <w:rPr>
        <w:lang w:val="en-GB"/>
      </w:rPr>
    </w:pPr>
    <w:r>
      <w:rPr>
        <w:lang w:val="en-GB"/>
      </w:rPr>
      <w:fldChar w:fldCharType="begin"/>
    </w:r>
    <w:r>
      <w:rPr>
        <w:lang w:val="en-GB"/>
      </w:rPr>
      <w:instrText xml:space="preserve"> PAGE   \* MERGEFORMAT </w:instrText>
    </w:r>
    <w:r>
      <w:rPr>
        <w:lang w:val="en-GB"/>
      </w:rPr>
      <w:fldChar w:fldCharType="separate"/>
    </w:r>
    <w:r>
      <w:rPr>
        <w:lang w:val="en-GB"/>
      </w:rPr>
      <w:t>5</w:t>
    </w:r>
    <w:r>
      <w:rPr>
        <w:lang w:val="en-GB"/>
      </w:rPr>
      <w:fldChar w:fldCharType="end"/>
    </w:r>
  </w:p>
  <w:p>
    <w:pPr>
      <w:tabs>
        <w:tab w:val="center" w:pos="4153"/>
        <w:tab w:val="right" w:pos="8306"/>
      </w:tabs>
      <w:overflowPunct w:val="0"/>
      <w:jc w:val="both"/>
      <w:textAlignment w:val="baseline"/>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center"/>
      <w:textAlignment w:val="baseline"/>
      <w:rPr>
        <w:lang w:val="en-GB"/>
      </w:rPr>
    </w:pPr>
    <w:r>
      <w:rPr>
        <w:lang w:val="en-GB"/>
      </w:rPr>
      <w:fldChar w:fldCharType="begin"/>
    </w:r>
    <w:r>
      <w:rPr>
        <w:lang w:val="en-GB"/>
      </w:rPr>
      <w:instrText xml:space="preserve"> PAGE   \* MERGEFORMAT </w:instrText>
    </w:r>
    <w:r>
      <w:rPr>
        <w:lang w:val="en-GB"/>
      </w:rPr>
      <w:fldChar w:fldCharType="separate"/>
    </w:r>
    <w:r>
      <w:rPr>
        <w:lang w:val="en-GB"/>
      </w:rPr>
      <w:t>8</w:t>
    </w:r>
    <w:r>
      <w:rPr>
        <w:lang w:val="en-GB"/>
      </w:rPr>
      <w:fldChar w:fldCharType="end"/>
    </w:r>
  </w:p>
  <w:p>
    <w:pPr>
      <w:tabs>
        <w:tab w:val="center" w:pos="4153"/>
        <w:tab w:val="right" w:pos="8306"/>
      </w:tabs>
      <w:overflowPunct w:val="0"/>
      <w:jc w:val="both"/>
      <w:textAlignment w:val="baseline"/>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overflowPunct w:val="0"/>
      <w:jc w:val="both"/>
      <w:textAlignment w:val="baseline"/>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2</w:t>
    </w:r>
    <w:r>
      <w:fldChar w:fldCharType="end"/>
    </w:r>
  </w:p>
  <w:p>
    <w:pPr>
      <w:tabs>
        <w:tab w:val="center" w:pos="4153"/>
        <w:tab w:val="right" w:pos="8306"/>
      </w:tabs>
      <w:overflowPunct w:val="0"/>
      <w:jc w:val="both"/>
      <w:textAlignment w:val="baseline"/>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overflowPunct w:val="0"/>
      <w:jc w:val="both"/>
      <w:textAlignment w:val="baseline"/>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PAGE   \* MERGEFORMAT</w:instrText>
    </w:r>
    <w:r>
      <w:rPr>
        <w:rFonts w:ascii="Times New Roman" w:hAnsi="Times New Roman" w:cs="Times New Roman"/>
        <w:sz w:val="24"/>
        <w:szCs w:val="24"/>
      </w:rPr>
      <w:fldChar w:fldCharType="separate"/>
    </w:r>
    <w:r>
      <w:rPr>
        <w:rFonts w:ascii="Times New Roman" w:hAnsi="Times New Roman" w:cs="Times New Roman"/>
        <w:sz w:val="24"/>
        <w:szCs w:val="24"/>
      </w:rPr>
      <w:t>4</w:t>
    </w:r>
    <w:r>
      <w:rPr>
        <w:rFonts w:ascii="Times New Roman" w:hAnsi="Times New Roman" w:cs="Times New Roman"/>
        <w:sz w:val="24"/>
        <w:szCs w:val="24"/>
      </w:rPr>
      <w:fldChar w:fldCharType="end"/>
    </w:r>
  </w:p>
  <w:p>
    <w:pPr>
      <w:tabs>
        <w:tab w:val="center" w:pos="4153"/>
        <w:tab w:val="right" w:pos="8306"/>
      </w:tabs>
      <w:overflowPunct w:val="0"/>
      <w:jc w:val="both"/>
      <w:textAlignment w:val="baseline"/>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PAGE   \* MERGEFORMAT</w:instrText>
    </w:r>
    <w:r>
      <w:rPr>
        <w:rFonts w:ascii="Times New Roman" w:hAnsi="Times New Roman" w:cs="Times New Roman"/>
        <w:sz w:val="24"/>
        <w:szCs w:val="24"/>
      </w:rPr>
      <w:fldChar w:fldCharType="separate"/>
    </w:r>
    <w:r>
      <w:rPr>
        <w:rFonts w:ascii="Times New Roman" w:hAnsi="Times New Roman" w:cs="Times New Roman"/>
        <w:sz w:val="24"/>
        <w:szCs w:val="24"/>
      </w:rPr>
      <w:t>4</w:t>
    </w:r>
    <w:r>
      <w:rPr>
        <w:rFonts w:ascii="Times New Roman" w:hAnsi="Times New Roman" w:cs="Times New Roman"/>
        <w:sz w:val="24"/>
        <w:szCs w:val="24"/>
      </w:rPr>
      <w:fldChar w:fldCharType="end"/>
    </w:r>
  </w:p>
  <w:p>
    <w:pPr>
      <w:tabs>
        <w:tab w:val="center" w:pos="4153"/>
        <w:tab w:val="right" w:pos="8306"/>
      </w:tabs>
      <w:overflowPunct w:val="0"/>
      <w:jc w:val="both"/>
      <w:textAlignment w:val="baseline"/>
      <w:rPr>
        <w:lang w:val="en-GB"/>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JŪRĖNIENĖ Jolanta">
    <w15:presenceInfo w15:providerId="AD" w15:userId="S-1-5-21-4015230268-3135662936-2741650420-14013"/>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5331A"/>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martTagType w:namespaceuri="schemas-tilde-lv/tildestengine" w:name="metric2"/>
  <w:shapeDefaults>
    <o:shapedefaults v:ext="edit" spidmax="1062"/>
    <o:shapelayout v:ext="edit">
      <o:idmap v:ext="edit" data="1"/>
    </o:shapelayout>
  </w:shapeDefaults>
  <w:decimalSymbol w:val=","/>
  <w:listSeparator w:val=";"/>
  <w15:docId w15:val="{AEE5FF74-009E-4C3A-B962-8A99812A871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oleObject" Target="embeddings/oleObject1.bin"/>
  <Relationship Id="rId10" Type="http://schemas.openxmlformats.org/officeDocument/2006/relationships/oleObject" Target="embeddings/oleObject6.bin"/>
  <Relationship Id="rId11" Type="http://schemas.openxmlformats.org/officeDocument/2006/relationships/oleObject" Target="embeddings/oleObject7.bin"/>
  <Relationship Id="rId12" Type="http://schemas.openxmlformats.org/officeDocument/2006/relationships/oleObject" Target="embeddings/oleObject8.bin"/>
  <Relationship Id="rId13" Type="http://schemas.openxmlformats.org/officeDocument/2006/relationships/oleObject" Target="embeddings/oleObject9.bin"/>
  <Relationship Id="rId14" Type="http://schemas.openxmlformats.org/officeDocument/2006/relationships/endnotes" Target="endnotes.xml"/>
  <Relationship Id="rId15" Type="http://schemas.openxmlformats.org/officeDocument/2006/relationships/fontTable" Target="fontTable.xml"/>
  <Relationship Id="rId16" Type="http://schemas.openxmlformats.org/officeDocument/2006/relationships/footnotes" Target="footnotes.xml"/>
  <Relationship Id="rId17" Type="http://schemas.microsoft.com/office/2011/relationships/people" Target="people.xml"/>
  <Relationship Id="rId18" Type="http://schemas.openxmlformats.org/officeDocument/2006/relationships/settings" Target="settings.xml"/>
  <Relationship Id="rId19" Type="http://schemas.openxmlformats.org/officeDocument/2006/relationships/styles" Target="styles.xml"/>
  <Relationship Id="rId2" Type="http://schemas.openxmlformats.org/officeDocument/2006/relationships/oleObject" Target="embeddings/oleObject10.bin"/>
  <Relationship Id="rId20" Type="http://schemas.openxmlformats.org/officeDocument/2006/relationships/theme" Target="theme/theme1.xml"/>
  <Relationship Id="rId21" Type="http://schemas.openxmlformats.org/officeDocument/2006/relationships/webSettings" Target="webSettings.xml"/>
  <Relationship Id="rId22" Type="http://schemas.openxmlformats.org/officeDocument/2006/relationships/image" Target="media/image6.wmf"/>
  <Relationship Id="rId23" Type="http://schemas.openxmlformats.org/officeDocument/2006/relationships/control" Target="activeX/activeX6.xml"/>
  <Relationship Id="rId24" Type="http://schemas.openxmlformats.org/officeDocument/2006/relationships/hyperlink" TargetMode="External" Target="https://www.e-tar.lt/portal/lt/legalAct/TAR.065AF79DBC7A"/>
  <Relationship Id="rId25" Type="http://schemas.openxmlformats.org/officeDocument/2006/relationships/hyperlink" TargetMode="External" Target="https://www.e-tar.lt/portal/lt/legalAct/TAR.B78349558853"/>
  <Relationship Id="rId26" Type="http://schemas.openxmlformats.org/officeDocument/2006/relationships/hyperlink" TargetMode="External" Target="https://www.e-tar.lt/portal/lt/legalAct/TAR.3BDB08E694F3"/>
  <Relationship Id="rId27" Type="http://schemas.openxmlformats.org/officeDocument/2006/relationships/hyperlink" TargetMode="External" Target="https://www.e-tar.lt/portal/lt/legalAct/TAR.2EB1526E2B5B"/>
  <Relationship Id="rId28" Type="http://schemas.openxmlformats.org/officeDocument/2006/relationships/hyperlink" TargetMode="External" Target="https://www.e-tar.lt/portal/lt/legalAct/TAR.999A308A1A7F"/>
  <Relationship Id="rId29" Type="http://schemas.openxmlformats.org/officeDocument/2006/relationships/hyperlink" TargetMode="External" Target="https://www.e-tar.lt/portal/lt/legalAct/TAR.AABFAC6F97C0"/>
  <Relationship Id="rId3" Type="http://schemas.openxmlformats.org/officeDocument/2006/relationships/oleObject" Target="embeddings/oleObject11.bin"/>
  <Relationship Id="rId30" Type="http://schemas.openxmlformats.org/officeDocument/2006/relationships/hyperlink" TargetMode="External" Target="https://www.e-tar.lt/portal/lt/legalAct/TAR.2F3B48D79171"/>
  <Relationship Id="rId31" Type="http://schemas.openxmlformats.org/officeDocument/2006/relationships/header" Target="header11.xml"/>
  <Relationship Id="rId32" Type="http://schemas.openxmlformats.org/officeDocument/2006/relationships/header" Target="header12.xml"/>
  <Relationship Id="rId33" Type="http://schemas.openxmlformats.org/officeDocument/2006/relationships/footer" Target="footer10.xml"/>
  <Relationship Id="rId34" Type="http://schemas.openxmlformats.org/officeDocument/2006/relationships/footer" Target="footer11.xml"/>
  <Relationship Id="rId35" Type="http://schemas.openxmlformats.org/officeDocument/2006/relationships/header" Target="header13.xml"/>
  <Relationship Id="rId36" Type="http://schemas.openxmlformats.org/officeDocument/2006/relationships/footer" Target="footer12.xml"/>
  <Relationship Id="rId37" Type="http://schemas.openxmlformats.org/officeDocument/2006/relationships/image" Target="media/image59.wmf"/>
  <Relationship Id="rId38" Type="http://schemas.openxmlformats.org/officeDocument/2006/relationships/oleObject" Target="embeddings/oleObject53.bin"/>
  <Relationship Id="rId39" Type="http://schemas.openxmlformats.org/officeDocument/2006/relationships/image" Target="media/image60.wmf"/>
  <Relationship Id="rId4" Type="http://schemas.openxmlformats.org/officeDocument/2006/relationships/oleObject" Target="embeddings/oleObject12.bin"/>
  <Relationship Id="rId40" Type="http://schemas.openxmlformats.org/officeDocument/2006/relationships/oleObject" Target="embeddings/oleObject54.bin"/>
  <Relationship Id="rId41" Type="http://schemas.openxmlformats.org/officeDocument/2006/relationships/image" Target="media/image61.wmf"/>
  <Relationship Id="rId42" Type="http://schemas.openxmlformats.org/officeDocument/2006/relationships/oleObject" Target="embeddings/oleObject55.bin"/>
  <Relationship Id="rId43" Type="http://schemas.openxmlformats.org/officeDocument/2006/relationships/image" Target="media/image62.wmf"/>
  <Relationship Id="rId44" Type="http://schemas.openxmlformats.org/officeDocument/2006/relationships/oleObject" Target="embeddings/oleObject56.bin"/>
  <Relationship Id="rId45" Type="http://schemas.openxmlformats.org/officeDocument/2006/relationships/image" Target="media/image63.wmf"/>
  <Relationship Id="rId46" Type="http://schemas.openxmlformats.org/officeDocument/2006/relationships/oleObject" Target="embeddings/oleObject57.bin"/>
  <Relationship Id="rId47" Type="http://schemas.openxmlformats.org/officeDocument/2006/relationships/image" Target="media/image64.wmf"/>
  <Relationship Id="rId48" Type="http://schemas.openxmlformats.org/officeDocument/2006/relationships/oleObject" Target="embeddings/oleObject58.bin"/>
  <Relationship Id="rId49" Type="http://schemas.openxmlformats.org/officeDocument/2006/relationships/image" Target="media/image65.wmf"/>
  <Relationship Id="rId5" Type="http://schemas.openxmlformats.org/officeDocument/2006/relationships/oleObject" Target="embeddings/oleObject13.bin"/>
  <Relationship Id="rId50" Type="http://schemas.openxmlformats.org/officeDocument/2006/relationships/oleObject" Target="embeddings/oleObject59.bin"/>
  <Relationship Id="rId51" Type="http://schemas.openxmlformats.org/officeDocument/2006/relationships/image" Target="media/image66.wmf"/>
  <Relationship Id="rId52" Type="http://schemas.openxmlformats.org/officeDocument/2006/relationships/oleObject" Target="embeddings/oleObject60.bin"/>
  <Relationship Id="rId53" Type="http://schemas.openxmlformats.org/officeDocument/2006/relationships/image" Target="media/image67.wmf"/>
  <Relationship Id="rId54" Type="http://schemas.openxmlformats.org/officeDocument/2006/relationships/oleObject" Target="embeddings/oleObject61.bin"/>
  <Relationship Id="rId55" Type="http://schemas.openxmlformats.org/officeDocument/2006/relationships/image" Target="media/image68.wmf"/>
  <Relationship Id="rId56" Type="http://schemas.openxmlformats.org/officeDocument/2006/relationships/oleObject" Target="embeddings/oleObject62.bin"/>
  <Relationship Id="rId57" Type="http://schemas.openxmlformats.org/officeDocument/2006/relationships/image" Target="media/image69.wmf"/>
  <Relationship Id="rId58" Type="http://schemas.openxmlformats.org/officeDocument/2006/relationships/oleObject" Target="embeddings/oleObject63.bin"/>
  <Relationship Id="rId59" Type="http://schemas.openxmlformats.org/officeDocument/2006/relationships/image" Target="media/image70.wmf"/>
  <Relationship Id="rId6" Type="http://schemas.openxmlformats.org/officeDocument/2006/relationships/oleObject" Target="embeddings/oleObject2.bin"/>
  <Relationship Id="rId60" Type="http://schemas.openxmlformats.org/officeDocument/2006/relationships/oleObject" Target="embeddings/oleObject64.bin"/>
  <Relationship Id="rId61" Type="http://schemas.openxmlformats.org/officeDocument/2006/relationships/image" Target="media/image71.wmf"/>
  <Relationship Id="rId62" Type="http://schemas.openxmlformats.org/officeDocument/2006/relationships/oleObject" Target="embeddings/oleObject65.bin"/>
  <Relationship Id="rId63" Type="http://schemas.openxmlformats.org/officeDocument/2006/relationships/header" Target="header23.xml"/>
  <Relationship Id="rId64" Type="http://schemas.openxmlformats.org/officeDocument/2006/relationships/customXml" Target="../customXml/item1.xml"/>
  <Relationship Id="rId7" Type="http://schemas.openxmlformats.org/officeDocument/2006/relationships/oleObject" Target="embeddings/oleObject3.bin"/>
  <Relationship Id="rId8" Type="http://schemas.openxmlformats.org/officeDocument/2006/relationships/oleObject" Target="embeddings/oleObject4.bin"/>
  <Relationship Id="rId9" Type="http://schemas.openxmlformats.org/officeDocument/2006/relationships/oleObject" Target="embeddings/oleObject5.bin"/>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ŽEMĖS ŪKIO VALDOS AR ŪKIO BENDROJO STANDARTINIO GAMYBINIO PELNO IR EKONOMINIO DYDŽIO, IŠREIŠKIAMO EKONOMINIO DYDŽIO VIENETAIS, APSKAIČIAVIMO TVARKOS APRAŠO PATVIRTINIMO" DocPartId="0a5242607a3b456d91f5d9ae03d67596" PartId="c4ac5038af7d47bfad393ac010fdb06b">
    <Part Type="preambule" DocPartId="83df8f68497f4d0182b6a466e0ae3e48" PartId="d56aee41e3854544862392abff54fdd1"/>
    <Part Type="punktas" Nr="1" Abbr="1 p." DocPartId="7680392da6184a10b5e57d126ffbadc2" PartId="c71bea14848c4a89a46f1c04efe7215f"/>
    <Part Type="punktas" Nr="2" Abbr="2 p." DocPartId="f675cd12b19d47d58ac7f619d068e68d" PartId="e6ee6777367d404a994ad311041a39af"/>
    <Part Type="punktas" Nr="3" Abbr="3 p." DocPartId="e8e73fd22f9e423090560b60d6b0354a" PartId="311a18ea4dbc4681b7ea3fd394a969f1">
      <Part Type="punktas" Nr="3.1" Abbr="3.1 p." DocPartId="d2ce20dbd47f4551806d3250cac9e62a" PartId="ff54eb2eace946288b2cc8fb07524e0a"/>
      <Part Type="punktas" Nr="3.2" Abbr="3.2 p." DocPartId="b72c3100948247fb818dba00d1f83db3" PartId="8217606b00534e399e3e05597773dc44"/>
      <Part Type="punktas" Nr="3.3" Abbr="3.3 p." DocPartId="7eadfdfd148442288453636db332cfb8" PartId="4942f75deac44f1a8a71ddaf9b763dbf"/>
      <Part Type="punktas" Nr="3.4" Abbr="3.4 p." DocPartId="60075654017f4d85b388923250056da6" PartId="7fe60a9e1f0e422783866d45a5f0ffeb"/>
      <Part Type="punktas" Nr="3.5" Abbr="3.5 p." DocPartId="e722cd079708498c857bd277f9ac430b" PartId="4755b902b784402685930208b9ce7e89"/>
      <Part Type="punktas" Nr="3.6" Abbr="3.6 p." DocPartId="0424c07eaad84379babd576dad0453b1" PartId="d30e40b90a3a4feaa7270b60748fc232"/>
      <Part Type="punktas" Nr="3.7" Abbr="3.7 p." DocPartId="b339caead39740308fd827c7409a6874" PartId="a1d9f5e0e77f422fac524e0be3355700"/>
    </Part>
    <Part Type="signatura" DocPartId="75122a4cef2a4419aca56efeee03bf5d" PartId="12a23dc41f8a4075b654a15d2a45d968"/>
  </Part>
  <Part Type="patvirtinta" Title="ŽEMĖS ŪKIO VALDOS AR ŪKIO BENDROJO STANDARTINIO GAMYBINIO PELNO IR EKONOMINIO DYDŽIO, IŠREIŠKIAMO EKONOMINIO DYDŽIO VIENETAIS, APSKAIČIAVIMO TVARKOS APRAŠAS" DocPartId="7a6be62d07664ccf94558f6b313445b2" PartId="f10547913e79411b8285c190146340e6">
    <Part Type="skyrius" Nr="1" Title="BENDROSIOS NUOSTATOS" DocPartId="c6c6f7eddf654685bbb79b35f05f056d" PartId="827ddf2fa26f42b3b9e57d566645a06f">
      <Part Type="punktas" Nr="1" Abbr="1 p." DocPartId="b013b44513aa44b59f01f5c6097d6695" PartId="7e17331e500e46ebaf37d35e61f40c4f"/>
      <Part Type="punktas" Nr="2" Abbr="2 p." DocPartId="f2a01530d1a049c69cfc72ce947a30bb" PartId="442a0984bf7e4a9aa9abf905ec3d868d"/>
    </Part>
    <Part Type="skyrius" Nr="2" Title="INFORMACIJOS ŠALTINIAI VALDOS AR ŪKIO BENDRAJAM SGP IR EKONOMINIAM DYDŽIUI APSKAIČIUOTI" DocPartId="fac566234be54632911de5a99e0f15c8" PartId="92dcae793a40492a87573b8587845178">
      <Part Type="punktas" Nr="3" Abbr="3 p." DocPartId="495f068ee9f0497d91a924a0a23150ce" PartId="f6839c1ab796450896c1cbdaba013e31">
        <Part Type="papunktis" Nr="3.1" Abbr="3.1 pp." DocPartId="56cfb73433ab497aa3700626671a28ad" PartId="9976f08b53114eaca2fff8d2ba829c3d"/>
        <Part Type="papunktis" Nr="3.2" Abbr="3.2 pp." DocPartId="6093742cd0fd4df592d7d6e3bd7edb10" PartId="0550fd93316744efa89fd510aee96a7f"/>
        <Part Type="papunktis" Nr="3.3" Abbr="3.3 pp." DocPartId="96f25e63285441af880187cc69d4d3a9" PartId="30af1040e1ce45018502ffdeb36e57da"/>
        <Part Type="papunktis" Nr="3.4" Abbr="3.4 pp." DocPartId="111e161fc13845a2becb43ddbf8684c5" PartId="7d8bd14d4e4e44da850736f8549841c7">
          <Part Type="papunktis" Nr="3.4.1" Abbr="3.4.1 pp." DocPartId="d34958c548f84798a0067d0af0f08711" PartId="017ff4af13ed49dba991383336f0b6d4"/>
          <Part Type="papunktis" Nr="3.4.2" Abbr="3.4.2 pp." DocPartId="bf28a0a50ba14f3696bb38acc3ffaa44" PartId="2171d0584d764a6ea9f812db5aef59d0"/>
          <Part Type="papunktis" Nr="3.4.3" Abbr="3.4.3 pp." DocPartId="1cb1dae8c43e473494e9e524d8789cea" PartId="58db3a231f2b4d96ad21f73040190665"/>
        </Part>
      </Part>
      <Part Type="punktas" Nr="4" Abbr="4 p." DocPartId="75cc9ee4e83d4594bf0dc25157b560c8" PartId="ba90ff1437534eb687bae785d1bc0ce5"/>
      <Part Type="punktas" Nr="5" Abbr="5 p." DocPartId="607e0b0b08e240c69ab506ddbfeda0fe" PartId="68589e7b8529409d82de486033c2c1fe"/>
      <Part Type="punktas" Nr="6" Abbr="6 p." DocPartId="1b7ea3d5abf34a9c9ac291a417af4c21" PartId="9e4352870b314394b52bb83ede88bb74"/>
      <Part Type="punktas" Nr="7" Abbr="7 p." DocPartId="3eae6e10df604ac5825eecfb8aa4be05" PartId="d72e34c919214011af3e07d9baad60ed"/>
    </Part>
    <Part Type="skyrius" Nr="3" Title="VALDOS AR ŪKIO BENDROJO SGP IR EKONOMINIO DYDŽIO APSKAIČIAVIMAS" DocPartId="0d1f2ef15baf4b2aa1140cc92cadf31e" PartId="bef1648f26fc40f59f082b95debf342b">
      <Part Type="punktas" Nr="8" Abbr="8 p." DocPartId="bfad66f3443f4a2296e425ccb7452873" PartId="cf5dffcd38c94358b62d968612ad09b9"/>
      <Part Type="punktas" Nr="9" Abbr="9 p." DocPartId="53a3aebc69dd49438ef3c2a8a7ad4905" PartId="770b1d6d82ad4c54a3984de6f6e5f182"/>
      <Part Type="punktas" Nr="10" Abbr="10 p." DocPartId="4e6fc861049f4b2795a7d04152f15f39" PartId="e95726bd4ee6451f92d30619887fce3b"/>
      <Part Type="punktas" Nr="11" Abbr="11 p." DocPartId="f1a5e07c48874f59b1be19c3f1d76938" PartId="d9571f73d9e34aca85a06f783e308467">
        <Part Type="papunktis" Nr="11.1" Abbr="11.1 pp." DocPartId="11e1069a352149f69c497ed1c9c06f7f" PartId="46dc4612b3b046e189fc83b3891d67e6"/>
        <Part Type="papunktis" Nr="11.2" Abbr="11.2 pp." DocPartId="05fa6c0ae88645d1847e35fcd5ecf722" PartId="12599562321b4cf28ac3296081bbeef7"/>
      </Part>
      <Part Type="punktas" Nr="12" Abbr="12 p." DocPartId="8a9c16521a104d9987527aae1e3c5c80" PartId="e438b233026e4b12967c7cadfaf92941"/>
      <Part Type="punktas" Nr="12-1" Abbr="12-1 p." DocPartId="282be6ae1b18495c8cf7d8ea470d1205" PartId="e733e214cb484fc89351c0957030f145">
        <Part Type="papunktis" Nr="12-1.1" Abbr="12-1.1 pp." DocPartId="8bc969101a064f9cadcc713efe886610" PartId="707e4636d79347adbb119e0ae77ea6a2"/>
        <Part Type="papunktis" Nr="12-1.2" Abbr="12-1.2 pp." DocPartId="951c87b9557845278c9fe97a6bd8d475" PartId="e1c92e78d7394e50aec5f03c753cb904"/>
      </Part>
      <Part Type="punktas" Nr="12-2" Abbr="12-2 p." DocPartId="87633aefa1a64acc93eb32e293ae2746" PartId="e4d5e5658720497bbc9404cd42ffc0ea"/>
      <Part Type="punktas" Nr="13" Abbr="13 p." DocPartId="1d1658cd3ba642dabd724d9cbc2e62e1" PartId="2a628be490614812b7834e41c0ee7436"/>
      <Part Type="punktas" Nr="14" Abbr="14 p." DocPartId="9594f1e2687842e5b3e4973bbc6d1e2a" PartId="ad46d1cdb7e34b9b945ac9359928d7c3"/>
      <Part Type="punktas" Nr="15" Abbr="15 p." DocPartId="84571330bc044e5bacada61557c44300" PartId="380e8047469b470da28d8fd645ee6664"/>
    </Part>
    <Part Type="skyrius" Nr="4" Title="INSTITUCIJOS, ATSAKINGOS UŽ VALDOS AR ŪKIO BENDROJO SGP IR EKONOMINIO DYDŽIO APSKAIČIAVIMĄ" DocPartId="cacf7e376cc84cc3a7f33b5c11a12731" PartId="441a63dee03d470691f216b2eef3eafa">
      <Part Type="punktas" Nr="16" Abbr="16 p." Title="" DocPartId="0b5a2bde96ef46b8b4b1b0bf0f00764d" PartId="6dd3e84c9afa4c6484d59b885dcca0fa"/>
      <Part Type="punktas" Nr="17" Abbr="17 p." DocPartId="7ce636a2796c40b7b3bd830d6d47cbd9" PartId="7e58e3b8ee794fdf9e704c013156f203"/>
      <Part Type="punktas" Nr="18" Abbr="18 p." DocPartId="66263f63ee1c4549be96e57dd4265700" PartId="404399c932924cbdafddb867526ece1a"/>
    </Part>
    <Part Type="skyrius" Nr="5" Title="BAIGIAMOSIOS NUOSTATOS" DocPartId="31a98c357881421fb68391617aeddbd6" PartId="04a6ddc83bff425bb2fdfe41035c019e">
      <Part Type="punktas" Nr="19" Abbr="19 p." DocPartId="d8da183163bd4758b3a33ccfcb49af12" PartId="c5d5efc0a0a5409eaccfe1b635295059"/>
      <Part Type="punktas" Nr="20" Abbr="20 p." DocPartId="eb55f9f1cb944cd18d05283fb9073b67" PartId="409b8096ed3b467289cc00368dffb701"/>
      <Part Type="punktas" Nr="21" Abbr="21 p." DocPartId="d7899317994d47a3859397106fa5388c" PartId="18f2946faa724f598f0328062ce47dc2"/>
    </Part>
    <Part Type="pabaiga" DocPartId="50e2cddfcb12428c9d366f353b7a03cb" PartId="fcc0a4e592d84970aca535459962bd1a"/>
  </Part>
  <Part Type="priedas" Nr="1" Abbr="1 pr." Title="ŽEMĖS ŪKIO PRODUKCIJOS RŪŠIŲ SGP*" DocPartId="c6ad54e0a16d41a08f2ce7f3231e08c3" PartId="1684646f46d04bd98208a9a465e4c134"/>
  <Part Type="priedas" Nr="2" Abbr="2 pr." Title="VALDOS AR ŪKIO BENDROJO SGP IR EKONOMINIO DYDŽIO APSKAIČIAVIMO PAVYZDYS" DocPartId="88161d4de5d349d5af9aa84169635a8d" PartId="43599f0103ac485d893d8eba33a27412">
    <Part Type="pabaiga" DocPartId="6e70fb02df5c483fa11a43111fe63a09" PartId="c27dbeba3b834e81acb9b34f40d5dc58"/>
  </Part>
</Parts>
</file>

<file path=customXml/itemProps1.xml><?xml version="1.0" encoding="utf-8"?>
<ds:datastoreItem xmlns:ds="http://schemas.openxmlformats.org/officeDocument/2006/customXml" ds:itemID="{1F78C9B6-C474-4685-9BA9-27772561BEB7}">
  <ds:schemaRefs>
    <ds:schemaRef ds:uri="http://lrs.lt/TAIS/DocParts"/>
  </ds:schemaRefs>
</ds:datastoreItem>
</file>

<file path=docProps/app.xml><?xml version="1.0" encoding="utf-8"?>
<Properties xmlns="http://schemas.openxmlformats.org/officeDocument/2006/extended-properties">
  <Template>Normal.dotm</Template>
  <TotalTime>46</TotalTime>
  <Pages>10</Pages>
  <Words>14110</Words>
  <Characters>8043</Characters>
  <Application>Microsoft Office Word</Application>
  <DocSecurity>0</DocSecurity>
  <Lines>67</Lines>
  <Paragraphs>44</Paragraphs>
  <ScaleCrop>false</ScaleCrop>
  <Company/>
  <LinksUpToDate>false</LinksUpToDate>
  <CharactersWithSpaces>22109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2015-09-04T21:50:00Z</dcterms:created>
  <dc:creator>Rima</dc:creator>
  <lastModifiedBy>JŪRĖNIENĖ Jolanta</lastModifiedBy>
  <dcterms:modified xsi:type="dcterms:W3CDTF">2024-09-24T08:55:00Z</dcterms:modified>
  <revision>24</revision>
  <dc:title>LIETUVOS RESPUBLIKOS ŽEMĖS ŪKIO MINISTRO</dc:title>
</coreProperties>
</file>