
<file path=[Content_Types].xml><?xml version="1.0" encoding="utf-8"?>
<Types xmlns="http://schemas.openxmlformats.org/package/2006/content-types">
  <Default Extension="bin" ContentType="application/vnd.ms-office.activeX"/>
  <Default Extension="emf" ContentType="image/x-emf"/>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mbeddings/oleObject1.bin" ContentType="application/vnd.openxmlformats-officedocument.oleObject"/>
  <Override PartName="/word/embeddings/oleObject2.bin" ContentType="application/vnd.openxmlformats-officedocument.oleObject"/>
  <Override PartName="/word/embeddings/oleObject3.bin" ContentType="application/vnd.openxmlformats-officedocument.oleObject"/>
  <Override PartName="/word/embeddings/oleObject4.bin" ContentType="application/vnd.openxmlformats-officedocument.oleObject"/>
  <Override PartName="/word/embeddings/oleObject5.bin" ContentType="application/vnd.openxmlformats-officedocument.oleObject"/>
  <Override PartName="/word/embeddings/oleObject6.bin" ContentType="application/vnd.openxmlformats-officedocument.oleObject"/>
  <Override PartName="/word/embeddings/oleObject7.bin" ContentType="application/vnd.openxmlformats-officedocument.oleObject"/>
  <Override PartName="/word/embeddings/oleObject8.bin" ContentType="application/vnd.openxmlformats-officedocument.oleObject"/>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b368c98543b4bb59eca7e0e57871b80"/>
        <w:lock w:val="sdtLocked"/>
        <w:richText/>
      </w:sdtPr>
      <w:sdtContent>
        <w:p>
          <w:pPr>
            <w:jc w:val="both"/>
            <w:rPr>
              <w:rFonts w:ascii="Times New Roman" w:hAnsi="Times New Roman"/>
            </w:rPr>
          </w:pPr>
          <w:r>
            <w:rPr>
              <w:rFonts w:ascii="Times New Roman" w:hAnsi="Times New Roman"/>
              <w:b/>
              <w:i/>
            </w:rPr>
            <w:t>Suvestinė redakcija nuo 2012-06-14 iki 2014-05-20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2010, Nr. </w:t>
          </w:r>
          <w:fldSimple w:instr="HYPERLINK https://www.e-tar.lt/portal/legalAct.html?documentId=TAR.0306D2FBAF2B">
            <w:r w:rsidRPr="00532B9F">
              <w:rPr>
                <w:rFonts w:ascii="Times New Roman" w:eastAsia="MS Mincho" w:hAnsi="Times New Roman"/>
                <w:sz w:val="20"/>
                <w:i/>
                <w:iCs/>
                <w:color w:val="0000FF" w:themeColor="hyperlink"/>
                <w:u w:val="single"/>
              </w:rPr>
              <w:t>152-7759</w:t>
            </w:r>
          </w:fldSimple>
          <w:r>
            <w:rPr>
              <w:rFonts w:ascii="Times New Roman" w:eastAsia="MS Mincho" w:hAnsi="Times New Roman"/>
              <w:sz w:val="20"/>
              <w:i/>
              <w:iCs/>
            </w:rPr>
            <w:t>, i. k. 1102250ISAK00V-1079</w:t>
          </w:r>
        </w:p>
        <w:p>
          <w:pPr>
            <w:jc w:val="both"/>
            <w:rPr>
              <w:rFonts w:ascii="Times New Roman" w:hAnsi="Times New Roman"/>
              <w:sz w:val="20"/>
            </w:rPr>
          </w:pPr>
        </w:p>
        <w:p>
          <w:pPr>
            <w:widowControl w:val="0"/>
            <w:suppressAutoHyphens/>
            <w:jc w:val="center"/>
            <w:rPr>
              <w:color w:val="000000"/>
            </w:rPr>
          </w:pPr>
          <w:r>
            <w:rPr>
              <w:color w:val="000000"/>
              <w:lang w:val="en-US"/>
            </w:rPr>
            <w:pict w14:anchorId="2F0BB733">
              <v:shapetype id="_x0000_t201" coordsize="21600,21600" o:spt="201" path="m,l,21600r21600,l21600,xe">
                <v:stroke joinstyle="miter"/>
                <v:path shadowok="f" o:extrusionok="f" strokeok="f" fillok="f" o:connecttype="rect"/>
                <o:lock v:ext="edit" shapetype="t"/>
              </v:shapetype>
              <v:shape id="_x0000_s1033" type="#_x0000_t201" style="position:absolute;left:0;text-align:left;margin-left:0;margin-top:0;width:.75pt;height:.75pt;z-index:251657728;visibility:hidden;mso-position-horizontal-relative:text;mso-position-vertical-relative:text" stroked="f">
                <v:imagedata r:id="rId29" o:title=""/>
              </v:shape>
              <w:control r:id="rId30" w:name="Control 9" w:shapeid="_x0000_s1033"/>
            </w:pict>
          </w:r>
          <w:r>
            <w:rPr>
              <w:color w:val="000000"/>
            </w:rPr>
            <w:t>LIETUVOS RESPUBLIKOS SVEIKATOS APSAUGOS MINISTRO</w:t>
          </w:r>
        </w:p>
        <w:p>
          <w:pPr>
            <w:widowControl w:val="0"/>
            <w:suppressAutoHyphens/>
            <w:jc w:val="center"/>
            <w:rPr>
              <w:color w:val="000000"/>
              <w:spacing w:val="60"/>
            </w:rPr>
          </w:pPr>
          <w:r>
            <w:rPr>
              <w:color w:val="000000"/>
              <w:spacing w:val="60"/>
            </w:rPr>
            <w:t>ĮSAKYMAS</w:t>
          </w:r>
        </w:p>
        <w:p>
          <w:pPr>
            <w:widowControl w:val="0"/>
            <w:suppressAutoHyphens/>
            <w:jc w:val="center"/>
            <w:rPr>
              <w:color w:val="000000"/>
            </w:rPr>
          </w:pPr>
        </w:p>
        <w:sdt>
          <w:sdtPr>
            <w:alias w:val="Pavadinimas"/>
            <w:tag w:val="title_8b368c98543b4bb59eca7e0e57871b80"/>
            <w:lock w:val="sdtLocked"/>
            <w:richText/>
          </w:sdtPr>
          <w:sdtContent>
            <w:p>
              <w:pPr>
                <w:widowControl w:val="0"/>
                <w:suppressAutoHyphens/>
                <w:jc w:val="center"/>
                <w:rPr>
                  <w:b/>
                  <w:bCs/>
                  <w:caps/>
                  <w:color w:val="000000"/>
                </w:rPr>
              </w:pPr>
              <w:r>
                <w:rPr>
                  <w:b/>
                  <w:bCs/>
                  <w:caps/>
                  <w:color w:val="000000"/>
                </w:rPr>
                <w:t>DĖL SVEIKATOS PRIEŽIŪROS ĮSTAIGŲ INFORMACINIŲ SISTEMŲ SUSIEJIMO SU E. SVEIKATOS PASLAUGŲ IR BENDRADARBIAVIMO INFRASTRUKTŪRA REIKALAVIMŲ IR TECHNINIŲ SĄLYGŲ PATVIRTINIMO</w:t>
              </w:r>
            </w:p>
          </w:sdtContent>
        </w:sdt>
        <w:p>
          <w:pPr>
            <w:widowControl w:val="0"/>
            <w:suppressAutoHyphens/>
            <w:jc w:val="center"/>
            <w:rPr>
              <w:color w:val="000000"/>
            </w:rPr>
          </w:pPr>
        </w:p>
        <w:p>
          <w:pPr>
            <w:widowControl w:val="0"/>
            <w:suppressAutoHyphens/>
            <w:jc w:val="center"/>
            <w:rPr>
              <w:color w:val="000000"/>
            </w:rPr>
          </w:pPr>
          <w:r>
            <w:rPr>
              <w:color w:val="000000"/>
            </w:rPr>
            <w:t>2010 m. gruodžio 17 d. Nr. V-1079</w:t>
          </w:r>
        </w:p>
        <w:p>
          <w:pPr>
            <w:widowControl w:val="0"/>
            <w:suppressAutoHyphens/>
            <w:jc w:val="center"/>
            <w:rPr>
              <w:color w:val="000000"/>
            </w:rPr>
          </w:pPr>
          <w:r>
            <w:rPr>
              <w:color w:val="000000"/>
            </w:rPr>
            <w:t>Vilnius</w:t>
          </w:r>
        </w:p>
        <w:p>
          <w:pPr>
            <w:widowControl w:val="0"/>
            <w:suppressAutoHyphens/>
            <w:jc w:val="both"/>
            <w:rPr>
              <w:color w:val="000000"/>
            </w:rPr>
          </w:pPr>
        </w:p>
        <w:p>
          <w:pPr>
            <w:widowControl w:val="0"/>
            <w:suppressAutoHyphens/>
            <w:jc w:val="both"/>
            <w:rPr>
              <w:color w:val="000000"/>
            </w:rPr>
          </w:pPr>
        </w:p>
        <w:sdt>
          <w:sdtPr>
            <w:alias w:val="preambule"/>
            <w:tag w:val="part_16e9563c12ca45b39fb79a5f65f00d3a"/>
            <w:lock w:val="sdtLocked"/>
            <w:richText/>
          </w:sdtPr>
          <w:sdtContent>
            <w:p>
              <w:pPr>
                <w:widowControl w:val="0"/>
                <w:suppressAutoHyphens/>
                <w:ind w:firstLine="567"/>
                <w:jc w:val="both"/>
                <w:rPr>
                  <w:color w:val="000000"/>
                </w:rPr>
              </w:pPr>
              <w:r>
                <w:rPr>
                  <w:color w:val="000000"/>
                </w:rPr>
                <w:t xml:space="preserve">Įgyvendindamas E. sveikatos sistemos 2009–2015 metų plėtros programos įgyvendinimo priemonių plano, patvirtinto Lietuvos Respublikos sveikatos apsaugos ministro 2010 m. birželio 18 d. įsakymu Nr. V-570 (Žin., 2010, Nr. </w:t>
              </w:r>
              <w:hyperlink r:id="rId31" w:tgtFrame="_blank" w:history="1">
                <w:r>
                  <w:rPr>
                    <w:color w:val="0000FF" w:themeColor="hyperlink"/>
                    <w:u w:val="single"/>
                  </w:rPr>
                  <w:t>74-3763</w:t>
                </w:r>
              </w:hyperlink>
              <w:r>
                <w:rPr>
                  <w:color w:val="000000"/>
                </w:rPr>
                <w:t>), 1.1.4 punktą:</w:t>
              </w:r>
            </w:p>
          </w:sdtContent>
        </w:sdt>
        <w:sdt>
          <w:sdtPr>
            <w:alias w:val="1 p."/>
            <w:tag w:val="part_87be2eda19f04e4f80fab2c93a4fe42c"/>
            <w:lock w:val="sdtLocked"/>
            <w:richText/>
          </w:sdtPr>
          <w:sdtContent>
            <w:p>
              <w:pPr>
                <w:widowControl w:val="0"/>
                <w:suppressAutoHyphens/>
                <w:ind w:firstLine="567"/>
                <w:jc w:val="both"/>
                <w:rPr>
                  <w:color w:val="000000"/>
                </w:rPr>
              </w:pPr>
              <w:sdt>
                <w:sdtPr>
                  <w:alias w:val="Numeris"/>
                  <w:tag w:val="nr_87be2eda19f04e4f80fab2c93a4fe42c"/>
                  <w:lock w:val="sdtLocked"/>
                  <w:richText/>
                </w:sdtPr>
                <w:sdtContent>
                  <w:r>
                    <w:rPr>
                      <w:color w:val="000000"/>
                    </w:rPr>
                    <w:t>1</w:t>
                  </w:r>
                </w:sdtContent>
              </w:sdt>
              <w:r>
                <w:rPr>
                  <w:color w:val="000000"/>
                </w:rPr>
                <w:t xml:space="preserve">. </w:t>
              </w:r>
              <w:r>
                <w:rPr>
                  <w:color w:val="000000"/>
                  <w:spacing w:val="60"/>
                </w:rPr>
                <w:t>Tvirtinu</w:t>
              </w:r>
              <w:r>
                <w:rPr>
                  <w:color w:val="000000"/>
                </w:rPr>
                <w:t xml:space="preserve"> Sveikatos priežiūros įstaigų informacinių sistemų susiejimo su e. sveikatos paslaugų ir bendradarbiavimo infrastruktūra reikalavimus ir technines sąlygas (pridedama).</w:t>
              </w:r>
            </w:p>
          </w:sdtContent>
        </w:sdt>
        <w:sdt>
          <w:sdtPr>
            <w:alias w:val="2 p."/>
            <w:tag w:val="part_260fbcb8af8b4414937b9910e1f16c3c"/>
            <w:lock w:val="sdtLocked"/>
            <w:richText/>
          </w:sdtPr>
          <w:sdtContent>
            <w:p>
              <w:pPr>
                <w:widowControl w:val="0"/>
                <w:suppressAutoHyphens/>
                <w:ind w:firstLine="567"/>
                <w:jc w:val="both"/>
                <w:rPr>
                  <w:color w:val="000000"/>
                </w:rPr>
              </w:pPr>
              <w:sdt>
                <w:sdtPr>
                  <w:alias w:val="Numeris"/>
                  <w:tag w:val="nr_260fbcb8af8b4414937b9910e1f16c3c"/>
                  <w:lock w:val="sdtLocked"/>
                  <w:richText/>
                </w:sdtPr>
                <w:sdtContent>
                  <w:r>
                    <w:rPr>
                      <w:color w:val="000000"/>
                    </w:rPr>
                    <w:t>2</w:t>
                  </w:r>
                </w:sdtContent>
              </w:sdt>
              <w:r>
                <w:rPr>
                  <w:color w:val="000000"/>
                </w:rPr>
                <w:t xml:space="preserve">. </w:t>
              </w:r>
              <w:r>
                <w:rPr>
                  <w:color w:val="000000"/>
                  <w:spacing w:val="60"/>
                </w:rPr>
                <w:t>Pavedu</w:t>
              </w:r>
              <w:r>
                <w:rPr>
                  <w:color w:val="000000"/>
                </w:rPr>
                <w:t xml:space="preserve"> įsakymo vykdymą kontroliuoti ministerijos kancleriui.</w:t>
              </w:r>
            </w:p>
          </w:sdtContent>
        </w:sdt>
        <w:sdt>
          <w:sdtPr>
            <w:alias w:val="signatura"/>
            <w:tag w:val="part_decb84ab58514bac9ab5d958959c9539"/>
            <w:lock w:val="sdtLocked"/>
            <w:richText/>
          </w:sdtPr>
          <w:sdtContent>
            <w:p>
              <w:pPr>
                <w:widowControl w:val="0"/>
                <w:tabs>
                  <w:tab w:val="right" w:pos="9071"/>
                </w:tabs>
                <w:suppressAutoHyphens/>
              </w:pPr>
            </w:p>
            <w:p>
              <w:pPr>
                <w:widowControl w:val="0"/>
                <w:tabs>
                  <w:tab w:val="right" w:pos="9071"/>
                </w:tabs>
                <w:suppressAutoHyphens/>
              </w:pPr>
            </w:p>
            <w:p>
              <w:pPr>
                <w:widowControl w:val="0"/>
                <w:tabs>
                  <w:tab w:val="right" w:pos="9071"/>
                </w:tabs>
                <w:suppressAutoHyphens/>
              </w:pPr>
            </w:p>
            <w:p>
              <w:pPr>
                <w:widowControl w:val="0"/>
                <w:tabs>
                  <w:tab w:val="right" w:pos="9071"/>
                </w:tabs>
                <w:suppressAutoHyphens/>
                <w:rPr>
                  <w:caps/>
                  <w:color w:val="000000"/>
                </w:rPr>
              </w:pPr>
              <w:r>
                <w:rPr>
                  <w:caps/>
                  <w:color w:val="000000"/>
                </w:rPr>
                <w:t>SVEIKATOS APSAUGOS MINISTRAS</w:t>
                <w:tab/>
                <w:t>RAIMONDAS ŠUKYS</w:t>
              </w:r>
            </w:p>
            <w:p>
              <w:pPr>
                <w:widowControl w:val="0"/>
                <w:suppressAutoHyphens/>
                <w:jc w:val="center"/>
                <w:rPr>
                  <w:color w:val="000000"/>
                </w:rPr>
              </w:pPr>
            </w:p>
          </w:sdtContent>
        </w:sdt>
      </w:sdtContent>
    </w:sdt>
    <w:sdt>
      <w:sdtPr>
        <w:alias w:val="patvirtinta"/>
        <w:tag w:val="part_0a6e80f44f49445c99f87200ffa7c2f0"/>
        <w:lock w:val="sdtLocked"/>
        <w:richText/>
      </w:sdtPr>
      <w:sdtContent>
        <w:p>
          <w:pPr>
            <w:widowControl w:val="0"/>
            <w:suppressAutoHyphens/>
            <w:ind w:left="4535"/>
            <w:rPr>
              <w:color w:val="000000"/>
            </w:rPr>
          </w:pPr>
          <w:r>
            <w:rPr>
              <w:color w:val="000000"/>
            </w:rPr>
            <w:br w:type="page"/>
            <w:t>PATVIRTINTA</w:t>
          </w:r>
        </w:p>
        <w:p>
          <w:pPr>
            <w:widowControl w:val="0"/>
            <w:suppressAutoHyphens/>
            <w:ind w:left="4535"/>
            <w:rPr>
              <w:color w:val="000000"/>
            </w:rPr>
          </w:pPr>
          <w:r>
            <w:rPr>
              <w:color w:val="000000"/>
            </w:rPr>
            <w:t xml:space="preserve">Lietuvos Respublikos </w:t>
          </w:r>
        </w:p>
        <w:p>
          <w:pPr>
            <w:widowControl w:val="0"/>
            <w:suppressAutoHyphens/>
            <w:ind w:left="4535"/>
            <w:rPr>
              <w:color w:val="000000"/>
            </w:rPr>
          </w:pPr>
          <w:r>
            <w:rPr>
              <w:color w:val="000000"/>
            </w:rPr>
            <w:t xml:space="preserve">sveikatos apsaugos ministro </w:t>
          </w:r>
        </w:p>
        <w:p>
          <w:pPr>
            <w:widowControl w:val="0"/>
            <w:suppressAutoHyphens/>
            <w:ind w:left="4535"/>
            <w:rPr>
              <w:color w:val="000000"/>
            </w:rPr>
          </w:pPr>
          <w:r>
            <w:rPr>
              <w:color w:val="000000"/>
            </w:rPr>
            <w:t>2010 m. gruodžio 17 d. įsakymu Nr. V-1079</w:t>
          </w:r>
        </w:p>
        <w:p>
          <w:pPr>
            <w:widowControl w:val="0"/>
            <w:suppressAutoHyphens/>
            <w:ind w:left="4535"/>
            <w:rPr>
              <w:color w:val="000000"/>
            </w:rPr>
          </w:pPr>
          <w:r>
            <w:rPr>
              <w:color w:val="000000"/>
            </w:rPr>
            <w:t xml:space="preserve">(Lietuvos Respublikos </w:t>
          </w:r>
        </w:p>
        <w:p>
          <w:pPr>
            <w:widowControl w:val="0"/>
            <w:suppressAutoHyphens/>
            <w:ind w:left="4535"/>
            <w:rPr>
              <w:color w:val="000000"/>
            </w:rPr>
          </w:pPr>
          <w:r>
            <w:rPr>
              <w:color w:val="000000"/>
            </w:rPr>
            <w:t xml:space="preserve">sveikatos apsaugos ministro </w:t>
          </w:r>
        </w:p>
        <w:p>
          <w:pPr>
            <w:widowControl w:val="0"/>
            <w:suppressAutoHyphens/>
            <w:ind w:left="4535"/>
            <w:rPr>
              <w:color w:val="000000"/>
            </w:rPr>
          </w:pPr>
          <w:r>
            <w:rPr>
              <w:color w:val="000000"/>
            </w:rPr>
            <w:t xml:space="preserve">2012 m. birželio 7 d. įsakymo Nr. V-509 </w:t>
          </w:r>
        </w:p>
        <w:p>
          <w:pPr>
            <w:widowControl w:val="0"/>
            <w:suppressAutoHyphens/>
            <w:ind w:left="4535"/>
            <w:rPr>
              <w:color w:val="000000"/>
            </w:rPr>
          </w:pPr>
          <w:r>
            <w:rPr>
              <w:color w:val="000000"/>
            </w:rPr>
            <w:t>redakcija)</w:t>
          </w:r>
        </w:p>
        <w:p>
          <w:pPr>
            <w:widowControl w:val="0"/>
            <w:suppressAutoHyphens/>
            <w:ind w:firstLine="567"/>
            <w:jc w:val="both"/>
            <w:rPr>
              <w:b/>
              <w:bCs/>
              <w:color w:val="000000"/>
            </w:rPr>
          </w:pPr>
        </w:p>
        <w:p>
          <w:pPr>
            <w:widowControl w:val="0"/>
            <w:suppressAutoHyphens/>
            <w:jc w:val="center"/>
            <w:rPr>
              <w:b/>
              <w:bCs/>
              <w:caps/>
              <w:color w:val="000000"/>
            </w:rPr>
          </w:pPr>
          <w:sdt>
            <w:sdtPr>
              <w:alias w:val="Pavadinimas"/>
              <w:tag w:val="title_0a6e80f44f49445c99f87200ffa7c2f0"/>
              <w:lock w:val="sdtLocked"/>
              <w:richText/>
            </w:sdtPr>
            <w:sdtContent>
              <w:r>
                <w:rPr>
                  <w:b/>
                  <w:bCs/>
                  <w:caps/>
                  <w:color w:val="000000"/>
                </w:rPr>
                <w:t>SVEIKATOS PRIEŽIŪROS ĮSTAIGŲ INFORMACINIŲ SISTEMŲ SUSIEJIMO SU E. SVEIKATOS PASLAUGŲ IR BENDRADARBIAVIMO INFRASTRUKTŪRA REIKALAVIMAI IR TECHNINĖS SĄLYGOS</w:t>
              </w:r>
            </w:sdtContent>
          </w:sdt>
        </w:p>
        <w:p>
          <w:pPr>
            <w:widowControl w:val="0"/>
            <w:suppressAutoHyphens/>
            <w:jc w:val="center"/>
            <w:rPr>
              <w:b/>
              <w:bCs/>
              <w:caps/>
              <w:color w:val="000000"/>
            </w:rPr>
          </w:pPr>
        </w:p>
        <w:sdt>
          <w:sdtPr>
            <w:alias w:val="skyrius"/>
            <w:tag w:val="part_c99f8bc5bbeb47a39cd694d0ad573c1b"/>
            <w:lock w:val="sdtLocked"/>
            <w:richText/>
          </w:sdtPr>
          <w:sdtContent>
            <w:p>
              <w:pPr>
                <w:widowControl w:val="0"/>
                <w:suppressAutoHyphens/>
                <w:jc w:val="center"/>
                <w:rPr>
                  <w:b/>
                  <w:bCs/>
                  <w:caps/>
                  <w:color w:val="000000"/>
                </w:rPr>
              </w:pPr>
              <w:sdt>
                <w:sdtPr>
                  <w:alias w:val="Numeris"/>
                  <w:tag w:val="nr_c99f8bc5bbeb47a39cd694d0ad573c1b"/>
                  <w:lock w:val="sdtLocked"/>
                  <w:richText/>
                </w:sdtPr>
                <w:sdtContent>
                  <w:r>
                    <w:rPr>
                      <w:b/>
                      <w:bCs/>
                      <w:caps/>
                      <w:color w:val="000000"/>
                    </w:rPr>
                    <w:t>I</w:t>
                  </w:r>
                </w:sdtContent>
              </w:sdt>
              <w:r>
                <w:rPr>
                  <w:b/>
                  <w:bCs/>
                  <w:caps/>
                  <w:color w:val="000000"/>
                </w:rPr>
                <w:t xml:space="preserve">. </w:t>
              </w:r>
              <w:sdt>
                <w:sdtPr>
                  <w:alias w:val="Pavadinimas"/>
                  <w:tag w:val="title_c99f8bc5bbeb47a39cd694d0ad573c1b"/>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 p."/>
                <w:tag w:val="part_ed3af5e9543f4a758a08e53e90642f06"/>
                <w:lock w:val="sdtLocked"/>
                <w:richText/>
              </w:sdtPr>
              <w:sdtContent>
                <w:p>
                  <w:pPr>
                    <w:widowControl w:val="0"/>
                    <w:suppressAutoHyphens/>
                    <w:ind w:firstLine="567"/>
                    <w:jc w:val="both"/>
                    <w:rPr>
                      <w:color w:val="000000"/>
                    </w:rPr>
                  </w:pPr>
                  <w:sdt>
                    <w:sdtPr>
                      <w:alias w:val="Numeris"/>
                      <w:tag w:val="nr_ed3af5e9543f4a758a08e53e90642f06"/>
                      <w:lock w:val="sdtLocked"/>
                      <w:richText/>
                    </w:sdtPr>
                    <w:sdtContent>
                      <w:r>
                        <w:rPr>
                          <w:color w:val="000000"/>
                        </w:rPr>
                        <w:t>1</w:t>
                      </w:r>
                    </w:sdtContent>
                  </w:sdt>
                  <w:r>
                    <w:rPr>
                      <w:color w:val="000000"/>
                    </w:rPr>
                    <w:t>. Sveikatos priežiūros įstaigų informacinių sistemų susiejimo su e. sveikatos paslaugų ir bendradarbiavimo infrastruktūra reikalavimai ir techninės sąlygos (toliau – Reikalavimai) nustato sveikatos priežiūros įstaigų (toliau – SPĮ) informacinių sistemų (toliau – IS) ir Elektroninės sveikatos paslaugų ir bendradarbiavimo infrastruktūros informacinės sistemos (toliau – ESPBI IS) integracinės sąsajos reikalavimus. Šiame dokumente pateikiami reikalavimai ir pagrindiniai principai, kuriais privaloma vadovautis projektuojant ir realizuojant SPĮ IS integracines sąsajas.</w:t>
                  </w:r>
                </w:p>
              </w:sdtContent>
            </w:sdt>
            <w:sdt>
              <w:sdtPr>
                <w:alias w:val="2 p."/>
                <w:tag w:val="part_51bee86e03ff444784947cf83eaaf76f"/>
                <w:lock w:val="sdtLocked"/>
                <w:richText/>
              </w:sdtPr>
              <w:sdtContent>
                <w:p>
                  <w:pPr>
                    <w:widowControl w:val="0"/>
                    <w:suppressAutoHyphens/>
                    <w:ind w:firstLine="567"/>
                    <w:jc w:val="both"/>
                    <w:rPr>
                      <w:color w:val="000000"/>
                    </w:rPr>
                  </w:pPr>
                  <w:sdt>
                    <w:sdtPr>
                      <w:alias w:val="Numeris"/>
                      <w:tag w:val="nr_51bee86e03ff444784947cf83eaaf76f"/>
                      <w:lock w:val="sdtLocked"/>
                      <w:richText/>
                    </w:sdtPr>
                    <w:sdtContent>
                      <w:r>
                        <w:rPr>
                          <w:color w:val="000000"/>
                        </w:rPr>
                        <w:t>2</w:t>
                      </w:r>
                    </w:sdtContent>
                  </w:sdt>
                  <w:r>
                    <w:rPr>
                      <w:color w:val="000000"/>
                    </w:rPr>
                    <w:t>. Reikalavimai taikomi SPĮ, diegiančioms naujas ar modernizuojančioms jau turimas IS.</w:t>
                  </w:r>
                </w:p>
              </w:sdtContent>
            </w:sdt>
            <w:sdt>
              <w:sdtPr>
                <w:alias w:val="3 p."/>
                <w:tag w:val="part_f6ef96ecc24645ca94e3faaa876180c5"/>
                <w:lock w:val="sdtLocked"/>
                <w:richText/>
              </w:sdtPr>
              <w:sdtContent>
                <w:p>
                  <w:pPr>
                    <w:widowControl w:val="0"/>
                    <w:suppressAutoHyphens/>
                    <w:ind w:firstLine="567"/>
                    <w:jc w:val="both"/>
                    <w:rPr>
                      <w:color w:val="000000"/>
                    </w:rPr>
                  </w:pPr>
                  <w:sdt>
                    <w:sdtPr>
                      <w:alias w:val="Numeris"/>
                      <w:tag w:val="nr_f6ef96ecc24645ca94e3faaa876180c5"/>
                      <w:lock w:val="sdtLocked"/>
                      <w:richText/>
                    </w:sdtPr>
                    <w:sdtContent>
                      <w:r>
                        <w:rPr>
                          <w:color w:val="000000"/>
                        </w:rPr>
                        <w:t>3</w:t>
                      </w:r>
                    </w:sdtContent>
                  </w:sdt>
                  <w:r>
                    <w:rPr>
                      <w:color w:val="000000"/>
                    </w:rPr>
                    <w:t xml:space="preserve">. Lietuvos e. sveikatos sistemos bendra veikla grindžiama Lietuvos e. sveikatos sistemos funkcinės, techninės ir programinės įrangos architektūros modeliu, patvirtintu Lietuvos Respublikos sveikatos apsaugos ministro 2011 m. kovo 28 d. įsakymu Nr. V-294 (Žin., 2011, Nr. </w:t>
                  </w:r>
                  <w:hyperlink r:id="rId32" w:tgtFrame="_blank" w:history="1">
                    <w:r>
                      <w:rPr>
                        <w:color w:val="0000FF" w:themeColor="hyperlink"/>
                        <w:u w:val="single"/>
                      </w:rPr>
                      <w:t>38-1834</w:t>
                    </w:r>
                  </w:hyperlink>
                  <w:r>
                    <w:rPr>
                      <w:color w:val="000000"/>
                    </w:rPr>
                    <w:t>).</w:t>
                  </w:r>
                </w:p>
              </w:sdtContent>
            </w:sdt>
            <w:sdt>
              <w:sdtPr>
                <w:alias w:val="4 p."/>
                <w:tag w:val="part_cc681367e56b40ca9af16cb8185cc418"/>
                <w:lock w:val="sdtLocked"/>
                <w:richText/>
              </w:sdtPr>
              <w:sdtContent>
                <w:p>
                  <w:pPr>
                    <w:widowControl w:val="0"/>
                    <w:suppressAutoHyphens/>
                    <w:ind w:firstLine="567"/>
                    <w:jc w:val="both"/>
                    <w:rPr>
                      <w:color w:val="000000"/>
                    </w:rPr>
                  </w:pPr>
                  <w:sdt>
                    <w:sdtPr>
                      <w:alias w:val="Numeris"/>
                      <w:tag w:val="nr_cc681367e56b40ca9af16cb8185cc418"/>
                      <w:lock w:val="sdtLocked"/>
                      <w:richText/>
                    </w:sdtPr>
                    <w:sdtContent>
                      <w:r>
                        <w:rPr>
                          <w:color w:val="000000"/>
                        </w:rPr>
                        <w:t>4</w:t>
                      </w:r>
                    </w:sdtContent>
                  </w:sdt>
                  <w:r>
                    <w:rPr>
                      <w:color w:val="000000"/>
                    </w:rPr>
                    <w:t>. Reikalavimuose vartojamos sąvokos ir jų apibrėžimai:</w:t>
                  </w:r>
                </w:p>
                <w:p>
                  <w:pPr>
                    <w:widowControl w:val="0"/>
                    <w:suppressAutoHyphens/>
                    <w:ind w:firstLine="567"/>
                    <w:jc w:val="both"/>
                    <w:rPr>
                      <w:color w:val="000000"/>
                    </w:rPr>
                  </w:pPr>
                  <w:r>
                    <w:rPr>
                      <w:b/>
                      <w:bCs/>
                      <w:color w:val="000000"/>
                    </w:rPr>
                    <w:t>Įvykis</w:t>
                  </w:r>
                  <w:r>
                    <w:rPr>
                      <w:color w:val="000000"/>
                    </w:rPr>
                    <w:t xml:space="preserve"> – tam tikrą veiklos procesą SPĮ inicijuojantis įvykis. Įvykiui pasibaigus sukuriamas iš anksto apibrėžtas duomenų rinkinys, kuris turi būti perduotas į ESPBI IS.</w:t>
                  </w:r>
                </w:p>
                <w:p>
                  <w:pPr>
                    <w:widowControl w:val="0"/>
                    <w:suppressAutoHyphens/>
                    <w:ind w:firstLine="567"/>
                    <w:jc w:val="both"/>
                    <w:rPr>
                      <w:color w:val="000000"/>
                    </w:rPr>
                  </w:pPr>
                  <w:r>
                    <w:rPr>
                      <w:b/>
                      <w:bCs/>
                      <w:color w:val="000000"/>
                    </w:rPr>
                    <w:t xml:space="preserve">Integruotas ESPBI IS komponentas </w:t>
                  </w:r>
                  <w:r>
                    <w:rPr>
                      <w:color w:val="000000"/>
                    </w:rPr>
                    <w:t>– ESPBI IS komponentas, integruotas į SPĮ IS, skirtas ESPBI IS centralizuotai teikiamoms elektroninėms paslaugoms vykdyti.</w:t>
                  </w:r>
                </w:p>
                <w:p>
                  <w:pPr>
                    <w:widowControl w:val="0"/>
                    <w:suppressAutoHyphens/>
                    <w:ind w:firstLine="567"/>
                    <w:jc w:val="both"/>
                    <w:rPr>
                      <w:color w:val="000000"/>
                    </w:rPr>
                  </w:pPr>
                  <w:r>
                    <w:rPr>
                      <w:b/>
                      <w:bCs/>
                      <w:color w:val="000000"/>
                    </w:rPr>
                    <w:t>Projektas „E. sveikatos paslaugų ir bendradarbiavimo infrastruktūros plėtra“</w:t>
                  </w:r>
                  <w:r>
                    <w:rPr>
                      <w:color w:val="000000"/>
                    </w:rPr>
                    <w:t xml:space="preserve"> (toliau – projektas „ESPBI plėtra“)</w:t>
                  </w:r>
                  <w:r>
                    <w:rPr>
                      <w:b/>
                      <w:bCs/>
                      <w:color w:val="000000"/>
                    </w:rPr>
                    <w:t xml:space="preserve"> </w:t>
                  </w:r>
                  <w:r>
                    <w:rPr>
                      <w:color w:val="000000"/>
                    </w:rPr>
                    <w:t xml:space="preserve">– Lietuvos Respublikos sveikatos apsaugos ministerijos vykdomas projektas (projekto Nr. VP2-3.1-IVPK-10-V-01-009), įgyvendinamas pagal E. sveikatos sistemos 2009–2015 metų plėtros programos įgyvendinimo priemonių plano, patvirtinto Lietuvos Respublikos sveikatos apsaugos ministro 2010 m. birželio 18 d. įsakymu Nr. V-570 (Žin., 2010, Nr. </w:t>
                  </w:r>
                  <w:hyperlink r:id="rId33" w:tgtFrame="_blank" w:history="1">
                    <w:r>
                      <w:rPr>
                        <w:color w:val="0000FF" w:themeColor="hyperlink"/>
                        <w:u w:val="single"/>
                      </w:rPr>
                      <w:t>74-3763</w:t>
                    </w:r>
                  </w:hyperlink>
                  <w:r>
                    <w:rPr>
                      <w:color w:val="000000"/>
                    </w:rPr>
                    <w:t xml:space="preserve">, Nr. </w:t>
                  </w:r>
                  <w:hyperlink r:id="rId34" w:tgtFrame="_blank" w:history="1">
                    <w:r>
                      <w:rPr>
                        <w:color w:val="0000FF" w:themeColor="hyperlink"/>
                        <w:u w:val="single"/>
                      </w:rPr>
                      <w:t>158-8065</w:t>
                    </w:r>
                  </w:hyperlink>
                  <w:r>
                    <w:rPr>
                      <w:color w:val="000000"/>
                    </w:rPr>
                    <w:t>), 1.1.2 priemonę „Steigti ir plėtoti e. sveikatos paslaugų ir bendradarbiavimo infrastruktūrą bei skatinti jos naudojimą“.</w:t>
                  </w:r>
                </w:p>
                <w:p>
                  <w:pPr>
                    <w:widowControl w:val="0"/>
                    <w:suppressAutoHyphens/>
                    <w:ind w:firstLine="567"/>
                    <w:jc w:val="both"/>
                    <w:rPr>
                      <w:color w:val="000000"/>
                    </w:rPr>
                  </w:pPr>
                  <w:r>
                    <w:rPr>
                      <w:b/>
                      <w:bCs/>
                      <w:color w:val="000000"/>
                    </w:rPr>
                    <w:t xml:space="preserve">ESPBI IS pagrindinis tvarkytojas </w:t>
                  </w:r>
                  <w:r>
                    <w:rPr>
                      <w:color w:val="000000"/>
                    </w:rPr>
                    <w:t xml:space="preserve">– Lietuvos Respublikos Vyriausybės 2011 m. rugsėjo 7 d. nutarimu Nr. 1057 (Žin., 2011, Nr. </w:t>
                  </w:r>
                  <w:hyperlink r:id="rId35" w:tgtFrame="_blank" w:history="1">
                    <w:r>
                      <w:rPr>
                        <w:color w:val="0000FF" w:themeColor="hyperlink"/>
                        <w:u w:val="single"/>
                      </w:rPr>
                      <w:t>113-5318</w:t>
                    </w:r>
                  </w:hyperlink>
                  <w:r>
                    <w:rPr>
                      <w:color w:val="000000"/>
                    </w:rPr>
                    <w:t>) „Dėl Elektroninės sveikatos paslaugų ir bendradarbiavimo infrastruktūros informacinės sistemos nuostatų patvirtinimo“ paskirtas ESPBI IS pagrindinis tvarkytojas – valstybės įmonė Registrų centras.</w:t>
                  </w:r>
                </w:p>
                <w:p>
                  <w:pPr>
                    <w:widowControl w:val="0"/>
                    <w:suppressAutoHyphens/>
                    <w:ind w:firstLine="567"/>
                    <w:jc w:val="both"/>
                    <w:rPr>
                      <w:color w:val="000000"/>
                    </w:rPr>
                  </w:pPr>
                  <w:r>
                    <w:rPr>
                      <w:color w:val="000000"/>
                    </w:rPr>
                    <w:t>Kitos Reikalavimuose vartojamos sąvokos apibrėžtos Lietuvos Respublikos civiliniame kodekse, Lietuvos Respublikos įstatymuose ir kituose teisės aktuose, reglamentuojančiuose Lietuvos Respublikos sveikatos sistemą, Lietuvos Respublikos elektroninę sveikatos sistemą bei ESPBI IS.</w:t>
                  </w:r>
                </w:p>
              </w:sdtContent>
            </w:sdt>
            <w:sdt>
              <w:sdtPr>
                <w:alias w:val="5 p."/>
                <w:tag w:val="part_4e343cefd3704be09d7b24f0c6ca758a"/>
                <w:lock w:val="sdtLocked"/>
                <w:richText/>
              </w:sdtPr>
              <w:sdtContent>
                <w:p>
                  <w:pPr>
                    <w:widowControl w:val="0"/>
                    <w:suppressAutoHyphens/>
                    <w:ind w:firstLine="567"/>
                    <w:jc w:val="both"/>
                    <w:rPr>
                      <w:color w:val="000000"/>
                    </w:rPr>
                  </w:pPr>
                  <w:sdt>
                    <w:sdtPr>
                      <w:alias w:val="Numeris"/>
                      <w:tag w:val="nr_4e343cefd3704be09d7b24f0c6ca758a"/>
                      <w:lock w:val="sdtLocked"/>
                      <w:richText/>
                    </w:sdtPr>
                    <w:sdtContent>
                      <w:r>
                        <w:rPr>
                          <w:color w:val="000000"/>
                        </w:rPr>
                        <w:t>5</w:t>
                      </w:r>
                    </w:sdtContent>
                  </w:sdt>
                  <w:r>
                    <w:rPr>
                      <w:color w:val="000000"/>
                    </w:rPr>
                    <w:t>. Duomenų mainai tarp SPĮ IS ir ESPBI IS vykdomi naudojant standartus ir duomenų perdavimo protokolus (1 lentelė).</w:t>
                  </w:r>
                </w:p>
                <w:p>
                  <w:pPr>
                    <w:widowControl w:val="0"/>
                    <w:suppressAutoHyphens/>
                    <w:ind w:firstLine="567"/>
                    <w:jc w:val="both"/>
                    <w:rPr>
                      <w:color w:val="000000"/>
                    </w:rPr>
                  </w:pPr>
                </w:p>
                <w:p>
                  <w:pPr>
                    <w:widowControl w:val="0"/>
                    <w:suppressAutoHyphens/>
                    <w:ind w:firstLine="567"/>
                    <w:jc w:val="both"/>
                    <w:rPr>
                      <w:color w:val="000000"/>
                    </w:rPr>
                  </w:pPr>
                  <w:r>
                    <w:rPr>
                      <w:color w:val="000000"/>
                    </w:rPr>
                    <w:t>1 lentelė. Standartai ir duomenų perdavimo protokolai</w:t>
                  </w:r>
                </w:p>
                <w:tbl>
                  <w:tblPr>
                    <w:tblW w:w="9070" w:type="dxa"/>
                    <w:tblLayout w:type="fixed"/>
                    <w:tblCellMar>
                      <w:left w:w="0" w:type="dxa"/>
                      <w:right w:w="0" w:type="dxa"/>
                    </w:tblCellMar>
                    <w:tblLook w:val="0000" w:firstRow="0" w:lastRow="0" w:firstColumn="0" w:lastColumn="0" w:noHBand="0" w:noVBand="0"/>
                  </w:tblPr>
                  <w:tblGrid>
                    <w:gridCol w:w="2498"/>
                    <w:gridCol w:w="6572"/>
                  </w:tblGrid>
                  <w:tr>
                    <w:trPr>
                      <w:trHeight w:val="60"/>
                      <w:tblHeader/>
                    </w:trPr>
                    <w:tc>
                      <w:tcPr>
                        <w:tcW w:w="269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b/>
                            <w:bCs/>
                            <w:color w:val="000000"/>
                          </w:rPr>
                          <w:t>Standartai ir duomenų perdavimo protokolai</w:t>
                        </w:r>
                      </w:p>
                    </w:tc>
                    <w:tc>
                      <w:tcPr>
                        <w:tcW w:w="710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b/>
                            <w:bCs/>
                            <w:color w:val="000000"/>
                          </w:rPr>
                          <w:t>Aprašymas</w:t>
                        </w:r>
                      </w:p>
                    </w:tc>
                  </w:tr>
                  <w:tr>
                    <w:trPr>
                      <w:trHeight w:val="60"/>
                    </w:trPr>
                    <w:tc>
                      <w:tcPr>
                        <w:tcW w:w="269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DICOM</w:t>
                        </w:r>
                      </w:p>
                      <w:p>
                        <w:pPr>
                          <w:widowControl w:val="0"/>
                          <w:suppressAutoHyphens/>
                        </w:pPr>
                      </w:p>
                      <w:p>
                        <w:pPr>
                          <w:widowControl w:val="0"/>
                          <w:suppressAutoHyphens/>
                          <w:rPr>
                            <w:color w:val="000000"/>
                          </w:rPr>
                        </w:pPr>
                        <w:r>
                          <w:rPr>
                            <w:color w:val="000000"/>
                          </w:rPr>
                          <w:t>(angl. Digital Imaging and Communications in Medicine)</w:t>
                        </w:r>
                      </w:p>
                    </w:tc>
                    <w:tc>
                      <w:tcPr>
                        <w:tcW w:w="710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Standartas, nustatantis medicininių vaizdų ir jų informacijos tvarkymo, saugojimo, spausdinimo ir mainų reikalavimus. Standartas apima DICOM failo formato ir informacijos perdavimo kompiuterių tinklais protokolo apibrėžimus.</w:t>
                        </w:r>
                      </w:p>
                    </w:tc>
                  </w:tr>
                  <w:tr>
                    <w:trPr>
                      <w:trHeight w:val="60"/>
                    </w:trPr>
                    <w:tc>
                      <w:tcPr>
                        <w:tcW w:w="269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HL7 v3</w:t>
                        </w:r>
                      </w:p>
                      <w:p>
                        <w:pPr>
                          <w:widowControl w:val="0"/>
                          <w:suppressAutoHyphens/>
                        </w:pPr>
                      </w:p>
                      <w:p>
                        <w:pPr>
                          <w:widowControl w:val="0"/>
                          <w:suppressAutoHyphens/>
                          <w:rPr>
                            <w:color w:val="000000"/>
                          </w:rPr>
                        </w:pPr>
                        <w:r>
                          <w:rPr>
                            <w:color w:val="000000"/>
                          </w:rPr>
                          <w:t>(angl. Health Level-7 Version 3)</w:t>
                        </w:r>
                      </w:p>
                    </w:tc>
                    <w:tc>
                      <w:tcPr>
                        <w:tcW w:w="710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 xml:space="preserve">HL7 v3 skirtas taikymo lygmens (angl. application layer) protokolams adaptuoti sveikatos priežiūros sričiai. HL7 v3 standartas apima reikalavimus koncepcijai, dokumentams, aplikacijoms ir pranešimams. HL7 v3 standartas apima visas sveikatos priežiūros veiklos sritis. </w:t>
                        </w:r>
                      </w:p>
                    </w:tc>
                  </w:tr>
                  <w:tr>
                    <w:trPr>
                      <w:trHeight w:val="60"/>
                    </w:trPr>
                    <w:tc>
                      <w:tcPr>
                        <w:tcW w:w="269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HL7 v3 CDA</w:t>
                        </w:r>
                      </w:p>
                      <w:p>
                        <w:pPr>
                          <w:widowControl w:val="0"/>
                          <w:suppressAutoHyphens/>
                        </w:pPr>
                      </w:p>
                      <w:p>
                        <w:pPr>
                          <w:widowControl w:val="0"/>
                          <w:suppressAutoHyphens/>
                          <w:rPr>
                            <w:color w:val="000000"/>
                          </w:rPr>
                        </w:pPr>
                        <w:r>
                          <w:rPr>
                            <w:color w:val="000000"/>
                          </w:rPr>
                          <w:t>(angl. HL7 v3 Clinical Document Architecture (CDA))</w:t>
                        </w:r>
                      </w:p>
                    </w:tc>
                    <w:tc>
                      <w:tcPr>
                        <w:tcW w:w="710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 xml:space="preserve">XML formatu paremtas standartas, specifikuojantis medicininių dokumentų, skirtų informacijos mainams, koduotę, struktūrą ir semantiką. CDA Release 2 (CDA R2) yra HL7 v3 standarto dalis. </w:t>
                        </w:r>
                      </w:p>
                    </w:tc>
                  </w:tr>
                  <w:tr>
                    <w:trPr>
                      <w:trHeight w:val="60"/>
                    </w:trPr>
                    <w:tc>
                      <w:tcPr>
                        <w:tcW w:w="269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HTTPS</w:t>
                        </w:r>
                      </w:p>
                      <w:p>
                        <w:pPr>
                          <w:widowControl w:val="0"/>
                          <w:suppressAutoHyphens/>
                        </w:pPr>
                      </w:p>
                      <w:p>
                        <w:pPr>
                          <w:widowControl w:val="0"/>
                          <w:suppressAutoHyphens/>
                          <w:rPr>
                            <w:color w:val="000000"/>
                          </w:rPr>
                        </w:pPr>
                        <w:r>
                          <w:rPr>
                            <w:color w:val="000000"/>
                          </w:rPr>
                          <w:t>(angl. HyperText Transport Protocol Secure)</w:t>
                        </w:r>
                      </w:p>
                    </w:tc>
                    <w:tc>
                      <w:tcPr>
                        <w:tcW w:w="710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Pagrindinis keitimosi duomenimis su saugiu tinklo serveriu protokolas. Pagrindinis metodas informacijai pasauliniame tinkle pasiekti.</w:t>
                        </w:r>
                      </w:p>
                    </w:tc>
                  </w:tr>
                  <w:tr>
                    <w:trPr>
                      <w:trHeight w:val="60"/>
                    </w:trPr>
                    <w:tc>
                      <w:tcPr>
                        <w:tcW w:w="269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LOINC</w:t>
                        </w:r>
                      </w:p>
                      <w:p>
                        <w:pPr>
                          <w:widowControl w:val="0"/>
                          <w:suppressAutoHyphens/>
                        </w:pPr>
                      </w:p>
                      <w:p>
                        <w:pPr>
                          <w:widowControl w:val="0"/>
                          <w:suppressAutoHyphens/>
                          <w:rPr>
                            <w:color w:val="000000"/>
                          </w:rPr>
                        </w:pPr>
                        <w:r>
                          <w:rPr>
                            <w:color w:val="000000"/>
                          </w:rPr>
                          <w:t>(angl. Logical Observation Identifiers Names and Codes)</w:t>
                        </w:r>
                      </w:p>
                    </w:tc>
                    <w:tc>
                      <w:tcPr>
                        <w:tcW w:w="710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Standarte pateikiama universalių kodų ir pavadinimų, identifikuojančių laboratorinius ir kitus klinikinius stebėjimus bei tyrimus, rinkinys.</w:t>
                        </w:r>
                      </w:p>
                    </w:tc>
                  </w:tr>
                  <w:tr>
                    <w:trPr>
                      <w:trHeight w:val="60"/>
                    </w:trPr>
                    <w:tc>
                      <w:tcPr>
                        <w:tcW w:w="269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PACS</w:t>
                        </w:r>
                      </w:p>
                      <w:p>
                        <w:pPr>
                          <w:widowControl w:val="0"/>
                          <w:suppressAutoHyphens/>
                        </w:pPr>
                      </w:p>
                      <w:p>
                        <w:pPr>
                          <w:widowControl w:val="0"/>
                          <w:suppressAutoHyphens/>
                          <w:rPr>
                            <w:color w:val="000000"/>
                          </w:rPr>
                        </w:pPr>
                        <w:r>
                          <w:rPr>
                            <w:color w:val="000000"/>
                          </w:rPr>
                          <w:t>(angl. Picture Archiving and Communication System)</w:t>
                        </w:r>
                      </w:p>
                    </w:tc>
                    <w:tc>
                      <w:tcPr>
                        <w:tcW w:w="710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Medicininių vaizdų saugykla ir susijusios techninės priemonės, įgalinančios skaitmeniniu formatu saugoti ir tvarkyti medicininius vaizdus.</w:t>
                        </w:r>
                      </w:p>
                    </w:tc>
                  </w:tr>
                  <w:tr>
                    <w:trPr>
                      <w:trHeight w:val="60"/>
                    </w:trPr>
                    <w:tc>
                      <w:tcPr>
                        <w:tcW w:w="269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SaaS</w:t>
                        </w:r>
                      </w:p>
                      <w:p>
                        <w:pPr>
                          <w:widowControl w:val="0"/>
                          <w:suppressAutoHyphens/>
                        </w:pPr>
                      </w:p>
                      <w:p>
                        <w:pPr>
                          <w:widowControl w:val="0"/>
                          <w:suppressAutoHyphens/>
                          <w:rPr>
                            <w:color w:val="000000"/>
                          </w:rPr>
                        </w:pPr>
                        <w:r>
                          <w:rPr>
                            <w:color w:val="000000"/>
                          </w:rPr>
                          <w:t>(angl. Software as a Service)</w:t>
                        </w:r>
                      </w:p>
                    </w:tc>
                    <w:tc>
                      <w:tcPr>
                        <w:tcW w:w="710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Programinė įranga, kuri yra pasiekiama saugiu interneto ryšiu ir vaizduojama interneto naršyklėje.</w:t>
                        </w:r>
                      </w:p>
                    </w:tc>
                  </w:tr>
                  <w:tr>
                    <w:trPr>
                      <w:trHeight w:val="60"/>
                    </w:trPr>
                    <w:tc>
                      <w:tcPr>
                        <w:tcW w:w="269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SNOMED CT</w:t>
                        </w:r>
                      </w:p>
                      <w:p>
                        <w:pPr>
                          <w:widowControl w:val="0"/>
                          <w:suppressAutoHyphens/>
                        </w:pPr>
                      </w:p>
                      <w:p>
                        <w:pPr>
                          <w:widowControl w:val="0"/>
                          <w:suppressAutoHyphens/>
                          <w:rPr>
                            <w:color w:val="000000"/>
                          </w:rPr>
                        </w:pPr>
                        <w:r>
                          <w:rPr>
                            <w:color w:val="000000"/>
                          </w:rPr>
                          <w:t>(angl. Systematized Nomenclature of Medicine – Clinical Terms)</w:t>
                        </w:r>
                      </w:p>
                    </w:tc>
                    <w:tc>
                      <w:tcPr>
                        <w:tcW w:w="710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Sistemiškai sugrupuotas medicinos terminų, apimančių daugelį medicinos sričių, rinkinys, pritaikytas naudoti elektroninėje erdvėje.</w:t>
                        </w:r>
                      </w:p>
                    </w:tc>
                  </w:tr>
                  <w:tr>
                    <w:trPr>
                      <w:trHeight w:val="60"/>
                    </w:trPr>
                    <w:tc>
                      <w:tcPr>
                        <w:tcW w:w="269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SOAP</w:t>
                        </w:r>
                      </w:p>
                      <w:p>
                        <w:pPr>
                          <w:widowControl w:val="0"/>
                          <w:suppressAutoHyphens/>
                        </w:pPr>
                      </w:p>
                      <w:p>
                        <w:pPr>
                          <w:widowControl w:val="0"/>
                          <w:suppressAutoHyphens/>
                          <w:rPr>
                            <w:color w:val="000000"/>
                          </w:rPr>
                        </w:pPr>
                        <w:r>
                          <w:rPr>
                            <w:color w:val="000000"/>
                          </w:rPr>
                          <w:t>(angl. Simple Object Access Protocol)</w:t>
                        </w:r>
                      </w:p>
                    </w:tc>
                    <w:tc>
                      <w:tcPr>
                        <w:tcW w:w="710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Protokolas, skirtas struktūrizuotos informacijos mainams teikiant žiniatinklio paslaugas (angl. web service) kompiuterių tinklais.</w:t>
                        </w:r>
                      </w:p>
                    </w:tc>
                  </w:tr>
                  <w:tr>
                    <w:trPr>
                      <w:trHeight w:val="60"/>
                    </w:trPr>
                    <w:tc>
                      <w:tcPr>
                        <w:tcW w:w="269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WSDL</w:t>
                        </w:r>
                      </w:p>
                      <w:p>
                        <w:pPr>
                          <w:widowControl w:val="0"/>
                          <w:suppressAutoHyphens/>
                        </w:pPr>
                      </w:p>
                      <w:p>
                        <w:pPr>
                          <w:widowControl w:val="0"/>
                          <w:suppressAutoHyphens/>
                          <w:rPr>
                            <w:color w:val="000000"/>
                          </w:rPr>
                        </w:pPr>
                        <w:r>
                          <w:rPr>
                            <w:color w:val="000000"/>
                          </w:rPr>
                          <w:t>(angl. Web Services Description Language)</w:t>
                        </w:r>
                      </w:p>
                    </w:tc>
                    <w:tc>
                      <w:tcPr>
                        <w:tcW w:w="710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Žiniatinklio paslaugų funkcionalumo aprašymo kalba, kurios pagrindą sudaro XML.</w:t>
                        </w:r>
                      </w:p>
                    </w:tc>
                  </w:tr>
                  <w:tr>
                    <w:trPr>
                      <w:trHeight w:val="60"/>
                    </w:trPr>
                    <w:tc>
                      <w:tcPr>
                        <w:tcW w:w="269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XML</w:t>
                        </w:r>
                      </w:p>
                      <w:p>
                        <w:pPr>
                          <w:widowControl w:val="0"/>
                          <w:suppressAutoHyphens/>
                        </w:pPr>
                      </w:p>
                      <w:p>
                        <w:pPr>
                          <w:widowControl w:val="0"/>
                          <w:suppressAutoHyphens/>
                          <w:rPr>
                            <w:color w:val="000000"/>
                          </w:rPr>
                        </w:pPr>
                        <w:r>
                          <w:rPr>
                            <w:color w:val="000000"/>
                          </w:rPr>
                          <w:t>(angl. Extensible Markup Language)</w:t>
                        </w:r>
                      </w:p>
                    </w:tc>
                    <w:tc>
                      <w:tcPr>
                        <w:tcW w:w="710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W3C rekomenduojama bendros paskirties duomenų struktūrų ir jų turinio aprašomoji kalba. Pagrindinė XML kalbos paskirtis yra užtikrinti lengvesnį duomenų keitimąsi tarp skirtingo tipo sistemų, dažniausiai sujungtų internetu.</w:t>
                        </w:r>
                      </w:p>
                    </w:tc>
                  </w:tr>
                  <w:tr>
                    <w:trPr>
                      <w:trHeight w:val="60"/>
                    </w:trPr>
                    <w:tc>
                      <w:tcPr>
                        <w:tcW w:w="269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Trijų lygių architektūra</w:t>
                        </w:r>
                      </w:p>
                      <w:p>
                        <w:pPr>
                          <w:widowControl w:val="0"/>
                          <w:suppressAutoHyphens/>
                        </w:pPr>
                      </w:p>
                      <w:p>
                        <w:pPr>
                          <w:widowControl w:val="0"/>
                          <w:suppressAutoHyphens/>
                          <w:rPr>
                            <w:color w:val="000000"/>
                          </w:rPr>
                        </w:pPr>
                        <w:r>
                          <w:rPr>
                            <w:color w:val="000000"/>
                          </w:rPr>
                          <w:t>(angl. 3-tier architecture)</w:t>
                        </w:r>
                      </w:p>
                    </w:tc>
                    <w:tc>
                      <w:tcPr>
                        <w:tcW w:w="710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Informacinių sistemų architektūra, sudaryta iš kliento lygmens (vartotojo sąsaja – tinklinė naršyklė arba grafinės sąsajos programa), vidurinio lygmens (veiklos logika – tinklo serveris arba aplikacijų serveris) ir duomenų bazės lygmens.</w:t>
                        </w:r>
                      </w:p>
                    </w:tc>
                  </w:tr>
                </w:tbl>
                <w:p>
                  <w:pPr>
                    <w:widowControl w:val="0"/>
                    <w:suppressAutoHyphens/>
                    <w:ind w:firstLine="567"/>
                    <w:jc w:val="both"/>
                    <w:rPr>
                      <w:color w:val="000000"/>
                    </w:rPr>
                  </w:pPr>
                </w:p>
              </w:sdtContent>
            </w:sdt>
            <w:sdt>
              <w:sdtPr>
                <w:alias w:val="6 p."/>
                <w:tag w:val="part_a828f2afbe0741e999a864e77b3796c5"/>
                <w:lock w:val="sdtLocked"/>
                <w:richText/>
              </w:sdtPr>
              <w:sdtContent>
                <w:p>
                  <w:pPr>
                    <w:widowControl w:val="0"/>
                    <w:suppressAutoHyphens/>
                    <w:ind w:firstLine="567"/>
                    <w:jc w:val="both"/>
                    <w:rPr>
                      <w:color w:val="000000"/>
                    </w:rPr>
                  </w:pPr>
                  <w:sdt>
                    <w:sdtPr>
                      <w:alias w:val="Numeris"/>
                      <w:tag w:val="nr_a828f2afbe0741e999a864e77b3796c5"/>
                      <w:lock w:val="sdtLocked"/>
                      <w:richText/>
                    </w:sdtPr>
                    <w:sdtContent>
                      <w:r>
                        <w:rPr>
                          <w:color w:val="000000"/>
                        </w:rPr>
                        <w:t>6</w:t>
                      </w:r>
                    </w:sdtContent>
                  </w:sdt>
                  <w:r>
                    <w:rPr>
                      <w:color w:val="000000"/>
                    </w:rPr>
                    <w:t>. Įvykiai, kurie inicijuoja informacijos (duomenų rinkinių ir (arba) elektroninių dokumentų) sukūrimą, pateikti 1 Reikalavimų priede. Privalomų sveikatos statistikos apskaitos ir kitų tipinių formų, pildomų sveikatos priežiūros įstaigose, patvirtintų Lietuvos Respublikos sveikatos apsaugos ministro 1999 m. lapkričio 29 d. įsakymu Nr. 515 „Dėl sveikatos priežiūros įstaigų veiklos apskaitos ir atskaitomybės tvarkos“ (Žin., 1999, Nr.</w:t>
                  </w:r>
                  <w:hyperlink r:id="rId36" w:tgtFrame="_blank" w:history="1">
                    <w:r>
                      <w:rPr>
                        <w:color w:val="0000FF" w:themeColor="hyperlink"/>
                        <w:u w:val="single"/>
                      </w:rPr>
                      <w:t>103-2972</w:t>
                    </w:r>
                  </w:hyperlink>
                  <w:r>
                    <w:rPr>
                      <w:color w:val="000000"/>
                    </w:rPr>
                    <w:t>), kurių duomenis pagal SPĮ vykdomas veiklas privaloma naudoti keičiantis duomenimis tarp SPĮ IS ir ESPBI IS, sąrašas pateiktas 2 Reikalavimų priede. 3 Reikalavimų priede pateikti duomenų rinkiniai, kuriuos privaloma naudoti atliekant duomenų mainus tarp SPĮ IS ir ESPBI IS.</w:t>
                  </w:r>
                </w:p>
                <w:p>
                  <w:pPr>
                    <w:widowControl w:val="0"/>
                    <w:suppressAutoHyphens/>
                    <w:ind w:firstLine="567"/>
                    <w:jc w:val="both"/>
                    <w:rPr>
                      <w:color w:val="000000"/>
                    </w:rPr>
                  </w:pPr>
                </w:p>
              </w:sdtContent>
            </w:sdt>
          </w:sdtContent>
        </w:sdt>
        <w:sdt>
          <w:sdtPr>
            <w:alias w:val="skyrius"/>
            <w:tag w:val="part_3f8a044d5b764fffab95aa08c5e9b804"/>
            <w:lock w:val="sdtLocked"/>
            <w:richText/>
          </w:sdtPr>
          <w:sdtContent>
            <w:p>
              <w:pPr>
                <w:widowControl w:val="0"/>
                <w:suppressAutoHyphens/>
                <w:jc w:val="center"/>
                <w:rPr>
                  <w:b/>
                  <w:bCs/>
                  <w:caps/>
                  <w:color w:val="000000"/>
                </w:rPr>
              </w:pPr>
              <w:sdt>
                <w:sdtPr>
                  <w:alias w:val="Numeris"/>
                  <w:tag w:val="nr_3f8a044d5b764fffab95aa08c5e9b804"/>
                  <w:lock w:val="sdtLocked"/>
                  <w:richText/>
                </w:sdtPr>
                <w:sdtContent>
                  <w:r>
                    <w:rPr>
                      <w:b/>
                      <w:bCs/>
                      <w:caps/>
                      <w:color w:val="000000"/>
                    </w:rPr>
                    <w:t>II</w:t>
                  </w:r>
                </w:sdtContent>
              </w:sdt>
              <w:r>
                <w:rPr>
                  <w:b/>
                  <w:bCs/>
                  <w:caps/>
                  <w:color w:val="000000"/>
                </w:rPr>
                <w:t xml:space="preserve">. </w:t>
              </w:r>
              <w:sdt>
                <w:sdtPr>
                  <w:alias w:val="Pavadinimas"/>
                  <w:tag w:val="title_3f8a044d5b764fffab95aa08c5e9b804"/>
                  <w:lock w:val="sdtLocked"/>
                  <w:richText/>
                </w:sdtPr>
                <w:sdtContent>
                  <w:r>
                    <w:rPr>
                      <w:b/>
                      <w:bCs/>
                      <w:caps/>
                      <w:color w:val="000000"/>
                    </w:rPr>
                    <w:t>ESPBI IS IR SPĮ IS INFORMACIJOS MAINŲ PAGRINDINIAI REIKALAVIMAI</w:t>
                  </w:r>
                </w:sdtContent>
              </w:sdt>
            </w:p>
            <w:p>
              <w:pPr>
                <w:widowControl w:val="0"/>
                <w:suppressAutoHyphens/>
                <w:ind w:firstLine="567"/>
                <w:jc w:val="both"/>
                <w:rPr>
                  <w:color w:val="000000"/>
                </w:rPr>
              </w:pPr>
            </w:p>
            <w:sdt>
              <w:sdtPr>
                <w:alias w:val="7 p."/>
                <w:tag w:val="part_316feaea513c47b4b3e944223b9e883f"/>
                <w:lock w:val="sdtLocked"/>
                <w:richText/>
              </w:sdtPr>
              <w:sdtContent>
                <w:p>
                  <w:pPr>
                    <w:widowControl w:val="0"/>
                    <w:suppressAutoHyphens/>
                    <w:ind w:firstLine="567"/>
                    <w:jc w:val="both"/>
                    <w:rPr>
                      <w:color w:val="000000"/>
                    </w:rPr>
                  </w:pPr>
                  <w:sdt>
                    <w:sdtPr>
                      <w:alias w:val="Numeris"/>
                      <w:tag w:val="nr_316feaea513c47b4b3e944223b9e883f"/>
                      <w:lock w:val="sdtLocked"/>
                      <w:richText/>
                    </w:sdtPr>
                    <w:sdtContent>
                      <w:r>
                        <w:rPr>
                          <w:color w:val="000000"/>
                        </w:rPr>
                        <w:t>7</w:t>
                      </w:r>
                    </w:sdtContent>
                  </w:sdt>
                  <w:r>
                    <w:rPr>
                      <w:color w:val="000000"/>
                    </w:rPr>
                    <w:t>. ESPBI IS architektūra remiasi įvykiais paremtu bendradarbiavimo modeliu ir trijų lygių architektūra.</w:t>
                  </w:r>
                </w:p>
              </w:sdtContent>
            </w:sdt>
            <w:sdt>
              <w:sdtPr>
                <w:alias w:val="8 p."/>
                <w:tag w:val="part_468a0a8dfce44b26b44544ee470b5e69"/>
                <w:lock w:val="sdtLocked"/>
                <w:richText/>
              </w:sdtPr>
              <w:sdtContent>
                <w:p>
                  <w:pPr>
                    <w:widowControl w:val="0"/>
                    <w:suppressAutoHyphens/>
                    <w:ind w:firstLine="567"/>
                    <w:jc w:val="both"/>
                    <w:rPr>
                      <w:color w:val="000000"/>
                    </w:rPr>
                  </w:pPr>
                  <w:sdt>
                    <w:sdtPr>
                      <w:alias w:val="Numeris"/>
                      <w:tag w:val="nr_468a0a8dfce44b26b44544ee470b5e69"/>
                      <w:lock w:val="sdtLocked"/>
                      <w:richText/>
                    </w:sdtPr>
                    <w:sdtContent>
                      <w:r>
                        <w:rPr>
                          <w:color w:val="000000"/>
                        </w:rPr>
                        <w:t>8</w:t>
                      </w:r>
                    </w:sdtContent>
                  </w:sdt>
                  <w:r>
                    <w:rPr>
                      <w:color w:val="000000"/>
                    </w:rPr>
                    <w:t>. Informacijos perdavimo ar priėmimo minimali apimtis – visas duomenų rinkinys, priskirtas bet kuriam įvykiui. Perduodami tik duomenų rinkiniai, tiesiogiai susiję su paciento sveikatos priežiūros įvykiais, t. y. informacija, susijusi su paciento sveikatos būsena ir gydymo procesu, – sveikatos būklė, stebėjimas, alergijos, užsakyti / atlikti tyrimai, diagnozės, suteiktos paslaugos, paskirti ir išduoti (parduoti) vaistiniai preparatai ir kompensuojamosios medicinos pagalbos priemonės (toliau – MPP), kitų sveikatos priežiūros paslaugų poreikis ir kt.</w:t>
                  </w:r>
                </w:p>
              </w:sdtContent>
            </w:sdt>
            <w:sdt>
              <w:sdtPr>
                <w:alias w:val="9 p."/>
                <w:tag w:val="part_9b7354e638504fcb9eedb1b0a0e5aeaf"/>
                <w:lock w:val="sdtLocked"/>
                <w:richText/>
              </w:sdtPr>
              <w:sdtContent>
                <w:p>
                  <w:pPr>
                    <w:widowControl w:val="0"/>
                    <w:suppressAutoHyphens/>
                    <w:ind w:firstLine="567"/>
                    <w:jc w:val="both"/>
                    <w:rPr>
                      <w:color w:val="000000"/>
                    </w:rPr>
                  </w:pPr>
                  <w:sdt>
                    <w:sdtPr>
                      <w:alias w:val="Numeris"/>
                      <w:tag w:val="nr_9b7354e638504fcb9eedb1b0a0e5aeaf"/>
                      <w:lock w:val="sdtLocked"/>
                      <w:richText/>
                    </w:sdtPr>
                    <w:sdtContent>
                      <w:r>
                        <w:rPr>
                          <w:color w:val="000000"/>
                        </w:rPr>
                        <w:t>9</w:t>
                      </w:r>
                    </w:sdtContent>
                  </w:sdt>
                  <w:r>
                    <w:rPr>
                      <w:color w:val="000000"/>
                    </w:rPr>
                    <w:t>. Pagal įvykiams priskirtų duomenų rinkinių kilmės pobūdį įvykiai skirstomi į dvi grupes:</w:t>
                  </w:r>
                </w:p>
                <w:sdt>
                  <w:sdtPr>
                    <w:alias w:val="9.1 p."/>
                    <w:tag w:val="part_c5b63864e61e46fe8fa9bf6f9dc4a9cd"/>
                    <w:lock w:val="sdtLocked"/>
                    <w:richText/>
                  </w:sdtPr>
                  <w:sdtContent>
                    <w:p>
                      <w:pPr>
                        <w:widowControl w:val="0"/>
                        <w:suppressAutoHyphens/>
                        <w:ind w:firstLine="567"/>
                        <w:jc w:val="both"/>
                        <w:rPr>
                          <w:color w:val="000000"/>
                        </w:rPr>
                      </w:pPr>
                      <w:sdt>
                        <w:sdtPr>
                          <w:alias w:val="Numeris"/>
                          <w:tag w:val="nr_c5b63864e61e46fe8fa9bf6f9dc4a9cd"/>
                          <w:lock w:val="sdtLocked"/>
                          <w:richText/>
                        </w:sdtPr>
                        <w:sdtContent>
                          <w:r>
                            <w:rPr>
                              <w:color w:val="000000"/>
                            </w:rPr>
                            <w:t>9.1</w:t>
                          </w:r>
                        </w:sdtContent>
                      </w:sdt>
                      <w:r>
                        <w:rPr>
                          <w:color w:val="000000"/>
                        </w:rPr>
                        <w:t>. įvykiai, kurių duomenys ir (arba) elektroniniai dokumentai sukuriami SPĮ IS. SPĮ IS juos perduoda į ESPBI IS, kai po konkretaus įvykio suformuoja duomenų rinkinio visumą ir (arba) elektroninį dokumentą. ESPBI IS integracinės sąsajos specifikacijas, pagal kurias SPĮ turi atlikti savo IS integraciją į ESPBI IS, pateikia ESPBI IS pagrindinis tvarkytojas; ESPBI IS integracijos sąsajos specifikacijos bus pateiktos užbaigus ESPBI IS techninio projekto I etapą (2013 m. II ketvirtį). SPĮ IS sukuriamų duomenų rinkinių ir (arba) elektroninių dokumentų perdavimas yra inicijuojamas šių įvykių metu:</w:t>
                      </w:r>
                    </w:p>
                    <w:sdt>
                      <w:sdtPr>
                        <w:alias w:val="9.1.1 p."/>
                        <w:tag w:val="part_d28a7c90f82747beb3f28efdd514d283"/>
                        <w:lock w:val="sdtLocked"/>
                        <w:richText/>
                      </w:sdtPr>
                      <w:sdtContent>
                        <w:p>
                          <w:pPr>
                            <w:widowControl w:val="0"/>
                            <w:suppressAutoHyphens/>
                            <w:ind w:firstLine="567"/>
                            <w:jc w:val="both"/>
                            <w:rPr>
                              <w:color w:val="000000"/>
                            </w:rPr>
                          </w:pPr>
                          <w:sdt>
                            <w:sdtPr>
                              <w:alias w:val="Numeris"/>
                              <w:tag w:val="nr_d28a7c90f82747beb3f28efdd514d283"/>
                              <w:lock w:val="sdtLocked"/>
                              <w:richText/>
                            </w:sdtPr>
                            <w:sdtContent>
                              <w:r>
                                <w:rPr>
                                  <w:color w:val="000000"/>
                                </w:rPr>
                                <w:t>9.1.1</w:t>
                              </w:r>
                            </w:sdtContent>
                          </w:sdt>
                          <w:r>
                            <w:rPr>
                              <w:color w:val="000000"/>
                            </w:rPr>
                            <w:t>. ambulatorinės paslaugos suteikimo (apsilankymo);</w:t>
                          </w:r>
                        </w:p>
                      </w:sdtContent>
                    </w:sdt>
                    <w:sdt>
                      <w:sdtPr>
                        <w:alias w:val="9.1.2 p."/>
                        <w:tag w:val="part_1b542e8716d847e6a003a48176e9e828"/>
                        <w:lock w:val="sdtLocked"/>
                        <w:richText/>
                      </w:sdtPr>
                      <w:sdtContent>
                        <w:p>
                          <w:pPr>
                            <w:widowControl w:val="0"/>
                            <w:suppressAutoHyphens/>
                            <w:ind w:firstLine="567"/>
                            <w:jc w:val="both"/>
                            <w:rPr>
                              <w:color w:val="000000"/>
                            </w:rPr>
                          </w:pPr>
                          <w:sdt>
                            <w:sdtPr>
                              <w:alias w:val="Numeris"/>
                              <w:tag w:val="nr_1b542e8716d847e6a003a48176e9e828"/>
                              <w:lock w:val="sdtLocked"/>
                              <w:richText/>
                            </w:sdtPr>
                            <w:sdtContent>
                              <w:r>
                                <w:rPr>
                                  <w:color w:val="000000"/>
                                </w:rPr>
                                <w:t>9.1.2</w:t>
                              </w:r>
                            </w:sdtContent>
                          </w:sdt>
                          <w:r>
                            <w:rPr>
                              <w:color w:val="000000"/>
                            </w:rPr>
                            <w:t>. atsakymo / rezultatų apie laboratorinį / instrumentinį ar kitą tyrimą pateikimo;</w:t>
                          </w:r>
                        </w:p>
                      </w:sdtContent>
                    </w:sdt>
                    <w:sdt>
                      <w:sdtPr>
                        <w:alias w:val="9.1.3 p."/>
                        <w:tag w:val="part_ebd5e00a2d7841ffbf711bd01363cb45"/>
                        <w:lock w:val="sdtLocked"/>
                        <w:richText/>
                      </w:sdtPr>
                      <w:sdtContent>
                        <w:p>
                          <w:pPr>
                            <w:widowControl w:val="0"/>
                            <w:suppressAutoHyphens/>
                            <w:ind w:firstLine="567"/>
                            <w:jc w:val="both"/>
                            <w:rPr>
                              <w:color w:val="000000"/>
                            </w:rPr>
                          </w:pPr>
                          <w:sdt>
                            <w:sdtPr>
                              <w:alias w:val="Numeris"/>
                              <w:tag w:val="nr_ebd5e00a2d7841ffbf711bd01363cb45"/>
                              <w:lock w:val="sdtLocked"/>
                              <w:richText/>
                            </w:sdtPr>
                            <w:sdtContent>
                              <w:r>
                                <w:rPr>
                                  <w:color w:val="000000"/>
                                </w:rPr>
                                <w:t>9.1.3</w:t>
                              </w:r>
                            </w:sdtContent>
                          </w:sdt>
                          <w:r>
                            <w:rPr>
                              <w:color w:val="000000"/>
                            </w:rPr>
                            <w:t>. ambulatorinės paslaugos epizodo užbaigimo;</w:t>
                          </w:r>
                        </w:p>
                      </w:sdtContent>
                    </w:sdt>
                    <w:sdt>
                      <w:sdtPr>
                        <w:alias w:val="9.1.4 p."/>
                        <w:tag w:val="part_9c2c56059797419abca6928d28e04714"/>
                        <w:lock w:val="sdtLocked"/>
                        <w:richText/>
                      </w:sdtPr>
                      <w:sdtContent>
                        <w:p>
                          <w:pPr>
                            <w:widowControl w:val="0"/>
                            <w:suppressAutoHyphens/>
                            <w:ind w:firstLine="567"/>
                            <w:jc w:val="both"/>
                            <w:rPr>
                              <w:color w:val="000000"/>
                            </w:rPr>
                          </w:pPr>
                          <w:sdt>
                            <w:sdtPr>
                              <w:alias w:val="Numeris"/>
                              <w:tag w:val="nr_9c2c56059797419abca6928d28e04714"/>
                              <w:lock w:val="sdtLocked"/>
                              <w:richText/>
                            </w:sdtPr>
                            <w:sdtContent>
                              <w:r>
                                <w:rPr>
                                  <w:color w:val="000000"/>
                                </w:rPr>
                                <w:t>9.1.4</w:t>
                              </w:r>
                            </w:sdtContent>
                          </w:sdt>
                          <w:r>
                            <w:rPr>
                              <w:color w:val="000000"/>
                            </w:rPr>
                            <w:t>. išvykimo iš stacionaro priėmimo-skubiosios pagalbos skyriaus;</w:t>
                          </w:r>
                        </w:p>
                      </w:sdtContent>
                    </w:sdt>
                    <w:sdt>
                      <w:sdtPr>
                        <w:alias w:val="9.1.5 p."/>
                        <w:tag w:val="part_4efd1b0ccc4b45ee949c55af0499ac88"/>
                        <w:lock w:val="sdtLocked"/>
                        <w:richText/>
                      </w:sdtPr>
                      <w:sdtContent>
                        <w:p>
                          <w:pPr>
                            <w:widowControl w:val="0"/>
                            <w:suppressAutoHyphens/>
                            <w:ind w:firstLine="567"/>
                            <w:jc w:val="both"/>
                            <w:rPr>
                              <w:color w:val="000000"/>
                            </w:rPr>
                          </w:pPr>
                          <w:sdt>
                            <w:sdtPr>
                              <w:alias w:val="Numeris"/>
                              <w:tag w:val="nr_4efd1b0ccc4b45ee949c55af0499ac88"/>
                              <w:lock w:val="sdtLocked"/>
                              <w:richText/>
                            </w:sdtPr>
                            <w:sdtContent>
                              <w:r>
                                <w:rPr>
                                  <w:color w:val="000000"/>
                                </w:rPr>
                                <w:t>9.1.5</w:t>
                              </w:r>
                            </w:sdtContent>
                          </w:sdt>
                          <w:r>
                            <w:rPr>
                              <w:color w:val="000000"/>
                            </w:rPr>
                            <w:t>. atvykimo į stacionarą;</w:t>
                          </w:r>
                        </w:p>
                      </w:sdtContent>
                    </w:sdt>
                    <w:sdt>
                      <w:sdtPr>
                        <w:alias w:val="9.1.6 p."/>
                        <w:tag w:val="part_f8c09e6e68604ee2af265054b72fdf24"/>
                        <w:lock w:val="sdtLocked"/>
                        <w:richText/>
                      </w:sdtPr>
                      <w:sdtContent>
                        <w:p>
                          <w:pPr>
                            <w:widowControl w:val="0"/>
                            <w:suppressAutoHyphens/>
                            <w:ind w:firstLine="567"/>
                            <w:jc w:val="both"/>
                            <w:rPr>
                              <w:color w:val="000000"/>
                            </w:rPr>
                          </w:pPr>
                          <w:sdt>
                            <w:sdtPr>
                              <w:alias w:val="Numeris"/>
                              <w:tag w:val="nr_f8c09e6e68604ee2af265054b72fdf24"/>
                              <w:lock w:val="sdtLocked"/>
                              <w:richText/>
                            </w:sdtPr>
                            <w:sdtContent>
                              <w:r>
                                <w:rPr>
                                  <w:color w:val="000000"/>
                                </w:rPr>
                                <w:t>9.1.6</w:t>
                              </w:r>
                            </w:sdtContent>
                          </w:sdt>
                          <w:r>
                            <w:rPr>
                              <w:color w:val="000000"/>
                            </w:rPr>
                            <w:t>. stacionarinio gydymo etapo pradžios / duomenų sukūrimo;</w:t>
                          </w:r>
                        </w:p>
                      </w:sdtContent>
                    </w:sdt>
                    <w:sdt>
                      <w:sdtPr>
                        <w:alias w:val="9.1.7 p."/>
                        <w:tag w:val="part_6505aca2494546cb92f8e473e6f80743"/>
                        <w:lock w:val="sdtLocked"/>
                        <w:richText/>
                      </w:sdtPr>
                      <w:sdtContent>
                        <w:p>
                          <w:pPr>
                            <w:widowControl w:val="0"/>
                            <w:suppressAutoHyphens/>
                            <w:ind w:firstLine="567"/>
                            <w:jc w:val="both"/>
                            <w:rPr>
                              <w:color w:val="000000"/>
                            </w:rPr>
                          </w:pPr>
                          <w:sdt>
                            <w:sdtPr>
                              <w:alias w:val="Numeris"/>
                              <w:tag w:val="nr_6505aca2494546cb92f8e473e6f80743"/>
                              <w:lock w:val="sdtLocked"/>
                              <w:richText/>
                            </w:sdtPr>
                            <w:sdtContent>
                              <w:r>
                                <w:rPr>
                                  <w:color w:val="000000"/>
                                </w:rPr>
                                <w:t>9.1.7</w:t>
                              </w:r>
                            </w:sdtContent>
                          </w:sdt>
                          <w:r>
                            <w:rPr>
                              <w:color w:val="000000"/>
                            </w:rPr>
                            <w:t>. stacionarinės paslaugos etapo pabaigos;</w:t>
                          </w:r>
                        </w:p>
                      </w:sdtContent>
                    </w:sdt>
                    <w:sdt>
                      <w:sdtPr>
                        <w:alias w:val="9.1.8 p."/>
                        <w:tag w:val="part_d60fe3c811244a01862844eb12fcc32b"/>
                        <w:lock w:val="sdtLocked"/>
                        <w:richText/>
                      </w:sdtPr>
                      <w:sdtContent>
                        <w:p>
                          <w:pPr>
                            <w:widowControl w:val="0"/>
                            <w:suppressAutoHyphens/>
                            <w:ind w:firstLine="567"/>
                            <w:jc w:val="both"/>
                            <w:rPr>
                              <w:color w:val="000000"/>
                            </w:rPr>
                          </w:pPr>
                          <w:sdt>
                            <w:sdtPr>
                              <w:alias w:val="Numeris"/>
                              <w:tag w:val="nr_d60fe3c811244a01862844eb12fcc32b"/>
                              <w:lock w:val="sdtLocked"/>
                              <w:richText/>
                            </w:sdtPr>
                            <w:sdtContent>
                              <w:r>
                                <w:rPr>
                                  <w:color w:val="000000"/>
                                </w:rPr>
                                <w:t>9.1.8</w:t>
                              </w:r>
                            </w:sdtContent>
                          </w:sdt>
                          <w:r>
                            <w:rPr>
                              <w:color w:val="000000"/>
                            </w:rPr>
                            <w:t>. dienos stacionaro paslaugų teikimo;</w:t>
                          </w:r>
                        </w:p>
                      </w:sdtContent>
                    </w:sdt>
                    <w:sdt>
                      <w:sdtPr>
                        <w:alias w:val="9.1.9 p."/>
                        <w:tag w:val="part_d730bac7c6204287b3c10c315e1b3029"/>
                        <w:lock w:val="sdtLocked"/>
                        <w:richText/>
                      </w:sdtPr>
                      <w:sdtContent>
                        <w:p>
                          <w:pPr>
                            <w:widowControl w:val="0"/>
                            <w:suppressAutoHyphens/>
                            <w:ind w:firstLine="567"/>
                            <w:jc w:val="both"/>
                            <w:rPr>
                              <w:color w:val="000000"/>
                            </w:rPr>
                          </w:pPr>
                          <w:sdt>
                            <w:sdtPr>
                              <w:alias w:val="Numeris"/>
                              <w:tag w:val="nr_d730bac7c6204287b3c10c315e1b3029"/>
                              <w:lock w:val="sdtLocked"/>
                              <w:richText/>
                            </w:sdtPr>
                            <w:sdtContent>
                              <w:r>
                                <w:rPr>
                                  <w:color w:val="000000"/>
                                </w:rPr>
                                <w:t>9.1.9</w:t>
                              </w:r>
                            </w:sdtContent>
                          </w:sdt>
                          <w:r>
                            <w:rPr>
                              <w:color w:val="000000"/>
                            </w:rPr>
                            <w:t>. dienos chirurgijos paslaugų teikimo;</w:t>
                          </w:r>
                        </w:p>
                      </w:sdtContent>
                    </w:sdt>
                    <w:sdt>
                      <w:sdtPr>
                        <w:alias w:val="9.1.10 p."/>
                        <w:tag w:val="part_4b162fe2342b45559121df6a2744a702"/>
                        <w:lock w:val="sdtLocked"/>
                        <w:richText/>
                      </w:sdtPr>
                      <w:sdtContent>
                        <w:p>
                          <w:pPr>
                            <w:widowControl w:val="0"/>
                            <w:suppressAutoHyphens/>
                            <w:ind w:firstLine="567"/>
                            <w:jc w:val="both"/>
                            <w:rPr>
                              <w:color w:val="000000"/>
                            </w:rPr>
                          </w:pPr>
                          <w:sdt>
                            <w:sdtPr>
                              <w:alias w:val="Numeris"/>
                              <w:tag w:val="nr_4b162fe2342b45559121df6a2744a702"/>
                              <w:lock w:val="sdtLocked"/>
                              <w:richText/>
                            </w:sdtPr>
                            <w:sdtContent>
                              <w:r>
                                <w:rPr>
                                  <w:color w:val="000000"/>
                                </w:rPr>
                                <w:t>9.1.10</w:t>
                              </w:r>
                            </w:sdtContent>
                          </w:sdt>
                          <w:r>
                            <w:rPr>
                              <w:color w:val="000000"/>
                            </w:rPr>
                            <w:t>. medicininės intervencijos ar procedūros atlikimo;</w:t>
                          </w:r>
                        </w:p>
                      </w:sdtContent>
                    </w:sdt>
                    <w:sdt>
                      <w:sdtPr>
                        <w:alias w:val="9.1.11 p."/>
                        <w:tag w:val="part_cf987e20c56f4ac4b4c1d295d658726f"/>
                        <w:lock w:val="sdtLocked"/>
                        <w:richText/>
                      </w:sdtPr>
                      <w:sdtContent>
                        <w:p>
                          <w:pPr>
                            <w:widowControl w:val="0"/>
                            <w:suppressAutoHyphens/>
                            <w:ind w:firstLine="567"/>
                            <w:jc w:val="both"/>
                            <w:rPr>
                              <w:color w:val="000000"/>
                            </w:rPr>
                          </w:pPr>
                          <w:sdt>
                            <w:sdtPr>
                              <w:alias w:val="Numeris"/>
                              <w:tag w:val="nr_cf987e20c56f4ac4b4c1d295d658726f"/>
                              <w:lock w:val="sdtLocked"/>
                              <w:richText/>
                            </w:sdtPr>
                            <w:sdtContent>
                              <w:r>
                                <w:rPr>
                                  <w:color w:val="000000"/>
                                </w:rPr>
                                <w:t>9.1.11</w:t>
                              </w:r>
                            </w:sdtContent>
                          </w:sdt>
                          <w:r>
                            <w:rPr>
                              <w:color w:val="000000"/>
                            </w:rPr>
                            <w:t>. administracinių duomenų užfiksavimo (pvz., lovadieniai, draustumo duomenys, DRG ir kt.);</w:t>
                          </w:r>
                        </w:p>
                      </w:sdtContent>
                    </w:sdt>
                    <w:sdt>
                      <w:sdtPr>
                        <w:alias w:val="9.1.12 p."/>
                        <w:tag w:val="part_764b3545386745d5862effb59ee0bd24"/>
                        <w:lock w:val="sdtLocked"/>
                        <w:richText/>
                      </w:sdtPr>
                      <w:sdtContent>
                        <w:p>
                          <w:pPr>
                            <w:widowControl w:val="0"/>
                            <w:suppressAutoHyphens/>
                            <w:ind w:firstLine="567"/>
                            <w:jc w:val="both"/>
                            <w:rPr>
                              <w:color w:val="000000"/>
                            </w:rPr>
                          </w:pPr>
                          <w:sdt>
                            <w:sdtPr>
                              <w:alias w:val="Numeris"/>
                              <w:tag w:val="nr_764b3545386745d5862effb59ee0bd24"/>
                              <w:lock w:val="sdtLocked"/>
                              <w:richText/>
                            </w:sdtPr>
                            <w:sdtContent>
                              <w:r>
                                <w:rPr>
                                  <w:color w:val="000000"/>
                                </w:rPr>
                                <w:t>9.1.12</w:t>
                              </w:r>
                            </w:sdtContent>
                          </w:sdt>
                          <w:r>
                            <w:rPr>
                              <w:color w:val="000000"/>
                            </w:rPr>
                            <w:t>. išvykimo (mirties) iš stacionaro.</w:t>
                          </w:r>
                        </w:p>
                      </w:sdtContent>
                    </w:sdt>
                  </w:sdtContent>
                </w:sdt>
                <w:sdt>
                  <w:sdtPr>
                    <w:alias w:val="9.2 p."/>
                    <w:tag w:val="part_bef57887f7a84196a435f814b1b75f8b"/>
                    <w:lock w:val="sdtLocked"/>
                    <w:richText/>
                  </w:sdtPr>
                  <w:sdtContent>
                    <w:p>
                      <w:pPr>
                        <w:widowControl w:val="0"/>
                        <w:suppressAutoHyphens/>
                        <w:ind w:firstLine="567"/>
                        <w:jc w:val="both"/>
                        <w:rPr>
                          <w:color w:val="000000"/>
                        </w:rPr>
                      </w:pPr>
                      <w:sdt>
                        <w:sdtPr>
                          <w:alias w:val="Numeris"/>
                          <w:tag w:val="nr_bef57887f7a84196a435f814b1b75f8b"/>
                          <w:lock w:val="sdtLocked"/>
                          <w:richText/>
                        </w:sdtPr>
                        <w:sdtContent>
                          <w:r>
                            <w:rPr>
                              <w:color w:val="000000"/>
                            </w:rPr>
                            <w:t>9.2</w:t>
                          </w:r>
                        </w:sdtContent>
                      </w:sdt>
                      <w:r>
                        <w:rPr>
                          <w:color w:val="000000"/>
                        </w:rPr>
                        <w:t>. įvykiai, kurių duomenims ir (arba) elektroniniams dokumentams sukurti naudojami integruoti ESPBI IS komponentai. SPĮ darbuotojai, dirbdami savo SPĮ IS, reikiamu momentu iškviečia integruotą ESPBI IS komponentą, kuris užtikrina nepertraukiamą SPĮ darbuotojų darbą toje pačioje SPĮ IS. Duomenys ir (arba) elektroniniai dokumentai, sukurti naudojant integruotą ESPBI IS komponentą, išsaugomi ESPBI IS, sudarant galimybę, prireikus, šiuos duomenis ir (arba) elektroninius dokumentus išsaugoti ir SPĮ IS; integruotų ESPBI IS komponentų specifikacijas, pagal kurias SPĮ turi atlikti ESPBI IS komponentų integraciją į savo IS, pateikia ESPBI IS pagrindinis tvarkytojas. Integruotų ESPBI IS komponentų specifikacijos bus pateiktos užbaigus ESPBI IS techninio projekto I etapą (2013 m. II ketvirtį). Duomenų rinkinių ir (arba) elektroninių dokumentų sukūrimas naudojant ESPBI IS integruotus komponentus yra inicijuojamas šių įvykių metu (9.2.5 punkte nurodytas įvykis inicijuojamas vaistinėse):</w:t>
                      </w:r>
                    </w:p>
                    <w:sdt>
                      <w:sdtPr>
                        <w:alias w:val="9.2.1 p."/>
                        <w:tag w:val="part_b8a744824d464cb7b737990e47b573c4"/>
                        <w:lock w:val="sdtLocked"/>
                        <w:richText/>
                      </w:sdtPr>
                      <w:sdtContent>
                        <w:p>
                          <w:pPr>
                            <w:widowControl w:val="0"/>
                            <w:suppressAutoHyphens/>
                            <w:ind w:firstLine="567"/>
                            <w:jc w:val="both"/>
                            <w:rPr>
                              <w:color w:val="000000"/>
                            </w:rPr>
                          </w:pPr>
                          <w:sdt>
                            <w:sdtPr>
                              <w:alias w:val="Numeris"/>
                              <w:tag w:val="nr_b8a744824d464cb7b737990e47b573c4"/>
                              <w:lock w:val="sdtLocked"/>
                              <w:richText/>
                            </w:sdtPr>
                            <w:sdtContent>
                              <w:r>
                                <w:rPr>
                                  <w:color w:val="000000"/>
                                </w:rPr>
                                <w:t>9.2.1</w:t>
                              </w:r>
                            </w:sdtContent>
                          </w:sdt>
                          <w:r>
                            <w:rPr>
                              <w:color w:val="000000"/>
                            </w:rPr>
                            <w:t>. prisirašymo prie pirminės asmens sveikatos priežiūros įstaigos (toliau – PASPĮ) ir (ar) prie psichikos sveikatos centro (toliau – PSC);</w:t>
                          </w:r>
                        </w:p>
                      </w:sdtContent>
                    </w:sdt>
                    <w:sdt>
                      <w:sdtPr>
                        <w:alias w:val="9.2.2 p."/>
                        <w:tag w:val="part_4181ca0b05a54f90b74886a59ebd2983"/>
                        <w:lock w:val="sdtLocked"/>
                        <w:richText/>
                      </w:sdtPr>
                      <w:sdtContent>
                        <w:p>
                          <w:pPr>
                            <w:widowControl w:val="0"/>
                            <w:suppressAutoHyphens/>
                            <w:ind w:firstLine="567"/>
                            <w:jc w:val="both"/>
                            <w:rPr>
                              <w:color w:val="000000"/>
                            </w:rPr>
                          </w:pPr>
                          <w:sdt>
                            <w:sdtPr>
                              <w:alias w:val="Numeris"/>
                              <w:tag w:val="nr_4181ca0b05a54f90b74886a59ebd2983"/>
                              <w:lock w:val="sdtLocked"/>
                              <w:richText/>
                            </w:sdtPr>
                            <w:sdtContent>
                              <w:r>
                                <w:rPr>
                                  <w:color w:val="000000"/>
                                </w:rPr>
                                <w:t>9.2.2</w:t>
                              </w:r>
                            </w:sdtContent>
                          </w:sdt>
                          <w:r>
                            <w:rPr>
                              <w:color w:val="000000"/>
                            </w:rPr>
                            <w:t>. atvykimo į SPĮ gauti ambulatorinių paslaugų;</w:t>
                          </w:r>
                        </w:p>
                      </w:sdtContent>
                    </w:sdt>
                    <w:sdt>
                      <w:sdtPr>
                        <w:alias w:val="9.2.3 p."/>
                        <w:tag w:val="part_a000c72d26564e9183a57080dc22dd55"/>
                        <w:lock w:val="sdtLocked"/>
                        <w:richText/>
                      </w:sdtPr>
                      <w:sdtContent>
                        <w:p>
                          <w:pPr>
                            <w:widowControl w:val="0"/>
                            <w:suppressAutoHyphens/>
                            <w:ind w:firstLine="567"/>
                            <w:jc w:val="both"/>
                            <w:rPr>
                              <w:color w:val="000000"/>
                            </w:rPr>
                          </w:pPr>
                          <w:sdt>
                            <w:sdtPr>
                              <w:alias w:val="Numeris"/>
                              <w:tag w:val="nr_a000c72d26564e9183a57080dc22dd55"/>
                              <w:lock w:val="sdtLocked"/>
                              <w:richText/>
                            </w:sdtPr>
                            <w:sdtContent>
                              <w:r>
                                <w:rPr>
                                  <w:color w:val="000000"/>
                                </w:rPr>
                                <w:t>9.2.3</w:t>
                              </w:r>
                            </w:sdtContent>
                          </w:sdt>
                          <w:r>
                            <w:rPr>
                              <w:color w:val="000000"/>
                            </w:rPr>
                            <w:t>. paskyrimo (siuntimo) atlikti laboratorinį / instrumentinį ar kitą tyrimą sukūrimo;</w:t>
                          </w:r>
                        </w:p>
                      </w:sdtContent>
                    </w:sdt>
                    <w:sdt>
                      <w:sdtPr>
                        <w:alias w:val="9.2.4 p."/>
                        <w:tag w:val="part_99fddc8bd8244bb885212e57611d607f"/>
                        <w:lock w:val="sdtLocked"/>
                        <w:richText/>
                      </w:sdtPr>
                      <w:sdtContent>
                        <w:p>
                          <w:pPr>
                            <w:widowControl w:val="0"/>
                            <w:suppressAutoHyphens/>
                            <w:ind w:firstLine="567"/>
                            <w:jc w:val="both"/>
                            <w:rPr>
                              <w:color w:val="000000"/>
                            </w:rPr>
                          </w:pPr>
                          <w:sdt>
                            <w:sdtPr>
                              <w:alias w:val="Numeris"/>
                              <w:tag w:val="nr_99fddc8bd8244bb885212e57611d607f"/>
                              <w:lock w:val="sdtLocked"/>
                              <w:richText/>
                            </w:sdtPr>
                            <w:sdtContent>
                              <w:r>
                                <w:rPr>
                                  <w:color w:val="000000"/>
                                </w:rPr>
                                <w:t>9.2.4</w:t>
                              </w:r>
                            </w:sdtContent>
                          </w:sdt>
                          <w:r>
                            <w:rPr>
                              <w:color w:val="000000"/>
                            </w:rPr>
                            <w:t>. recepto išrašymo;</w:t>
                          </w:r>
                        </w:p>
                      </w:sdtContent>
                    </w:sdt>
                    <w:sdt>
                      <w:sdtPr>
                        <w:alias w:val="9.2.5 p."/>
                        <w:tag w:val="part_95d5beae03b84cd3b556058132d35e5d"/>
                        <w:lock w:val="sdtLocked"/>
                        <w:richText/>
                      </w:sdtPr>
                      <w:sdtContent>
                        <w:p>
                          <w:pPr>
                            <w:widowControl w:val="0"/>
                            <w:suppressAutoHyphens/>
                            <w:ind w:firstLine="567"/>
                            <w:jc w:val="both"/>
                            <w:rPr>
                              <w:color w:val="000000"/>
                            </w:rPr>
                          </w:pPr>
                          <w:sdt>
                            <w:sdtPr>
                              <w:alias w:val="Numeris"/>
                              <w:tag w:val="nr_95d5beae03b84cd3b556058132d35e5d"/>
                              <w:lock w:val="sdtLocked"/>
                              <w:richText/>
                            </w:sdtPr>
                            <w:sdtContent>
                              <w:r>
                                <w:rPr>
                                  <w:color w:val="000000"/>
                                </w:rPr>
                                <w:t>9.2.5</w:t>
                              </w:r>
                            </w:sdtContent>
                          </w:sdt>
                          <w:r>
                            <w:rPr>
                              <w:color w:val="000000"/>
                            </w:rPr>
                            <w:t>. vaistinio preparato ir (ar) kompensuojamosios MPP išdavimo (pardavimo);</w:t>
                          </w:r>
                        </w:p>
                      </w:sdtContent>
                    </w:sdt>
                    <w:sdt>
                      <w:sdtPr>
                        <w:alias w:val="9.2.6 p."/>
                        <w:tag w:val="part_4af915bc2b034cfdadabefd5239bd055"/>
                        <w:lock w:val="sdtLocked"/>
                        <w:richText/>
                      </w:sdtPr>
                      <w:sdtContent>
                        <w:p>
                          <w:pPr>
                            <w:widowControl w:val="0"/>
                            <w:suppressAutoHyphens/>
                            <w:ind w:firstLine="567"/>
                            <w:jc w:val="both"/>
                            <w:rPr>
                              <w:color w:val="000000"/>
                            </w:rPr>
                          </w:pPr>
                          <w:sdt>
                            <w:sdtPr>
                              <w:alias w:val="Numeris"/>
                              <w:tag w:val="nr_4af915bc2b034cfdadabefd5239bd055"/>
                              <w:lock w:val="sdtLocked"/>
                              <w:richText/>
                            </w:sdtPr>
                            <w:sdtContent>
                              <w:r>
                                <w:rPr>
                                  <w:color w:val="000000"/>
                                </w:rPr>
                                <w:t>9.2.6</w:t>
                              </w:r>
                            </w:sdtContent>
                          </w:sdt>
                          <w:r>
                            <w:rPr>
                              <w:color w:val="000000"/>
                            </w:rPr>
                            <w:t>. siuntimo gauti asmens sveikatos priežiūros paslaugų sukūrimo;</w:t>
                          </w:r>
                        </w:p>
                      </w:sdtContent>
                    </w:sdt>
                    <w:sdt>
                      <w:sdtPr>
                        <w:alias w:val="9.2.7 p."/>
                        <w:tag w:val="part_075c6407254c4ae0a55e00898ca5af6a"/>
                        <w:lock w:val="sdtLocked"/>
                        <w:richText/>
                      </w:sdtPr>
                      <w:sdtContent>
                        <w:p>
                          <w:pPr>
                            <w:widowControl w:val="0"/>
                            <w:suppressAutoHyphens/>
                            <w:ind w:firstLine="567"/>
                            <w:jc w:val="both"/>
                            <w:rPr>
                              <w:color w:val="000000"/>
                            </w:rPr>
                          </w:pPr>
                          <w:sdt>
                            <w:sdtPr>
                              <w:alias w:val="Numeris"/>
                              <w:tag w:val="nr_075c6407254c4ae0a55e00898ca5af6a"/>
                              <w:lock w:val="sdtLocked"/>
                              <w:richText/>
                            </w:sdtPr>
                            <w:sdtContent>
                              <w:r>
                                <w:rPr>
                                  <w:color w:val="000000"/>
                                </w:rPr>
                                <w:t>9.2.7</w:t>
                              </w:r>
                            </w:sdtContent>
                          </w:sdt>
                          <w:r>
                            <w:rPr>
                              <w:color w:val="000000"/>
                            </w:rPr>
                            <w:t>. atsakymo su ambulatorinės paslaugos rezultatais ir (ar) išvada pateikimo;</w:t>
                          </w:r>
                        </w:p>
                      </w:sdtContent>
                    </w:sdt>
                    <w:sdt>
                      <w:sdtPr>
                        <w:alias w:val="9.2.8 p."/>
                        <w:tag w:val="part_c21780f1e45a4bb6ac17dbe6e38af9fa"/>
                        <w:lock w:val="sdtLocked"/>
                        <w:richText/>
                      </w:sdtPr>
                      <w:sdtContent>
                        <w:p>
                          <w:pPr>
                            <w:widowControl w:val="0"/>
                            <w:suppressAutoHyphens/>
                            <w:ind w:firstLine="567"/>
                            <w:jc w:val="both"/>
                            <w:rPr>
                              <w:color w:val="000000"/>
                            </w:rPr>
                          </w:pPr>
                          <w:sdt>
                            <w:sdtPr>
                              <w:alias w:val="Numeris"/>
                              <w:tag w:val="nr_c21780f1e45a4bb6ac17dbe6e38af9fa"/>
                              <w:lock w:val="sdtLocked"/>
                              <w:richText/>
                            </w:sdtPr>
                            <w:sdtContent>
                              <w:r>
                                <w:rPr>
                                  <w:color w:val="000000"/>
                                </w:rPr>
                                <w:t>9.2.8</w:t>
                              </w:r>
                            </w:sdtContent>
                          </w:sdt>
                          <w:r>
                            <w:rPr>
                              <w:color w:val="000000"/>
                            </w:rPr>
                            <w:t>. profilaktinių skiepijimų (imunoprofilaktikos) registravimo;</w:t>
                          </w:r>
                        </w:p>
                      </w:sdtContent>
                    </w:sdt>
                    <w:sdt>
                      <w:sdtPr>
                        <w:alias w:val="9.2.9 p."/>
                        <w:tag w:val="part_d4606661a1184c53a7cfc13da27a66f5"/>
                        <w:lock w:val="sdtLocked"/>
                        <w:richText/>
                      </w:sdtPr>
                      <w:sdtContent>
                        <w:p>
                          <w:pPr>
                            <w:widowControl w:val="0"/>
                            <w:suppressAutoHyphens/>
                            <w:ind w:firstLine="567"/>
                            <w:jc w:val="both"/>
                            <w:rPr>
                              <w:color w:val="000000"/>
                            </w:rPr>
                          </w:pPr>
                          <w:sdt>
                            <w:sdtPr>
                              <w:alias w:val="Numeris"/>
                              <w:tag w:val="nr_d4606661a1184c53a7cfc13da27a66f5"/>
                              <w:lock w:val="sdtLocked"/>
                              <w:richText/>
                            </w:sdtPr>
                            <w:sdtContent>
                              <w:r>
                                <w:rPr>
                                  <w:color w:val="000000"/>
                                </w:rPr>
                                <w:t>9.2.9</w:t>
                              </w:r>
                            </w:sdtContent>
                          </w:sdt>
                          <w:r>
                            <w:rPr>
                              <w:color w:val="000000"/>
                            </w:rPr>
                            <w:t>. profilaktinių tikrinimų registravimo;</w:t>
                          </w:r>
                        </w:p>
                      </w:sdtContent>
                    </w:sdt>
                    <w:sdt>
                      <w:sdtPr>
                        <w:alias w:val="9.2.10 p."/>
                        <w:tag w:val="part_606796dd18ff459a8b2ff7f5627fcedb"/>
                        <w:lock w:val="sdtLocked"/>
                        <w:richText/>
                      </w:sdtPr>
                      <w:sdtContent>
                        <w:p>
                          <w:pPr>
                            <w:widowControl w:val="0"/>
                            <w:suppressAutoHyphens/>
                            <w:ind w:firstLine="567"/>
                            <w:jc w:val="both"/>
                            <w:rPr>
                              <w:color w:val="000000"/>
                            </w:rPr>
                          </w:pPr>
                          <w:sdt>
                            <w:sdtPr>
                              <w:alias w:val="Numeris"/>
                              <w:tag w:val="nr_606796dd18ff459a8b2ff7f5627fcedb"/>
                              <w:lock w:val="sdtLocked"/>
                              <w:richText/>
                            </w:sdtPr>
                            <w:sdtContent>
                              <w:r>
                                <w:rPr>
                                  <w:color w:val="000000"/>
                                </w:rPr>
                                <w:t>9.2.10</w:t>
                              </w:r>
                            </w:sdtContent>
                          </w:sdt>
                          <w:r>
                            <w:rPr>
                              <w:color w:val="000000"/>
                            </w:rPr>
                            <w:t>. atvykimo į stacionaro priėmimo-skubiosios pagalbos skyrių;</w:t>
                          </w:r>
                        </w:p>
                      </w:sdtContent>
                    </w:sdt>
                    <w:sdt>
                      <w:sdtPr>
                        <w:alias w:val="9.2.11 p."/>
                        <w:tag w:val="part_53960a397d7844cab6dcd5f31918babb"/>
                        <w:lock w:val="sdtLocked"/>
                        <w:richText/>
                      </w:sdtPr>
                      <w:sdtContent>
                        <w:p>
                          <w:pPr>
                            <w:widowControl w:val="0"/>
                            <w:suppressAutoHyphens/>
                            <w:ind w:firstLine="567"/>
                            <w:jc w:val="both"/>
                            <w:rPr>
                              <w:color w:val="000000"/>
                            </w:rPr>
                          </w:pPr>
                          <w:sdt>
                            <w:sdtPr>
                              <w:alias w:val="Numeris"/>
                              <w:tag w:val="nr_53960a397d7844cab6dcd5f31918babb"/>
                              <w:lock w:val="sdtLocked"/>
                              <w:richText/>
                            </w:sdtPr>
                            <w:sdtContent>
                              <w:r>
                                <w:rPr>
                                  <w:color w:val="000000"/>
                                </w:rPr>
                                <w:t>9.2.11</w:t>
                              </w:r>
                            </w:sdtContent>
                          </w:sdt>
                          <w:r>
                            <w:rPr>
                              <w:color w:val="000000"/>
                            </w:rPr>
                            <w:t>. medicinos dokumentų išdavimo (pažymų išrašų, epikrizių ir pan.).</w:t>
                          </w:r>
                        </w:p>
                      </w:sdtContent>
                    </w:sdt>
                  </w:sdtContent>
                </w:sdt>
              </w:sdtContent>
            </w:sdt>
            <w:sdt>
              <w:sdtPr>
                <w:alias w:val="10 p."/>
                <w:tag w:val="part_2eb3ec930f66442b9d52ac5d77fb9139"/>
                <w:lock w:val="sdtLocked"/>
                <w:richText/>
              </w:sdtPr>
              <w:sdtContent>
                <w:p>
                  <w:pPr>
                    <w:widowControl w:val="0"/>
                    <w:suppressAutoHyphens/>
                    <w:ind w:firstLine="567"/>
                    <w:jc w:val="both"/>
                    <w:rPr>
                      <w:color w:val="000000"/>
                    </w:rPr>
                  </w:pPr>
                  <w:sdt>
                    <w:sdtPr>
                      <w:alias w:val="Numeris"/>
                      <w:tag w:val="nr_2eb3ec930f66442b9d52ac5d77fb9139"/>
                      <w:lock w:val="sdtLocked"/>
                      <w:richText/>
                    </w:sdtPr>
                    <w:sdtContent>
                      <w:r>
                        <w:rPr>
                          <w:color w:val="000000"/>
                        </w:rPr>
                        <w:t>10</w:t>
                      </w:r>
                    </w:sdtContent>
                  </w:sdt>
                  <w:r>
                    <w:rPr>
                      <w:color w:val="000000"/>
                    </w:rPr>
                    <w:t>. Duomenų rinkiniai, susieti su 1 Reikalavimų priede nurodytais įvykiais, pateikiami 3 Reikalavimų priede.</w:t>
                  </w:r>
                </w:p>
              </w:sdtContent>
            </w:sdt>
            <w:sdt>
              <w:sdtPr>
                <w:alias w:val="11 p."/>
                <w:tag w:val="part_c3f2731f0fba41f08dc4e555b774b3bc"/>
                <w:lock w:val="sdtLocked"/>
                <w:richText/>
              </w:sdtPr>
              <w:sdtContent>
                <w:p>
                  <w:pPr>
                    <w:widowControl w:val="0"/>
                    <w:suppressAutoHyphens/>
                    <w:ind w:firstLine="567"/>
                    <w:jc w:val="both"/>
                    <w:rPr>
                      <w:color w:val="000000"/>
                    </w:rPr>
                  </w:pPr>
                  <w:sdt>
                    <w:sdtPr>
                      <w:alias w:val="Numeris"/>
                      <w:tag w:val="nr_c3f2731f0fba41f08dc4e555b774b3bc"/>
                      <w:lock w:val="sdtLocked"/>
                      <w:richText/>
                    </w:sdtPr>
                    <w:sdtContent>
                      <w:r>
                        <w:rPr>
                          <w:color w:val="000000"/>
                        </w:rPr>
                        <w:t>11</w:t>
                      </w:r>
                    </w:sdtContent>
                  </w:sdt>
                  <w:r>
                    <w:rPr>
                      <w:color w:val="000000"/>
                    </w:rPr>
                    <w:t>. Reikalavimų 1 priede išvardyti įvykiai turi inicijuoti elektroninių dokumentų ir duomenų rinkinių arba tik duomenų rinkinių sukūrimą:</w:t>
                  </w:r>
                </w:p>
                <w:sdt>
                  <w:sdtPr>
                    <w:alias w:val="11.1 p."/>
                    <w:tag w:val="part_aa7df048257249f08afeeec90e9a6430"/>
                    <w:lock w:val="sdtLocked"/>
                    <w:richText/>
                  </w:sdtPr>
                  <w:sdtContent>
                    <w:p>
                      <w:pPr>
                        <w:widowControl w:val="0"/>
                        <w:suppressAutoHyphens/>
                        <w:ind w:firstLine="567"/>
                        <w:jc w:val="both"/>
                        <w:rPr>
                          <w:color w:val="000000"/>
                        </w:rPr>
                      </w:pPr>
                      <w:sdt>
                        <w:sdtPr>
                          <w:alias w:val="Numeris"/>
                          <w:tag w:val="nr_aa7df048257249f08afeeec90e9a6430"/>
                          <w:lock w:val="sdtLocked"/>
                          <w:richText/>
                        </w:sdtPr>
                        <w:sdtContent>
                          <w:r>
                            <w:rPr>
                              <w:color w:val="000000"/>
                            </w:rPr>
                            <w:t>11.1</w:t>
                          </w:r>
                        </w:sdtContent>
                      </w:sdt>
                      <w:r>
                        <w:rPr>
                          <w:color w:val="000000"/>
                        </w:rPr>
                        <w:t>. elektroniniai dokumentai ir su jais susiję duomenų rinkiniai sukuriami šių įvykių metu:</w:t>
                      </w:r>
                    </w:p>
                    <w:sdt>
                      <w:sdtPr>
                        <w:alias w:val="11.1.1 p."/>
                        <w:tag w:val="part_1c1ade8358414bad8ab26a72c41fc866"/>
                        <w:lock w:val="sdtLocked"/>
                        <w:richText/>
                      </w:sdtPr>
                      <w:sdtContent>
                        <w:p>
                          <w:pPr>
                            <w:widowControl w:val="0"/>
                            <w:suppressAutoHyphens/>
                            <w:ind w:firstLine="567"/>
                            <w:jc w:val="both"/>
                            <w:rPr>
                              <w:color w:val="000000"/>
                            </w:rPr>
                          </w:pPr>
                          <w:sdt>
                            <w:sdtPr>
                              <w:alias w:val="Numeris"/>
                              <w:tag w:val="nr_1c1ade8358414bad8ab26a72c41fc866"/>
                              <w:lock w:val="sdtLocked"/>
                              <w:richText/>
                            </w:sdtPr>
                            <w:sdtContent>
                              <w:r>
                                <w:rPr>
                                  <w:color w:val="000000"/>
                                </w:rPr>
                                <w:t>11.1.1</w:t>
                              </w:r>
                            </w:sdtContent>
                          </w:sdt>
                          <w:r>
                            <w:rPr>
                              <w:color w:val="000000"/>
                            </w:rPr>
                            <w:t>. ambulatorinės paslaugos suteikimo (apsilankymo);</w:t>
                          </w:r>
                        </w:p>
                      </w:sdtContent>
                    </w:sdt>
                    <w:sdt>
                      <w:sdtPr>
                        <w:alias w:val="11.1.2 p."/>
                        <w:tag w:val="part_d3f1ca31333a4f428c06b8e574b2dbc6"/>
                        <w:lock w:val="sdtLocked"/>
                        <w:richText/>
                      </w:sdtPr>
                      <w:sdtContent>
                        <w:p>
                          <w:pPr>
                            <w:widowControl w:val="0"/>
                            <w:suppressAutoHyphens/>
                            <w:ind w:firstLine="567"/>
                            <w:jc w:val="both"/>
                            <w:rPr>
                              <w:color w:val="000000"/>
                            </w:rPr>
                          </w:pPr>
                          <w:sdt>
                            <w:sdtPr>
                              <w:alias w:val="Numeris"/>
                              <w:tag w:val="nr_d3f1ca31333a4f428c06b8e574b2dbc6"/>
                              <w:lock w:val="sdtLocked"/>
                              <w:richText/>
                            </w:sdtPr>
                            <w:sdtContent>
                              <w:r>
                                <w:rPr>
                                  <w:color w:val="000000"/>
                                </w:rPr>
                                <w:t>11.1.2</w:t>
                              </w:r>
                            </w:sdtContent>
                          </w:sdt>
                          <w:r>
                            <w:rPr>
                              <w:color w:val="000000"/>
                            </w:rPr>
                            <w:t>. paskyrimo (siuntimo) atlikti laboratorinį / instrumentinį ar kitą tyrimą sukūrimo;</w:t>
                          </w:r>
                        </w:p>
                      </w:sdtContent>
                    </w:sdt>
                    <w:sdt>
                      <w:sdtPr>
                        <w:alias w:val="11.1.3 p."/>
                        <w:tag w:val="part_c89a0cf354b8472f8f48efe6b261a636"/>
                        <w:lock w:val="sdtLocked"/>
                        <w:richText/>
                      </w:sdtPr>
                      <w:sdtContent>
                        <w:p>
                          <w:pPr>
                            <w:widowControl w:val="0"/>
                            <w:suppressAutoHyphens/>
                            <w:ind w:firstLine="567"/>
                            <w:jc w:val="both"/>
                            <w:rPr>
                              <w:color w:val="000000"/>
                            </w:rPr>
                          </w:pPr>
                          <w:sdt>
                            <w:sdtPr>
                              <w:alias w:val="Numeris"/>
                              <w:tag w:val="nr_c89a0cf354b8472f8f48efe6b261a636"/>
                              <w:lock w:val="sdtLocked"/>
                              <w:richText/>
                            </w:sdtPr>
                            <w:sdtContent>
                              <w:r>
                                <w:rPr>
                                  <w:color w:val="000000"/>
                                </w:rPr>
                                <w:t>11.1.3</w:t>
                              </w:r>
                            </w:sdtContent>
                          </w:sdt>
                          <w:r>
                            <w:rPr>
                              <w:color w:val="000000"/>
                            </w:rPr>
                            <w:t>. siuntimo gauti asmens sveikatos priežiūros paslaugų sukūrimo;</w:t>
                          </w:r>
                        </w:p>
                      </w:sdtContent>
                    </w:sdt>
                    <w:sdt>
                      <w:sdtPr>
                        <w:alias w:val="11.1.4 p."/>
                        <w:tag w:val="part_c2abada0ced14eba8b537c1f05a264c5"/>
                        <w:lock w:val="sdtLocked"/>
                        <w:richText/>
                      </w:sdtPr>
                      <w:sdtContent>
                        <w:p>
                          <w:pPr>
                            <w:widowControl w:val="0"/>
                            <w:suppressAutoHyphens/>
                            <w:ind w:firstLine="567"/>
                            <w:jc w:val="both"/>
                            <w:rPr>
                              <w:color w:val="000000"/>
                            </w:rPr>
                          </w:pPr>
                          <w:sdt>
                            <w:sdtPr>
                              <w:alias w:val="Numeris"/>
                              <w:tag w:val="nr_c2abada0ced14eba8b537c1f05a264c5"/>
                              <w:lock w:val="sdtLocked"/>
                              <w:richText/>
                            </w:sdtPr>
                            <w:sdtContent>
                              <w:r>
                                <w:rPr>
                                  <w:color w:val="000000"/>
                                </w:rPr>
                                <w:t>11.1.4</w:t>
                              </w:r>
                            </w:sdtContent>
                          </w:sdt>
                          <w:r>
                            <w:rPr>
                              <w:color w:val="000000"/>
                            </w:rPr>
                            <w:t>. atsakymo / rezultatų apie laboratorinį / instrumentinį ar kitą tyrimą pateikimo;</w:t>
                          </w:r>
                        </w:p>
                      </w:sdtContent>
                    </w:sdt>
                    <w:sdt>
                      <w:sdtPr>
                        <w:alias w:val="11.1.5 p."/>
                        <w:tag w:val="part_64f52a77ea134a0999faf9b9e847d478"/>
                        <w:lock w:val="sdtLocked"/>
                        <w:richText/>
                      </w:sdtPr>
                      <w:sdtContent>
                        <w:p>
                          <w:pPr>
                            <w:widowControl w:val="0"/>
                            <w:suppressAutoHyphens/>
                            <w:ind w:firstLine="567"/>
                            <w:jc w:val="both"/>
                            <w:rPr>
                              <w:color w:val="000000"/>
                            </w:rPr>
                          </w:pPr>
                          <w:sdt>
                            <w:sdtPr>
                              <w:alias w:val="Numeris"/>
                              <w:tag w:val="nr_64f52a77ea134a0999faf9b9e847d478"/>
                              <w:lock w:val="sdtLocked"/>
                              <w:richText/>
                            </w:sdtPr>
                            <w:sdtContent>
                              <w:r>
                                <w:rPr>
                                  <w:color w:val="000000"/>
                                </w:rPr>
                                <w:t>11.1.5</w:t>
                              </w:r>
                            </w:sdtContent>
                          </w:sdt>
                          <w:r>
                            <w:rPr>
                              <w:color w:val="000000"/>
                            </w:rPr>
                            <w:t>. recepto išrašymo;</w:t>
                          </w:r>
                        </w:p>
                      </w:sdtContent>
                    </w:sdt>
                    <w:sdt>
                      <w:sdtPr>
                        <w:alias w:val="11.1.6 p."/>
                        <w:tag w:val="part_5c1027c6248f4f839c22b9ed23a9e967"/>
                        <w:lock w:val="sdtLocked"/>
                        <w:richText/>
                      </w:sdtPr>
                      <w:sdtContent>
                        <w:p>
                          <w:pPr>
                            <w:widowControl w:val="0"/>
                            <w:suppressAutoHyphens/>
                            <w:ind w:firstLine="567"/>
                            <w:jc w:val="both"/>
                            <w:rPr>
                              <w:color w:val="000000"/>
                            </w:rPr>
                          </w:pPr>
                          <w:sdt>
                            <w:sdtPr>
                              <w:alias w:val="Numeris"/>
                              <w:tag w:val="nr_5c1027c6248f4f839c22b9ed23a9e967"/>
                              <w:lock w:val="sdtLocked"/>
                              <w:richText/>
                            </w:sdtPr>
                            <w:sdtContent>
                              <w:r>
                                <w:rPr>
                                  <w:color w:val="000000"/>
                                </w:rPr>
                                <w:t>11.1.6</w:t>
                              </w:r>
                            </w:sdtContent>
                          </w:sdt>
                          <w:r>
                            <w:rPr>
                              <w:color w:val="000000"/>
                            </w:rPr>
                            <w:t>. ambulatorinės paslaugos epizodo užbaigimo;</w:t>
                          </w:r>
                        </w:p>
                      </w:sdtContent>
                    </w:sdt>
                    <w:sdt>
                      <w:sdtPr>
                        <w:alias w:val="11.1.7 p."/>
                        <w:tag w:val="part_7f3eabcdb69d42dfbec3aa9e7cf6fd2d"/>
                        <w:lock w:val="sdtLocked"/>
                        <w:richText/>
                      </w:sdtPr>
                      <w:sdtContent>
                        <w:p>
                          <w:pPr>
                            <w:widowControl w:val="0"/>
                            <w:suppressAutoHyphens/>
                            <w:ind w:firstLine="567"/>
                            <w:jc w:val="both"/>
                            <w:rPr>
                              <w:color w:val="000000"/>
                            </w:rPr>
                          </w:pPr>
                          <w:sdt>
                            <w:sdtPr>
                              <w:alias w:val="Numeris"/>
                              <w:tag w:val="nr_7f3eabcdb69d42dfbec3aa9e7cf6fd2d"/>
                              <w:lock w:val="sdtLocked"/>
                              <w:richText/>
                            </w:sdtPr>
                            <w:sdtContent>
                              <w:r>
                                <w:rPr>
                                  <w:color w:val="000000"/>
                                </w:rPr>
                                <w:t>11.1.7</w:t>
                              </w:r>
                            </w:sdtContent>
                          </w:sdt>
                          <w:r>
                            <w:rPr>
                              <w:color w:val="000000"/>
                            </w:rPr>
                            <w:t>. atsakymo su ambulatorinės paslaugos rezultatais ir (ar) išvada pateikimo;</w:t>
                          </w:r>
                        </w:p>
                      </w:sdtContent>
                    </w:sdt>
                    <w:sdt>
                      <w:sdtPr>
                        <w:alias w:val="11.1.8 p."/>
                        <w:tag w:val="part_005eb953ca60421a9d56a9ae1d4091f3"/>
                        <w:lock w:val="sdtLocked"/>
                        <w:richText/>
                      </w:sdtPr>
                      <w:sdtContent>
                        <w:p>
                          <w:pPr>
                            <w:widowControl w:val="0"/>
                            <w:suppressAutoHyphens/>
                            <w:ind w:firstLine="567"/>
                            <w:jc w:val="both"/>
                            <w:rPr>
                              <w:color w:val="000000"/>
                            </w:rPr>
                          </w:pPr>
                          <w:sdt>
                            <w:sdtPr>
                              <w:alias w:val="Numeris"/>
                              <w:tag w:val="nr_005eb953ca60421a9d56a9ae1d4091f3"/>
                              <w:lock w:val="sdtLocked"/>
                              <w:richText/>
                            </w:sdtPr>
                            <w:sdtContent>
                              <w:r>
                                <w:rPr>
                                  <w:color w:val="000000"/>
                                </w:rPr>
                                <w:t>11.1.8</w:t>
                              </w:r>
                            </w:sdtContent>
                          </w:sdt>
                          <w:r>
                            <w:rPr>
                              <w:color w:val="000000"/>
                            </w:rPr>
                            <w:t>. išvykimo iš stacionaro priėmimo-skubiosios pagalbos skyriaus;</w:t>
                          </w:r>
                        </w:p>
                      </w:sdtContent>
                    </w:sdt>
                    <w:sdt>
                      <w:sdtPr>
                        <w:alias w:val="11.1.9 p."/>
                        <w:tag w:val="part_fdc88b4b78244df9a18c41955af12152"/>
                        <w:lock w:val="sdtLocked"/>
                        <w:richText/>
                      </w:sdtPr>
                      <w:sdtContent>
                        <w:p>
                          <w:pPr>
                            <w:widowControl w:val="0"/>
                            <w:suppressAutoHyphens/>
                            <w:ind w:firstLine="567"/>
                            <w:jc w:val="both"/>
                            <w:rPr>
                              <w:color w:val="000000"/>
                            </w:rPr>
                          </w:pPr>
                          <w:sdt>
                            <w:sdtPr>
                              <w:alias w:val="Numeris"/>
                              <w:tag w:val="nr_fdc88b4b78244df9a18c41955af12152"/>
                              <w:lock w:val="sdtLocked"/>
                              <w:richText/>
                            </w:sdtPr>
                            <w:sdtContent>
                              <w:r>
                                <w:rPr>
                                  <w:color w:val="000000"/>
                                </w:rPr>
                                <w:t>11.1.9</w:t>
                              </w:r>
                            </w:sdtContent>
                          </w:sdt>
                          <w:r>
                            <w:rPr>
                              <w:color w:val="000000"/>
                            </w:rPr>
                            <w:t>. stacionarinės paslaugos etapo užbaigimo;</w:t>
                          </w:r>
                        </w:p>
                      </w:sdtContent>
                    </w:sdt>
                    <w:sdt>
                      <w:sdtPr>
                        <w:alias w:val="11.1.10 p."/>
                        <w:tag w:val="part_cfe2991c7ba7410a870602d8c8937dcf"/>
                        <w:lock w:val="sdtLocked"/>
                        <w:richText/>
                      </w:sdtPr>
                      <w:sdtContent>
                        <w:p>
                          <w:pPr>
                            <w:widowControl w:val="0"/>
                            <w:suppressAutoHyphens/>
                            <w:ind w:firstLine="567"/>
                            <w:jc w:val="both"/>
                            <w:rPr>
                              <w:color w:val="000000"/>
                            </w:rPr>
                          </w:pPr>
                          <w:sdt>
                            <w:sdtPr>
                              <w:alias w:val="Numeris"/>
                              <w:tag w:val="nr_cfe2991c7ba7410a870602d8c8937dcf"/>
                              <w:lock w:val="sdtLocked"/>
                              <w:richText/>
                            </w:sdtPr>
                            <w:sdtContent>
                              <w:r>
                                <w:rPr>
                                  <w:color w:val="000000"/>
                                </w:rPr>
                                <w:t>11.1.10</w:t>
                              </w:r>
                            </w:sdtContent>
                          </w:sdt>
                          <w:r>
                            <w:rPr>
                              <w:color w:val="000000"/>
                            </w:rPr>
                            <w:t>. išvykimo (mirties) iš stacionaro;</w:t>
                          </w:r>
                        </w:p>
                      </w:sdtContent>
                    </w:sdt>
                    <w:sdt>
                      <w:sdtPr>
                        <w:alias w:val="11.1.11 p."/>
                        <w:tag w:val="part_acac3a5c935b436a856a8c361526d9b0"/>
                        <w:lock w:val="sdtLocked"/>
                        <w:richText/>
                      </w:sdtPr>
                      <w:sdtContent>
                        <w:p>
                          <w:pPr>
                            <w:widowControl w:val="0"/>
                            <w:suppressAutoHyphens/>
                            <w:ind w:firstLine="567"/>
                            <w:jc w:val="both"/>
                            <w:rPr>
                              <w:color w:val="000000"/>
                            </w:rPr>
                          </w:pPr>
                          <w:sdt>
                            <w:sdtPr>
                              <w:alias w:val="Numeris"/>
                              <w:tag w:val="nr_acac3a5c935b436a856a8c361526d9b0"/>
                              <w:lock w:val="sdtLocked"/>
                              <w:richText/>
                            </w:sdtPr>
                            <w:sdtContent>
                              <w:r>
                                <w:rPr>
                                  <w:color w:val="000000"/>
                                </w:rPr>
                                <w:t>11.1.11</w:t>
                              </w:r>
                            </w:sdtContent>
                          </w:sdt>
                          <w:r>
                            <w:rPr>
                              <w:color w:val="000000"/>
                            </w:rPr>
                            <w:t>. profilaktinių skiepijimų (imunoprofilaktikos) registravimo;</w:t>
                          </w:r>
                        </w:p>
                      </w:sdtContent>
                    </w:sdt>
                    <w:sdt>
                      <w:sdtPr>
                        <w:alias w:val="11.1.12 p."/>
                        <w:tag w:val="part_00824a0d9b884da8ba0dcf38c2be64ea"/>
                        <w:lock w:val="sdtLocked"/>
                        <w:richText/>
                      </w:sdtPr>
                      <w:sdtContent>
                        <w:p>
                          <w:pPr>
                            <w:widowControl w:val="0"/>
                            <w:suppressAutoHyphens/>
                            <w:ind w:firstLine="567"/>
                            <w:jc w:val="both"/>
                            <w:rPr>
                              <w:color w:val="000000"/>
                            </w:rPr>
                          </w:pPr>
                          <w:sdt>
                            <w:sdtPr>
                              <w:alias w:val="Numeris"/>
                              <w:tag w:val="nr_00824a0d9b884da8ba0dcf38c2be64ea"/>
                              <w:lock w:val="sdtLocked"/>
                              <w:richText/>
                            </w:sdtPr>
                            <w:sdtContent>
                              <w:r>
                                <w:rPr>
                                  <w:color w:val="000000"/>
                                </w:rPr>
                                <w:t>11.1.12</w:t>
                              </w:r>
                            </w:sdtContent>
                          </w:sdt>
                          <w:r>
                            <w:rPr>
                              <w:color w:val="000000"/>
                            </w:rPr>
                            <w:t>. profilaktinių tikrinimų registravimo;</w:t>
                          </w:r>
                        </w:p>
                      </w:sdtContent>
                    </w:sdt>
                    <w:sdt>
                      <w:sdtPr>
                        <w:alias w:val="11.1.13 p."/>
                        <w:tag w:val="part_008f14721d974ac2a2d3f8ec19735db4"/>
                        <w:lock w:val="sdtLocked"/>
                        <w:richText/>
                      </w:sdtPr>
                      <w:sdtContent>
                        <w:p>
                          <w:pPr>
                            <w:widowControl w:val="0"/>
                            <w:suppressAutoHyphens/>
                            <w:ind w:firstLine="567"/>
                            <w:jc w:val="both"/>
                            <w:rPr>
                              <w:color w:val="000000"/>
                            </w:rPr>
                          </w:pPr>
                          <w:sdt>
                            <w:sdtPr>
                              <w:alias w:val="Numeris"/>
                              <w:tag w:val="nr_008f14721d974ac2a2d3f8ec19735db4"/>
                              <w:lock w:val="sdtLocked"/>
                              <w:richText/>
                            </w:sdtPr>
                            <w:sdtContent>
                              <w:r>
                                <w:rPr>
                                  <w:color w:val="000000"/>
                                </w:rPr>
                                <w:t>11.1.13</w:t>
                              </w:r>
                            </w:sdtContent>
                          </w:sdt>
                          <w:r>
                            <w:rPr>
                              <w:color w:val="000000"/>
                            </w:rPr>
                            <w:t>. medicinos dokumentų išdavimo (pažymų, išrašų, epikrizių ir pan.).</w:t>
                          </w:r>
                        </w:p>
                      </w:sdtContent>
                    </w:sdt>
                  </w:sdtContent>
                </w:sdt>
                <w:sdt>
                  <w:sdtPr>
                    <w:alias w:val="11.2 p."/>
                    <w:tag w:val="part_489e4bcb939a4c18a11420368d478cd0"/>
                    <w:lock w:val="sdtLocked"/>
                    <w:richText/>
                  </w:sdtPr>
                  <w:sdtContent>
                    <w:p>
                      <w:pPr>
                        <w:widowControl w:val="0"/>
                        <w:suppressAutoHyphens/>
                        <w:ind w:firstLine="567"/>
                        <w:jc w:val="both"/>
                        <w:rPr>
                          <w:color w:val="000000"/>
                        </w:rPr>
                      </w:pPr>
                      <w:sdt>
                        <w:sdtPr>
                          <w:alias w:val="Numeris"/>
                          <w:tag w:val="nr_489e4bcb939a4c18a11420368d478cd0"/>
                          <w:lock w:val="sdtLocked"/>
                          <w:richText/>
                        </w:sdtPr>
                        <w:sdtContent>
                          <w:r>
                            <w:rPr>
                              <w:color w:val="000000"/>
                            </w:rPr>
                            <w:t>11.2</w:t>
                          </w:r>
                        </w:sdtContent>
                      </w:sdt>
                      <w:r>
                        <w:rPr>
                          <w:color w:val="000000"/>
                        </w:rPr>
                        <w:t>. duomenų rinkiniai sukuriami šių įvykių metu (11.2.9 punkte nurodytas įvykis inicijuojamas vaistinėse):</w:t>
                      </w:r>
                    </w:p>
                    <w:sdt>
                      <w:sdtPr>
                        <w:alias w:val="11.2.1 p."/>
                        <w:tag w:val="part_867a22bfa58243fe941481fb353e55ee"/>
                        <w:lock w:val="sdtLocked"/>
                        <w:richText/>
                      </w:sdtPr>
                      <w:sdtContent>
                        <w:p>
                          <w:pPr>
                            <w:widowControl w:val="0"/>
                            <w:suppressAutoHyphens/>
                            <w:ind w:firstLine="567"/>
                            <w:jc w:val="both"/>
                            <w:rPr>
                              <w:color w:val="000000"/>
                            </w:rPr>
                          </w:pPr>
                          <w:sdt>
                            <w:sdtPr>
                              <w:alias w:val="Numeris"/>
                              <w:tag w:val="nr_867a22bfa58243fe941481fb353e55ee"/>
                              <w:lock w:val="sdtLocked"/>
                              <w:richText/>
                            </w:sdtPr>
                            <w:sdtContent>
                              <w:r>
                                <w:rPr>
                                  <w:color w:val="000000"/>
                                </w:rPr>
                                <w:t>11.2.1</w:t>
                              </w:r>
                            </w:sdtContent>
                          </w:sdt>
                          <w:r>
                            <w:rPr>
                              <w:color w:val="000000"/>
                            </w:rPr>
                            <w:t>. prisirašymo prie PASPĮ ir (ar) prie PSC;</w:t>
                          </w:r>
                        </w:p>
                      </w:sdtContent>
                    </w:sdt>
                    <w:sdt>
                      <w:sdtPr>
                        <w:alias w:val="11.2.2 p."/>
                        <w:tag w:val="part_078242d96e89413aa2f37887bb28b1df"/>
                        <w:lock w:val="sdtLocked"/>
                        <w:richText/>
                      </w:sdtPr>
                      <w:sdtContent>
                        <w:p>
                          <w:pPr>
                            <w:widowControl w:val="0"/>
                            <w:suppressAutoHyphens/>
                            <w:ind w:firstLine="567"/>
                            <w:jc w:val="both"/>
                            <w:rPr>
                              <w:color w:val="000000"/>
                            </w:rPr>
                          </w:pPr>
                          <w:sdt>
                            <w:sdtPr>
                              <w:alias w:val="Numeris"/>
                              <w:tag w:val="nr_078242d96e89413aa2f37887bb28b1df"/>
                              <w:lock w:val="sdtLocked"/>
                              <w:richText/>
                            </w:sdtPr>
                            <w:sdtContent>
                              <w:r>
                                <w:rPr>
                                  <w:color w:val="000000"/>
                                </w:rPr>
                                <w:t>11.2.2</w:t>
                              </w:r>
                            </w:sdtContent>
                          </w:sdt>
                          <w:r>
                            <w:rPr>
                              <w:color w:val="000000"/>
                            </w:rPr>
                            <w:t>. atvykimo į SPĮ gauti ambulatorinių paslaugų;</w:t>
                          </w:r>
                        </w:p>
                      </w:sdtContent>
                    </w:sdt>
                    <w:sdt>
                      <w:sdtPr>
                        <w:alias w:val="11.2.3 p."/>
                        <w:tag w:val="part_059e7877661e4e04abc282919a86be61"/>
                        <w:lock w:val="sdtLocked"/>
                        <w:richText/>
                      </w:sdtPr>
                      <w:sdtContent>
                        <w:p>
                          <w:pPr>
                            <w:widowControl w:val="0"/>
                            <w:suppressAutoHyphens/>
                            <w:ind w:firstLine="567"/>
                            <w:jc w:val="both"/>
                            <w:rPr>
                              <w:color w:val="000000"/>
                            </w:rPr>
                          </w:pPr>
                          <w:sdt>
                            <w:sdtPr>
                              <w:alias w:val="Numeris"/>
                              <w:tag w:val="nr_059e7877661e4e04abc282919a86be61"/>
                              <w:lock w:val="sdtLocked"/>
                              <w:richText/>
                            </w:sdtPr>
                            <w:sdtContent>
                              <w:r>
                                <w:rPr>
                                  <w:color w:val="000000"/>
                                </w:rPr>
                                <w:t>11.2.3</w:t>
                              </w:r>
                            </w:sdtContent>
                          </w:sdt>
                          <w:r>
                            <w:rPr>
                              <w:color w:val="000000"/>
                            </w:rPr>
                            <w:t>. atvykimo į stacionaro priėmimo-skubiosios pagalbos skyrių;</w:t>
                          </w:r>
                        </w:p>
                      </w:sdtContent>
                    </w:sdt>
                    <w:sdt>
                      <w:sdtPr>
                        <w:alias w:val="11.2.4 p."/>
                        <w:tag w:val="part_62af80b8cdca477a88afd81daeb05098"/>
                        <w:lock w:val="sdtLocked"/>
                        <w:richText/>
                      </w:sdtPr>
                      <w:sdtContent>
                        <w:p>
                          <w:pPr>
                            <w:widowControl w:val="0"/>
                            <w:suppressAutoHyphens/>
                            <w:ind w:firstLine="567"/>
                            <w:jc w:val="both"/>
                            <w:rPr>
                              <w:color w:val="000000"/>
                            </w:rPr>
                          </w:pPr>
                          <w:sdt>
                            <w:sdtPr>
                              <w:alias w:val="Numeris"/>
                              <w:tag w:val="nr_62af80b8cdca477a88afd81daeb05098"/>
                              <w:lock w:val="sdtLocked"/>
                              <w:richText/>
                            </w:sdtPr>
                            <w:sdtContent>
                              <w:r>
                                <w:rPr>
                                  <w:color w:val="000000"/>
                                </w:rPr>
                                <w:t>11.2.4</w:t>
                              </w:r>
                            </w:sdtContent>
                          </w:sdt>
                          <w:r>
                            <w:rPr>
                              <w:color w:val="000000"/>
                            </w:rPr>
                            <w:t>. atvykimo į stacionarą;</w:t>
                          </w:r>
                        </w:p>
                      </w:sdtContent>
                    </w:sdt>
                    <w:sdt>
                      <w:sdtPr>
                        <w:alias w:val="11.2.5 p."/>
                        <w:tag w:val="part_889dbf7fd94d4feeb829f3808dc1aef0"/>
                        <w:lock w:val="sdtLocked"/>
                        <w:richText/>
                      </w:sdtPr>
                      <w:sdtContent>
                        <w:p>
                          <w:pPr>
                            <w:widowControl w:val="0"/>
                            <w:suppressAutoHyphens/>
                            <w:ind w:firstLine="567"/>
                            <w:jc w:val="both"/>
                            <w:rPr>
                              <w:color w:val="000000"/>
                            </w:rPr>
                          </w:pPr>
                          <w:sdt>
                            <w:sdtPr>
                              <w:alias w:val="Numeris"/>
                              <w:tag w:val="nr_889dbf7fd94d4feeb829f3808dc1aef0"/>
                              <w:lock w:val="sdtLocked"/>
                              <w:richText/>
                            </w:sdtPr>
                            <w:sdtContent>
                              <w:r>
                                <w:rPr>
                                  <w:color w:val="000000"/>
                                </w:rPr>
                                <w:t>11.2.5</w:t>
                              </w:r>
                            </w:sdtContent>
                          </w:sdt>
                          <w:r>
                            <w:rPr>
                              <w:color w:val="000000"/>
                            </w:rPr>
                            <w:t>. dienos stacionaro paslaugų teikimo;</w:t>
                          </w:r>
                        </w:p>
                      </w:sdtContent>
                    </w:sdt>
                    <w:sdt>
                      <w:sdtPr>
                        <w:alias w:val="11.2.6 p."/>
                        <w:tag w:val="part_73d56548dbda41bf948db41dd98d0a46"/>
                        <w:lock w:val="sdtLocked"/>
                        <w:richText/>
                      </w:sdtPr>
                      <w:sdtContent>
                        <w:p>
                          <w:pPr>
                            <w:widowControl w:val="0"/>
                            <w:suppressAutoHyphens/>
                            <w:ind w:firstLine="567"/>
                            <w:jc w:val="both"/>
                            <w:rPr>
                              <w:color w:val="000000"/>
                            </w:rPr>
                          </w:pPr>
                          <w:sdt>
                            <w:sdtPr>
                              <w:alias w:val="Numeris"/>
                              <w:tag w:val="nr_73d56548dbda41bf948db41dd98d0a46"/>
                              <w:lock w:val="sdtLocked"/>
                              <w:richText/>
                            </w:sdtPr>
                            <w:sdtContent>
                              <w:r>
                                <w:rPr>
                                  <w:color w:val="000000"/>
                                </w:rPr>
                                <w:t>11.2.6</w:t>
                              </w:r>
                            </w:sdtContent>
                          </w:sdt>
                          <w:r>
                            <w:rPr>
                              <w:color w:val="000000"/>
                            </w:rPr>
                            <w:t>. dienos chirurgijos paslaugų teikimo;</w:t>
                          </w:r>
                        </w:p>
                      </w:sdtContent>
                    </w:sdt>
                    <w:sdt>
                      <w:sdtPr>
                        <w:alias w:val="11.2.7 p."/>
                        <w:tag w:val="part_4b2bd03e5236427c8ca4ba605db431a7"/>
                        <w:lock w:val="sdtLocked"/>
                        <w:richText/>
                      </w:sdtPr>
                      <w:sdtContent>
                        <w:p>
                          <w:pPr>
                            <w:widowControl w:val="0"/>
                            <w:suppressAutoHyphens/>
                            <w:ind w:firstLine="567"/>
                            <w:jc w:val="both"/>
                            <w:rPr>
                              <w:color w:val="000000"/>
                            </w:rPr>
                          </w:pPr>
                          <w:sdt>
                            <w:sdtPr>
                              <w:alias w:val="Numeris"/>
                              <w:tag w:val="nr_4b2bd03e5236427c8ca4ba605db431a7"/>
                              <w:lock w:val="sdtLocked"/>
                              <w:richText/>
                            </w:sdtPr>
                            <w:sdtContent>
                              <w:r>
                                <w:rPr>
                                  <w:color w:val="000000"/>
                                </w:rPr>
                                <w:t>11.2.7</w:t>
                              </w:r>
                            </w:sdtContent>
                          </w:sdt>
                          <w:r>
                            <w:rPr>
                              <w:color w:val="000000"/>
                            </w:rPr>
                            <w:t>. stacionarinio gydymo etapo pradžios / duomenų sukūrimo;</w:t>
                          </w:r>
                        </w:p>
                      </w:sdtContent>
                    </w:sdt>
                    <w:sdt>
                      <w:sdtPr>
                        <w:alias w:val="11.2.8 p."/>
                        <w:tag w:val="part_744777b64e174745a36e49892be77986"/>
                        <w:lock w:val="sdtLocked"/>
                        <w:richText/>
                      </w:sdtPr>
                      <w:sdtContent>
                        <w:p>
                          <w:pPr>
                            <w:widowControl w:val="0"/>
                            <w:suppressAutoHyphens/>
                            <w:ind w:firstLine="567"/>
                            <w:jc w:val="both"/>
                            <w:rPr>
                              <w:color w:val="000000"/>
                            </w:rPr>
                          </w:pPr>
                          <w:sdt>
                            <w:sdtPr>
                              <w:alias w:val="Numeris"/>
                              <w:tag w:val="nr_744777b64e174745a36e49892be77986"/>
                              <w:lock w:val="sdtLocked"/>
                              <w:richText/>
                            </w:sdtPr>
                            <w:sdtContent>
                              <w:r>
                                <w:rPr>
                                  <w:color w:val="000000"/>
                                </w:rPr>
                                <w:t>11.2.8</w:t>
                              </w:r>
                            </w:sdtContent>
                          </w:sdt>
                          <w:r>
                            <w:rPr>
                              <w:color w:val="000000"/>
                            </w:rPr>
                            <w:t>. medicininės intervencijos ar procedūros atlikimo;</w:t>
                          </w:r>
                        </w:p>
                      </w:sdtContent>
                    </w:sdt>
                    <w:sdt>
                      <w:sdtPr>
                        <w:alias w:val="11.2.9 p."/>
                        <w:tag w:val="part_d6d43b0d18734f04a5597189f343c8f8"/>
                        <w:lock w:val="sdtLocked"/>
                        <w:richText/>
                      </w:sdtPr>
                      <w:sdtContent>
                        <w:p>
                          <w:pPr>
                            <w:widowControl w:val="0"/>
                            <w:suppressAutoHyphens/>
                            <w:ind w:firstLine="567"/>
                            <w:jc w:val="both"/>
                            <w:rPr>
                              <w:color w:val="000000"/>
                            </w:rPr>
                          </w:pPr>
                          <w:sdt>
                            <w:sdtPr>
                              <w:alias w:val="Numeris"/>
                              <w:tag w:val="nr_d6d43b0d18734f04a5597189f343c8f8"/>
                              <w:lock w:val="sdtLocked"/>
                              <w:richText/>
                            </w:sdtPr>
                            <w:sdtContent>
                              <w:r>
                                <w:rPr>
                                  <w:color w:val="000000"/>
                                </w:rPr>
                                <w:t>11.2.9</w:t>
                              </w:r>
                            </w:sdtContent>
                          </w:sdt>
                          <w:r>
                            <w:rPr>
                              <w:color w:val="000000"/>
                            </w:rPr>
                            <w:t>. vaistinio preparato ir (ar) kompensuojamosios MPP išdavimo (pardavimo);</w:t>
                          </w:r>
                        </w:p>
                      </w:sdtContent>
                    </w:sdt>
                    <w:sdt>
                      <w:sdtPr>
                        <w:alias w:val="11.2.10 p."/>
                        <w:tag w:val="part_7bf6fae9aaba4557a4f11af8ef27fb56"/>
                        <w:lock w:val="sdtLocked"/>
                        <w:richText/>
                      </w:sdtPr>
                      <w:sdtContent>
                        <w:p>
                          <w:pPr>
                            <w:widowControl w:val="0"/>
                            <w:suppressAutoHyphens/>
                            <w:ind w:firstLine="567"/>
                            <w:jc w:val="both"/>
                            <w:rPr>
                              <w:color w:val="000000"/>
                            </w:rPr>
                          </w:pPr>
                          <w:sdt>
                            <w:sdtPr>
                              <w:alias w:val="Numeris"/>
                              <w:tag w:val="nr_7bf6fae9aaba4557a4f11af8ef27fb56"/>
                              <w:lock w:val="sdtLocked"/>
                              <w:richText/>
                            </w:sdtPr>
                            <w:sdtContent>
                              <w:r>
                                <w:rPr>
                                  <w:color w:val="000000"/>
                                </w:rPr>
                                <w:t>11.2.10</w:t>
                              </w:r>
                            </w:sdtContent>
                          </w:sdt>
                          <w:r>
                            <w:rPr>
                              <w:color w:val="000000"/>
                            </w:rPr>
                            <w:t>. administracinių duomenų užfiksavimo (pvz., lovadieniai, draustumo duomenys, DRG ir kt.).</w:t>
                          </w:r>
                        </w:p>
                      </w:sdtContent>
                    </w:sdt>
                  </w:sdtContent>
                </w:sdt>
              </w:sdtContent>
            </w:sdt>
            <w:sdt>
              <w:sdtPr>
                <w:alias w:val="12 p."/>
                <w:tag w:val="part_3e6f932d106e445f8f5ec7209067721a"/>
                <w:lock w:val="sdtLocked"/>
                <w:richText/>
              </w:sdtPr>
              <w:sdtContent>
                <w:p>
                  <w:pPr>
                    <w:widowControl w:val="0"/>
                    <w:suppressAutoHyphens/>
                    <w:ind w:firstLine="567"/>
                    <w:jc w:val="both"/>
                    <w:rPr>
                      <w:color w:val="000000"/>
                    </w:rPr>
                  </w:pPr>
                  <w:sdt>
                    <w:sdtPr>
                      <w:alias w:val="Numeris"/>
                      <w:tag w:val="nr_3e6f932d106e445f8f5ec7209067721a"/>
                      <w:lock w:val="sdtLocked"/>
                      <w:richText/>
                    </w:sdtPr>
                    <w:sdtContent>
                      <w:r>
                        <w:rPr>
                          <w:color w:val="000000"/>
                        </w:rPr>
                        <w:t>12</w:t>
                      </w:r>
                    </w:sdtContent>
                  </w:sdt>
                  <w:r>
                    <w:rPr>
                      <w:color w:val="000000"/>
                    </w:rPr>
                    <w:t>. SPĮ, diegdamos naujas ar modernizuodamos jau turimas IS, privalo sukurti priemones 2 Reikalavimų priede pateiktų formų bei jų duomenų mainams su ESPBI IS vykdyti.</w:t>
                  </w:r>
                </w:p>
              </w:sdtContent>
            </w:sdt>
            <w:sdt>
              <w:sdtPr>
                <w:alias w:val="13 p."/>
                <w:tag w:val="part_03e1d55c293d47b3966936a3883610a8"/>
                <w:lock w:val="sdtLocked"/>
                <w:richText/>
              </w:sdtPr>
              <w:sdtContent>
                <w:p>
                  <w:pPr>
                    <w:widowControl w:val="0"/>
                    <w:suppressAutoHyphens/>
                    <w:ind w:firstLine="567"/>
                    <w:jc w:val="both"/>
                    <w:rPr>
                      <w:color w:val="000000"/>
                    </w:rPr>
                  </w:pPr>
                  <w:sdt>
                    <w:sdtPr>
                      <w:alias w:val="Numeris"/>
                      <w:tag w:val="nr_03e1d55c293d47b3966936a3883610a8"/>
                      <w:lock w:val="sdtLocked"/>
                      <w:richText/>
                    </w:sdtPr>
                    <w:sdtContent>
                      <w:r>
                        <w:rPr>
                          <w:color w:val="000000"/>
                        </w:rPr>
                        <w:t>13</w:t>
                      </w:r>
                    </w:sdtContent>
                  </w:sdt>
                  <w:r>
                    <w:rPr>
                      <w:color w:val="000000"/>
                    </w:rPr>
                    <w:t>. Projekto „ESPBI plėtra“ įgyvendinimo metu formų ir įvykių sąrašas bei duomenų rinkiniai gali būti koreguojami.</w:t>
                  </w:r>
                </w:p>
                <w:p>
                  <w:pPr>
                    <w:widowControl w:val="0"/>
                    <w:suppressAutoHyphens/>
                    <w:ind w:firstLine="567"/>
                    <w:jc w:val="both"/>
                    <w:rPr>
                      <w:color w:val="000000"/>
                    </w:rPr>
                  </w:pPr>
                </w:p>
              </w:sdtContent>
            </w:sdt>
          </w:sdtContent>
        </w:sdt>
        <w:sdt>
          <w:sdtPr>
            <w:alias w:val="skyrius"/>
            <w:tag w:val="part_40b8b22876784271a312d52cae3c601e"/>
            <w:lock w:val="sdtLocked"/>
            <w:richText/>
          </w:sdtPr>
          <w:sdtContent>
            <w:p>
              <w:pPr>
                <w:widowControl w:val="0"/>
                <w:suppressAutoHyphens/>
                <w:jc w:val="center"/>
                <w:rPr>
                  <w:b/>
                  <w:bCs/>
                  <w:caps/>
                  <w:color w:val="000000"/>
                </w:rPr>
              </w:pPr>
              <w:sdt>
                <w:sdtPr>
                  <w:alias w:val="Numeris"/>
                  <w:tag w:val="nr_40b8b22876784271a312d52cae3c601e"/>
                  <w:lock w:val="sdtLocked"/>
                  <w:richText/>
                </w:sdtPr>
                <w:sdtContent>
                  <w:r>
                    <w:rPr>
                      <w:b/>
                      <w:bCs/>
                      <w:caps/>
                      <w:color w:val="000000"/>
                    </w:rPr>
                    <w:t>III</w:t>
                  </w:r>
                </w:sdtContent>
              </w:sdt>
              <w:r>
                <w:rPr>
                  <w:b/>
                  <w:bCs/>
                  <w:caps/>
                  <w:color w:val="000000"/>
                </w:rPr>
                <w:t xml:space="preserve">. </w:t>
              </w:r>
              <w:sdt>
                <w:sdtPr>
                  <w:alias w:val="Pavadinimas"/>
                  <w:tag w:val="title_40b8b22876784271a312d52cae3c601e"/>
                  <w:lock w:val="sdtLocked"/>
                  <w:richText/>
                </w:sdtPr>
                <w:sdtContent>
                  <w:r>
                    <w:rPr>
                      <w:b/>
                      <w:bCs/>
                      <w:caps/>
                      <w:color w:val="000000"/>
                    </w:rPr>
                    <w:t>ESPBI IS IR SPĮ IS SUSIEJIMO PRINCIPAI</w:t>
                  </w:r>
                </w:sdtContent>
              </w:sdt>
            </w:p>
            <w:p>
              <w:pPr>
                <w:widowControl w:val="0"/>
                <w:suppressAutoHyphens/>
                <w:ind w:firstLine="567"/>
                <w:jc w:val="both"/>
                <w:rPr>
                  <w:color w:val="000000"/>
                </w:rPr>
              </w:pPr>
            </w:p>
            <w:sdt>
              <w:sdtPr>
                <w:alias w:val="14 p."/>
                <w:tag w:val="part_a0578420704c469c8aa8856ae067c809"/>
                <w:lock w:val="sdtLocked"/>
                <w:richText/>
              </w:sdtPr>
              <w:sdtContent>
                <w:p>
                  <w:pPr>
                    <w:widowControl w:val="0"/>
                    <w:suppressAutoHyphens/>
                    <w:ind w:firstLine="567"/>
                    <w:jc w:val="both"/>
                    <w:rPr>
                      <w:color w:val="000000"/>
                    </w:rPr>
                  </w:pPr>
                  <w:sdt>
                    <w:sdtPr>
                      <w:alias w:val="Numeris"/>
                      <w:tag w:val="nr_a0578420704c469c8aa8856ae067c809"/>
                      <w:lock w:val="sdtLocked"/>
                      <w:richText/>
                    </w:sdtPr>
                    <w:sdtContent>
                      <w:r>
                        <w:rPr>
                          <w:color w:val="000000"/>
                        </w:rPr>
                        <w:t>14</w:t>
                      </w:r>
                    </w:sdtContent>
                  </w:sdt>
                  <w:r>
                    <w:rPr>
                      <w:color w:val="000000"/>
                    </w:rPr>
                    <w:t>. Visi ESPBI IS esantys duomenys ir elektroniniai dokumentai nuo jų įrašymo į ESPBI IS laikomi teisingais ir išsamiais, kol jie nenuginčyti teisės aktų nustatyta tvarka. Nustatytų neteisingų, neišsamių ar netikslių paciento elektroninės sveikatos istorijos (toliau – ESI) įrašų duomenų taisymo tvarka:</w:t>
                  </w:r>
                </w:p>
                <w:sdt>
                  <w:sdtPr>
                    <w:alias w:val="14.1 p."/>
                    <w:tag w:val="part_dd422f7adf534622872787b1790afbc9"/>
                    <w:lock w:val="sdtLocked"/>
                    <w:richText/>
                  </w:sdtPr>
                  <w:sdtContent>
                    <w:p>
                      <w:pPr>
                        <w:widowControl w:val="0"/>
                        <w:suppressAutoHyphens/>
                        <w:ind w:firstLine="567"/>
                        <w:jc w:val="both"/>
                        <w:rPr>
                          <w:color w:val="000000"/>
                        </w:rPr>
                      </w:pPr>
                      <w:sdt>
                        <w:sdtPr>
                          <w:alias w:val="Numeris"/>
                          <w:tag w:val="nr_dd422f7adf534622872787b1790afbc9"/>
                          <w:lock w:val="sdtLocked"/>
                          <w:richText/>
                        </w:sdtPr>
                        <w:sdtContent>
                          <w:r>
                            <w:rPr>
                              <w:color w:val="000000"/>
                            </w:rPr>
                            <w:t>14.1</w:t>
                          </w:r>
                        </w:sdtContent>
                      </w:sdt>
                      <w:r>
                        <w:rPr>
                          <w:color w:val="000000"/>
                        </w:rPr>
                        <w:t>. tais atvejais, kai neteisingi, neišsamūs ar netikslūs paciento elektroninės sveikatos istorijos (toliau – ESI) įrašų duomenys identifikuojami paciento iniciatyva, taikoma Elektroninės sveikatos paslaugų ir bendradarbiavimo infrastruktūros informacinės sistemos nuostatų 49 punkte nustatyta tvarka;</w:t>
                      </w:r>
                    </w:p>
                  </w:sdtContent>
                </w:sdt>
                <w:sdt>
                  <w:sdtPr>
                    <w:alias w:val="14.2 p."/>
                    <w:tag w:val="part_b68432d6969140b9988e40166c549e4e"/>
                    <w:lock w:val="sdtLocked"/>
                    <w:richText/>
                  </w:sdtPr>
                  <w:sdtContent>
                    <w:p>
                      <w:pPr>
                        <w:widowControl w:val="0"/>
                        <w:suppressAutoHyphens/>
                        <w:ind w:firstLine="567"/>
                        <w:jc w:val="both"/>
                        <w:rPr>
                          <w:color w:val="000000"/>
                        </w:rPr>
                      </w:pPr>
                      <w:sdt>
                        <w:sdtPr>
                          <w:alias w:val="Numeris"/>
                          <w:tag w:val="nr_b68432d6969140b9988e40166c549e4e"/>
                          <w:lock w:val="sdtLocked"/>
                          <w:richText/>
                        </w:sdtPr>
                        <w:sdtContent>
                          <w:r>
                            <w:rPr>
                              <w:color w:val="000000"/>
                            </w:rPr>
                            <w:t>14.2</w:t>
                          </w:r>
                        </w:sdtContent>
                      </w:sdt>
                      <w:r>
                        <w:rPr>
                          <w:color w:val="000000"/>
                        </w:rPr>
                        <w:t>. kitais atvejais neteisingus, neišsamius ar netikslius paciento ESI įrašų duomenis gali ištaisyti duomenis pateikusi SPĮ teisės aktų nustatyta tvarka.</w:t>
                      </w:r>
                    </w:p>
                  </w:sdtContent>
                </w:sdt>
              </w:sdtContent>
            </w:sdt>
            <w:sdt>
              <w:sdtPr>
                <w:alias w:val="15 p."/>
                <w:tag w:val="part_8c8a48ff0868445f95dc100cc9e1fb84"/>
                <w:lock w:val="sdtLocked"/>
                <w:richText/>
              </w:sdtPr>
              <w:sdtContent>
                <w:p>
                  <w:pPr>
                    <w:widowControl w:val="0"/>
                    <w:suppressAutoHyphens/>
                    <w:ind w:firstLine="567"/>
                    <w:jc w:val="both"/>
                    <w:rPr>
                      <w:color w:val="000000"/>
                    </w:rPr>
                  </w:pPr>
                  <w:sdt>
                    <w:sdtPr>
                      <w:alias w:val="Numeris"/>
                      <w:tag w:val="nr_8c8a48ff0868445f95dc100cc9e1fb84"/>
                      <w:lock w:val="sdtLocked"/>
                      <w:richText/>
                    </w:sdtPr>
                    <w:sdtContent>
                      <w:r>
                        <w:rPr>
                          <w:color w:val="000000"/>
                        </w:rPr>
                        <w:t>15</w:t>
                      </w:r>
                    </w:sdtContent>
                  </w:sdt>
                  <w:r>
                    <w:rPr>
                      <w:color w:val="000000"/>
                    </w:rPr>
                    <w:t>. Valstybės ir žinybinių registrų bei informacinių sistemų duomenys, kurių reikia SPĮ IS pagrindinėms funkcijoms vykdyti, turi būti tiesiogiai gaunami iš ESPBI IS.</w:t>
                  </w:r>
                </w:p>
              </w:sdtContent>
            </w:sdt>
            <w:sdt>
              <w:sdtPr>
                <w:alias w:val="16 p."/>
                <w:tag w:val="part_9c4204d51b6a49b69c40d9fb8799a662"/>
                <w:lock w:val="sdtLocked"/>
                <w:richText/>
              </w:sdtPr>
              <w:sdtContent>
                <w:p>
                  <w:pPr>
                    <w:widowControl w:val="0"/>
                    <w:suppressAutoHyphens/>
                    <w:ind w:firstLine="567"/>
                    <w:jc w:val="both"/>
                    <w:rPr>
                      <w:color w:val="000000"/>
                    </w:rPr>
                  </w:pPr>
                  <w:sdt>
                    <w:sdtPr>
                      <w:alias w:val="Numeris"/>
                      <w:tag w:val="nr_9c4204d51b6a49b69c40d9fb8799a662"/>
                      <w:lock w:val="sdtLocked"/>
                      <w:richText/>
                    </w:sdtPr>
                    <w:sdtContent>
                      <w:r>
                        <w:rPr>
                          <w:color w:val="000000"/>
                        </w:rPr>
                        <w:t>16</w:t>
                      </w:r>
                    </w:sdtContent>
                  </w:sdt>
                  <w:r>
                    <w:rPr>
                      <w:color w:val="000000"/>
                    </w:rPr>
                    <w:t>. ESPBI IS klasifikatorių, kurių duomenų reikia SPĮ funkcijoms atlikti, kopijos gali būti saugomos SPĮ IS duomenų bazėse. Šių klasifikatorių originalai saugomi ESPBI IS. SPĮ IS privalo naudoti aktualią klasifikatorių versiją.</w:t>
                  </w:r>
                </w:p>
              </w:sdtContent>
            </w:sdt>
            <w:sdt>
              <w:sdtPr>
                <w:alias w:val="17 p."/>
                <w:tag w:val="part_d3a9723641ee49e98a8bcd991f022e14"/>
                <w:lock w:val="sdtLocked"/>
                <w:richText/>
              </w:sdtPr>
              <w:sdtContent>
                <w:p>
                  <w:pPr>
                    <w:widowControl w:val="0"/>
                    <w:suppressAutoHyphens/>
                    <w:ind w:firstLine="567"/>
                    <w:jc w:val="both"/>
                    <w:rPr>
                      <w:color w:val="000000"/>
                    </w:rPr>
                  </w:pPr>
                  <w:sdt>
                    <w:sdtPr>
                      <w:alias w:val="Numeris"/>
                      <w:tag w:val="nr_d3a9723641ee49e98a8bcd991f022e14"/>
                      <w:lock w:val="sdtLocked"/>
                      <w:richText/>
                    </w:sdtPr>
                    <w:sdtContent>
                      <w:r>
                        <w:rPr>
                          <w:color w:val="000000"/>
                        </w:rPr>
                        <w:t>17</w:t>
                      </w:r>
                    </w:sdtContent>
                  </w:sdt>
                  <w:r>
                    <w:rPr>
                      <w:color w:val="000000"/>
                    </w:rPr>
                    <w:t>. ESPBI IS esantys duomenys ir elektroniniai dokumentai, reikalingi SPĮ sveikatinimo veiklai vykdyti, SPĮ IS pateikiami žiniatinklio paslaugų priemonėmis.</w:t>
                  </w:r>
                </w:p>
              </w:sdtContent>
            </w:sdt>
            <w:sdt>
              <w:sdtPr>
                <w:alias w:val="18 p."/>
                <w:tag w:val="part_361b6fc11fbc41df8106a1ea13632af3"/>
                <w:lock w:val="sdtLocked"/>
                <w:richText/>
              </w:sdtPr>
              <w:sdtContent>
                <w:p>
                  <w:pPr>
                    <w:widowControl w:val="0"/>
                    <w:suppressAutoHyphens/>
                    <w:ind w:firstLine="567"/>
                    <w:jc w:val="both"/>
                    <w:rPr>
                      <w:color w:val="000000"/>
                    </w:rPr>
                  </w:pPr>
                  <w:sdt>
                    <w:sdtPr>
                      <w:alias w:val="Numeris"/>
                      <w:tag w:val="nr_361b6fc11fbc41df8106a1ea13632af3"/>
                      <w:lock w:val="sdtLocked"/>
                      <w:richText/>
                    </w:sdtPr>
                    <w:sdtContent>
                      <w:r>
                        <w:rPr>
                          <w:color w:val="000000"/>
                        </w:rPr>
                        <w:t>18</w:t>
                      </w:r>
                    </w:sdtContent>
                  </w:sdt>
                  <w:r>
                    <w:rPr>
                      <w:color w:val="000000"/>
                    </w:rPr>
                    <w:t>. Visi iš SPĮ IS per integracijos sąsajas į ESPBI IS siunčiami įvykių metu sukurti elektroniniai dokumentai turi būti pasirašyti kvalifikuotu skaitmeniniu sertifikatu (elektroniniu parašu). Kvalifikuotu skaitmeniniu sertifikatu (elektroniniu parašu) gali būti pasirašomi ir duomenų rinkiniai.</w:t>
                  </w:r>
                </w:p>
              </w:sdtContent>
            </w:sdt>
            <w:sdt>
              <w:sdtPr>
                <w:alias w:val="19 p."/>
                <w:tag w:val="part_c5cc15a809ce42c8bc6a7323dbda1b04"/>
                <w:lock w:val="sdtLocked"/>
                <w:richText/>
              </w:sdtPr>
              <w:sdtContent>
                <w:p>
                  <w:pPr>
                    <w:widowControl w:val="0"/>
                    <w:suppressAutoHyphens/>
                    <w:ind w:firstLine="567"/>
                    <w:jc w:val="both"/>
                    <w:rPr>
                      <w:color w:val="000000"/>
                    </w:rPr>
                  </w:pPr>
                  <w:sdt>
                    <w:sdtPr>
                      <w:alias w:val="Numeris"/>
                      <w:tag w:val="nr_c5cc15a809ce42c8bc6a7323dbda1b04"/>
                      <w:lock w:val="sdtLocked"/>
                      <w:richText/>
                    </w:sdtPr>
                    <w:sdtContent>
                      <w:r>
                        <w:rPr>
                          <w:color w:val="000000"/>
                        </w:rPr>
                        <w:t>19</w:t>
                      </w:r>
                    </w:sdtContent>
                  </w:sdt>
                  <w:r>
                    <w:rPr>
                      <w:color w:val="000000"/>
                    </w:rPr>
                    <w:t>. SPĮ IS sukurtais duomenų rinkiniais ir (arba) elektroniniais dokumentais su ESPBI IS keičiamasi naudojant žiniatinklio paslaugas, perduodamų duomenų struktūrą apibrėžiant XML formatu, vadovaujantis atitinkamais HL7 v3 pranešimais ir dokumentų šablonais (schemomis).</w:t>
                  </w:r>
                </w:p>
              </w:sdtContent>
            </w:sdt>
            <w:sdt>
              <w:sdtPr>
                <w:alias w:val="20 p."/>
                <w:tag w:val="part_488dc4d2626644a69f284552a251edf9"/>
                <w:lock w:val="sdtLocked"/>
                <w:richText/>
              </w:sdtPr>
              <w:sdtContent>
                <w:p>
                  <w:pPr>
                    <w:widowControl w:val="0"/>
                    <w:suppressAutoHyphens/>
                    <w:ind w:firstLine="567"/>
                    <w:jc w:val="both"/>
                    <w:rPr>
                      <w:color w:val="000000"/>
                    </w:rPr>
                  </w:pPr>
                  <w:sdt>
                    <w:sdtPr>
                      <w:alias w:val="Numeris"/>
                      <w:tag w:val="nr_488dc4d2626644a69f284552a251edf9"/>
                      <w:lock w:val="sdtLocked"/>
                      <w:richText/>
                    </w:sdtPr>
                    <w:sdtContent>
                      <w:r>
                        <w:rPr>
                          <w:color w:val="000000"/>
                        </w:rPr>
                        <w:t>20</w:t>
                      </w:r>
                    </w:sdtContent>
                  </w:sdt>
                  <w:r>
                    <w:rPr>
                      <w:color w:val="000000"/>
                    </w:rPr>
                    <w:t>. Žiniatinklio paslaugų funkcionalumui aprašyti naudojama WSDL.</w:t>
                  </w:r>
                </w:p>
              </w:sdtContent>
            </w:sdt>
            <w:sdt>
              <w:sdtPr>
                <w:alias w:val="21 p."/>
                <w:tag w:val="part_cc0fbb6eaf5c459d9c16dd19d25fbedd"/>
                <w:lock w:val="sdtLocked"/>
                <w:richText/>
              </w:sdtPr>
              <w:sdtContent>
                <w:p>
                  <w:pPr>
                    <w:widowControl w:val="0"/>
                    <w:suppressAutoHyphens/>
                    <w:ind w:firstLine="567"/>
                    <w:jc w:val="both"/>
                    <w:rPr>
                      <w:color w:val="000000"/>
                    </w:rPr>
                  </w:pPr>
                  <w:sdt>
                    <w:sdtPr>
                      <w:alias w:val="Numeris"/>
                      <w:tag w:val="nr_cc0fbb6eaf5c459d9c16dd19d25fbedd"/>
                      <w:lock w:val="sdtLocked"/>
                      <w:richText/>
                    </w:sdtPr>
                    <w:sdtContent>
                      <w:r>
                        <w:rPr>
                          <w:color w:val="000000"/>
                        </w:rPr>
                        <w:t>21</w:t>
                      </w:r>
                    </w:sdtContent>
                  </w:sdt>
                  <w:r>
                    <w:rPr>
                      <w:color w:val="000000"/>
                    </w:rPr>
                    <w:t>. Paslaugoms, teikiamoms naudojant integruotus ESPBI IS komponentus, naudojama SaaS technologija.</w:t>
                  </w:r>
                </w:p>
              </w:sdtContent>
            </w:sdt>
            <w:sdt>
              <w:sdtPr>
                <w:alias w:val="22 p."/>
                <w:tag w:val="part_e317226b8a424d1bbfe19cb2c8812e88"/>
                <w:lock w:val="sdtLocked"/>
                <w:richText/>
              </w:sdtPr>
              <w:sdtContent>
                <w:p>
                  <w:pPr>
                    <w:widowControl w:val="0"/>
                    <w:suppressAutoHyphens/>
                    <w:ind w:firstLine="567"/>
                    <w:jc w:val="both"/>
                    <w:rPr>
                      <w:color w:val="000000"/>
                    </w:rPr>
                  </w:pPr>
                  <w:sdt>
                    <w:sdtPr>
                      <w:alias w:val="Numeris"/>
                      <w:tag w:val="nr_e317226b8a424d1bbfe19cb2c8812e88"/>
                      <w:lock w:val="sdtLocked"/>
                      <w:richText/>
                    </w:sdtPr>
                    <w:sdtContent>
                      <w:r>
                        <w:rPr>
                          <w:color w:val="000000"/>
                        </w:rPr>
                        <w:t>22</w:t>
                      </w:r>
                    </w:sdtContent>
                  </w:sdt>
                  <w:r>
                    <w:rPr>
                      <w:color w:val="000000"/>
                    </w:rPr>
                    <w:t>. Medicininiai vaizdai iš / į SPĮ PACS į / iš ESPBI IS perduodami DICOM formatu.</w:t>
                  </w:r>
                </w:p>
              </w:sdtContent>
            </w:sdt>
            <w:sdt>
              <w:sdtPr>
                <w:alias w:val="23 p."/>
                <w:tag w:val="part_9d4d98d7a72e4d67a277a13b72bb21b7"/>
                <w:lock w:val="sdtLocked"/>
                <w:richText/>
              </w:sdtPr>
              <w:sdtContent>
                <w:p>
                  <w:pPr>
                    <w:widowControl w:val="0"/>
                    <w:suppressAutoHyphens/>
                    <w:ind w:firstLine="567"/>
                    <w:jc w:val="both"/>
                    <w:rPr>
                      <w:color w:val="000000"/>
                    </w:rPr>
                  </w:pPr>
                  <w:sdt>
                    <w:sdtPr>
                      <w:alias w:val="Numeris"/>
                      <w:tag w:val="nr_9d4d98d7a72e4d67a277a13b72bb21b7"/>
                      <w:lock w:val="sdtLocked"/>
                      <w:richText/>
                    </w:sdtPr>
                    <w:sdtContent>
                      <w:r>
                        <w:rPr>
                          <w:color w:val="000000"/>
                        </w:rPr>
                        <w:t>23</w:t>
                      </w:r>
                    </w:sdtContent>
                  </w:sdt>
                  <w:r>
                    <w:rPr>
                      <w:color w:val="000000"/>
                    </w:rPr>
                    <w:t>. Konkretūs žiniatinklio paslaugų aprašymai bus pateikti užbaigus ESPBI IS techninio projekto I etapą (2013 m. II ketvirtį).</w:t>
                  </w:r>
                </w:p>
              </w:sdtContent>
            </w:sdt>
            <w:sdt>
              <w:sdtPr>
                <w:alias w:val="24 p."/>
                <w:tag w:val="part_336190a9d0274cf7a62b14ecefd9fdfc"/>
                <w:lock w:val="sdtLocked"/>
                <w:richText/>
              </w:sdtPr>
              <w:sdtContent>
                <w:p>
                  <w:pPr>
                    <w:widowControl w:val="0"/>
                    <w:suppressAutoHyphens/>
                    <w:ind w:firstLine="567"/>
                    <w:jc w:val="both"/>
                    <w:rPr>
                      <w:color w:val="000000"/>
                    </w:rPr>
                  </w:pPr>
                  <w:sdt>
                    <w:sdtPr>
                      <w:alias w:val="Numeris"/>
                      <w:tag w:val="nr_336190a9d0274cf7a62b14ecefd9fdfc"/>
                      <w:lock w:val="sdtLocked"/>
                      <w:richText/>
                    </w:sdtPr>
                    <w:sdtContent>
                      <w:r>
                        <w:rPr>
                          <w:color w:val="000000"/>
                        </w:rPr>
                        <w:t>24</w:t>
                      </w:r>
                    </w:sdtContent>
                  </w:sdt>
                  <w:r>
                    <w:rPr>
                      <w:color w:val="000000"/>
                    </w:rPr>
                    <w:t>. SPĮ rengiamus IS integracijos su ESPBI IS specifikacijos ir kitų susijusių dokumentų projektus privalo derinti su Sveikatos apsaugos ministerija ir ESPBI IS pagrindiniu tvarkytoju.</w:t>
                  </w:r>
                </w:p>
              </w:sdtContent>
            </w:sdt>
            <w:sdt>
              <w:sdtPr>
                <w:alias w:val="25 p."/>
                <w:tag w:val="part_02697574f5f7423c9d0886611b4a6e52"/>
                <w:lock w:val="sdtLocked"/>
                <w:richText/>
              </w:sdtPr>
              <w:sdtContent>
                <w:p>
                  <w:pPr>
                    <w:widowControl w:val="0"/>
                    <w:suppressAutoHyphens/>
                    <w:ind w:firstLine="567"/>
                    <w:jc w:val="both"/>
                    <w:rPr>
                      <w:color w:val="000000"/>
                    </w:rPr>
                  </w:pPr>
                  <w:sdt>
                    <w:sdtPr>
                      <w:alias w:val="Numeris"/>
                      <w:tag w:val="nr_02697574f5f7423c9d0886611b4a6e52"/>
                      <w:lock w:val="sdtLocked"/>
                      <w:richText/>
                    </w:sdtPr>
                    <w:sdtContent>
                      <w:r>
                        <w:rPr>
                          <w:color w:val="000000"/>
                        </w:rPr>
                        <w:t>25</w:t>
                      </w:r>
                    </w:sdtContent>
                  </w:sdt>
                  <w:r>
                    <w:rPr>
                      <w:color w:val="000000"/>
                    </w:rPr>
                    <w:t>. Realizuojant mainų posistemę, skirtą pacientų duomenų, medicininių vaizdų ir e. receptų duomenų mainams su kitomis Europos Sąjungos šalimis narėmis, bus įgyvendinti panaudojant epSOS (tarpvalstybinio interoperabilumo tarp Europos elektroninių sveikatos istorijos sistemų sąveika) ir kt. projektų rekomendacijas ir patirtį bei ES teisės aktų nustatytus reikalavimus, naudojant (bet neapsiribojant) HL7 v3, HL7 v3 CDA ir DICOM 3.0 standartus bei SNOMED CT terminiją, TLK-10-AM, LOINC ir kt. klasifikatorius.</w:t>
                  </w:r>
                </w:p>
                <w:p>
                  <w:pPr>
                    <w:widowControl w:val="0"/>
                    <w:suppressAutoHyphens/>
                    <w:ind w:firstLine="567"/>
                    <w:jc w:val="both"/>
                    <w:rPr>
                      <w:color w:val="000000"/>
                    </w:rPr>
                  </w:pPr>
                </w:p>
              </w:sdtContent>
            </w:sdt>
          </w:sdtContent>
        </w:sdt>
        <w:sdt>
          <w:sdtPr>
            <w:alias w:val="pabaiga"/>
            <w:tag w:val="part_329f0ec59e6241978d7282a9f031ddfd"/>
            <w:lock w:val="sdtLocked"/>
            <w:richText/>
          </w:sdtPr>
          <w:sdtContent>
            <w:p>
              <w:pPr>
                <w:widowControl w:val="0"/>
                <w:suppressAutoHyphens/>
                <w:jc w:val="center"/>
                <w:rPr>
                  <w:color w:val="000000"/>
                </w:rPr>
              </w:pPr>
              <w:r>
                <w:rPr>
                  <w:color w:val="000000"/>
                </w:rPr>
                <w:t>_________________</w:t>
              </w:r>
            </w:p>
            <w:p>
              <w:pPr>
                <w:widowControl w:val="0"/>
                <w:suppressAutoHyphens/>
                <w:ind w:firstLine="567"/>
                <w:jc w:val="both"/>
              </w:pPr>
            </w:p>
          </w:sdtContent>
        </w:sdt>
      </w:sdtContent>
    </w:sdt>
    <w:sdt>
      <w:sdtPr>
        <w:alias w:val="1 pr."/>
        <w:tag w:val="part_0685e0e68716443ab2e320cc5c5f7732"/>
        <w:lock w:val="sdtLocked"/>
        <w:richText/>
      </w:sdtPr>
      <w:sdtContent>
        <w:p>
          <w:pPr>
            <w:widowControl w:val="0"/>
            <w:suppressAutoHyphens/>
            <w:ind w:left="4535"/>
            <w:rPr>
              <w:color w:val="000000"/>
            </w:rPr>
          </w:pPr>
          <w:r>
            <w:rPr>
              <w:color w:val="000000"/>
            </w:rPr>
            <w:br w:type="page"/>
            <w:t xml:space="preserve">Sveikatos priežiūros įstaigų informacinių </w:t>
          </w:r>
        </w:p>
        <w:p>
          <w:pPr>
            <w:widowControl w:val="0"/>
            <w:suppressAutoHyphens/>
            <w:ind w:left="4535"/>
            <w:rPr>
              <w:color w:val="000000"/>
            </w:rPr>
          </w:pPr>
          <w:r>
            <w:rPr>
              <w:color w:val="000000"/>
            </w:rPr>
            <w:t xml:space="preserve">sistemų susiejimo su e. sveikatos paslaugų ir </w:t>
          </w:r>
        </w:p>
        <w:p>
          <w:pPr>
            <w:widowControl w:val="0"/>
            <w:suppressAutoHyphens/>
            <w:ind w:left="4535"/>
            <w:rPr>
              <w:color w:val="000000"/>
            </w:rPr>
          </w:pPr>
          <w:r>
            <w:rPr>
              <w:color w:val="000000"/>
            </w:rPr>
            <w:t xml:space="preserve">bendradarbiavimo infrastruktūra reikalavimų ir </w:t>
          </w:r>
        </w:p>
        <w:p>
          <w:pPr>
            <w:widowControl w:val="0"/>
            <w:suppressAutoHyphens/>
            <w:ind w:left="4535"/>
            <w:rPr>
              <w:color w:val="000000"/>
            </w:rPr>
          </w:pPr>
          <w:r>
            <w:rPr>
              <w:color w:val="000000"/>
            </w:rPr>
            <w:t>techninių sąlygų</w:t>
          </w:r>
        </w:p>
        <w:p>
          <w:pPr>
            <w:widowControl w:val="0"/>
            <w:suppressAutoHyphens/>
            <w:ind w:left="4535"/>
            <w:rPr>
              <w:color w:val="000000"/>
            </w:rPr>
          </w:pPr>
          <w:sdt>
            <w:sdtPr>
              <w:alias w:val="Numeris"/>
              <w:tag w:val="nr_0685e0e68716443ab2e320cc5c5f7732"/>
              <w:lock w:val="sdtLocked"/>
              <w:richText/>
            </w:sdtPr>
            <w:sdtContent>
              <w:r>
                <w:rPr>
                  <w:color w:val="000000"/>
                </w:rPr>
                <w:t>1</w:t>
              </w:r>
            </w:sdtContent>
          </w:sdt>
          <w:r>
            <w:rPr>
              <w:color w:val="000000"/>
            </w:rPr>
            <w:t xml:space="preserve"> priedas</w:t>
          </w:r>
        </w:p>
        <w:p>
          <w:pPr>
            <w:widowControl w:val="0"/>
            <w:suppressAutoHyphens/>
            <w:ind w:firstLine="567"/>
            <w:jc w:val="both"/>
            <w:rPr>
              <w:color w:val="000000"/>
            </w:rPr>
          </w:pPr>
        </w:p>
        <w:p>
          <w:pPr>
            <w:widowControl w:val="0"/>
            <w:suppressAutoHyphens/>
            <w:jc w:val="center"/>
            <w:rPr>
              <w:b/>
              <w:bCs/>
              <w:caps/>
              <w:color w:val="000000"/>
            </w:rPr>
          </w:pPr>
          <w:sdt>
            <w:sdtPr>
              <w:alias w:val="Pavadinimas"/>
              <w:tag w:val="title_0685e0e68716443ab2e320cc5c5f7732"/>
              <w:lock w:val="sdtLocked"/>
              <w:richText/>
            </w:sdtPr>
            <w:sdtContent>
              <w:r>
                <w:rPr>
                  <w:b/>
                  <w:bCs/>
                  <w:caps/>
                  <w:color w:val="000000"/>
                </w:rPr>
                <w:t>Įvykių sąrašas</w:t>
              </w:r>
            </w:sdtContent>
          </w:sdt>
        </w:p>
        <w:p>
          <w:pPr>
            <w:widowControl w:val="0"/>
            <w:suppressAutoHyphens/>
            <w:ind w:firstLine="567"/>
            <w:jc w:val="both"/>
            <w:rPr>
              <w:color w:val="000000"/>
            </w:rPr>
          </w:pPr>
        </w:p>
        <w:tbl>
          <w:tblPr>
            <w:tblW w:w="9070" w:type="dxa"/>
            <w:tblLayout w:type="fixed"/>
            <w:tblCellMar>
              <w:left w:w="0" w:type="dxa"/>
              <w:right w:w="0" w:type="dxa"/>
            </w:tblCellMar>
            <w:tblLook w:val="0000" w:firstRow="0" w:lastRow="0" w:firstColumn="0" w:lastColumn="0" w:noHBand="0" w:noVBand="0"/>
          </w:tblPr>
          <w:tblGrid>
            <w:gridCol w:w="1377"/>
            <w:gridCol w:w="4021"/>
            <w:gridCol w:w="1839"/>
            <w:gridCol w:w="1833"/>
          </w:tblGrid>
          <w:tr>
            <w:trPr>
              <w:trHeight w:val="60"/>
            </w:trPr>
            <w:tc>
              <w:tcPr>
                <w:tcW w:w="137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b/>
                    <w:bCs/>
                    <w:color w:val="000000"/>
                  </w:rPr>
                  <w:t>Įvykio numeris</w:t>
                </w:r>
              </w:p>
            </w:tc>
            <w:tc>
              <w:tcPr>
                <w:tcW w:w="402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jc w:val="center"/>
                  <w:rPr>
                    <w:color w:val="000000"/>
                  </w:rPr>
                </w:pPr>
                <w:r>
                  <w:rPr>
                    <w:b/>
                    <w:bCs/>
                    <w:color w:val="000000"/>
                  </w:rPr>
                  <w:t>Įvykio pavadinimas</w:t>
                </w:r>
              </w:p>
            </w:tc>
            <w:tc>
              <w:tcPr>
                <w:tcW w:w="18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jc w:val="center"/>
                  <w:rPr>
                    <w:color w:val="000000"/>
                  </w:rPr>
                </w:pPr>
                <w:r>
                  <w:rPr>
                    <w:b/>
                    <w:bCs/>
                    <w:color w:val="000000"/>
                  </w:rPr>
                  <w:t>Aplinka, kurioje dirbama</w:t>
                </w:r>
              </w:p>
            </w:tc>
            <w:tc>
              <w:tcPr>
                <w:tcW w:w="183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jc w:val="center"/>
                  <w:rPr>
                    <w:color w:val="000000"/>
                  </w:rPr>
                </w:pPr>
                <w:r>
                  <w:rPr>
                    <w:b/>
                    <w:bCs/>
                    <w:color w:val="000000"/>
                  </w:rPr>
                  <w:t>Perdavimo forma</w:t>
                </w:r>
              </w:p>
            </w:tc>
          </w:tr>
          <w:tr>
            <w:trPr>
              <w:trHeight w:val="60"/>
            </w:trPr>
            <w:tc>
              <w:tcPr>
                <w:tcW w:w="137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jc w:val="center"/>
                  <w:rPr>
                    <w:color w:val="000000"/>
                  </w:rPr>
                </w:pPr>
                <w:r>
                  <w:rPr>
                    <w:color w:val="000000"/>
                  </w:rPr>
                  <w:t>1.</w:t>
                </w:r>
              </w:p>
            </w:tc>
            <w:tc>
              <w:tcPr>
                <w:tcW w:w="402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Prisirašymas prie PASPĮ ir (ar) prie PSC</w:t>
                </w:r>
              </w:p>
            </w:tc>
            <w:tc>
              <w:tcPr>
                <w:tcW w:w="18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Integruotas ESPBI IS komponentas</w:t>
                </w:r>
              </w:p>
            </w:tc>
            <w:tc>
              <w:tcPr>
                <w:tcW w:w="183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Duomenys</w:t>
                </w:r>
              </w:p>
            </w:tc>
          </w:tr>
          <w:tr>
            <w:trPr>
              <w:trHeight w:val="60"/>
            </w:trPr>
            <w:tc>
              <w:tcPr>
                <w:tcW w:w="137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2.</w:t>
                </w:r>
              </w:p>
            </w:tc>
            <w:tc>
              <w:tcPr>
                <w:tcW w:w="402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Atvykimas į SPĮ gauti ambulatorinių paslaugų</w:t>
                </w:r>
              </w:p>
            </w:tc>
            <w:tc>
              <w:tcPr>
                <w:tcW w:w="18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Integruotas ESPBI IS komponentas</w:t>
                </w:r>
              </w:p>
            </w:tc>
            <w:tc>
              <w:tcPr>
                <w:tcW w:w="183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Duomenys</w:t>
                </w:r>
              </w:p>
            </w:tc>
          </w:tr>
          <w:tr>
            <w:trPr>
              <w:trHeight w:val="60"/>
            </w:trPr>
            <w:tc>
              <w:tcPr>
                <w:tcW w:w="137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3.</w:t>
                </w:r>
              </w:p>
            </w:tc>
            <w:tc>
              <w:tcPr>
                <w:tcW w:w="402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Ambulatorinės paslaugos suteikimas (apsilankymas)</w:t>
                </w:r>
              </w:p>
            </w:tc>
            <w:tc>
              <w:tcPr>
                <w:tcW w:w="18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SPĮ IS</w:t>
                </w:r>
              </w:p>
            </w:tc>
            <w:tc>
              <w:tcPr>
                <w:tcW w:w="183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Dokumentas, duomenys</w:t>
                </w:r>
              </w:p>
            </w:tc>
          </w:tr>
          <w:tr>
            <w:trPr>
              <w:trHeight w:val="60"/>
            </w:trPr>
            <w:tc>
              <w:tcPr>
                <w:tcW w:w="137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4.</w:t>
                </w:r>
              </w:p>
            </w:tc>
            <w:tc>
              <w:tcPr>
                <w:tcW w:w="402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Paskyrimo (siuntimo) atlikti laboratorinį / instrumentinį ar kitą tyrimą sukūrimas</w:t>
                </w:r>
              </w:p>
            </w:tc>
            <w:tc>
              <w:tcPr>
                <w:tcW w:w="18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Integruotas ESPBI IS komponentas</w:t>
                </w:r>
              </w:p>
            </w:tc>
            <w:tc>
              <w:tcPr>
                <w:tcW w:w="183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Dokumentas, duomenys</w:t>
                </w:r>
              </w:p>
            </w:tc>
          </w:tr>
          <w:tr>
            <w:trPr>
              <w:trHeight w:val="60"/>
            </w:trPr>
            <w:tc>
              <w:tcPr>
                <w:tcW w:w="137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5.</w:t>
                </w:r>
              </w:p>
            </w:tc>
            <w:tc>
              <w:tcPr>
                <w:tcW w:w="402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Atsakymo / rezultatų apie laboratorinį / instrumentinį ar kitą tyrimą pateikimas</w:t>
                </w:r>
              </w:p>
            </w:tc>
            <w:tc>
              <w:tcPr>
                <w:tcW w:w="18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SPĮ IS</w:t>
                </w:r>
              </w:p>
            </w:tc>
            <w:tc>
              <w:tcPr>
                <w:tcW w:w="183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Dokumentas, duomenys</w:t>
                </w:r>
              </w:p>
            </w:tc>
          </w:tr>
          <w:tr>
            <w:trPr>
              <w:trHeight w:val="60"/>
            </w:trPr>
            <w:tc>
              <w:tcPr>
                <w:tcW w:w="137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6.</w:t>
                </w:r>
              </w:p>
            </w:tc>
            <w:tc>
              <w:tcPr>
                <w:tcW w:w="402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Recepto išrašymas</w:t>
                </w:r>
              </w:p>
            </w:tc>
            <w:tc>
              <w:tcPr>
                <w:tcW w:w="18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Integruotas ESPBI IS komponentas</w:t>
                </w:r>
              </w:p>
            </w:tc>
            <w:tc>
              <w:tcPr>
                <w:tcW w:w="183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Dokumentas, duomenys</w:t>
                </w:r>
              </w:p>
            </w:tc>
          </w:tr>
          <w:tr>
            <w:trPr>
              <w:trHeight w:val="60"/>
            </w:trPr>
            <w:tc>
              <w:tcPr>
                <w:tcW w:w="137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7.</w:t>
                </w:r>
              </w:p>
            </w:tc>
            <w:tc>
              <w:tcPr>
                <w:tcW w:w="402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Vaistinio preparato ir (ar) kompensuojamosios medicinos pagalbos priemonės išdavimas (pardavimas) (inicijuojamas vaistinėse)</w:t>
                </w:r>
              </w:p>
            </w:tc>
            <w:tc>
              <w:tcPr>
                <w:tcW w:w="18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Integruotas ESPBI IS komponentas</w:t>
                </w:r>
              </w:p>
            </w:tc>
            <w:tc>
              <w:tcPr>
                <w:tcW w:w="183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Duomenys</w:t>
                </w:r>
              </w:p>
            </w:tc>
          </w:tr>
          <w:tr>
            <w:trPr>
              <w:trHeight w:val="60"/>
            </w:trPr>
            <w:tc>
              <w:tcPr>
                <w:tcW w:w="137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8.</w:t>
                </w:r>
              </w:p>
            </w:tc>
            <w:tc>
              <w:tcPr>
                <w:tcW w:w="402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Siuntimo gauti asmens sveikatos priežiūros paslaugų sukūrimas</w:t>
                </w:r>
              </w:p>
            </w:tc>
            <w:tc>
              <w:tcPr>
                <w:tcW w:w="18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Integruotas ESPBI IS komponentas</w:t>
                </w:r>
              </w:p>
            </w:tc>
            <w:tc>
              <w:tcPr>
                <w:tcW w:w="183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Dokumentas, duomenys</w:t>
                </w:r>
              </w:p>
            </w:tc>
          </w:tr>
          <w:tr>
            <w:trPr>
              <w:trHeight w:val="60"/>
            </w:trPr>
            <w:tc>
              <w:tcPr>
                <w:tcW w:w="137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9.</w:t>
                </w:r>
              </w:p>
            </w:tc>
            <w:tc>
              <w:tcPr>
                <w:tcW w:w="402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Atsakymo su ambulatorinės paslaugos rezultatais ir (ar) išvada pateikimas</w:t>
                </w:r>
              </w:p>
            </w:tc>
            <w:tc>
              <w:tcPr>
                <w:tcW w:w="18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Integruotas ESPBI IS komponentas</w:t>
                </w:r>
              </w:p>
            </w:tc>
            <w:tc>
              <w:tcPr>
                <w:tcW w:w="183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Dokumentas, duomenys</w:t>
                </w:r>
              </w:p>
            </w:tc>
          </w:tr>
          <w:tr>
            <w:trPr>
              <w:trHeight w:val="60"/>
            </w:trPr>
            <w:tc>
              <w:tcPr>
                <w:tcW w:w="137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10.</w:t>
                </w:r>
              </w:p>
            </w:tc>
            <w:tc>
              <w:tcPr>
                <w:tcW w:w="402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Ambulatorinės paslaugos epizodo užbaigimas</w:t>
                </w:r>
              </w:p>
            </w:tc>
            <w:tc>
              <w:tcPr>
                <w:tcW w:w="18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SPĮ IS</w:t>
                </w:r>
              </w:p>
            </w:tc>
            <w:tc>
              <w:tcPr>
                <w:tcW w:w="183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Dokumentas, duomenys</w:t>
                </w:r>
              </w:p>
            </w:tc>
          </w:tr>
          <w:tr>
            <w:trPr>
              <w:trHeight w:val="60"/>
            </w:trPr>
            <w:tc>
              <w:tcPr>
                <w:tcW w:w="137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11.</w:t>
                </w:r>
              </w:p>
            </w:tc>
            <w:tc>
              <w:tcPr>
                <w:tcW w:w="402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Atvykimas į stacionaro priėmimo-skubiosios pagalbos skyrių</w:t>
                </w:r>
              </w:p>
            </w:tc>
            <w:tc>
              <w:tcPr>
                <w:tcW w:w="18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Integruotas ESPBI IS komponentas</w:t>
                </w:r>
              </w:p>
            </w:tc>
            <w:tc>
              <w:tcPr>
                <w:tcW w:w="183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Duomenys</w:t>
                </w:r>
              </w:p>
            </w:tc>
          </w:tr>
          <w:tr>
            <w:trPr>
              <w:trHeight w:val="60"/>
            </w:trPr>
            <w:tc>
              <w:tcPr>
                <w:tcW w:w="137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jc w:val="center"/>
                  <w:rPr>
                    <w:color w:val="000000"/>
                  </w:rPr>
                </w:pPr>
                <w:r>
                  <w:rPr>
                    <w:color w:val="000000"/>
                  </w:rPr>
                  <w:t>12.</w:t>
                </w:r>
              </w:p>
            </w:tc>
            <w:tc>
              <w:tcPr>
                <w:tcW w:w="402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Išvykimas iš stacionaro priėmimo-skubiosios pagalbos skyriaus</w:t>
                </w:r>
              </w:p>
            </w:tc>
            <w:tc>
              <w:tcPr>
                <w:tcW w:w="18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SPĮ IS</w:t>
                </w:r>
              </w:p>
            </w:tc>
            <w:tc>
              <w:tcPr>
                <w:tcW w:w="183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Dokumentas, duomenys</w:t>
                </w:r>
              </w:p>
            </w:tc>
          </w:tr>
          <w:tr>
            <w:trPr>
              <w:trHeight w:val="60"/>
            </w:trPr>
            <w:tc>
              <w:tcPr>
                <w:tcW w:w="137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jc w:val="center"/>
                  <w:rPr>
                    <w:color w:val="000000"/>
                  </w:rPr>
                </w:pPr>
                <w:r>
                  <w:rPr>
                    <w:color w:val="000000"/>
                  </w:rPr>
                  <w:t>13.</w:t>
                </w:r>
              </w:p>
            </w:tc>
            <w:tc>
              <w:tcPr>
                <w:tcW w:w="402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Atvykimas į stacionarą</w:t>
                </w:r>
              </w:p>
            </w:tc>
            <w:tc>
              <w:tcPr>
                <w:tcW w:w="18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SPĮ IS</w:t>
                </w:r>
              </w:p>
            </w:tc>
            <w:tc>
              <w:tcPr>
                <w:tcW w:w="183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Duomenys</w:t>
                </w:r>
              </w:p>
            </w:tc>
          </w:tr>
          <w:tr>
            <w:trPr>
              <w:trHeight w:val="60"/>
            </w:trPr>
            <w:tc>
              <w:tcPr>
                <w:tcW w:w="137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14.</w:t>
                </w:r>
              </w:p>
            </w:tc>
            <w:tc>
              <w:tcPr>
                <w:tcW w:w="402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Stacionarinio gydymo etapo pradžia / duomenų sukūrimas</w:t>
                </w:r>
              </w:p>
            </w:tc>
            <w:tc>
              <w:tcPr>
                <w:tcW w:w="18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SPĮ IS</w:t>
                </w:r>
              </w:p>
            </w:tc>
            <w:tc>
              <w:tcPr>
                <w:tcW w:w="183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Duomenys</w:t>
                </w:r>
              </w:p>
            </w:tc>
          </w:tr>
          <w:tr>
            <w:trPr>
              <w:trHeight w:val="60"/>
            </w:trPr>
            <w:tc>
              <w:tcPr>
                <w:tcW w:w="137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jc w:val="center"/>
                  <w:rPr>
                    <w:color w:val="000000"/>
                  </w:rPr>
                </w:pPr>
                <w:r>
                  <w:rPr>
                    <w:color w:val="000000"/>
                  </w:rPr>
                  <w:t>15.</w:t>
                </w:r>
              </w:p>
            </w:tc>
            <w:tc>
              <w:tcPr>
                <w:tcW w:w="402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Medicininės intervencijos ar procedūros atlikimas</w:t>
                </w:r>
              </w:p>
            </w:tc>
            <w:tc>
              <w:tcPr>
                <w:tcW w:w="18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SPĮ IS</w:t>
                </w:r>
              </w:p>
            </w:tc>
            <w:tc>
              <w:tcPr>
                <w:tcW w:w="183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Dokumentas, duomenys</w:t>
                </w:r>
              </w:p>
            </w:tc>
          </w:tr>
          <w:tr>
            <w:trPr>
              <w:trHeight w:val="60"/>
            </w:trPr>
            <w:tc>
              <w:tcPr>
                <w:tcW w:w="137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16.</w:t>
                </w:r>
              </w:p>
            </w:tc>
            <w:tc>
              <w:tcPr>
                <w:tcW w:w="402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Stacionarinės paslaugos etapo užbaigimas</w:t>
                </w:r>
              </w:p>
            </w:tc>
            <w:tc>
              <w:tcPr>
                <w:tcW w:w="18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SPĮ IS</w:t>
                </w:r>
              </w:p>
            </w:tc>
            <w:tc>
              <w:tcPr>
                <w:tcW w:w="183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Dokumentas, duomenys</w:t>
                </w:r>
              </w:p>
            </w:tc>
          </w:tr>
          <w:tr>
            <w:trPr>
              <w:trHeight w:val="60"/>
            </w:trPr>
            <w:tc>
              <w:tcPr>
                <w:tcW w:w="137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17.</w:t>
                </w:r>
              </w:p>
            </w:tc>
            <w:tc>
              <w:tcPr>
                <w:tcW w:w="402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Išvykimas (mirtis) iš stacionaro</w:t>
                </w:r>
              </w:p>
            </w:tc>
            <w:tc>
              <w:tcPr>
                <w:tcW w:w="18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SPĮ IS</w:t>
                </w:r>
              </w:p>
            </w:tc>
            <w:tc>
              <w:tcPr>
                <w:tcW w:w="183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Dokumentas, duomenys</w:t>
                </w:r>
              </w:p>
            </w:tc>
          </w:tr>
          <w:tr>
            <w:trPr>
              <w:trHeight w:val="60"/>
            </w:trPr>
            <w:tc>
              <w:tcPr>
                <w:tcW w:w="137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18.</w:t>
                </w:r>
              </w:p>
            </w:tc>
            <w:tc>
              <w:tcPr>
                <w:tcW w:w="402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Dienos stacionaro paslaugų teikimas</w:t>
                </w:r>
              </w:p>
            </w:tc>
            <w:tc>
              <w:tcPr>
                <w:tcW w:w="18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SPĮ IS</w:t>
                </w:r>
              </w:p>
            </w:tc>
            <w:tc>
              <w:tcPr>
                <w:tcW w:w="183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Dokumentas, duomenys</w:t>
                </w:r>
              </w:p>
            </w:tc>
          </w:tr>
          <w:tr>
            <w:trPr>
              <w:trHeight w:val="60"/>
            </w:trPr>
            <w:tc>
              <w:tcPr>
                <w:tcW w:w="137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19.</w:t>
                </w:r>
              </w:p>
            </w:tc>
            <w:tc>
              <w:tcPr>
                <w:tcW w:w="402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Dienos chirurgijos paslaugų teikimas</w:t>
                </w:r>
              </w:p>
            </w:tc>
            <w:tc>
              <w:tcPr>
                <w:tcW w:w="18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SPĮ IS</w:t>
                </w:r>
              </w:p>
            </w:tc>
            <w:tc>
              <w:tcPr>
                <w:tcW w:w="183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Dokumentas, duomenys</w:t>
                </w:r>
              </w:p>
            </w:tc>
          </w:tr>
          <w:tr>
            <w:trPr>
              <w:trHeight w:val="60"/>
            </w:trPr>
            <w:tc>
              <w:tcPr>
                <w:tcW w:w="137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20.</w:t>
                </w:r>
              </w:p>
            </w:tc>
            <w:tc>
              <w:tcPr>
                <w:tcW w:w="402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Administracinių duomenų fiksavimas (pvz., lovadieniai, draustumo duomenys, DRG ir kt.)</w:t>
                </w:r>
              </w:p>
            </w:tc>
            <w:tc>
              <w:tcPr>
                <w:tcW w:w="18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SPĮ IS</w:t>
                </w:r>
              </w:p>
            </w:tc>
            <w:tc>
              <w:tcPr>
                <w:tcW w:w="183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Duomenys</w:t>
                </w:r>
              </w:p>
            </w:tc>
          </w:tr>
          <w:tr>
            <w:trPr>
              <w:trHeight w:val="60"/>
            </w:trPr>
            <w:tc>
              <w:tcPr>
                <w:tcW w:w="137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21.</w:t>
                </w:r>
              </w:p>
            </w:tc>
            <w:tc>
              <w:tcPr>
                <w:tcW w:w="402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Profilaktinių skiepijimų (imunoprofilaktikos) registravimas</w:t>
                </w:r>
              </w:p>
            </w:tc>
            <w:tc>
              <w:tcPr>
                <w:tcW w:w="18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Integruotas ESPBI IS komponentas</w:t>
                </w:r>
              </w:p>
            </w:tc>
            <w:tc>
              <w:tcPr>
                <w:tcW w:w="183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Dokumentas, duomenys</w:t>
                </w:r>
              </w:p>
            </w:tc>
          </w:tr>
          <w:tr>
            <w:trPr>
              <w:trHeight w:val="60"/>
            </w:trPr>
            <w:tc>
              <w:tcPr>
                <w:tcW w:w="137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22.</w:t>
                </w:r>
              </w:p>
            </w:tc>
            <w:tc>
              <w:tcPr>
                <w:tcW w:w="402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Profilaktinių tikrinimų registravimas</w:t>
                </w:r>
              </w:p>
            </w:tc>
            <w:tc>
              <w:tcPr>
                <w:tcW w:w="18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Integruotas ESPBI IS komponentas</w:t>
                </w:r>
              </w:p>
            </w:tc>
            <w:tc>
              <w:tcPr>
                <w:tcW w:w="183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Dokumentas, duomenys</w:t>
                </w:r>
              </w:p>
            </w:tc>
          </w:tr>
          <w:tr>
            <w:trPr>
              <w:trHeight w:val="60"/>
            </w:trPr>
            <w:tc>
              <w:tcPr>
                <w:tcW w:w="137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23.</w:t>
                </w:r>
              </w:p>
            </w:tc>
            <w:tc>
              <w:tcPr>
                <w:tcW w:w="402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Medicinos dokumentų išdavimas (pažymų, išrašų, epikrizių ir pan.)</w:t>
                </w:r>
              </w:p>
            </w:tc>
            <w:tc>
              <w:tcPr>
                <w:tcW w:w="18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Integruotas ESPBI IS komponentas</w:t>
                </w:r>
              </w:p>
            </w:tc>
            <w:tc>
              <w:tcPr>
                <w:tcW w:w="183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Dokumentas, duomenys</w:t>
                </w:r>
              </w:p>
            </w:tc>
          </w:tr>
        </w:tbl>
        <w:p>
          <w:pPr>
            <w:widowControl w:val="0"/>
            <w:suppressAutoHyphens/>
            <w:ind w:firstLine="567"/>
            <w:jc w:val="both"/>
            <w:rPr>
              <w:color w:val="000000"/>
            </w:rPr>
          </w:pPr>
        </w:p>
        <w:p>
          <w:pPr>
            <w:widowControl w:val="0"/>
            <w:suppressAutoHyphens/>
            <w:ind w:firstLine="567"/>
            <w:jc w:val="both"/>
            <w:rPr>
              <w:color w:val="000000"/>
            </w:rPr>
          </w:pPr>
          <w:r>
            <w:rPr>
              <w:color w:val="000000"/>
              <w:u w:val="single"/>
            </w:rPr>
            <w:t>Pastaba.</w:t>
          </w:r>
          <w:r>
            <w:rPr>
              <w:color w:val="000000"/>
            </w:rPr>
            <w:t xml:space="preserve"> Kiekvienam iš lentelėje nurodytų įvykių pasibaigus sukuriami arba surenkami apibrėžti duomenų rinkiniai, kurie, naudojant HTTPS ir SOAP protokolus, turi būti perduoti ir (arba) išsaugoti ESPBI IS.</w:t>
          </w:r>
        </w:p>
        <w:p>
          <w:pPr>
            <w:widowControl w:val="0"/>
            <w:suppressAutoHyphens/>
            <w:ind w:firstLine="567"/>
            <w:jc w:val="both"/>
            <w:rPr>
              <w:color w:val="000000"/>
            </w:rPr>
          </w:pPr>
        </w:p>
        <w:sdt>
          <w:sdtPr>
            <w:alias w:val="pabaiga"/>
            <w:tag w:val="part_d47d971862de400aa27a78be16816ca2"/>
            <w:lock w:val="sdtLocked"/>
            <w:richText/>
          </w:sdtPr>
          <w:sdtContent>
            <w:p>
              <w:pPr>
                <w:widowControl w:val="0"/>
                <w:suppressAutoHyphens/>
                <w:jc w:val="center"/>
                <w:rPr>
                  <w:color w:val="000000"/>
                </w:rPr>
              </w:pPr>
              <w:r>
                <w:rPr>
                  <w:color w:val="000000"/>
                </w:rPr>
                <w:t>_________________</w:t>
              </w:r>
            </w:p>
            <w:p>
              <w:pPr>
                <w:widowControl w:val="0"/>
                <w:suppressAutoHyphens/>
                <w:ind w:firstLine="567"/>
                <w:jc w:val="both"/>
              </w:pPr>
            </w:p>
          </w:sdtContent>
        </w:sdt>
      </w:sdtContent>
    </w:sdt>
    <w:sdt>
      <w:sdtPr>
        <w:alias w:val="2 pr."/>
        <w:tag w:val="part_04bd9329374c40b7be2c77bfa844a0a4"/>
        <w:lock w:val="sdtLocked"/>
        <w:richText/>
      </w:sdtPr>
      <w:sdtContent>
        <w:p>
          <w:pPr>
            <w:widowControl w:val="0"/>
            <w:suppressAutoHyphens/>
            <w:ind w:left="4535"/>
            <w:rPr>
              <w:color w:val="000000"/>
            </w:rPr>
          </w:pPr>
          <w:r>
            <w:rPr>
              <w:color w:val="000000"/>
            </w:rPr>
            <w:br w:type="page"/>
            <w:t xml:space="preserve">Sveikatos priežiūros įstaigų informacinių </w:t>
          </w:r>
        </w:p>
        <w:p>
          <w:pPr>
            <w:widowControl w:val="0"/>
            <w:suppressAutoHyphens/>
            <w:ind w:left="4535"/>
            <w:rPr>
              <w:color w:val="000000"/>
            </w:rPr>
          </w:pPr>
          <w:r>
            <w:rPr>
              <w:color w:val="000000"/>
            </w:rPr>
            <w:t xml:space="preserve">sistemų susiejimo su e. sveikatos paslaugų ir </w:t>
          </w:r>
        </w:p>
        <w:p>
          <w:pPr>
            <w:widowControl w:val="0"/>
            <w:suppressAutoHyphens/>
            <w:ind w:left="4535"/>
            <w:rPr>
              <w:color w:val="000000"/>
            </w:rPr>
          </w:pPr>
          <w:r>
            <w:rPr>
              <w:color w:val="000000"/>
            </w:rPr>
            <w:t xml:space="preserve">bendradarbiavimo infrastruktūra reikalavimų ir </w:t>
          </w:r>
        </w:p>
        <w:p>
          <w:pPr>
            <w:widowControl w:val="0"/>
            <w:suppressAutoHyphens/>
            <w:ind w:left="4535"/>
            <w:rPr>
              <w:color w:val="000000"/>
            </w:rPr>
          </w:pPr>
          <w:r>
            <w:rPr>
              <w:color w:val="000000"/>
            </w:rPr>
            <w:t>techninių sąlygų</w:t>
          </w:r>
        </w:p>
        <w:p>
          <w:pPr>
            <w:widowControl w:val="0"/>
            <w:suppressAutoHyphens/>
            <w:ind w:left="4535"/>
            <w:rPr>
              <w:color w:val="000000"/>
            </w:rPr>
          </w:pPr>
          <w:sdt>
            <w:sdtPr>
              <w:alias w:val="Numeris"/>
              <w:tag w:val="nr_04bd9329374c40b7be2c77bfa844a0a4"/>
              <w:lock w:val="sdtLocked"/>
              <w:richText/>
            </w:sdtPr>
            <w:sdtContent>
              <w:r>
                <w:rPr>
                  <w:color w:val="000000"/>
                </w:rPr>
                <w:t>2</w:t>
              </w:r>
            </w:sdtContent>
          </w:sdt>
          <w:r>
            <w:rPr>
              <w:color w:val="000000"/>
            </w:rPr>
            <w:t xml:space="preserve"> priedas</w:t>
          </w:r>
        </w:p>
        <w:p>
          <w:pPr>
            <w:widowControl w:val="0"/>
            <w:suppressAutoHyphens/>
            <w:ind w:firstLine="567"/>
            <w:jc w:val="both"/>
            <w:rPr>
              <w:color w:val="000000"/>
            </w:rPr>
          </w:pPr>
        </w:p>
        <w:p>
          <w:pPr>
            <w:widowControl w:val="0"/>
            <w:suppressAutoHyphens/>
            <w:jc w:val="center"/>
            <w:rPr>
              <w:b/>
              <w:bCs/>
              <w:caps/>
              <w:color w:val="000000"/>
            </w:rPr>
          </w:pPr>
          <w:sdt>
            <w:sdtPr>
              <w:alias w:val="Pavadinimas"/>
              <w:tag w:val="title_04bd9329374c40b7be2c77bfa844a0a4"/>
              <w:lock w:val="sdtLocked"/>
              <w:richText/>
            </w:sdtPr>
            <w:sdtContent>
              <w:r>
                <w:rPr>
                  <w:b/>
                  <w:bCs/>
                  <w:caps/>
                  <w:color w:val="000000"/>
                </w:rPr>
                <w:t>Statistikos apskaitos formų, naudojamų duomenų mainams su ESPBI IS, sąrašas</w:t>
              </w:r>
            </w:sdtContent>
          </w:sdt>
        </w:p>
        <w:p>
          <w:pPr>
            <w:widowControl w:val="0"/>
            <w:suppressAutoHyphens/>
            <w:ind w:firstLine="567"/>
            <w:jc w:val="both"/>
            <w:rPr>
              <w:color w:val="000000"/>
            </w:rPr>
          </w:pPr>
        </w:p>
        <w:tbl>
          <w:tblPr>
            <w:tblW w:w="9070" w:type="dxa"/>
            <w:tblLayout w:type="fixed"/>
            <w:tblCellMar>
              <w:left w:w="0" w:type="dxa"/>
              <w:right w:w="0" w:type="dxa"/>
            </w:tblCellMar>
            <w:tblLook w:val="0000" w:firstRow="0" w:lastRow="0" w:firstColumn="0" w:lastColumn="0" w:noHBand="0" w:noVBand="0"/>
          </w:tblPr>
          <w:tblGrid>
            <w:gridCol w:w="875"/>
            <w:gridCol w:w="2819"/>
            <w:gridCol w:w="56"/>
            <w:gridCol w:w="4715"/>
            <w:gridCol w:w="120"/>
            <w:gridCol w:w="485"/>
          </w:tblGrid>
          <w:tr>
            <w:trPr>
              <w:trHeight w:val="62"/>
            </w:trPr>
            <w:tc>
              <w:tcPr>
                <w:tcW w:w="875" w:type="dxa"/>
                <w:tcBorders>
                  <w:top w:val="single" w:sz="4" w:space="0" w:color="auto"/>
                  <w:left w:val="single" w:sz="4" w:space="0" w:color="auto"/>
                  <w:bottom w:val="single" w:sz="4" w:space="0" w:color="000000"/>
                  <w:right w:val="single" w:sz="4" w:space="0" w:color="000000"/>
                </w:tcBorders>
                <w:tcMar>
                  <w:top w:w="40" w:type="dxa"/>
                  <w:left w:w="57" w:type="dxa"/>
                  <w:bottom w:w="40" w:type="dxa"/>
                  <w:right w:w="57" w:type="dxa"/>
                </w:tcMar>
                <w:vAlign w:val="center"/>
              </w:tcPr>
              <w:p>
                <w:pPr>
                  <w:widowControl w:val="0"/>
                  <w:suppressAutoHyphens/>
                  <w:jc w:val="right"/>
                  <w:rPr>
                    <w:color w:val="000000"/>
                    <w:sz w:val="22"/>
                    <w:szCs w:val="22"/>
                  </w:rPr>
                </w:pPr>
                <w:r>
                  <w:rPr>
                    <w:b/>
                    <w:bCs/>
                    <w:color w:val="000000"/>
                    <w:sz w:val="22"/>
                    <w:szCs w:val="22"/>
                  </w:rPr>
                  <w:t>1.</w:t>
                </w:r>
              </w:p>
            </w:tc>
            <w:tc>
              <w:tcPr>
                <w:tcW w:w="8195" w:type="dxa"/>
                <w:gridSpan w:val="5"/>
                <w:tcBorders>
                  <w:top w:val="single" w:sz="4" w:space="0" w:color="auto"/>
                  <w:left w:val="single" w:sz="4" w:space="0" w:color="000000"/>
                  <w:bottom w:val="single" w:sz="4" w:space="0" w:color="000000"/>
                  <w:right w:val="single" w:sz="4" w:space="0" w:color="auto"/>
                </w:tcBorders>
                <w:tcMar>
                  <w:top w:w="40" w:type="dxa"/>
                  <w:left w:w="57" w:type="dxa"/>
                  <w:bottom w:w="40" w:type="dxa"/>
                  <w:right w:w="57" w:type="dxa"/>
                </w:tcMar>
                <w:vAlign w:val="center"/>
              </w:tcPr>
              <w:p>
                <w:pPr>
                  <w:widowControl w:val="0"/>
                  <w:suppressAutoHyphens/>
                  <w:rPr>
                    <w:color w:val="000000"/>
                    <w:sz w:val="22"/>
                    <w:szCs w:val="22"/>
                  </w:rPr>
                </w:pPr>
                <w:r>
                  <w:rPr>
                    <w:b/>
                    <w:bCs/>
                    <w:color w:val="000000"/>
                    <w:sz w:val="22"/>
                    <w:szCs w:val="22"/>
                  </w:rPr>
                  <w:t xml:space="preserve">STACIONARINES PASLAUGAS TEIKIANČIOS ĮSTAIGOS </w:t>
                </w:r>
              </w:p>
            </w:tc>
          </w:tr>
          <w:tr>
            <w:trPr>
              <w:trHeight w:val="62"/>
            </w:trPr>
            <w:tc>
              <w:tcPr>
                <w:tcW w:w="875" w:type="dxa"/>
                <w:tcBorders>
                  <w:top w:val="single" w:sz="4" w:space="0" w:color="000000"/>
                  <w:left w:val="single" w:sz="4" w:space="0" w:color="auto"/>
                  <w:bottom w:val="single" w:sz="4" w:space="0" w:color="000000"/>
                  <w:right w:val="single" w:sz="4" w:space="0" w:color="000000"/>
                </w:tcBorders>
                <w:tcMar>
                  <w:top w:w="40" w:type="dxa"/>
                  <w:left w:w="57" w:type="dxa"/>
                  <w:bottom w:w="40" w:type="dxa"/>
                  <w:right w:w="57" w:type="dxa"/>
                </w:tcMar>
                <w:vAlign w:val="center"/>
              </w:tcPr>
              <w:p>
                <w:pPr>
                  <w:widowControl w:val="0"/>
                  <w:suppressAutoHyphens/>
                  <w:jc w:val="right"/>
                  <w:rPr>
                    <w:color w:val="000000"/>
                    <w:sz w:val="22"/>
                    <w:szCs w:val="22"/>
                  </w:rPr>
                </w:pPr>
                <w:r>
                  <w:rPr>
                    <w:b/>
                    <w:bCs/>
                    <w:color w:val="000000"/>
                    <w:sz w:val="22"/>
                    <w:szCs w:val="22"/>
                  </w:rPr>
                  <w:t>1.1.</w:t>
                </w:r>
              </w:p>
            </w:tc>
            <w:tc>
              <w:tcPr>
                <w:tcW w:w="8195" w:type="dxa"/>
                <w:gridSpan w:val="5"/>
                <w:tcBorders>
                  <w:top w:val="single" w:sz="4" w:space="0" w:color="000000"/>
                  <w:left w:val="single" w:sz="4" w:space="0" w:color="000000"/>
                  <w:bottom w:val="single" w:sz="4" w:space="0" w:color="000000"/>
                  <w:right w:val="single" w:sz="4" w:space="0" w:color="auto"/>
                </w:tcBorders>
                <w:tcMar>
                  <w:top w:w="40" w:type="dxa"/>
                  <w:left w:w="57" w:type="dxa"/>
                  <w:bottom w:w="40" w:type="dxa"/>
                  <w:right w:w="57" w:type="dxa"/>
                </w:tcMar>
                <w:vAlign w:val="center"/>
              </w:tcPr>
              <w:p>
                <w:pPr>
                  <w:widowControl w:val="0"/>
                  <w:suppressAutoHyphens/>
                  <w:rPr>
                    <w:color w:val="000000"/>
                    <w:sz w:val="22"/>
                    <w:szCs w:val="22"/>
                  </w:rPr>
                </w:pPr>
                <w:r>
                  <w:rPr>
                    <w:b/>
                    <w:bCs/>
                    <w:color w:val="000000"/>
                    <w:sz w:val="22"/>
                    <w:szCs w:val="22"/>
                  </w:rPr>
                  <w:t xml:space="preserve">Bendros formos visų veiklos sričių stacionarams </w:t>
                </w:r>
              </w:p>
            </w:tc>
          </w:tr>
          <w:tr>
            <w:trPr>
              <w:trHeight w:val="62"/>
            </w:trPr>
            <w:tc>
              <w:tcPr>
                <w:tcW w:w="875" w:type="dxa"/>
                <w:tcBorders>
                  <w:top w:val="single" w:sz="4" w:space="0" w:color="000000"/>
                  <w:left w:val="single" w:sz="4" w:space="0" w:color="auto"/>
                  <w:bottom w:val="single" w:sz="4" w:space="0" w:color="000000"/>
                  <w:right w:val="single" w:sz="4" w:space="0" w:color="000000"/>
                </w:tcBorders>
                <w:tcMar>
                  <w:top w:w="40" w:type="dxa"/>
                  <w:left w:w="57" w:type="dxa"/>
                  <w:bottom w:w="40" w:type="dxa"/>
                  <w:right w:w="57" w:type="dxa"/>
                </w:tcMar>
                <w:vAlign w:val="center"/>
              </w:tcPr>
              <w:p>
                <w:pPr>
                  <w:widowControl w:val="0"/>
                  <w:suppressAutoHyphens/>
                  <w:jc w:val="right"/>
                  <w:rPr>
                    <w:color w:val="000000"/>
                    <w:sz w:val="22"/>
                    <w:szCs w:val="22"/>
                  </w:rPr>
                </w:pPr>
                <w:r>
                  <w:rPr>
                    <w:b/>
                    <w:bCs/>
                    <w:color w:val="000000"/>
                    <w:sz w:val="22"/>
                    <w:szCs w:val="22"/>
                  </w:rPr>
                  <w:t>1.1.1.</w:t>
                </w:r>
              </w:p>
            </w:tc>
            <w:tc>
              <w:tcPr>
                <w:tcW w:w="8195" w:type="dxa"/>
                <w:gridSpan w:val="5"/>
                <w:tcBorders>
                  <w:top w:val="single" w:sz="4" w:space="0" w:color="000000"/>
                  <w:left w:val="single" w:sz="4" w:space="0" w:color="000000"/>
                  <w:bottom w:val="single" w:sz="4" w:space="0" w:color="000000"/>
                  <w:right w:val="single" w:sz="4" w:space="0" w:color="auto"/>
                </w:tcBorders>
                <w:tcMar>
                  <w:top w:w="40" w:type="dxa"/>
                  <w:left w:w="57" w:type="dxa"/>
                  <w:bottom w:w="40" w:type="dxa"/>
                  <w:right w:w="57" w:type="dxa"/>
                </w:tcMar>
                <w:vAlign w:val="center"/>
              </w:tcPr>
              <w:p>
                <w:pPr>
                  <w:widowControl w:val="0"/>
                  <w:suppressAutoHyphens/>
                  <w:rPr>
                    <w:color w:val="000000"/>
                    <w:sz w:val="22"/>
                    <w:szCs w:val="22"/>
                  </w:rPr>
                </w:pPr>
                <w:r>
                  <w:rPr>
                    <w:b/>
                    <w:bCs/>
                    <w:color w:val="000000"/>
                    <w:sz w:val="22"/>
                    <w:szCs w:val="22"/>
                  </w:rPr>
                  <w:t xml:space="preserve">Pagrindinė medicinos dokumentacija </w:t>
                </w:r>
              </w:p>
            </w:tc>
          </w:tr>
          <w:tr>
            <w:trPr>
              <w:trHeight w:val="62"/>
            </w:trPr>
            <w:tc>
              <w:tcPr>
                <w:tcW w:w="875" w:type="dxa"/>
                <w:tcBorders>
                  <w:top w:val="single" w:sz="4" w:space="0" w:color="000000"/>
                  <w:left w:val="single" w:sz="4" w:space="0" w:color="auto"/>
                  <w:bottom w:val="single" w:sz="4" w:space="0" w:color="000000"/>
                  <w:right w:val="single" w:sz="4" w:space="0" w:color="000000"/>
                </w:tcBorders>
                <w:tcMar>
                  <w:top w:w="40" w:type="dxa"/>
                  <w:left w:w="57" w:type="dxa"/>
                  <w:bottom w:w="40" w:type="dxa"/>
                  <w:right w:w="57" w:type="dxa"/>
                </w:tcMar>
                <w:vAlign w:val="center"/>
              </w:tcPr>
              <w:p>
                <w:pPr>
                  <w:widowControl w:val="0"/>
                  <w:suppressAutoHyphens/>
                  <w:jc w:val="right"/>
                  <w:rPr>
                    <w:color w:val="000000"/>
                    <w:sz w:val="22"/>
                    <w:szCs w:val="22"/>
                  </w:rPr>
                </w:pPr>
                <w:r>
                  <w:rPr>
                    <w:color w:val="000000"/>
                    <w:sz w:val="22"/>
                    <w:szCs w:val="22"/>
                  </w:rPr>
                  <w:t>1.1.1.1.</w:t>
                </w:r>
              </w:p>
            </w:tc>
            <w:tc>
              <w:tcPr>
                <w:tcW w:w="2875" w:type="dxa"/>
                <w:gridSpan w:val="2"/>
                <w:tcBorders>
                  <w:top w:val="single" w:sz="4" w:space="0" w:color="000000"/>
                  <w:left w:val="single" w:sz="4" w:space="0" w:color="000000"/>
                  <w:bottom w:val="single" w:sz="4" w:space="0" w:color="000000"/>
                  <w:right w:val="single" w:sz="4" w:space="0" w:color="auto"/>
                </w:tcBorders>
                <w:tcMar>
                  <w:top w:w="40" w:type="dxa"/>
                  <w:left w:w="57" w:type="dxa"/>
                  <w:bottom w:w="40" w:type="dxa"/>
                  <w:right w:w="57" w:type="dxa"/>
                </w:tcMar>
                <w:vAlign w:val="center"/>
              </w:tcPr>
              <w:p>
                <w:pPr>
                  <w:widowControl w:val="0"/>
                  <w:suppressAutoHyphens/>
                  <w:rPr>
                    <w:color w:val="000000"/>
                    <w:sz w:val="22"/>
                    <w:szCs w:val="22"/>
                  </w:rPr>
                </w:pPr>
                <w:r>
                  <w:rPr>
                    <w:color w:val="000000"/>
                    <w:sz w:val="22"/>
                    <w:szCs w:val="22"/>
                    <w:u w:val="thick"/>
                  </w:rPr>
                  <w:t xml:space="preserve">003/a </w:t>
                </w:r>
              </w:p>
            </w:tc>
            <w:tc>
              <w:tcPr>
                <w:tcW w:w="5320" w:type="dxa"/>
                <w:gridSpan w:val="3"/>
                <w:tcBorders>
                  <w:top w:val="single" w:sz="4" w:space="0" w:color="000000"/>
                  <w:left w:val="single" w:sz="4" w:space="0" w:color="auto"/>
                  <w:bottom w:val="single" w:sz="4" w:space="0" w:color="000000"/>
                  <w:right w:val="single" w:sz="4" w:space="0" w:color="auto"/>
                </w:tcBorders>
                <w:tcMar>
                  <w:top w:w="40" w:type="dxa"/>
                  <w:left w:w="57" w:type="dxa"/>
                  <w:bottom w:w="40" w:type="dxa"/>
                  <w:right w:w="57" w:type="dxa"/>
                </w:tcMar>
                <w:vAlign w:val="center"/>
              </w:tcPr>
              <w:p>
                <w:pPr>
                  <w:widowControl w:val="0"/>
                  <w:suppressAutoHyphens/>
                  <w:rPr>
                    <w:color w:val="000000"/>
                    <w:sz w:val="22"/>
                    <w:szCs w:val="22"/>
                  </w:rPr>
                </w:pPr>
                <w:r>
                  <w:rPr>
                    <w:color w:val="000000"/>
                    <w:sz w:val="22"/>
                    <w:szCs w:val="22"/>
                  </w:rPr>
                  <w:t xml:space="preserve">Gydymo stacionare ligos istorija </w:t>
                </w:r>
              </w:p>
            </w:tc>
          </w:tr>
          <w:tr>
            <w:trPr>
              <w:trHeight w:val="62"/>
            </w:trPr>
            <w:tc>
              <w:tcPr>
                <w:tcW w:w="875" w:type="dxa"/>
                <w:tcBorders>
                  <w:top w:val="single" w:sz="4" w:space="0" w:color="000000"/>
                  <w:left w:val="single" w:sz="4" w:space="0" w:color="auto"/>
                  <w:bottom w:val="single" w:sz="4" w:space="0" w:color="000000"/>
                  <w:right w:val="single" w:sz="4" w:space="0" w:color="000000"/>
                </w:tcBorders>
                <w:tcMar>
                  <w:top w:w="40" w:type="dxa"/>
                  <w:left w:w="57" w:type="dxa"/>
                  <w:bottom w:w="40" w:type="dxa"/>
                  <w:right w:w="57" w:type="dxa"/>
                </w:tcMar>
                <w:vAlign w:val="center"/>
              </w:tcPr>
              <w:p>
                <w:pPr>
                  <w:widowControl w:val="0"/>
                  <w:suppressAutoHyphens/>
                  <w:jc w:val="right"/>
                  <w:rPr>
                    <w:color w:val="000000"/>
                    <w:sz w:val="22"/>
                    <w:szCs w:val="22"/>
                  </w:rPr>
                </w:pPr>
                <w:r>
                  <w:rPr>
                    <w:color w:val="000000"/>
                    <w:sz w:val="22"/>
                    <w:szCs w:val="22"/>
                  </w:rPr>
                  <w:t>1.1.1.2.</w:t>
                </w:r>
              </w:p>
            </w:tc>
            <w:tc>
              <w:tcPr>
                <w:tcW w:w="2875" w:type="dxa"/>
                <w:gridSpan w:val="2"/>
                <w:tcBorders>
                  <w:top w:val="single" w:sz="4" w:space="0" w:color="000000"/>
                  <w:left w:val="single" w:sz="4" w:space="0" w:color="000000"/>
                  <w:bottom w:val="single" w:sz="4" w:space="0" w:color="000000"/>
                  <w:right w:val="single" w:sz="4" w:space="0" w:color="auto"/>
                </w:tcBorders>
                <w:tcMar>
                  <w:top w:w="40" w:type="dxa"/>
                  <w:left w:w="57" w:type="dxa"/>
                  <w:bottom w:w="40" w:type="dxa"/>
                  <w:right w:w="57" w:type="dxa"/>
                </w:tcMar>
                <w:vAlign w:val="center"/>
              </w:tcPr>
              <w:p>
                <w:pPr>
                  <w:widowControl w:val="0"/>
                  <w:suppressAutoHyphens/>
                  <w:rPr>
                    <w:color w:val="000000"/>
                    <w:sz w:val="22"/>
                    <w:szCs w:val="22"/>
                  </w:rPr>
                </w:pPr>
                <w:r>
                  <w:rPr>
                    <w:color w:val="000000"/>
                    <w:sz w:val="22"/>
                    <w:szCs w:val="22"/>
                    <w:u w:val="thick"/>
                  </w:rPr>
                  <w:t xml:space="preserve">003-2/a </w:t>
                </w:r>
              </w:p>
            </w:tc>
            <w:tc>
              <w:tcPr>
                <w:tcW w:w="5320" w:type="dxa"/>
                <w:gridSpan w:val="3"/>
                <w:tcBorders>
                  <w:top w:val="single" w:sz="4" w:space="0" w:color="000000"/>
                  <w:left w:val="single" w:sz="4" w:space="0" w:color="auto"/>
                  <w:bottom w:val="single" w:sz="4" w:space="0" w:color="000000"/>
                  <w:right w:val="single" w:sz="4" w:space="0" w:color="auto"/>
                </w:tcBorders>
                <w:tcMar>
                  <w:top w:w="40" w:type="dxa"/>
                  <w:left w:w="57" w:type="dxa"/>
                  <w:bottom w:w="40" w:type="dxa"/>
                  <w:right w:w="57" w:type="dxa"/>
                </w:tcMar>
                <w:vAlign w:val="center"/>
              </w:tcPr>
              <w:p>
                <w:pPr>
                  <w:widowControl w:val="0"/>
                  <w:suppressAutoHyphens/>
                  <w:rPr>
                    <w:color w:val="000000"/>
                    <w:sz w:val="22"/>
                    <w:szCs w:val="22"/>
                  </w:rPr>
                </w:pPr>
                <w:r>
                  <w:rPr>
                    <w:color w:val="000000"/>
                    <w:sz w:val="22"/>
                    <w:szCs w:val="22"/>
                  </w:rPr>
                  <w:t xml:space="preserve">Dienos stacionaro ligonio kortelė </w:t>
                </w:r>
              </w:p>
            </w:tc>
          </w:tr>
          <w:tr>
            <w:trPr>
              <w:trHeight w:val="62"/>
            </w:trPr>
            <w:tc>
              <w:tcPr>
                <w:tcW w:w="875" w:type="dxa"/>
                <w:tcBorders>
                  <w:top w:val="single" w:sz="4" w:space="0" w:color="000000"/>
                  <w:left w:val="single" w:sz="4" w:space="0" w:color="auto"/>
                  <w:bottom w:val="single" w:sz="4" w:space="0" w:color="000000"/>
                  <w:right w:val="single" w:sz="4" w:space="0" w:color="000000"/>
                </w:tcBorders>
                <w:tcMar>
                  <w:top w:w="40" w:type="dxa"/>
                  <w:left w:w="57" w:type="dxa"/>
                  <w:bottom w:w="40" w:type="dxa"/>
                  <w:right w:w="57" w:type="dxa"/>
                </w:tcMar>
                <w:vAlign w:val="center"/>
              </w:tcPr>
              <w:p>
                <w:pPr>
                  <w:widowControl w:val="0"/>
                  <w:suppressAutoHyphens/>
                  <w:jc w:val="right"/>
                  <w:rPr>
                    <w:color w:val="000000"/>
                    <w:sz w:val="22"/>
                    <w:szCs w:val="22"/>
                  </w:rPr>
                </w:pPr>
                <w:r>
                  <w:rPr>
                    <w:color w:val="000000"/>
                    <w:sz w:val="22"/>
                    <w:szCs w:val="22"/>
                  </w:rPr>
                  <w:t>1.1.1.3.</w:t>
                </w:r>
              </w:p>
            </w:tc>
            <w:tc>
              <w:tcPr>
                <w:tcW w:w="2875" w:type="dxa"/>
                <w:gridSpan w:val="2"/>
                <w:tcBorders>
                  <w:top w:val="single" w:sz="4" w:space="0" w:color="000000"/>
                  <w:left w:val="single" w:sz="4" w:space="0" w:color="000000"/>
                  <w:bottom w:val="single" w:sz="4" w:space="0" w:color="000000"/>
                  <w:right w:val="single" w:sz="4" w:space="0" w:color="auto"/>
                </w:tcBorders>
                <w:tcMar>
                  <w:top w:w="40" w:type="dxa"/>
                  <w:left w:w="57" w:type="dxa"/>
                  <w:bottom w:w="40" w:type="dxa"/>
                  <w:right w:w="57" w:type="dxa"/>
                </w:tcMar>
                <w:vAlign w:val="center"/>
              </w:tcPr>
              <w:p>
                <w:pPr>
                  <w:widowControl w:val="0"/>
                  <w:suppressAutoHyphens/>
                  <w:rPr>
                    <w:color w:val="000000"/>
                    <w:sz w:val="22"/>
                    <w:szCs w:val="22"/>
                  </w:rPr>
                </w:pPr>
                <w:r>
                  <w:rPr>
                    <w:color w:val="000000"/>
                    <w:sz w:val="22"/>
                    <w:szCs w:val="22"/>
                    <w:u w:val="thick"/>
                  </w:rPr>
                  <w:t xml:space="preserve">003-4/a </w:t>
                </w:r>
              </w:p>
            </w:tc>
            <w:tc>
              <w:tcPr>
                <w:tcW w:w="5320" w:type="dxa"/>
                <w:gridSpan w:val="3"/>
                <w:tcBorders>
                  <w:top w:val="single" w:sz="4" w:space="0" w:color="000000"/>
                  <w:left w:val="single" w:sz="4" w:space="0" w:color="auto"/>
                  <w:bottom w:val="single" w:sz="4" w:space="0" w:color="000000"/>
                  <w:right w:val="single" w:sz="4" w:space="0" w:color="auto"/>
                </w:tcBorders>
                <w:tcMar>
                  <w:top w:w="40" w:type="dxa"/>
                  <w:left w:w="57" w:type="dxa"/>
                  <w:bottom w:w="40" w:type="dxa"/>
                  <w:right w:w="57" w:type="dxa"/>
                </w:tcMar>
                <w:vAlign w:val="center"/>
              </w:tcPr>
              <w:p>
                <w:pPr>
                  <w:widowControl w:val="0"/>
                  <w:suppressAutoHyphens/>
                  <w:rPr>
                    <w:color w:val="000000"/>
                    <w:sz w:val="22"/>
                    <w:szCs w:val="22"/>
                  </w:rPr>
                </w:pPr>
                <w:r>
                  <w:rPr>
                    <w:color w:val="000000"/>
                    <w:sz w:val="22"/>
                    <w:szCs w:val="22"/>
                  </w:rPr>
                  <w:t xml:space="preserve">Gydytojo paskyrimai </w:t>
                </w:r>
              </w:p>
            </w:tc>
          </w:tr>
          <w:tr>
            <w:trPr>
              <w:trHeight w:val="62"/>
            </w:trPr>
            <w:tc>
              <w:tcPr>
                <w:tcW w:w="875" w:type="dxa"/>
                <w:tcBorders>
                  <w:top w:val="single" w:sz="4" w:space="0" w:color="000000"/>
                  <w:left w:val="single" w:sz="4" w:space="0" w:color="auto"/>
                  <w:bottom w:val="single" w:sz="4" w:space="0" w:color="000000"/>
                  <w:right w:val="single" w:sz="4" w:space="0" w:color="000000"/>
                </w:tcBorders>
                <w:tcMar>
                  <w:top w:w="40" w:type="dxa"/>
                  <w:left w:w="57" w:type="dxa"/>
                  <w:bottom w:w="40" w:type="dxa"/>
                  <w:right w:w="57" w:type="dxa"/>
                </w:tcMar>
                <w:vAlign w:val="center"/>
              </w:tcPr>
              <w:p>
                <w:pPr>
                  <w:widowControl w:val="0"/>
                  <w:suppressAutoHyphens/>
                  <w:jc w:val="right"/>
                  <w:rPr>
                    <w:color w:val="000000"/>
                    <w:sz w:val="22"/>
                    <w:szCs w:val="22"/>
                  </w:rPr>
                </w:pPr>
                <w:r>
                  <w:rPr>
                    <w:b/>
                    <w:bCs/>
                    <w:color w:val="000000"/>
                    <w:sz w:val="22"/>
                    <w:szCs w:val="22"/>
                  </w:rPr>
                  <w:t>1.1.2.</w:t>
                </w:r>
              </w:p>
            </w:tc>
            <w:tc>
              <w:tcPr>
                <w:tcW w:w="7710" w:type="dxa"/>
                <w:gridSpan w:val="4"/>
                <w:tcBorders>
                  <w:top w:val="single" w:sz="4" w:space="0" w:color="000000"/>
                  <w:left w:val="single" w:sz="4" w:space="0" w:color="000000"/>
                  <w:bottom w:val="single" w:sz="4" w:space="0" w:color="000000"/>
                </w:tcBorders>
                <w:tcMar>
                  <w:top w:w="40" w:type="dxa"/>
                  <w:left w:w="57" w:type="dxa"/>
                  <w:bottom w:w="40" w:type="dxa"/>
                  <w:right w:w="57" w:type="dxa"/>
                </w:tcMar>
                <w:vAlign w:val="center"/>
              </w:tcPr>
              <w:p>
                <w:pPr>
                  <w:widowControl w:val="0"/>
                  <w:suppressAutoHyphens/>
                  <w:rPr>
                    <w:color w:val="000000"/>
                    <w:sz w:val="22"/>
                    <w:szCs w:val="22"/>
                  </w:rPr>
                </w:pPr>
                <w:r>
                  <w:rPr>
                    <w:b/>
                    <w:bCs/>
                    <w:color w:val="000000"/>
                    <w:sz w:val="22"/>
                    <w:szCs w:val="22"/>
                  </w:rPr>
                  <w:t xml:space="preserve">Įstaigų veiklos ir pacientų apskaitos formos </w:t>
                </w:r>
              </w:p>
            </w:tc>
            <w:tc>
              <w:tcPr>
                <w:tcW w:w="485" w:type="dxa"/>
                <w:tcBorders>
                  <w:top w:val="single" w:sz="4" w:space="0" w:color="000000"/>
                  <w:left w:val="nil"/>
                  <w:bottom w:val="single" w:sz="4" w:space="0" w:color="000000"/>
                  <w:right w:val="single" w:sz="4" w:space="0" w:color="auto"/>
                </w:tcBorders>
                <w:vAlign w:val="center"/>
              </w:tcPr>
              <w:p>
                <w:pPr>
                  <w:widowControl w:val="0"/>
                  <w:suppressAutoHyphens/>
                  <w:rPr>
                    <w:color w:val="000000"/>
                    <w:sz w:val="22"/>
                    <w:szCs w:val="22"/>
                  </w:rPr>
                </w:pPr>
              </w:p>
            </w:tc>
          </w:tr>
          <w:tr>
            <w:trPr>
              <w:trHeight w:val="62"/>
            </w:trPr>
            <w:tc>
              <w:tcPr>
                <w:tcW w:w="875" w:type="dxa"/>
                <w:tcBorders>
                  <w:top w:val="single" w:sz="4" w:space="0" w:color="000000"/>
                  <w:left w:val="single" w:sz="4" w:space="0" w:color="auto"/>
                  <w:bottom w:val="single" w:sz="4" w:space="0" w:color="000000"/>
                  <w:right w:val="single" w:sz="4" w:space="0" w:color="000000"/>
                </w:tcBorders>
                <w:tcMar>
                  <w:top w:w="40" w:type="dxa"/>
                  <w:left w:w="57" w:type="dxa"/>
                  <w:bottom w:w="40" w:type="dxa"/>
                  <w:right w:w="57" w:type="dxa"/>
                </w:tcMar>
                <w:vAlign w:val="center"/>
              </w:tcPr>
              <w:p>
                <w:pPr>
                  <w:widowControl w:val="0"/>
                  <w:suppressAutoHyphens/>
                  <w:jc w:val="right"/>
                  <w:rPr>
                    <w:color w:val="000000"/>
                    <w:sz w:val="22"/>
                    <w:szCs w:val="22"/>
                  </w:rPr>
                </w:pPr>
                <w:r>
                  <w:rPr>
                    <w:color w:val="000000"/>
                    <w:sz w:val="22"/>
                    <w:szCs w:val="22"/>
                  </w:rPr>
                  <w:t>1.1.2.1.</w:t>
                </w:r>
              </w:p>
            </w:tc>
            <w:tc>
              <w:tcPr>
                <w:tcW w:w="2875" w:type="dxa"/>
                <w:gridSpan w:val="2"/>
                <w:tcBorders>
                  <w:top w:val="single" w:sz="4" w:space="0" w:color="000000"/>
                  <w:left w:val="single" w:sz="4" w:space="0" w:color="000000"/>
                  <w:bottom w:val="single" w:sz="4" w:space="0" w:color="000000"/>
                  <w:right w:val="single" w:sz="4" w:space="0" w:color="auto"/>
                </w:tcBorders>
                <w:tcMar>
                  <w:top w:w="40" w:type="dxa"/>
                  <w:left w:w="57" w:type="dxa"/>
                  <w:bottom w:w="40" w:type="dxa"/>
                  <w:right w:w="57" w:type="dxa"/>
                </w:tcMar>
                <w:vAlign w:val="center"/>
              </w:tcPr>
              <w:p>
                <w:pPr>
                  <w:widowControl w:val="0"/>
                  <w:suppressAutoHyphens/>
                  <w:rPr>
                    <w:color w:val="000000"/>
                    <w:sz w:val="22"/>
                    <w:szCs w:val="22"/>
                  </w:rPr>
                </w:pPr>
                <w:r>
                  <w:rPr>
                    <w:color w:val="000000"/>
                    <w:sz w:val="22"/>
                    <w:szCs w:val="22"/>
                    <w:u w:val="thick"/>
                  </w:rPr>
                  <w:t xml:space="preserve">066/a-LK </w:t>
                </w:r>
              </w:p>
            </w:tc>
            <w:tc>
              <w:tcPr>
                <w:tcW w:w="5320" w:type="dxa"/>
                <w:gridSpan w:val="3"/>
                <w:tcBorders>
                  <w:top w:val="single" w:sz="4" w:space="0" w:color="000000"/>
                  <w:left w:val="single" w:sz="4" w:space="0" w:color="auto"/>
                  <w:bottom w:val="single" w:sz="4" w:space="0" w:color="000000"/>
                  <w:right w:val="single" w:sz="4" w:space="0" w:color="auto"/>
                </w:tcBorders>
                <w:tcMar>
                  <w:top w:w="40" w:type="dxa"/>
                  <w:left w:w="57" w:type="dxa"/>
                  <w:bottom w:w="40" w:type="dxa"/>
                  <w:right w:w="57" w:type="dxa"/>
                </w:tcMar>
                <w:vAlign w:val="center"/>
              </w:tcPr>
              <w:p>
                <w:pPr>
                  <w:widowControl w:val="0"/>
                  <w:suppressAutoHyphens/>
                  <w:rPr>
                    <w:color w:val="000000"/>
                    <w:sz w:val="22"/>
                    <w:szCs w:val="22"/>
                  </w:rPr>
                </w:pPr>
                <w:r>
                  <w:rPr>
                    <w:color w:val="000000"/>
                    <w:sz w:val="22"/>
                    <w:szCs w:val="22"/>
                  </w:rPr>
                  <w:t xml:space="preserve">Išrašyto iš stacionaro asmens statistinė kortelė </w:t>
                </w:r>
              </w:p>
            </w:tc>
          </w:tr>
          <w:tr>
            <w:trPr>
              <w:trHeight w:val="62"/>
            </w:trPr>
            <w:tc>
              <w:tcPr>
                <w:tcW w:w="875" w:type="dxa"/>
                <w:tcBorders>
                  <w:top w:val="single" w:sz="4" w:space="0" w:color="000000"/>
                  <w:left w:val="single" w:sz="4" w:space="0" w:color="auto"/>
                  <w:bottom w:val="single" w:sz="4" w:space="0" w:color="000000"/>
                  <w:right w:val="single" w:sz="4" w:space="0" w:color="000000"/>
                </w:tcBorders>
                <w:tcMar>
                  <w:top w:w="40" w:type="dxa"/>
                  <w:left w:w="57" w:type="dxa"/>
                  <w:bottom w:w="40" w:type="dxa"/>
                  <w:right w:w="57" w:type="dxa"/>
                </w:tcMar>
                <w:vAlign w:val="center"/>
              </w:tcPr>
              <w:p>
                <w:pPr>
                  <w:widowControl w:val="0"/>
                  <w:suppressAutoHyphens/>
                  <w:jc w:val="right"/>
                  <w:rPr>
                    <w:color w:val="000000"/>
                    <w:sz w:val="22"/>
                    <w:szCs w:val="22"/>
                  </w:rPr>
                </w:pPr>
                <w:r>
                  <w:rPr>
                    <w:b/>
                    <w:bCs/>
                    <w:color w:val="000000"/>
                    <w:sz w:val="22"/>
                    <w:szCs w:val="22"/>
                  </w:rPr>
                  <w:t>1.2.</w:t>
                </w:r>
              </w:p>
            </w:tc>
            <w:tc>
              <w:tcPr>
                <w:tcW w:w="7710" w:type="dxa"/>
                <w:gridSpan w:val="4"/>
                <w:tcBorders>
                  <w:top w:val="single" w:sz="4" w:space="0" w:color="000000"/>
                  <w:left w:val="single" w:sz="4" w:space="0" w:color="000000"/>
                  <w:bottom w:val="single" w:sz="4" w:space="0" w:color="000000"/>
                </w:tcBorders>
                <w:tcMar>
                  <w:top w:w="40" w:type="dxa"/>
                  <w:left w:w="57" w:type="dxa"/>
                  <w:bottom w:w="40" w:type="dxa"/>
                  <w:right w:w="57" w:type="dxa"/>
                </w:tcMar>
                <w:vAlign w:val="center"/>
              </w:tcPr>
              <w:p>
                <w:pPr>
                  <w:widowControl w:val="0"/>
                  <w:suppressAutoHyphens/>
                  <w:rPr>
                    <w:color w:val="000000"/>
                    <w:sz w:val="22"/>
                    <w:szCs w:val="22"/>
                  </w:rPr>
                </w:pPr>
                <w:r>
                  <w:rPr>
                    <w:b/>
                    <w:bCs/>
                    <w:color w:val="000000"/>
                    <w:sz w:val="22"/>
                    <w:szCs w:val="22"/>
                  </w:rPr>
                  <w:t xml:space="preserve">Specializuota veikla </w:t>
                </w:r>
              </w:p>
            </w:tc>
            <w:tc>
              <w:tcPr>
                <w:tcW w:w="485" w:type="dxa"/>
                <w:tcBorders>
                  <w:top w:val="single" w:sz="4" w:space="0" w:color="000000"/>
                  <w:left w:val="nil"/>
                  <w:bottom w:val="single" w:sz="4" w:space="0" w:color="000000"/>
                  <w:right w:val="single" w:sz="4" w:space="0" w:color="auto"/>
                </w:tcBorders>
                <w:vAlign w:val="center"/>
              </w:tcPr>
              <w:p>
                <w:pPr>
                  <w:widowControl w:val="0"/>
                  <w:suppressAutoHyphens/>
                  <w:rPr>
                    <w:color w:val="000000"/>
                    <w:sz w:val="22"/>
                    <w:szCs w:val="22"/>
                  </w:rPr>
                </w:pPr>
              </w:p>
            </w:tc>
          </w:tr>
          <w:tr>
            <w:trPr>
              <w:trHeight w:val="62"/>
            </w:trPr>
            <w:tc>
              <w:tcPr>
                <w:tcW w:w="875" w:type="dxa"/>
                <w:tcBorders>
                  <w:top w:val="single" w:sz="4" w:space="0" w:color="000000"/>
                  <w:left w:val="single" w:sz="4" w:space="0" w:color="auto"/>
                  <w:bottom w:val="single" w:sz="4" w:space="0" w:color="000000"/>
                  <w:right w:val="single" w:sz="4" w:space="0" w:color="000000"/>
                </w:tcBorders>
                <w:tcMar>
                  <w:top w:w="40" w:type="dxa"/>
                  <w:left w:w="57" w:type="dxa"/>
                  <w:bottom w:w="40" w:type="dxa"/>
                  <w:right w:w="57" w:type="dxa"/>
                </w:tcMar>
                <w:vAlign w:val="center"/>
              </w:tcPr>
              <w:p>
                <w:pPr>
                  <w:widowControl w:val="0"/>
                  <w:suppressAutoHyphens/>
                  <w:jc w:val="right"/>
                  <w:rPr>
                    <w:color w:val="000000"/>
                    <w:sz w:val="22"/>
                    <w:szCs w:val="22"/>
                  </w:rPr>
                </w:pPr>
                <w:r>
                  <w:rPr>
                    <w:b/>
                    <w:bCs/>
                    <w:color w:val="000000"/>
                    <w:sz w:val="22"/>
                    <w:szCs w:val="22"/>
                  </w:rPr>
                  <w:t>1.2.1.</w:t>
                </w:r>
              </w:p>
            </w:tc>
            <w:tc>
              <w:tcPr>
                <w:tcW w:w="7710" w:type="dxa"/>
                <w:gridSpan w:val="4"/>
                <w:tcBorders>
                  <w:top w:val="single" w:sz="4" w:space="0" w:color="000000"/>
                  <w:left w:val="single" w:sz="4" w:space="0" w:color="000000"/>
                  <w:bottom w:val="single" w:sz="4" w:space="0" w:color="000000"/>
                </w:tcBorders>
                <w:tcMar>
                  <w:top w:w="40" w:type="dxa"/>
                  <w:left w:w="57" w:type="dxa"/>
                  <w:bottom w:w="40" w:type="dxa"/>
                  <w:right w:w="57" w:type="dxa"/>
                </w:tcMar>
                <w:vAlign w:val="center"/>
              </w:tcPr>
              <w:p>
                <w:pPr>
                  <w:widowControl w:val="0"/>
                  <w:suppressAutoHyphens/>
                  <w:rPr>
                    <w:color w:val="000000"/>
                    <w:sz w:val="22"/>
                    <w:szCs w:val="22"/>
                  </w:rPr>
                </w:pPr>
                <w:r>
                  <w:rPr>
                    <w:b/>
                    <w:bCs/>
                    <w:color w:val="000000"/>
                    <w:sz w:val="22"/>
                    <w:szCs w:val="22"/>
                  </w:rPr>
                  <w:t xml:space="preserve">Akušerija-ginekologija </w:t>
                </w:r>
              </w:p>
            </w:tc>
            <w:tc>
              <w:tcPr>
                <w:tcW w:w="485" w:type="dxa"/>
                <w:tcBorders>
                  <w:top w:val="single" w:sz="4" w:space="0" w:color="000000"/>
                  <w:left w:val="nil"/>
                  <w:bottom w:val="single" w:sz="4" w:space="0" w:color="000000"/>
                  <w:right w:val="single" w:sz="4" w:space="0" w:color="auto"/>
                </w:tcBorders>
                <w:vAlign w:val="center"/>
              </w:tcPr>
              <w:p>
                <w:pPr>
                  <w:widowControl w:val="0"/>
                  <w:suppressAutoHyphens/>
                  <w:rPr>
                    <w:color w:val="000000"/>
                    <w:sz w:val="22"/>
                    <w:szCs w:val="22"/>
                  </w:rPr>
                </w:pPr>
              </w:p>
            </w:tc>
          </w:tr>
          <w:tr>
            <w:trPr>
              <w:trHeight w:val="62"/>
            </w:trPr>
            <w:tc>
              <w:tcPr>
                <w:tcW w:w="875" w:type="dxa"/>
                <w:tcBorders>
                  <w:top w:val="single" w:sz="4" w:space="0" w:color="000000"/>
                  <w:left w:val="single" w:sz="4" w:space="0" w:color="auto"/>
                  <w:bottom w:val="single" w:sz="4" w:space="0" w:color="000000"/>
                  <w:right w:val="single" w:sz="4" w:space="0" w:color="000000"/>
                </w:tcBorders>
                <w:tcMar>
                  <w:top w:w="40" w:type="dxa"/>
                  <w:left w:w="57" w:type="dxa"/>
                  <w:bottom w:w="40" w:type="dxa"/>
                  <w:right w:w="57" w:type="dxa"/>
                </w:tcMar>
                <w:vAlign w:val="center"/>
              </w:tcPr>
              <w:p>
                <w:pPr>
                  <w:widowControl w:val="0"/>
                  <w:suppressAutoHyphens/>
                  <w:jc w:val="right"/>
                  <w:rPr>
                    <w:color w:val="000000"/>
                    <w:sz w:val="22"/>
                    <w:szCs w:val="22"/>
                  </w:rPr>
                </w:pPr>
                <w:r>
                  <w:rPr>
                    <w:color w:val="000000"/>
                    <w:sz w:val="22"/>
                    <w:szCs w:val="22"/>
                  </w:rPr>
                  <w:t>1.2.1.1.</w:t>
                </w:r>
              </w:p>
            </w:tc>
            <w:tc>
              <w:tcPr>
                <w:tcW w:w="2875" w:type="dxa"/>
                <w:gridSpan w:val="2"/>
                <w:tcBorders>
                  <w:top w:val="single" w:sz="4" w:space="0" w:color="000000"/>
                  <w:left w:val="single" w:sz="4" w:space="0" w:color="000000"/>
                  <w:bottom w:val="single" w:sz="4" w:space="0" w:color="000000"/>
                  <w:right w:val="single" w:sz="4" w:space="0" w:color="auto"/>
                </w:tcBorders>
                <w:tcMar>
                  <w:top w:w="40" w:type="dxa"/>
                  <w:left w:w="57" w:type="dxa"/>
                  <w:bottom w:w="40" w:type="dxa"/>
                  <w:right w:w="57" w:type="dxa"/>
                </w:tcMar>
                <w:vAlign w:val="center"/>
              </w:tcPr>
              <w:p>
                <w:pPr>
                  <w:widowControl w:val="0"/>
                  <w:suppressAutoHyphens/>
                  <w:rPr>
                    <w:color w:val="000000"/>
                    <w:sz w:val="22"/>
                    <w:szCs w:val="22"/>
                  </w:rPr>
                </w:pPr>
                <w:r>
                  <w:rPr>
                    <w:color w:val="000000"/>
                    <w:sz w:val="22"/>
                    <w:szCs w:val="22"/>
                    <w:u w:val="thick"/>
                  </w:rPr>
                  <w:t xml:space="preserve">003-1/a </w:t>
                </w:r>
              </w:p>
            </w:tc>
            <w:tc>
              <w:tcPr>
                <w:tcW w:w="5320" w:type="dxa"/>
                <w:gridSpan w:val="3"/>
                <w:tcBorders>
                  <w:top w:val="single" w:sz="4" w:space="0" w:color="000000"/>
                  <w:left w:val="single" w:sz="4" w:space="0" w:color="auto"/>
                  <w:bottom w:val="single" w:sz="4" w:space="0" w:color="000000"/>
                  <w:right w:val="single" w:sz="4" w:space="0" w:color="auto"/>
                </w:tcBorders>
                <w:tcMar>
                  <w:top w:w="40" w:type="dxa"/>
                  <w:left w:w="57" w:type="dxa"/>
                  <w:bottom w:w="40" w:type="dxa"/>
                  <w:right w:w="57" w:type="dxa"/>
                </w:tcMar>
                <w:vAlign w:val="center"/>
              </w:tcPr>
              <w:p>
                <w:pPr>
                  <w:widowControl w:val="0"/>
                  <w:suppressAutoHyphens/>
                  <w:rPr>
                    <w:color w:val="000000"/>
                    <w:sz w:val="22"/>
                    <w:szCs w:val="22"/>
                  </w:rPr>
                </w:pPr>
                <w:r>
                  <w:rPr>
                    <w:color w:val="000000"/>
                    <w:sz w:val="22"/>
                    <w:szCs w:val="22"/>
                  </w:rPr>
                  <w:t xml:space="preserve">Nėštumo nutraukimo medicininis lapas </w:t>
                </w:r>
              </w:p>
            </w:tc>
          </w:tr>
          <w:tr>
            <w:trPr>
              <w:trHeight w:val="62"/>
            </w:trPr>
            <w:tc>
              <w:tcPr>
                <w:tcW w:w="875" w:type="dxa"/>
                <w:tcBorders>
                  <w:top w:val="single" w:sz="4" w:space="0" w:color="000000"/>
                  <w:left w:val="single" w:sz="4" w:space="0" w:color="auto"/>
                  <w:bottom w:val="single" w:sz="4" w:space="0" w:color="000000"/>
                  <w:right w:val="single" w:sz="4" w:space="0" w:color="000000"/>
                </w:tcBorders>
                <w:tcMar>
                  <w:top w:w="40" w:type="dxa"/>
                  <w:left w:w="57" w:type="dxa"/>
                  <w:bottom w:w="40" w:type="dxa"/>
                  <w:right w:w="57" w:type="dxa"/>
                </w:tcMar>
                <w:vAlign w:val="center"/>
              </w:tcPr>
              <w:p>
                <w:pPr>
                  <w:widowControl w:val="0"/>
                  <w:suppressAutoHyphens/>
                  <w:jc w:val="right"/>
                  <w:rPr>
                    <w:color w:val="000000"/>
                    <w:sz w:val="22"/>
                    <w:szCs w:val="22"/>
                  </w:rPr>
                </w:pPr>
                <w:r>
                  <w:rPr>
                    <w:color w:val="000000"/>
                    <w:sz w:val="22"/>
                    <w:szCs w:val="22"/>
                  </w:rPr>
                  <w:t>1.2.1.2.</w:t>
                </w:r>
              </w:p>
            </w:tc>
            <w:tc>
              <w:tcPr>
                <w:tcW w:w="2875" w:type="dxa"/>
                <w:gridSpan w:val="2"/>
                <w:tcBorders>
                  <w:top w:val="single" w:sz="4" w:space="0" w:color="000000"/>
                  <w:left w:val="single" w:sz="4" w:space="0" w:color="000000"/>
                  <w:bottom w:val="single" w:sz="4" w:space="0" w:color="000000"/>
                  <w:right w:val="single" w:sz="4" w:space="0" w:color="auto"/>
                </w:tcBorders>
                <w:tcMar>
                  <w:top w:w="40" w:type="dxa"/>
                  <w:left w:w="57" w:type="dxa"/>
                  <w:bottom w:w="40" w:type="dxa"/>
                  <w:right w:w="57" w:type="dxa"/>
                </w:tcMar>
                <w:vAlign w:val="center"/>
              </w:tcPr>
              <w:p>
                <w:pPr>
                  <w:widowControl w:val="0"/>
                  <w:suppressAutoHyphens/>
                  <w:rPr>
                    <w:color w:val="000000"/>
                    <w:sz w:val="22"/>
                    <w:szCs w:val="22"/>
                  </w:rPr>
                </w:pPr>
                <w:r>
                  <w:rPr>
                    <w:color w:val="000000"/>
                    <w:sz w:val="22"/>
                    <w:szCs w:val="22"/>
                    <w:u w:val="thick"/>
                  </w:rPr>
                  <w:t xml:space="preserve">010-1-1/a </w:t>
                </w:r>
              </w:p>
            </w:tc>
            <w:tc>
              <w:tcPr>
                <w:tcW w:w="5320" w:type="dxa"/>
                <w:gridSpan w:val="3"/>
                <w:tcBorders>
                  <w:top w:val="single" w:sz="4" w:space="0" w:color="000000"/>
                  <w:left w:val="single" w:sz="4" w:space="0" w:color="auto"/>
                  <w:bottom w:val="single" w:sz="4" w:space="0" w:color="000000"/>
                  <w:right w:val="single" w:sz="4" w:space="0" w:color="auto"/>
                </w:tcBorders>
                <w:tcMar>
                  <w:top w:w="40" w:type="dxa"/>
                  <w:left w:w="57" w:type="dxa"/>
                  <w:bottom w:w="40" w:type="dxa"/>
                  <w:right w:w="57" w:type="dxa"/>
                </w:tcMar>
                <w:vAlign w:val="center"/>
              </w:tcPr>
              <w:p>
                <w:pPr>
                  <w:widowControl w:val="0"/>
                  <w:suppressAutoHyphens/>
                  <w:rPr>
                    <w:color w:val="000000"/>
                    <w:sz w:val="22"/>
                    <w:szCs w:val="22"/>
                  </w:rPr>
                </w:pPr>
                <w:r>
                  <w:rPr>
                    <w:color w:val="000000"/>
                    <w:sz w:val="22"/>
                    <w:szCs w:val="22"/>
                  </w:rPr>
                  <w:t xml:space="preserve">Naujagimio kortelė </w:t>
                </w:r>
              </w:p>
            </w:tc>
          </w:tr>
          <w:tr>
            <w:trPr>
              <w:trHeight w:val="62"/>
            </w:trPr>
            <w:tc>
              <w:tcPr>
                <w:tcW w:w="875" w:type="dxa"/>
                <w:tcBorders>
                  <w:top w:val="single" w:sz="4" w:space="0" w:color="000000"/>
                  <w:left w:val="single" w:sz="4" w:space="0" w:color="auto"/>
                  <w:bottom w:val="single" w:sz="4" w:space="0" w:color="000000"/>
                  <w:right w:val="single" w:sz="4" w:space="0" w:color="000000"/>
                </w:tcBorders>
                <w:tcMar>
                  <w:top w:w="40" w:type="dxa"/>
                  <w:left w:w="57" w:type="dxa"/>
                  <w:bottom w:w="40" w:type="dxa"/>
                  <w:right w:w="57" w:type="dxa"/>
                </w:tcMar>
                <w:vAlign w:val="center"/>
              </w:tcPr>
              <w:p>
                <w:pPr>
                  <w:widowControl w:val="0"/>
                  <w:suppressAutoHyphens/>
                  <w:jc w:val="right"/>
                  <w:rPr>
                    <w:color w:val="000000"/>
                    <w:sz w:val="22"/>
                    <w:szCs w:val="22"/>
                  </w:rPr>
                </w:pPr>
                <w:r>
                  <w:rPr>
                    <w:color w:val="000000"/>
                    <w:sz w:val="22"/>
                    <w:szCs w:val="22"/>
                  </w:rPr>
                  <w:t>1.2.1.3.</w:t>
                </w:r>
              </w:p>
            </w:tc>
            <w:tc>
              <w:tcPr>
                <w:tcW w:w="2875" w:type="dxa"/>
                <w:gridSpan w:val="2"/>
                <w:tcBorders>
                  <w:top w:val="single" w:sz="4" w:space="0" w:color="000000"/>
                  <w:left w:val="single" w:sz="4" w:space="0" w:color="000000"/>
                  <w:bottom w:val="single" w:sz="4" w:space="0" w:color="000000"/>
                  <w:right w:val="single" w:sz="4" w:space="0" w:color="auto"/>
                </w:tcBorders>
                <w:tcMar>
                  <w:top w:w="40" w:type="dxa"/>
                  <w:left w:w="57" w:type="dxa"/>
                  <w:bottom w:w="40" w:type="dxa"/>
                  <w:right w:w="57" w:type="dxa"/>
                </w:tcMar>
                <w:vAlign w:val="center"/>
              </w:tcPr>
              <w:p>
                <w:pPr>
                  <w:widowControl w:val="0"/>
                  <w:suppressAutoHyphens/>
                  <w:rPr>
                    <w:color w:val="000000"/>
                    <w:sz w:val="22"/>
                    <w:szCs w:val="22"/>
                  </w:rPr>
                </w:pPr>
                <w:r>
                  <w:rPr>
                    <w:color w:val="000000"/>
                    <w:sz w:val="22"/>
                    <w:szCs w:val="22"/>
                    <w:u w:val="thick"/>
                  </w:rPr>
                  <w:t xml:space="preserve">010-2-1/a </w:t>
                </w:r>
              </w:p>
            </w:tc>
            <w:tc>
              <w:tcPr>
                <w:tcW w:w="5320" w:type="dxa"/>
                <w:gridSpan w:val="3"/>
                <w:tcBorders>
                  <w:top w:val="single" w:sz="4" w:space="0" w:color="000000"/>
                  <w:left w:val="single" w:sz="4" w:space="0" w:color="auto"/>
                  <w:bottom w:val="single" w:sz="4" w:space="0" w:color="000000"/>
                  <w:right w:val="single" w:sz="4" w:space="0" w:color="auto"/>
                </w:tcBorders>
                <w:tcMar>
                  <w:top w:w="40" w:type="dxa"/>
                  <w:left w:w="57" w:type="dxa"/>
                  <w:bottom w:w="40" w:type="dxa"/>
                  <w:right w:w="57" w:type="dxa"/>
                </w:tcMar>
                <w:vAlign w:val="center"/>
              </w:tcPr>
              <w:p>
                <w:pPr>
                  <w:widowControl w:val="0"/>
                  <w:suppressAutoHyphens/>
                  <w:rPr>
                    <w:color w:val="000000"/>
                    <w:sz w:val="22"/>
                    <w:szCs w:val="22"/>
                  </w:rPr>
                </w:pPr>
                <w:r>
                  <w:rPr>
                    <w:color w:val="000000"/>
                    <w:sz w:val="22"/>
                    <w:szCs w:val="22"/>
                  </w:rPr>
                  <w:t xml:space="preserve">Negyvagimio kortelė </w:t>
                </w:r>
              </w:p>
            </w:tc>
          </w:tr>
          <w:tr>
            <w:trPr>
              <w:trHeight w:val="62"/>
            </w:trPr>
            <w:tc>
              <w:tcPr>
                <w:tcW w:w="875" w:type="dxa"/>
                <w:tcBorders>
                  <w:top w:val="single" w:sz="4" w:space="0" w:color="000000"/>
                  <w:left w:val="single" w:sz="4" w:space="0" w:color="auto"/>
                  <w:bottom w:val="single" w:sz="4" w:space="0" w:color="000000"/>
                  <w:right w:val="single" w:sz="4" w:space="0" w:color="000000"/>
                </w:tcBorders>
                <w:tcMar>
                  <w:top w:w="40" w:type="dxa"/>
                  <w:left w:w="57" w:type="dxa"/>
                  <w:bottom w:w="40" w:type="dxa"/>
                  <w:right w:w="57" w:type="dxa"/>
                </w:tcMar>
                <w:vAlign w:val="center"/>
              </w:tcPr>
              <w:p>
                <w:pPr>
                  <w:widowControl w:val="0"/>
                  <w:suppressAutoHyphens/>
                  <w:jc w:val="right"/>
                  <w:rPr>
                    <w:color w:val="000000"/>
                    <w:sz w:val="22"/>
                    <w:szCs w:val="22"/>
                  </w:rPr>
                </w:pPr>
                <w:r>
                  <w:rPr>
                    <w:color w:val="000000"/>
                    <w:sz w:val="22"/>
                    <w:szCs w:val="22"/>
                  </w:rPr>
                  <w:t>1.2.1.4.</w:t>
                </w:r>
              </w:p>
            </w:tc>
            <w:tc>
              <w:tcPr>
                <w:tcW w:w="2875" w:type="dxa"/>
                <w:gridSpan w:val="2"/>
                <w:tcBorders>
                  <w:top w:val="single" w:sz="4" w:space="0" w:color="000000"/>
                  <w:left w:val="single" w:sz="4" w:space="0" w:color="000000"/>
                  <w:bottom w:val="single" w:sz="4" w:space="0" w:color="000000"/>
                  <w:right w:val="single" w:sz="4" w:space="0" w:color="auto"/>
                </w:tcBorders>
                <w:tcMar>
                  <w:top w:w="40" w:type="dxa"/>
                  <w:left w:w="57" w:type="dxa"/>
                  <w:bottom w:w="40" w:type="dxa"/>
                  <w:right w:w="57" w:type="dxa"/>
                </w:tcMar>
                <w:vAlign w:val="center"/>
              </w:tcPr>
              <w:p>
                <w:pPr>
                  <w:widowControl w:val="0"/>
                  <w:suppressAutoHyphens/>
                  <w:rPr>
                    <w:color w:val="000000"/>
                    <w:sz w:val="22"/>
                    <w:szCs w:val="22"/>
                  </w:rPr>
                </w:pPr>
                <w:r>
                  <w:rPr>
                    <w:color w:val="000000"/>
                    <w:sz w:val="22"/>
                    <w:szCs w:val="22"/>
                    <w:u w:val="thick"/>
                  </w:rPr>
                  <w:t xml:space="preserve">096/a </w:t>
                </w:r>
              </w:p>
            </w:tc>
            <w:tc>
              <w:tcPr>
                <w:tcW w:w="5320" w:type="dxa"/>
                <w:gridSpan w:val="3"/>
                <w:tcBorders>
                  <w:top w:val="single" w:sz="4" w:space="0" w:color="000000"/>
                  <w:left w:val="single" w:sz="4" w:space="0" w:color="auto"/>
                  <w:bottom w:val="single" w:sz="4" w:space="0" w:color="000000"/>
                  <w:right w:val="single" w:sz="4" w:space="0" w:color="auto"/>
                </w:tcBorders>
                <w:tcMar>
                  <w:top w:w="40" w:type="dxa"/>
                  <w:left w:w="57" w:type="dxa"/>
                  <w:bottom w:w="40" w:type="dxa"/>
                  <w:right w:w="57" w:type="dxa"/>
                </w:tcMar>
                <w:vAlign w:val="center"/>
              </w:tcPr>
              <w:p>
                <w:pPr>
                  <w:widowControl w:val="0"/>
                  <w:suppressAutoHyphens/>
                  <w:rPr>
                    <w:color w:val="000000"/>
                    <w:sz w:val="22"/>
                    <w:szCs w:val="22"/>
                  </w:rPr>
                </w:pPr>
                <w:r>
                  <w:rPr>
                    <w:color w:val="000000"/>
                    <w:sz w:val="22"/>
                    <w:szCs w:val="22"/>
                  </w:rPr>
                  <w:t xml:space="preserve">Gimdymo istorija (partograma, nėštumo eiga, chirurginės operacijos protokolas) </w:t>
                </w:r>
              </w:p>
            </w:tc>
          </w:tr>
          <w:tr>
            <w:trPr>
              <w:trHeight w:val="62"/>
            </w:trPr>
            <w:tc>
              <w:tcPr>
                <w:tcW w:w="875" w:type="dxa"/>
                <w:tcBorders>
                  <w:top w:val="single" w:sz="4" w:space="0" w:color="000000"/>
                  <w:left w:val="single" w:sz="4" w:space="0" w:color="auto"/>
                  <w:bottom w:val="single" w:sz="4" w:space="0" w:color="000000"/>
                  <w:right w:val="single" w:sz="4" w:space="0" w:color="000000"/>
                </w:tcBorders>
                <w:tcMar>
                  <w:top w:w="40" w:type="dxa"/>
                  <w:left w:w="57" w:type="dxa"/>
                  <w:bottom w:w="40" w:type="dxa"/>
                  <w:right w:w="57" w:type="dxa"/>
                </w:tcMar>
                <w:vAlign w:val="center"/>
              </w:tcPr>
              <w:p>
                <w:pPr>
                  <w:widowControl w:val="0"/>
                  <w:suppressAutoHyphens/>
                  <w:jc w:val="right"/>
                  <w:rPr>
                    <w:color w:val="000000"/>
                    <w:sz w:val="22"/>
                    <w:szCs w:val="22"/>
                  </w:rPr>
                </w:pPr>
                <w:r>
                  <w:rPr>
                    <w:color w:val="000000"/>
                    <w:sz w:val="22"/>
                    <w:szCs w:val="22"/>
                  </w:rPr>
                  <w:t>1.2.1.5.</w:t>
                </w:r>
              </w:p>
            </w:tc>
            <w:tc>
              <w:tcPr>
                <w:tcW w:w="2875" w:type="dxa"/>
                <w:gridSpan w:val="2"/>
                <w:tcBorders>
                  <w:top w:val="single" w:sz="4" w:space="0" w:color="000000"/>
                  <w:left w:val="single" w:sz="4" w:space="0" w:color="000000"/>
                  <w:bottom w:val="single" w:sz="4" w:space="0" w:color="000000"/>
                  <w:right w:val="single" w:sz="4" w:space="0" w:color="auto"/>
                </w:tcBorders>
                <w:tcMar>
                  <w:top w:w="40" w:type="dxa"/>
                  <w:left w:w="57" w:type="dxa"/>
                  <w:bottom w:w="40" w:type="dxa"/>
                  <w:right w:w="57" w:type="dxa"/>
                </w:tcMar>
                <w:vAlign w:val="center"/>
              </w:tcPr>
              <w:p>
                <w:pPr>
                  <w:widowControl w:val="0"/>
                  <w:suppressAutoHyphens/>
                  <w:rPr>
                    <w:color w:val="000000"/>
                    <w:sz w:val="22"/>
                    <w:szCs w:val="22"/>
                  </w:rPr>
                </w:pPr>
                <w:r>
                  <w:rPr>
                    <w:color w:val="000000"/>
                    <w:sz w:val="22"/>
                    <w:szCs w:val="22"/>
                    <w:u w:val="thick"/>
                  </w:rPr>
                  <w:t xml:space="preserve">097/a </w:t>
                </w:r>
              </w:p>
            </w:tc>
            <w:tc>
              <w:tcPr>
                <w:tcW w:w="5320" w:type="dxa"/>
                <w:gridSpan w:val="3"/>
                <w:tcBorders>
                  <w:top w:val="single" w:sz="4" w:space="0" w:color="000000"/>
                  <w:left w:val="single" w:sz="4" w:space="0" w:color="auto"/>
                  <w:bottom w:val="single" w:sz="4" w:space="0" w:color="000000"/>
                  <w:right w:val="single" w:sz="4" w:space="0" w:color="auto"/>
                </w:tcBorders>
                <w:tcMar>
                  <w:top w:w="40" w:type="dxa"/>
                  <w:left w:w="57" w:type="dxa"/>
                  <w:bottom w:w="40" w:type="dxa"/>
                  <w:right w:w="57" w:type="dxa"/>
                </w:tcMar>
                <w:vAlign w:val="center"/>
              </w:tcPr>
              <w:p>
                <w:pPr>
                  <w:widowControl w:val="0"/>
                  <w:suppressAutoHyphens/>
                  <w:rPr>
                    <w:color w:val="000000"/>
                    <w:sz w:val="22"/>
                    <w:szCs w:val="22"/>
                  </w:rPr>
                </w:pPr>
                <w:r>
                  <w:rPr>
                    <w:color w:val="000000"/>
                    <w:sz w:val="22"/>
                    <w:szCs w:val="22"/>
                  </w:rPr>
                  <w:t xml:space="preserve">Naujagimio raidos istorija </w:t>
                </w:r>
              </w:p>
            </w:tc>
          </w:tr>
          <w:tr>
            <w:trPr>
              <w:trHeight w:val="62"/>
            </w:trPr>
            <w:tc>
              <w:tcPr>
                <w:tcW w:w="875" w:type="dxa"/>
                <w:tcBorders>
                  <w:top w:val="single" w:sz="4" w:space="0" w:color="000000"/>
                  <w:left w:val="single" w:sz="4" w:space="0" w:color="auto"/>
                  <w:bottom w:val="single" w:sz="4" w:space="0" w:color="000000"/>
                  <w:right w:val="single" w:sz="4" w:space="0" w:color="000000"/>
                </w:tcBorders>
                <w:tcMar>
                  <w:top w:w="40" w:type="dxa"/>
                  <w:left w:w="57" w:type="dxa"/>
                  <w:bottom w:w="40" w:type="dxa"/>
                  <w:right w:w="57" w:type="dxa"/>
                </w:tcMar>
                <w:vAlign w:val="center"/>
              </w:tcPr>
              <w:p>
                <w:pPr>
                  <w:widowControl w:val="0"/>
                  <w:suppressAutoHyphens/>
                  <w:jc w:val="right"/>
                  <w:rPr>
                    <w:color w:val="000000"/>
                    <w:sz w:val="22"/>
                    <w:szCs w:val="22"/>
                  </w:rPr>
                </w:pPr>
                <w:r>
                  <w:rPr>
                    <w:color w:val="000000"/>
                    <w:sz w:val="22"/>
                    <w:szCs w:val="22"/>
                  </w:rPr>
                  <w:t>1.2.1.6.</w:t>
                </w:r>
              </w:p>
            </w:tc>
            <w:tc>
              <w:tcPr>
                <w:tcW w:w="2875" w:type="dxa"/>
                <w:gridSpan w:val="2"/>
                <w:tcBorders>
                  <w:top w:val="single" w:sz="4" w:space="0" w:color="000000"/>
                  <w:left w:val="single" w:sz="4" w:space="0" w:color="000000"/>
                  <w:bottom w:val="single" w:sz="4" w:space="0" w:color="000000"/>
                  <w:right w:val="single" w:sz="4" w:space="0" w:color="auto"/>
                </w:tcBorders>
                <w:tcMar>
                  <w:top w:w="40" w:type="dxa"/>
                  <w:left w:w="57" w:type="dxa"/>
                  <w:bottom w:w="40" w:type="dxa"/>
                  <w:right w:w="57" w:type="dxa"/>
                </w:tcMar>
                <w:vAlign w:val="center"/>
              </w:tcPr>
              <w:p>
                <w:pPr>
                  <w:widowControl w:val="0"/>
                  <w:suppressAutoHyphens/>
                  <w:rPr>
                    <w:color w:val="000000"/>
                    <w:sz w:val="22"/>
                    <w:szCs w:val="22"/>
                  </w:rPr>
                </w:pPr>
                <w:r>
                  <w:rPr>
                    <w:color w:val="000000"/>
                    <w:sz w:val="22"/>
                    <w:szCs w:val="22"/>
                    <w:u w:val="thick"/>
                  </w:rPr>
                  <w:t xml:space="preserve">103-1/a </w:t>
                </w:r>
              </w:p>
            </w:tc>
            <w:tc>
              <w:tcPr>
                <w:tcW w:w="5320" w:type="dxa"/>
                <w:gridSpan w:val="3"/>
                <w:tcBorders>
                  <w:top w:val="single" w:sz="4" w:space="0" w:color="000000"/>
                  <w:left w:val="single" w:sz="4" w:space="0" w:color="auto"/>
                  <w:bottom w:val="single" w:sz="4" w:space="0" w:color="000000"/>
                  <w:right w:val="single" w:sz="4" w:space="0" w:color="auto"/>
                </w:tcBorders>
                <w:tcMar>
                  <w:top w:w="40" w:type="dxa"/>
                  <w:left w:w="57" w:type="dxa"/>
                  <w:bottom w:w="40" w:type="dxa"/>
                  <w:right w:w="57" w:type="dxa"/>
                </w:tcMar>
                <w:vAlign w:val="center"/>
              </w:tcPr>
              <w:p>
                <w:pPr>
                  <w:widowControl w:val="0"/>
                  <w:suppressAutoHyphens/>
                  <w:rPr>
                    <w:color w:val="000000"/>
                    <w:sz w:val="22"/>
                    <w:szCs w:val="22"/>
                  </w:rPr>
                </w:pPr>
                <w:r>
                  <w:rPr>
                    <w:color w:val="000000"/>
                    <w:sz w:val="22"/>
                    <w:szCs w:val="22"/>
                  </w:rPr>
                  <w:t>Vaiko gimimo pažymėjimas</w:t>
                </w:r>
              </w:p>
            </w:tc>
          </w:tr>
          <w:tr>
            <w:trPr>
              <w:trHeight w:val="62"/>
            </w:trPr>
            <w:tc>
              <w:tcPr>
                <w:tcW w:w="875" w:type="dxa"/>
                <w:tcBorders>
                  <w:top w:val="single" w:sz="4" w:space="0" w:color="000000"/>
                  <w:left w:val="single" w:sz="4" w:space="0" w:color="auto"/>
                  <w:bottom w:val="single" w:sz="4" w:space="0" w:color="000000"/>
                  <w:right w:val="single" w:sz="4" w:space="0" w:color="000000"/>
                </w:tcBorders>
                <w:tcMar>
                  <w:top w:w="40" w:type="dxa"/>
                  <w:left w:w="57" w:type="dxa"/>
                  <w:bottom w:w="40" w:type="dxa"/>
                  <w:right w:w="57" w:type="dxa"/>
                </w:tcMar>
                <w:vAlign w:val="center"/>
              </w:tcPr>
              <w:p>
                <w:pPr>
                  <w:widowControl w:val="0"/>
                  <w:suppressAutoHyphens/>
                  <w:jc w:val="right"/>
                  <w:rPr>
                    <w:color w:val="000000"/>
                    <w:sz w:val="22"/>
                    <w:szCs w:val="22"/>
                  </w:rPr>
                </w:pPr>
                <w:r>
                  <w:rPr>
                    <w:b/>
                    <w:bCs/>
                    <w:color w:val="000000"/>
                    <w:sz w:val="22"/>
                    <w:szCs w:val="22"/>
                  </w:rPr>
                  <w:t>1.2.2.</w:t>
                </w:r>
              </w:p>
            </w:tc>
            <w:tc>
              <w:tcPr>
                <w:tcW w:w="7590" w:type="dxa"/>
                <w:gridSpan w:val="3"/>
                <w:tcBorders>
                  <w:top w:val="single" w:sz="4" w:space="0" w:color="000000"/>
                  <w:left w:val="single" w:sz="4" w:space="0" w:color="000000"/>
                  <w:bottom w:val="single" w:sz="4" w:space="0" w:color="000000"/>
                </w:tcBorders>
                <w:tcMar>
                  <w:top w:w="40" w:type="dxa"/>
                  <w:left w:w="57" w:type="dxa"/>
                  <w:bottom w:w="40" w:type="dxa"/>
                  <w:right w:w="57" w:type="dxa"/>
                </w:tcMar>
                <w:vAlign w:val="center"/>
              </w:tcPr>
              <w:p>
                <w:pPr>
                  <w:widowControl w:val="0"/>
                  <w:suppressAutoHyphens/>
                  <w:rPr>
                    <w:color w:val="000000"/>
                    <w:sz w:val="22"/>
                    <w:szCs w:val="22"/>
                  </w:rPr>
                </w:pPr>
                <w:r>
                  <w:rPr>
                    <w:b/>
                    <w:bCs/>
                    <w:color w:val="000000"/>
                    <w:sz w:val="22"/>
                    <w:szCs w:val="22"/>
                  </w:rPr>
                  <w:t xml:space="preserve">Ftiziatrija </w:t>
                </w:r>
              </w:p>
            </w:tc>
            <w:tc>
              <w:tcPr>
                <w:tcW w:w="605" w:type="dxa"/>
                <w:gridSpan w:val="2"/>
                <w:tcBorders>
                  <w:top w:val="single" w:sz="4" w:space="0" w:color="000000"/>
                  <w:left w:val="nil"/>
                  <w:bottom w:val="single" w:sz="4" w:space="0" w:color="000000"/>
                  <w:right w:val="single" w:sz="4" w:space="0" w:color="auto"/>
                </w:tcBorders>
                <w:vAlign w:val="center"/>
              </w:tcPr>
              <w:p>
                <w:pPr>
                  <w:widowControl w:val="0"/>
                  <w:suppressAutoHyphens/>
                  <w:rPr>
                    <w:color w:val="000000"/>
                    <w:sz w:val="22"/>
                    <w:szCs w:val="22"/>
                  </w:rPr>
                </w:pPr>
              </w:p>
            </w:tc>
          </w:tr>
          <w:tr>
            <w:trPr>
              <w:trHeight w:val="62"/>
            </w:trPr>
            <w:tc>
              <w:tcPr>
                <w:tcW w:w="875" w:type="dxa"/>
                <w:tcBorders>
                  <w:top w:val="single" w:sz="4" w:space="0" w:color="000000"/>
                  <w:left w:val="single" w:sz="4" w:space="0" w:color="auto"/>
                  <w:bottom w:val="single" w:sz="4" w:space="0" w:color="000000"/>
                  <w:right w:val="single" w:sz="4" w:space="0" w:color="000000"/>
                </w:tcBorders>
                <w:tcMar>
                  <w:top w:w="40" w:type="dxa"/>
                  <w:left w:w="57" w:type="dxa"/>
                  <w:bottom w:w="40" w:type="dxa"/>
                  <w:right w:w="57" w:type="dxa"/>
                </w:tcMar>
                <w:vAlign w:val="center"/>
              </w:tcPr>
              <w:p>
                <w:pPr>
                  <w:widowControl w:val="0"/>
                  <w:suppressAutoHyphens/>
                  <w:jc w:val="right"/>
                  <w:rPr>
                    <w:color w:val="000000"/>
                    <w:sz w:val="22"/>
                    <w:szCs w:val="22"/>
                  </w:rPr>
                </w:pPr>
                <w:r>
                  <w:rPr>
                    <w:color w:val="000000"/>
                    <w:sz w:val="22"/>
                    <w:szCs w:val="22"/>
                  </w:rPr>
                  <w:t>1.2.2.1.</w:t>
                </w:r>
              </w:p>
            </w:tc>
            <w:tc>
              <w:tcPr>
                <w:tcW w:w="2875" w:type="dxa"/>
                <w:gridSpan w:val="2"/>
                <w:tcBorders>
                  <w:top w:val="single" w:sz="4" w:space="0" w:color="000000"/>
                  <w:left w:val="single" w:sz="4" w:space="0" w:color="000000"/>
                  <w:bottom w:val="single" w:sz="4" w:space="0" w:color="000000"/>
                  <w:right w:val="single" w:sz="4" w:space="0" w:color="auto"/>
                </w:tcBorders>
                <w:tcMar>
                  <w:top w:w="40" w:type="dxa"/>
                  <w:left w:w="57" w:type="dxa"/>
                  <w:bottom w:w="40" w:type="dxa"/>
                  <w:right w:w="57" w:type="dxa"/>
                </w:tcMar>
                <w:vAlign w:val="center"/>
              </w:tcPr>
              <w:p>
                <w:pPr>
                  <w:widowControl w:val="0"/>
                  <w:suppressAutoHyphens/>
                  <w:rPr>
                    <w:color w:val="000000"/>
                    <w:sz w:val="22"/>
                    <w:szCs w:val="22"/>
                  </w:rPr>
                </w:pPr>
                <w:r>
                  <w:rPr>
                    <w:color w:val="000000"/>
                    <w:sz w:val="22"/>
                    <w:szCs w:val="22"/>
                    <w:u w:val="thick"/>
                  </w:rPr>
                  <w:t xml:space="preserve">003-9/a </w:t>
                </w:r>
              </w:p>
            </w:tc>
            <w:tc>
              <w:tcPr>
                <w:tcW w:w="5320" w:type="dxa"/>
                <w:gridSpan w:val="3"/>
                <w:tcBorders>
                  <w:top w:val="single" w:sz="4" w:space="0" w:color="000000"/>
                  <w:left w:val="single" w:sz="4" w:space="0" w:color="auto"/>
                  <w:bottom w:val="single" w:sz="4" w:space="0" w:color="000000"/>
                  <w:right w:val="single" w:sz="4" w:space="0" w:color="auto"/>
                </w:tcBorders>
                <w:tcMar>
                  <w:top w:w="40" w:type="dxa"/>
                  <w:left w:w="57" w:type="dxa"/>
                  <w:bottom w:w="40" w:type="dxa"/>
                  <w:right w:w="57" w:type="dxa"/>
                </w:tcMar>
                <w:vAlign w:val="center"/>
              </w:tcPr>
              <w:p>
                <w:pPr>
                  <w:widowControl w:val="0"/>
                  <w:suppressAutoHyphens/>
                  <w:rPr>
                    <w:color w:val="000000"/>
                    <w:sz w:val="22"/>
                    <w:szCs w:val="22"/>
                  </w:rPr>
                </w:pPr>
                <w:r>
                  <w:rPr>
                    <w:color w:val="000000"/>
                    <w:sz w:val="22"/>
                    <w:szCs w:val="22"/>
                  </w:rPr>
                  <w:t>Stacionare gydomo sergančiojo tuberkulioze ligos istorija</w:t>
                </w:r>
              </w:p>
            </w:tc>
          </w:tr>
          <w:tr>
            <w:trPr>
              <w:trHeight w:val="62"/>
            </w:trPr>
            <w:tc>
              <w:tcPr>
                <w:tcW w:w="875" w:type="dxa"/>
                <w:tcBorders>
                  <w:top w:val="single" w:sz="4" w:space="0" w:color="000000"/>
                  <w:left w:val="single" w:sz="4" w:space="0" w:color="auto"/>
                  <w:bottom w:val="single" w:sz="4" w:space="0" w:color="000000"/>
                  <w:right w:val="single" w:sz="4" w:space="0" w:color="000000"/>
                </w:tcBorders>
                <w:tcMar>
                  <w:top w:w="40" w:type="dxa"/>
                  <w:left w:w="57" w:type="dxa"/>
                  <w:bottom w:w="40" w:type="dxa"/>
                  <w:right w:w="57" w:type="dxa"/>
                </w:tcMar>
                <w:vAlign w:val="center"/>
              </w:tcPr>
              <w:p>
                <w:pPr>
                  <w:widowControl w:val="0"/>
                  <w:suppressAutoHyphens/>
                  <w:jc w:val="right"/>
                  <w:rPr>
                    <w:color w:val="000000"/>
                    <w:sz w:val="22"/>
                    <w:szCs w:val="22"/>
                  </w:rPr>
                </w:pPr>
                <w:r>
                  <w:rPr>
                    <w:b/>
                    <w:bCs/>
                    <w:color w:val="000000"/>
                    <w:sz w:val="22"/>
                    <w:szCs w:val="22"/>
                  </w:rPr>
                  <w:t>1.3.</w:t>
                </w:r>
              </w:p>
            </w:tc>
            <w:tc>
              <w:tcPr>
                <w:tcW w:w="7590" w:type="dxa"/>
                <w:gridSpan w:val="3"/>
                <w:tcBorders>
                  <w:top w:val="single" w:sz="4" w:space="0" w:color="000000"/>
                  <w:left w:val="single" w:sz="4" w:space="0" w:color="000000"/>
                  <w:bottom w:val="single" w:sz="4" w:space="0" w:color="000000"/>
                </w:tcBorders>
                <w:tcMar>
                  <w:top w:w="40" w:type="dxa"/>
                  <w:left w:w="57" w:type="dxa"/>
                  <w:bottom w:w="40" w:type="dxa"/>
                  <w:right w:w="57" w:type="dxa"/>
                </w:tcMar>
                <w:vAlign w:val="center"/>
              </w:tcPr>
              <w:p>
                <w:pPr>
                  <w:widowControl w:val="0"/>
                  <w:suppressAutoHyphens/>
                  <w:rPr>
                    <w:color w:val="000000"/>
                    <w:sz w:val="22"/>
                    <w:szCs w:val="22"/>
                  </w:rPr>
                </w:pPr>
                <w:r>
                  <w:rPr>
                    <w:b/>
                    <w:bCs/>
                    <w:color w:val="000000"/>
                    <w:sz w:val="22"/>
                    <w:szCs w:val="22"/>
                  </w:rPr>
                  <w:t xml:space="preserve">Specialios paskirties medicinos dokumentacija ir apskaitos formos </w:t>
                </w:r>
              </w:p>
            </w:tc>
            <w:tc>
              <w:tcPr>
                <w:tcW w:w="605" w:type="dxa"/>
                <w:gridSpan w:val="2"/>
                <w:tcBorders>
                  <w:top w:val="single" w:sz="4" w:space="0" w:color="000000"/>
                  <w:left w:val="nil"/>
                  <w:bottom w:val="single" w:sz="4" w:space="0" w:color="000000"/>
                  <w:right w:val="single" w:sz="4" w:space="0" w:color="auto"/>
                </w:tcBorders>
                <w:vAlign w:val="center"/>
              </w:tcPr>
              <w:p>
                <w:pPr>
                  <w:widowControl w:val="0"/>
                  <w:suppressAutoHyphens/>
                  <w:rPr>
                    <w:color w:val="000000"/>
                    <w:sz w:val="22"/>
                    <w:szCs w:val="22"/>
                  </w:rPr>
                </w:pPr>
              </w:p>
            </w:tc>
          </w:tr>
          <w:tr>
            <w:trPr>
              <w:trHeight w:val="62"/>
            </w:trPr>
            <w:tc>
              <w:tcPr>
                <w:tcW w:w="875" w:type="dxa"/>
                <w:tcBorders>
                  <w:top w:val="single" w:sz="4" w:space="0" w:color="000000"/>
                  <w:left w:val="single" w:sz="4" w:space="0" w:color="auto"/>
                  <w:bottom w:val="single" w:sz="4" w:space="0" w:color="000000"/>
                  <w:right w:val="single" w:sz="4" w:space="0" w:color="000000"/>
                </w:tcBorders>
                <w:tcMar>
                  <w:top w:w="40" w:type="dxa"/>
                  <w:left w:w="57" w:type="dxa"/>
                  <w:bottom w:w="40" w:type="dxa"/>
                  <w:right w:w="57" w:type="dxa"/>
                </w:tcMar>
                <w:vAlign w:val="center"/>
              </w:tcPr>
              <w:p>
                <w:pPr>
                  <w:widowControl w:val="0"/>
                  <w:suppressAutoHyphens/>
                  <w:jc w:val="right"/>
                  <w:rPr>
                    <w:color w:val="000000"/>
                    <w:sz w:val="22"/>
                    <w:szCs w:val="22"/>
                  </w:rPr>
                </w:pPr>
                <w:r>
                  <w:rPr>
                    <w:b/>
                    <w:bCs/>
                    <w:color w:val="000000"/>
                    <w:sz w:val="22"/>
                    <w:szCs w:val="22"/>
                  </w:rPr>
                  <w:t>1.3.1.</w:t>
                </w:r>
              </w:p>
            </w:tc>
            <w:tc>
              <w:tcPr>
                <w:tcW w:w="7590" w:type="dxa"/>
                <w:gridSpan w:val="3"/>
                <w:tcBorders>
                  <w:top w:val="single" w:sz="4" w:space="0" w:color="000000"/>
                  <w:left w:val="single" w:sz="4" w:space="0" w:color="000000"/>
                  <w:bottom w:val="single" w:sz="4" w:space="0" w:color="000000"/>
                </w:tcBorders>
                <w:tcMar>
                  <w:top w:w="40" w:type="dxa"/>
                  <w:left w:w="57" w:type="dxa"/>
                  <w:bottom w:w="40" w:type="dxa"/>
                  <w:right w:w="57" w:type="dxa"/>
                </w:tcMar>
                <w:vAlign w:val="center"/>
              </w:tcPr>
              <w:p>
                <w:pPr>
                  <w:widowControl w:val="0"/>
                  <w:suppressAutoHyphens/>
                  <w:rPr>
                    <w:color w:val="000000"/>
                    <w:sz w:val="22"/>
                    <w:szCs w:val="22"/>
                  </w:rPr>
                </w:pPr>
                <w:r>
                  <w:rPr>
                    <w:b/>
                    <w:bCs/>
                    <w:color w:val="000000"/>
                    <w:sz w:val="22"/>
                    <w:szCs w:val="22"/>
                  </w:rPr>
                  <w:t xml:space="preserve">Kitos apskaitos formos </w:t>
                </w:r>
              </w:p>
            </w:tc>
            <w:tc>
              <w:tcPr>
                <w:tcW w:w="605" w:type="dxa"/>
                <w:gridSpan w:val="2"/>
                <w:tcBorders>
                  <w:top w:val="single" w:sz="4" w:space="0" w:color="000000"/>
                  <w:left w:val="nil"/>
                  <w:bottom w:val="single" w:sz="4" w:space="0" w:color="000000"/>
                  <w:right w:val="single" w:sz="4" w:space="0" w:color="auto"/>
                </w:tcBorders>
                <w:vAlign w:val="center"/>
              </w:tcPr>
              <w:p>
                <w:pPr>
                  <w:widowControl w:val="0"/>
                  <w:suppressAutoHyphens/>
                  <w:rPr>
                    <w:color w:val="000000"/>
                    <w:sz w:val="22"/>
                    <w:szCs w:val="22"/>
                  </w:rPr>
                </w:pPr>
              </w:p>
            </w:tc>
          </w:tr>
          <w:tr>
            <w:trPr>
              <w:trHeight w:val="62"/>
            </w:trPr>
            <w:tc>
              <w:tcPr>
                <w:tcW w:w="875" w:type="dxa"/>
                <w:tcBorders>
                  <w:top w:val="single" w:sz="4" w:space="0" w:color="000000"/>
                  <w:left w:val="single" w:sz="4" w:space="0" w:color="auto"/>
                  <w:bottom w:val="single" w:sz="4" w:space="0" w:color="000000"/>
                  <w:right w:val="single" w:sz="4" w:space="0" w:color="000000"/>
                </w:tcBorders>
                <w:tcMar>
                  <w:top w:w="40" w:type="dxa"/>
                  <w:left w:w="57" w:type="dxa"/>
                  <w:bottom w:w="40" w:type="dxa"/>
                  <w:right w:w="57" w:type="dxa"/>
                </w:tcMar>
                <w:vAlign w:val="center"/>
              </w:tcPr>
              <w:p>
                <w:pPr>
                  <w:widowControl w:val="0"/>
                  <w:suppressAutoHyphens/>
                  <w:jc w:val="right"/>
                  <w:rPr>
                    <w:color w:val="000000"/>
                    <w:sz w:val="22"/>
                    <w:szCs w:val="22"/>
                  </w:rPr>
                </w:pPr>
                <w:r>
                  <w:rPr>
                    <w:color w:val="000000"/>
                    <w:sz w:val="22"/>
                    <w:szCs w:val="22"/>
                  </w:rPr>
                  <w:t>1.3.1.1.</w:t>
                </w:r>
              </w:p>
            </w:tc>
            <w:tc>
              <w:tcPr>
                <w:tcW w:w="2819"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pPr>
                  <w:widowControl w:val="0"/>
                  <w:suppressAutoHyphens/>
                  <w:rPr>
                    <w:color w:val="000000"/>
                    <w:sz w:val="22"/>
                    <w:szCs w:val="22"/>
                  </w:rPr>
                </w:pPr>
                <w:r>
                  <w:rPr>
                    <w:color w:val="000000"/>
                    <w:sz w:val="22"/>
                    <w:szCs w:val="22"/>
                    <w:u w:val="thick"/>
                  </w:rPr>
                  <w:t xml:space="preserve">014-1/a </w:t>
                </w:r>
              </w:p>
            </w:tc>
            <w:tc>
              <w:tcPr>
                <w:tcW w:w="5376" w:type="dxa"/>
                <w:gridSpan w:val="4"/>
                <w:tcBorders>
                  <w:top w:val="single" w:sz="4" w:space="0" w:color="000000"/>
                  <w:left w:val="single" w:sz="4" w:space="0" w:color="000000"/>
                  <w:bottom w:val="single" w:sz="4" w:space="0" w:color="000000"/>
                  <w:right w:val="single" w:sz="4" w:space="0" w:color="auto"/>
                </w:tcBorders>
                <w:tcMar>
                  <w:top w:w="40" w:type="dxa"/>
                  <w:left w:w="57" w:type="dxa"/>
                  <w:bottom w:w="40" w:type="dxa"/>
                  <w:right w:w="57" w:type="dxa"/>
                </w:tcMar>
                <w:vAlign w:val="center"/>
              </w:tcPr>
              <w:p>
                <w:pPr>
                  <w:widowControl w:val="0"/>
                  <w:suppressAutoHyphens/>
                  <w:rPr>
                    <w:color w:val="000000"/>
                    <w:sz w:val="22"/>
                    <w:szCs w:val="22"/>
                  </w:rPr>
                </w:pPr>
                <w:r>
                  <w:rPr>
                    <w:color w:val="000000"/>
                    <w:sz w:val="22"/>
                    <w:szCs w:val="22"/>
                  </w:rPr>
                  <w:t>Biopsinės ir operacinės medžiagos siuntimas tirti</w:t>
                </w:r>
              </w:p>
            </w:tc>
          </w:tr>
          <w:tr>
            <w:trPr>
              <w:trHeight w:val="62"/>
            </w:trPr>
            <w:tc>
              <w:tcPr>
                <w:tcW w:w="875" w:type="dxa"/>
                <w:tcBorders>
                  <w:top w:val="single" w:sz="4" w:space="0" w:color="000000"/>
                  <w:left w:val="single" w:sz="4" w:space="0" w:color="auto"/>
                  <w:bottom w:val="single" w:sz="4" w:space="0" w:color="000000"/>
                  <w:right w:val="single" w:sz="4" w:space="0" w:color="000000"/>
                </w:tcBorders>
                <w:tcMar>
                  <w:top w:w="40" w:type="dxa"/>
                  <w:left w:w="57" w:type="dxa"/>
                  <w:bottom w:w="40" w:type="dxa"/>
                  <w:right w:w="57" w:type="dxa"/>
                </w:tcMar>
                <w:vAlign w:val="center"/>
              </w:tcPr>
              <w:p>
                <w:pPr>
                  <w:widowControl w:val="0"/>
                  <w:suppressAutoHyphens/>
                  <w:jc w:val="right"/>
                  <w:rPr>
                    <w:color w:val="000000"/>
                    <w:sz w:val="22"/>
                    <w:szCs w:val="22"/>
                  </w:rPr>
                </w:pPr>
                <w:r>
                  <w:rPr>
                    <w:b/>
                    <w:bCs/>
                    <w:color w:val="000000"/>
                    <w:sz w:val="22"/>
                    <w:szCs w:val="22"/>
                  </w:rPr>
                  <w:t>2.</w:t>
                </w:r>
              </w:p>
            </w:tc>
            <w:tc>
              <w:tcPr>
                <w:tcW w:w="7710" w:type="dxa"/>
                <w:gridSpan w:val="4"/>
                <w:tcBorders>
                  <w:top w:val="single" w:sz="4" w:space="0" w:color="000000"/>
                  <w:left w:val="single" w:sz="4" w:space="0" w:color="000000"/>
                  <w:bottom w:val="single" w:sz="4" w:space="0" w:color="000000"/>
                </w:tcBorders>
                <w:tcMar>
                  <w:top w:w="40" w:type="dxa"/>
                  <w:left w:w="57" w:type="dxa"/>
                  <w:bottom w:w="40" w:type="dxa"/>
                  <w:right w:w="57" w:type="dxa"/>
                </w:tcMar>
                <w:vAlign w:val="center"/>
              </w:tcPr>
              <w:p>
                <w:pPr>
                  <w:widowControl w:val="0"/>
                  <w:suppressAutoHyphens/>
                  <w:rPr>
                    <w:color w:val="000000"/>
                    <w:sz w:val="22"/>
                    <w:szCs w:val="22"/>
                  </w:rPr>
                </w:pPr>
                <w:r>
                  <w:rPr>
                    <w:b/>
                    <w:bCs/>
                    <w:color w:val="000000"/>
                    <w:sz w:val="22"/>
                    <w:szCs w:val="22"/>
                  </w:rPr>
                  <w:t xml:space="preserve">AMBULATORINES PASLAUGAS TEIKIANČIOS ĮSTAIGOS </w:t>
                </w:r>
              </w:p>
            </w:tc>
            <w:tc>
              <w:tcPr>
                <w:tcW w:w="485" w:type="dxa"/>
                <w:tcBorders>
                  <w:top w:val="single" w:sz="4" w:space="0" w:color="000000"/>
                  <w:left w:val="nil"/>
                  <w:bottom w:val="single" w:sz="4" w:space="0" w:color="000000"/>
                  <w:right w:val="single" w:sz="4" w:space="0" w:color="auto"/>
                </w:tcBorders>
                <w:vAlign w:val="center"/>
              </w:tcPr>
              <w:p>
                <w:pPr>
                  <w:widowControl w:val="0"/>
                  <w:suppressAutoHyphens/>
                  <w:rPr>
                    <w:color w:val="000000"/>
                    <w:sz w:val="22"/>
                    <w:szCs w:val="22"/>
                  </w:rPr>
                </w:pPr>
              </w:p>
            </w:tc>
          </w:tr>
          <w:tr>
            <w:trPr>
              <w:trHeight w:val="62"/>
            </w:trPr>
            <w:tc>
              <w:tcPr>
                <w:tcW w:w="875" w:type="dxa"/>
                <w:tcBorders>
                  <w:top w:val="single" w:sz="4" w:space="0" w:color="000000"/>
                  <w:left w:val="single" w:sz="4" w:space="0" w:color="auto"/>
                  <w:bottom w:val="single" w:sz="4" w:space="0" w:color="000000"/>
                  <w:right w:val="single" w:sz="4" w:space="0" w:color="000000"/>
                </w:tcBorders>
                <w:tcMar>
                  <w:top w:w="40" w:type="dxa"/>
                  <w:left w:w="57" w:type="dxa"/>
                  <w:bottom w:w="40" w:type="dxa"/>
                  <w:right w:w="57" w:type="dxa"/>
                </w:tcMar>
                <w:vAlign w:val="center"/>
              </w:tcPr>
              <w:p>
                <w:pPr>
                  <w:widowControl w:val="0"/>
                  <w:suppressAutoHyphens/>
                  <w:jc w:val="right"/>
                  <w:rPr>
                    <w:color w:val="000000"/>
                    <w:sz w:val="22"/>
                    <w:szCs w:val="22"/>
                  </w:rPr>
                </w:pPr>
                <w:r>
                  <w:rPr>
                    <w:b/>
                    <w:bCs/>
                    <w:color w:val="000000"/>
                    <w:sz w:val="22"/>
                    <w:szCs w:val="22"/>
                  </w:rPr>
                  <w:t>2.1.</w:t>
                </w:r>
              </w:p>
            </w:tc>
            <w:tc>
              <w:tcPr>
                <w:tcW w:w="7710" w:type="dxa"/>
                <w:gridSpan w:val="4"/>
                <w:tcBorders>
                  <w:top w:val="single" w:sz="4" w:space="0" w:color="000000"/>
                  <w:left w:val="single" w:sz="4" w:space="0" w:color="000000"/>
                  <w:bottom w:val="single" w:sz="4" w:space="0" w:color="000000"/>
                </w:tcBorders>
                <w:tcMar>
                  <w:top w:w="40" w:type="dxa"/>
                  <w:left w:w="57" w:type="dxa"/>
                  <w:bottom w:w="40" w:type="dxa"/>
                  <w:right w:w="57" w:type="dxa"/>
                </w:tcMar>
                <w:vAlign w:val="center"/>
              </w:tcPr>
              <w:p>
                <w:pPr>
                  <w:widowControl w:val="0"/>
                  <w:suppressAutoHyphens/>
                  <w:rPr>
                    <w:color w:val="000000"/>
                    <w:sz w:val="22"/>
                    <w:szCs w:val="22"/>
                  </w:rPr>
                </w:pPr>
                <w:r>
                  <w:rPr>
                    <w:b/>
                    <w:bCs/>
                    <w:color w:val="000000"/>
                    <w:sz w:val="22"/>
                    <w:szCs w:val="22"/>
                  </w:rPr>
                  <w:t xml:space="preserve">Bendros formos visų veiklos sričių įstaigoms </w:t>
                </w:r>
              </w:p>
            </w:tc>
            <w:tc>
              <w:tcPr>
                <w:tcW w:w="485" w:type="dxa"/>
                <w:tcBorders>
                  <w:top w:val="single" w:sz="4" w:space="0" w:color="000000"/>
                  <w:left w:val="nil"/>
                  <w:bottom w:val="single" w:sz="4" w:space="0" w:color="000000"/>
                  <w:right w:val="single" w:sz="4" w:space="0" w:color="auto"/>
                </w:tcBorders>
                <w:vAlign w:val="center"/>
              </w:tcPr>
              <w:p>
                <w:pPr>
                  <w:widowControl w:val="0"/>
                  <w:suppressAutoHyphens/>
                  <w:rPr>
                    <w:color w:val="000000"/>
                    <w:sz w:val="22"/>
                    <w:szCs w:val="22"/>
                  </w:rPr>
                </w:pPr>
              </w:p>
            </w:tc>
          </w:tr>
          <w:tr>
            <w:trPr>
              <w:trHeight w:val="62"/>
            </w:trPr>
            <w:tc>
              <w:tcPr>
                <w:tcW w:w="875" w:type="dxa"/>
                <w:tcBorders>
                  <w:top w:val="single" w:sz="4" w:space="0" w:color="000000"/>
                  <w:left w:val="single" w:sz="4" w:space="0" w:color="auto"/>
                  <w:bottom w:val="single" w:sz="4" w:space="0" w:color="000000"/>
                  <w:right w:val="single" w:sz="4" w:space="0" w:color="000000"/>
                </w:tcBorders>
                <w:tcMar>
                  <w:top w:w="40" w:type="dxa"/>
                  <w:left w:w="57" w:type="dxa"/>
                  <w:bottom w:w="40" w:type="dxa"/>
                  <w:right w:w="57" w:type="dxa"/>
                </w:tcMar>
                <w:vAlign w:val="center"/>
              </w:tcPr>
              <w:p>
                <w:pPr>
                  <w:widowControl w:val="0"/>
                  <w:suppressAutoHyphens/>
                  <w:jc w:val="right"/>
                  <w:rPr>
                    <w:color w:val="000000"/>
                    <w:sz w:val="22"/>
                    <w:szCs w:val="22"/>
                  </w:rPr>
                </w:pPr>
                <w:r>
                  <w:rPr>
                    <w:b/>
                    <w:bCs/>
                    <w:color w:val="000000"/>
                    <w:sz w:val="22"/>
                    <w:szCs w:val="22"/>
                  </w:rPr>
                  <w:t>2.1.1.</w:t>
                </w:r>
              </w:p>
            </w:tc>
            <w:tc>
              <w:tcPr>
                <w:tcW w:w="7710" w:type="dxa"/>
                <w:gridSpan w:val="4"/>
                <w:tcBorders>
                  <w:top w:val="single" w:sz="4" w:space="0" w:color="000000"/>
                  <w:left w:val="single" w:sz="4" w:space="0" w:color="000000"/>
                  <w:bottom w:val="single" w:sz="4" w:space="0" w:color="000000"/>
                </w:tcBorders>
                <w:tcMar>
                  <w:top w:w="40" w:type="dxa"/>
                  <w:left w:w="57" w:type="dxa"/>
                  <w:bottom w:w="40" w:type="dxa"/>
                  <w:right w:w="57" w:type="dxa"/>
                </w:tcMar>
                <w:vAlign w:val="center"/>
              </w:tcPr>
              <w:p>
                <w:pPr>
                  <w:widowControl w:val="0"/>
                  <w:suppressAutoHyphens/>
                  <w:rPr>
                    <w:color w:val="000000"/>
                    <w:sz w:val="22"/>
                    <w:szCs w:val="22"/>
                  </w:rPr>
                </w:pPr>
                <w:r>
                  <w:rPr>
                    <w:b/>
                    <w:bCs/>
                    <w:color w:val="000000"/>
                    <w:sz w:val="22"/>
                    <w:szCs w:val="22"/>
                  </w:rPr>
                  <w:t xml:space="preserve">Pagrindinė medicinos dokumentacija </w:t>
                </w:r>
              </w:p>
            </w:tc>
            <w:tc>
              <w:tcPr>
                <w:tcW w:w="485" w:type="dxa"/>
                <w:tcBorders>
                  <w:top w:val="single" w:sz="4" w:space="0" w:color="000000"/>
                  <w:left w:val="nil"/>
                  <w:bottom w:val="single" w:sz="4" w:space="0" w:color="000000"/>
                  <w:right w:val="single" w:sz="4" w:space="0" w:color="auto"/>
                </w:tcBorders>
                <w:vAlign w:val="center"/>
              </w:tcPr>
              <w:p>
                <w:pPr>
                  <w:widowControl w:val="0"/>
                  <w:suppressAutoHyphens/>
                  <w:rPr>
                    <w:color w:val="000000"/>
                    <w:sz w:val="22"/>
                    <w:szCs w:val="22"/>
                  </w:rPr>
                </w:pPr>
              </w:p>
            </w:tc>
          </w:tr>
          <w:tr>
            <w:trPr>
              <w:trHeight w:val="62"/>
            </w:trPr>
            <w:tc>
              <w:tcPr>
                <w:tcW w:w="875" w:type="dxa"/>
                <w:tcBorders>
                  <w:top w:val="single" w:sz="4" w:space="0" w:color="000000"/>
                  <w:left w:val="single" w:sz="4" w:space="0" w:color="auto"/>
                  <w:bottom w:val="single" w:sz="4" w:space="0" w:color="000000"/>
                  <w:right w:val="single" w:sz="4" w:space="0" w:color="000000"/>
                </w:tcBorders>
                <w:tcMar>
                  <w:top w:w="40" w:type="dxa"/>
                  <w:left w:w="57" w:type="dxa"/>
                  <w:bottom w:w="40" w:type="dxa"/>
                  <w:right w:w="57" w:type="dxa"/>
                </w:tcMar>
                <w:vAlign w:val="center"/>
              </w:tcPr>
              <w:p>
                <w:pPr>
                  <w:widowControl w:val="0"/>
                  <w:suppressAutoHyphens/>
                  <w:jc w:val="right"/>
                  <w:rPr>
                    <w:color w:val="000000"/>
                    <w:sz w:val="22"/>
                    <w:szCs w:val="22"/>
                  </w:rPr>
                </w:pPr>
                <w:r>
                  <w:rPr>
                    <w:color w:val="000000"/>
                    <w:sz w:val="22"/>
                    <w:szCs w:val="22"/>
                  </w:rPr>
                  <w:t>2.1.1.1.</w:t>
                </w:r>
              </w:p>
            </w:tc>
            <w:tc>
              <w:tcPr>
                <w:tcW w:w="2875" w:type="dxa"/>
                <w:gridSpan w:val="2"/>
                <w:tcBorders>
                  <w:top w:val="single" w:sz="4" w:space="0" w:color="000000"/>
                  <w:left w:val="single" w:sz="4" w:space="0" w:color="000000"/>
                  <w:bottom w:val="single" w:sz="4" w:space="0" w:color="000000"/>
                  <w:right w:val="single" w:sz="4" w:space="0" w:color="auto"/>
                </w:tcBorders>
                <w:tcMar>
                  <w:top w:w="40" w:type="dxa"/>
                  <w:left w:w="57" w:type="dxa"/>
                  <w:bottom w:w="40" w:type="dxa"/>
                  <w:right w:w="57" w:type="dxa"/>
                </w:tcMar>
                <w:vAlign w:val="center"/>
              </w:tcPr>
              <w:p>
                <w:pPr>
                  <w:widowControl w:val="0"/>
                  <w:suppressAutoHyphens/>
                  <w:rPr>
                    <w:color w:val="000000"/>
                    <w:sz w:val="22"/>
                    <w:szCs w:val="22"/>
                  </w:rPr>
                </w:pPr>
                <w:r>
                  <w:rPr>
                    <w:color w:val="000000"/>
                    <w:sz w:val="22"/>
                    <w:szCs w:val="22"/>
                    <w:u w:val="thick"/>
                  </w:rPr>
                  <w:t xml:space="preserve">025/a </w:t>
                </w:r>
              </w:p>
            </w:tc>
            <w:tc>
              <w:tcPr>
                <w:tcW w:w="5320" w:type="dxa"/>
                <w:gridSpan w:val="3"/>
                <w:tcBorders>
                  <w:top w:val="single" w:sz="4" w:space="0" w:color="000000"/>
                  <w:left w:val="single" w:sz="4" w:space="0" w:color="auto"/>
                  <w:bottom w:val="single" w:sz="4" w:space="0" w:color="000000"/>
                  <w:right w:val="single" w:sz="4" w:space="0" w:color="auto"/>
                </w:tcBorders>
                <w:tcMar>
                  <w:top w:w="40" w:type="dxa"/>
                  <w:left w:w="57" w:type="dxa"/>
                  <w:bottom w:w="40" w:type="dxa"/>
                  <w:right w:w="57" w:type="dxa"/>
                </w:tcMar>
                <w:vAlign w:val="center"/>
              </w:tcPr>
              <w:p>
                <w:pPr>
                  <w:widowControl w:val="0"/>
                  <w:suppressAutoHyphens/>
                  <w:rPr>
                    <w:color w:val="000000"/>
                    <w:sz w:val="22"/>
                    <w:szCs w:val="22"/>
                  </w:rPr>
                </w:pPr>
                <w:r>
                  <w:rPr>
                    <w:color w:val="000000"/>
                    <w:sz w:val="22"/>
                    <w:szCs w:val="22"/>
                  </w:rPr>
                  <w:t>Asmens sveikatos istorija Nr. ....... (ambulatorinė kortelė, įdėtinis lapas)</w:t>
                </w:r>
              </w:p>
            </w:tc>
          </w:tr>
          <w:tr>
            <w:trPr>
              <w:trHeight w:val="62"/>
            </w:trPr>
            <w:tc>
              <w:tcPr>
                <w:tcW w:w="875" w:type="dxa"/>
                <w:tcBorders>
                  <w:top w:val="single" w:sz="4" w:space="0" w:color="000000"/>
                  <w:left w:val="single" w:sz="4" w:space="0" w:color="auto"/>
                  <w:bottom w:val="single" w:sz="4" w:space="0" w:color="000000"/>
                  <w:right w:val="single" w:sz="4" w:space="0" w:color="000000"/>
                </w:tcBorders>
                <w:tcMar>
                  <w:top w:w="40" w:type="dxa"/>
                  <w:left w:w="57" w:type="dxa"/>
                  <w:bottom w:w="40" w:type="dxa"/>
                  <w:right w:w="57" w:type="dxa"/>
                </w:tcMar>
                <w:vAlign w:val="center"/>
              </w:tcPr>
              <w:p>
                <w:pPr>
                  <w:widowControl w:val="0"/>
                  <w:suppressAutoHyphens/>
                  <w:jc w:val="right"/>
                  <w:rPr>
                    <w:color w:val="000000"/>
                    <w:sz w:val="22"/>
                    <w:szCs w:val="22"/>
                  </w:rPr>
                </w:pPr>
                <w:r>
                  <w:rPr>
                    <w:color w:val="000000"/>
                    <w:sz w:val="22"/>
                    <w:szCs w:val="22"/>
                  </w:rPr>
                  <w:t>2.1.1.2.</w:t>
                </w:r>
              </w:p>
            </w:tc>
            <w:tc>
              <w:tcPr>
                <w:tcW w:w="2875" w:type="dxa"/>
                <w:gridSpan w:val="2"/>
                <w:tcBorders>
                  <w:top w:val="single" w:sz="4" w:space="0" w:color="000000"/>
                  <w:left w:val="single" w:sz="4" w:space="0" w:color="000000"/>
                  <w:bottom w:val="single" w:sz="4" w:space="0" w:color="000000"/>
                  <w:right w:val="single" w:sz="4" w:space="0" w:color="auto"/>
                </w:tcBorders>
                <w:tcMar>
                  <w:top w:w="40" w:type="dxa"/>
                  <w:left w:w="57" w:type="dxa"/>
                  <w:bottom w:w="40" w:type="dxa"/>
                  <w:right w:w="57" w:type="dxa"/>
                </w:tcMar>
                <w:vAlign w:val="center"/>
              </w:tcPr>
              <w:p>
                <w:pPr>
                  <w:widowControl w:val="0"/>
                  <w:suppressAutoHyphens/>
                  <w:rPr>
                    <w:color w:val="000000"/>
                    <w:sz w:val="22"/>
                    <w:szCs w:val="22"/>
                  </w:rPr>
                </w:pPr>
                <w:r>
                  <w:rPr>
                    <w:color w:val="000000"/>
                    <w:sz w:val="22"/>
                    <w:szCs w:val="22"/>
                    <w:u w:val="thick"/>
                  </w:rPr>
                  <w:t xml:space="preserve">025/a-LK </w:t>
                </w:r>
              </w:p>
            </w:tc>
            <w:tc>
              <w:tcPr>
                <w:tcW w:w="5320" w:type="dxa"/>
                <w:gridSpan w:val="3"/>
                <w:tcBorders>
                  <w:top w:val="single" w:sz="4" w:space="0" w:color="000000"/>
                  <w:left w:val="single" w:sz="4" w:space="0" w:color="auto"/>
                  <w:bottom w:val="single" w:sz="4" w:space="0" w:color="000000"/>
                  <w:right w:val="single" w:sz="4" w:space="0" w:color="auto"/>
                </w:tcBorders>
                <w:tcMar>
                  <w:top w:w="40" w:type="dxa"/>
                  <w:left w:w="57" w:type="dxa"/>
                  <w:bottom w:w="40" w:type="dxa"/>
                  <w:right w:w="57" w:type="dxa"/>
                </w:tcMar>
                <w:vAlign w:val="center"/>
              </w:tcPr>
              <w:p>
                <w:pPr>
                  <w:widowControl w:val="0"/>
                  <w:suppressAutoHyphens/>
                  <w:rPr>
                    <w:color w:val="000000"/>
                    <w:sz w:val="22"/>
                    <w:szCs w:val="22"/>
                  </w:rPr>
                </w:pPr>
                <w:r>
                  <w:rPr>
                    <w:color w:val="000000"/>
                    <w:sz w:val="22"/>
                    <w:szCs w:val="22"/>
                  </w:rPr>
                  <w:t>Asmens ambulatorinio gydymo apskaitos kortelė Nr. ...</w:t>
                </w:r>
              </w:p>
            </w:tc>
          </w:tr>
          <w:tr>
            <w:trPr>
              <w:trHeight w:val="62"/>
            </w:trPr>
            <w:tc>
              <w:tcPr>
                <w:tcW w:w="875" w:type="dxa"/>
                <w:tcBorders>
                  <w:top w:val="single" w:sz="4" w:space="0" w:color="000000"/>
                  <w:left w:val="single" w:sz="4" w:space="0" w:color="auto"/>
                  <w:bottom w:val="single" w:sz="4" w:space="0" w:color="000000"/>
                  <w:right w:val="single" w:sz="4" w:space="0" w:color="000000"/>
                </w:tcBorders>
                <w:tcMar>
                  <w:top w:w="40" w:type="dxa"/>
                  <w:left w:w="57" w:type="dxa"/>
                  <w:bottom w:w="40" w:type="dxa"/>
                  <w:right w:w="57" w:type="dxa"/>
                </w:tcMar>
                <w:vAlign w:val="center"/>
              </w:tcPr>
              <w:p>
                <w:pPr>
                  <w:widowControl w:val="0"/>
                  <w:suppressAutoHyphens/>
                  <w:jc w:val="right"/>
                  <w:rPr>
                    <w:color w:val="000000"/>
                    <w:sz w:val="22"/>
                    <w:szCs w:val="22"/>
                  </w:rPr>
                </w:pPr>
                <w:r>
                  <w:rPr>
                    <w:color w:val="000000"/>
                    <w:sz w:val="22"/>
                    <w:szCs w:val="22"/>
                  </w:rPr>
                  <w:t>2.1.1.3.</w:t>
                </w:r>
              </w:p>
            </w:tc>
            <w:tc>
              <w:tcPr>
                <w:tcW w:w="2875" w:type="dxa"/>
                <w:gridSpan w:val="2"/>
                <w:tcBorders>
                  <w:top w:val="single" w:sz="4" w:space="0" w:color="000000"/>
                  <w:left w:val="single" w:sz="4" w:space="0" w:color="000000"/>
                  <w:bottom w:val="single" w:sz="4" w:space="0" w:color="000000"/>
                  <w:right w:val="single" w:sz="4" w:space="0" w:color="auto"/>
                </w:tcBorders>
                <w:tcMar>
                  <w:top w:w="40" w:type="dxa"/>
                  <w:left w:w="57" w:type="dxa"/>
                  <w:bottom w:w="40" w:type="dxa"/>
                  <w:right w:w="57" w:type="dxa"/>
                </w:tcMar>
                <w:vAlign w:val="center"/>
              </w:tcPr>
              <w:p>
                <w:pPr>
                  <w:widowControl w:val="0"/>
                  <w:suppressAutoHyphens/>
                  <w:rPr>
                    <w:color w:val="000000"/>
                    <w:sz w:val="22"/>
                    <w:szCs w:val="22"/>
                  </w:rPr>
                </w:pPr>
                <w:r>
                  <w:rPr>
                    <w:color w:val="000000"/>
                    <w:sz w:val="22"/>
                    <w:szCs w:val="22"/>
                    <w:u w:val="thick"/>
                  </w:rPr>
                  <w:t xml:space="preserve">025-1/a-LK </w:t>
                </w:r>
              </w:p>
            </w:tc>
            <w:tc>
              <w:tcPr>
                <w:tcW w:w="5320" w:type="dxa"/>
                <w:gridSpan w:val="3"/>
                <w:tcBorders>
                  <w:top w:val="single" w:sz="4" w:space="0" w:color="000000"/>
                  <w:left w:val="single" w:sz="4" w:space="0" w:color="auto"/>
                  <w:bottom w:val="single" w:sz="4" w:space="0" w:color="000000"/>
                  <w:right w:val="single" w:sz="4" w:space="0" w:color="auto"/>
                </w:tcBorders>
                <w:tcMar>
                  <w:top w:w="40" w:type="dxa"/>
                  <w:left w:w="57" w:type="dxa"/>
                  <w:bottom w:w="40" w:type="dxa"/>
                  <w:right w:w="57" w:type="dxa"/>
                </w:tcMar>
                <w:vAlign w:val="center"/>
              </w:tcPr>
              <w:p>
                <w:pPr>
                  <w:widowControl w:val="0"/>
                  <w:suppressAutoHyphens/>
                  <w:rPr>
                    <w:color w:val="000000"/>
                    <w:sz w:val="22"/>
                    <w:szCs w:val="22"/>
                  </w:rPr>
                </w:pPr>
                <w:r>
                  <w:rPr>
                    <w:color w:val="000000"/>
                    <w:sz w:val="22"/>
                    <w:szCs w:val="22"/>
                  </w:rPr>
                  <w:t>Asmens ambulatorinio gydymo priėmimo skyriuje apskaitos kortelė</w:t>
                </w:r>
              </w:p>
            </w:tc>
          </w:tr>
          <w:tr>
            <w:trPr>
              <w:trHeight w:val="62"/>
            </w:trPr>
            <w:tc>
              <w:tcPr>
                <w:tcW w:w="875" w:type="dxa"/>
                <w:tcBorders>
                  <w:top w:val="single" w:sz="4" w:space="0" w:color="000000"/>
                  <w:left w:val="single" w:sz="4" w:space="0" w:color="auto"/>
                  <w:bottom w:val="single" w:sz="4" w:space="0" w:color="000000"/>
                  <w:right w:val="single" w:sz="4" w:space="0" w:color="000000"/>
                </w:tcBorders>
                <w:tcMar>
                  <w:top w:w="40" w:type="dxa"/>
                  <w:left w:w="57" w:type="dxa"/>
                  <w:bottom w:w="40" w:type="dxa"/>
                  <w:right w:w="57" w:type="dxa"/>
                </w:tcMar>
                <w:vAlign w:val="center"/>
              </w:tcPr>
              <w:p>
                <w:pPr>
                  <w:widowControl w:val="0"/>
                  <w:suppressAutoHyphens/>
                  <w:jc w:val="right"/>
                  <w:rPr>
                    <w:color w:val="000000"/>
                    <w:sz w:val="22"/>
                    <w:szCs w:val="22"/>
                  </w:rPr>
                </w:pPr>
                <w:r>
                  <w:rPr>
                    <w:color w:val="000000"/>
                    <w:sz w:val="22"/>
                    <w:szCs w:val="22"/>
                  </w:rPr>
                  <w:t>2.1.1.4.</w:t>
                </w:r>
              </w:p>
            </w:tc>
            <w:tc>
              <w:tcPr>
                <w:tcW w:w="2875" w:type="dxa"/>
                <w:gridSpan w:val="2"/>
                <w:tcBorders>
                  <w:top w:val="single" w:sz="4" w:space="0" w:color="000000"/>
                  <w:left w:val="single" w:sz="4" w:space="0" w:color="000000"/>
                  <w:bottom w:val="single" w:sz="4" w:space="0" w:color="000000"/>
                  <w:right w:val="single" w:sz="4" w:space="0" w:color="auto"/>
                </w:tcBorders>
                <w:tcMar>
                  <w:top w:w="40" w:type="dxa"/>
                  <w:left w:w="57" w:type="dxa"/>
                  <w:bottom w:w="40" w:type="dxa"/>
                  <w:right w:w="57" w:type="dxa"/>
                </w:tcMar>
                <w:vAlign w:val="center"/>
              </w:tcPr>
              <w:p>
                <w:pPr>
                  <w:widowControl w:val="0"/>
                  <w:suppressAutoHyphens/>
                  <w:rPr>
                    <w:color w:val="000000"/>
                    <w:sz w:val="22"/>
                    <w:szCs w:val="22"/>
                  </w:rPr>
                </w:pPr>
                <w:r>
                  <w:rPr>
                    <w:color w:val="000000"/>
                    <w:sz w:val="22"/>
                    <w:szCs w:val="22"/>
                    <w:u w:val="thick"/>
                  </w:rPr>
                  <w:t xml:space="preserve">025-025-1/a </w:t>
                </w:r>
              </w:p>
            </w:tc>
            <w:tc>
              <w:tcPr>
                <w:tcW w:w="5320" w:type="dxa"/>
                <w:gridSpan w:val="3"/>
                <w:tcBorders>
                  <w:top w:val="single" w:sz="4" w:space="0" w:color="000000"/>
                  <w:left w:val="single" w:sz="4" w:space="0" w:color="auto"/>
                  <w:bottom w:val="single" w:sz="4" w:space="0" w:color="000000"/>
                  <w:right w:val="single" w:sz="4" w:space="0" w:color="auto"/>
                </w:tcBorders>
                <w:tcMar>
                  <w:top w:w="40" w:type="dxa"/>
                  <w:left w:w="57" w:type="dxa"/>
                  <w:bottom w:w="40" w:type="dxa"/>
                  <w:right w:w="57" w:type="dxa"/>
                </w:tcMar>
                <w:vAlign w:val="center"/>
              </w:tcPr>
              <w:p>
                <w:pPr>
                  <w:widowControl w:val="0"/>
                  <w:suppressAutoHyphens/>
                  <w:rPr>
                    <w:color w:val="000000"/>
                    <w:sz w:val="22"/>
                    <w:szCs w:val="22"/>
                  </w:rPr>
                </w:pPr>
                <w:r>
                  <w:rPr>
                    <w:color w:val="000000"/>
                    <w:sz w:val="22"/>
                    <w:szCs w:val="22"/>
                  </w:rPr>
                  <w:t>Prašymas gydytis pasirinktoje pirminės asmens sveikatos priežiūros įstaigoje</w:t>
                </w:r>
              </w:p>
            </w:tc>
          </w:tr>
          <w:tr>
            <w:trPr>
              <w:trHeight w:val="62"/>
            </w:trPr>
            <w:tc>
              <w:tcPr>
                <w:tcW w:w="875" w:type="dxa"/>
                <w:tcBorders>
                  <w:top w:val="single" w:sz="4" w:space="0" w:color="000000"/>
                  <w:left w:val="single" w:sz="4" w:space="0" w:color="auto"/>
                  <w:bottom w:val="single" w:sz="4" w:space="0" w:color="000000"/>
                  <w:right w:val="single" w:sz="4" w:space="0" w:color="000000"/>
                </w:tcBorders>
                <w:tcMar>
                  <w:top w:w="40" w:type="dxa"/>
                  <w:left w:w="57" w:type="dxa"/>
                  <w:bottom w:w="40" w:type="dxa"/>
                  <w:right w:w="57" w:type="dxa"/>
                </w:tcMar>
                <w:vAlign w:val="center"/>
              </w:tcPr>
              <w:p>
                <w:pPr>
                  <w:widowControl w:val="0"/>
                  <w:suppressAutoHyphens/>
                  <w:jc w:val="right"/>
                  <w:rPr>
                    <w:color w:val="000000"/>
                    <w:sz w:val="22"/>
                    <w:szCs w:val="22"/>
                  </w:rPr>
                </w:pPr>
                <w:r>
                  <w:rPr>
                    <w:color w:val="000000"/>
                    <w:sz w:val="22"/>
                    <w:szCs w:val="22"/>
                  </w:rPr>
                  <w:t>2.1.1.5.</w:t>
                </w:r>
              </w:p>
            </w:tc>
            <w:tc>
              <w:tcPr>
                <w:tcW w:w="2875" w:type="dxa"/>
                <w:gridSpan w:val="2"/>
                <w:tcBorders>
                  <w:top w:val="single" w:sz="4" w:space="0" w:color="000000"/>
                  <w:left w:val="single" w:sz="4" w:space="0" w:color="000000"/>
                  <w:bottom w:val="single" w:sz="4" w:space="0" w:color="000000"/>
                  <w:right w:val="single" w:sz="4" w:space="0" w:color="auto"/>
                </w:tcBorders>
                <w:tcMar>
                  <w:top w:w="40" w:type="dxa"/>
                  <w:left w:w="57" w:type="dxa"/>
                  <w:bottom w:w="40" w:type="dxa"/>
                  <w:right w:w="57" w:type="dxa"/>
                </w:tcMar>
                <w:vAlign w:val="center"/>
              </w:tcPr>
              <w:p>
                <w:pPr>
                  <w:widowControl w:val="0"/>
                  <w:suppressAutoHyphens/>
                  <w:rPr>
                    <w:color w:val="000000"/>
                    <w:sz w:val="22"/>
                    <w:szCs w:val="22"/>
                  </w:rPr>
                </w:pPr>
                <w:r>
                  <w:rPr>
                    <w:color w:val="000000"/>
                    <w:sz w:val="22"/>
                    <w:szCs w:val="22"/>
                    <w:u w:val="thick"/>
                  </w:rPr>
                  <w:t xml:space="preserve">025-025-2/a </w:t>
                </w:r>
              </w:p>
            </w:tc>
            <w:tc>
              <w:tcPr>
                <w:tcW w:w="5320" w:type="dxa"/>
                <w:gridSpan w:val="3"/>
                <w:tcBorders>
                  <w:top w:val="single" w:sz="4" w:space="0" w:color="000000"/>
                  <w:left w:val="single" w:sz="4" w:space="0" w:color="auto"/>
                  <w:bottom w:val="single" w:sz="4" w:space="0" w:color="000000"/>
                  <w:right w:val="single" w:sz="4" w:space="0" w:color="auto"/>
                </w:tcBorders>
                <w:tcMar>
                  <w:top w:w="40" w:type="dxa"/>
                  <w:left w:w="57" w:type="dxa"/>
                  <w:bottom w:w="40" w:type="dxa"/>
                  <w:right w:w="57" w:type="dxa"/>
                </w:tcMar>
                <w:vAlign w:val="center"/>
              </w:tcPr>
              <w:p>
                <w:pPr>
                  <w:widowControl w:val="0"/>
                  <w:suppressAutoHyphens/>
                  <w:rPr>
                    <w:color w:val="000000"/>
                    <w:sz w:val="22"/>
                    <w:szCs w:val="22"/>
                  </w:rPr>
                </w:pPr>
                <w:r>
                  <w:rPr>
                    <w:color w:val="000000"/>
                    <w:sz w:val="22"/>
                    <w:szCs w:val="22"/>
                  </w:rPr>
                  <w:t>Prašymas gydytis pas kitą pasirinktos pirminės asmens sveikatos priežiūros įstaigos gydytoją</w:t>
                </w:r>
              </w:p>
            </w:tc>
          </w:tr>
          <w:tr>
            <w:trPr>
              <w:trHeight w:val="62"/>
            </w:trPr>
            <w:tc>
              <w:tcPr>
                <w:tcW w:w="875" w:type="dxa"/>
                <w:tcBorders>
                  <w:top w:val="single" w:sz="4" w:space="0" w:color="000000"/>
                  <w:left w:val="single" w:sz="4" w:space="0" w:color="auto"/>
                  <w:bottom w:val="single" w:sz="4" w:space="0" w:color="000000"/>
                  <w:right w:val="single" w:sz="4" w:space="0" w:color="000000"/>
                </w:tcBorders>
                <w:tcMar>
                  <w:top w:w="40" w:type="dxa"/>
                  <w:left w:w="57" w:type="dxa"/>
                  <w:bottom w:w="40" w:type="dxa"/>
                  <w:right w:w="57" w:type="dxa"/>
                </w:tcMar>
                <w:vAlign w:val="center"/>
              </w:tcPr>
              <w:p>
                <w:pPr>
                  <w:widowControl w:val="0"/>
                  <w:suppressAutoHyphens/>
                  <w:jc w:val="right"/>
                  <w:rPr>
                    <w:color w:val="000000"/>
                    <w:sz w:val="22"/>
                    <w:szCs w:val="22"/>
                  </w:rPr>
                </w:pPr>
                <w:r>
                  <w:rPr>
                    <w:color w:val="000000"/>
                    <w:sz w:val="22"/>
                    <w:szCs w:val="22"/>
                  </w:rPr>
                  <w:t>2.1.1.6.</w:t>
                </w:r>
              </w:p>
            </w:tc>
            <w:tc>
              <w:tcPr>
                <w:tcW w:w="2875" w:type="dxa"/>
                <w:gridSpan w:val="2"/>
                <w:tcBorders>
                  <w:top w:val="single" w:sz="4" w:space="0" w:color="000000"/>
                  <w:left w:val="single" w:sz="4" w:space="0" w:color="000000"/>
                  <w:bottom w:val="single" w:sz="4" w:space="0" w:color="000000"/>
                  <w:right w:val="single" w:sz="4" w:space="0" w:color="auto"/>
                </w:tcBorders>
                <w:tcMar>
                  <w:top w:w="40" w:type="dxa"/>
                  <w:left w:w="57" w:type="dxa"/>
                  <w:bottom w:w="40" w:type="dxa"/>
                  <w:right w:w="57" w:type="dxa"/>
                </w:tcMar>
                <w:vAlign w:val="center"/>
              </w:tcPr>
              <w:p>
                <w:pPr>
                  <w:widowControl w:val="0"/>
                  <w:suppressAutoHyphens/>
                  <w:rPr>
                    <w:color w:val="000000"/>
                    <w:sz w:val="22"/>
                    <w:szCs w:val="22"/>
                  </w:rPr>
                </w:pPr>
                <w:r>
                  <w:rPr>
                    <w:color w:val="000000"/>
                    <w:sz w:val="22"/>
                    <w:szCs w:val="22"/>
                    <w:u w:val="thick"/>
                  </w:rPr>
                  <w:t xml:space="preserve">048/a </w:t>
                </w:r>
              </w:p>
            </w:tc>
            <w:tc>
              <w:tcPr>
                <w:tcW w:w="5320" w:type="dxa"/>
                <w:gridSpan w:val="3"/>
                <w:tcBorders>
                  <w:top w:val="single" w:sz="4" w:space="0" w:color="000000"/>
                  <w:left w:val="single" w:sz="4" w:space="0" w:color="auto"/>
                  <w:bottom w:val="single" w:sz="4" w:space="0" w:color="000000"/>
                  <w:right w:val="single" w:sz="4" w:space="0" w:color="auto"/>
                </w:tcBorders>
                <w:tcMar>
                  <w:top w:w="40" w:type="dxa"/>
                  <w:left w:w="57" w:type="dxa"/>
                  <w:bottom w:w="40" w:type="dxa"/>
                  <w:right w:w="57" w:type="dxa"/>
                </w:tcMar>
                <w:vAlign w:val="center"/>
              </w:tcPr>
              <w:p>
                <w:pPr>
                  <w:widowControl w:val="0"/>
                  <w:suppressAutoHyphens/>
                  <w:rPr>
                    <w:color w:val="000000"/>
                    <w:sz w:val="22"/>
                    <w:szCs w:val="22"/>
                  </w:rPr>
                </w:pPr>
                <w:r>
                  <w:rPr>
                    <w:color w:val="000000"/>
                    <w:sz w:val="22"/>
                    <w:szCs w:val="22"/>
                  </w:rPr>
                  <w:t>Asmens medicininė knygelė (sveikatos pasas)</w:t>
                </w:r>
              </w:p>
            </w:tc>
          </w:tr>
          <w:tr>
            <w:trPr>
              <w:trHeight w:val="62"/>
            </w:trPr>
            <w:tc>
              <w:tcPr>
                <w:tcW w:w="875" w:type="dxa"/>
                <w:tcBorders>
                  <w:top w:val="single" w:sz="4" w:space="0" w:color="000000"/>
                  <w:left w:val="single" w:sz="4" w:space="0" w:color="auto"/>
                  <w:bottom w:val="single" w:sz="4" w:space="0" w:color="000000"/>
                  <w:right w:val="single" w:sz="4" w:space="0" w:color="000000"/>
                </w:tcBorders>
                <w:tcMar>
                  <w:top w:w="40" w:type="dxa"/>
                  <w:left w:w="57" w:type="dxa"/>
                  <w:bottom w:w="40" w:type="dxa"/>
                  <w:right w:w="57" w:type="dxa"/>
                </w:tcMar>
                <w:vAlign w:val="center"/>
              </w:tcPr>
              <w:p>
                <w:pPr>
                  <w:widowControl w:val="0"/>
                  <w:suppressAutoHyphens/>
                  <w:jc w:val="right"/>
                  <w:rPr>
                    <w:color w:val="000000"/>
                    <w:sz w:val="22"/>
                    <w:szCs w:val="22"/>
                  </w:rPr>
                </w:pPr>
                <w:r>
                  <w:rPr>
                    <w:color w:val="000000"/>
                    <w:sz w:val="22"/>
                    <w:szCs w:val="22"/>
                  </w:rPr>
                  <w:t>2.1.1.7.</w:t>
                </w:r>
              </w:p>
            </w:tc>
            <w:tc>
              <w:tcPr>
                <w:tcW w:w="2875" w:type="dxa"/>
                <w:gridSpan w:val="2"/>
                <w:tcBorders>
                  <w:top w:val="single" w:sz="4" w:space="0" w:color="000000"/>
                  <w:left w:val="single" w:sz="4" w:space="0" w:color="000000"/>
                  <w:bottom w:val="single" w:sz="4" w:space="0" w:color="000000"/>
                  <w:right w:val="single" w:sz="4" w:space="0" w:color="auto"/>
                </w:tcBorders>
                <w:tcMar>
                  <w:top w:w="40" w:type="dxa"/>
                  <w:left w:w="57" w:type="dxa"/>
                  <w:bottom w:w="40" w:type="dxa"/>
                  <w:right w:w="57" w:type="dxa"/>
                </w:tcMar>
                <w:vAlign w:val="center"/>
              </w:tcPr>
              <w:p>
                <w:pPr>
                  <w:widowControl w:val="0"/>
                  <w:suppressAutoHyphens/>
                  <w:rPr>
                    <w:color w:val="000000"/>
                    <w:sz w:val="22"/>
                    <w:szCs w:val="22"/>
                  </w:rPr>
                </w:pPr>
                <w:r>
                  <w:rPr>
                    <w:color w:val="000000"/>
                    <w:sz w:val="22"/>
                    <w:szCs w:val="22"/>
                    <w:u w:val="thick"/>
                  </w:rPr>
                  <w:t xml:space="preserve">049/a </w:t>
                </w:r>
              </w:p>
            </w:tc>
            <w:tc>
              <w:tcPr>
                <w:tcW w:w="5320" w:type="dxa"/>
                <w:gridSpan w:val="3"/>
                <w:tcBorders>
                  <w:top w:val="single" w:sz="4" w:space="0" w:color="000000"/>
                  <w:left w:val="single" w:sz="4" w:space="0" w:color="auto"/>
                  <w:bottom w:val="single" w:sz="4" w:space="0" w:color="000000"/>
                  <w:right w:val="single" w:sz="4" w:space="0" w:color="auto"/>
                </w:tcBorders>
                <w:tcMar>
                  <w:top w:w="40" w:type="dxa"/>
                  <w:left w:w="57" w:type="dxa"/>
                  <w:bottom w:w="40" w:type="dxa"/>
                  <w:right w:w="57" w:type="dxa"/>
                </w:tcMar>
                <w:vAlign w:val="center"/>
              </w:tcPr>
              <w:p>
                <w:pPr>
                  <w:widowControl w:val="0"/>
                  <w:suppressAutoHyphens/>
                  <w:rPr>
                    <w:color w:val="000000"/>
                    <w:sz w:val="22"/>
                    <w:szCs w:val="22"/>
                  </w:rPr>
                </w:pPr>
                <w:r>
                  <w:rPr>
                    <w:color w:val="000000"/>
                    <w:sz w:val="22"/>
                    <w:szCs w:val="22"/>
                  </w:rPr>
                  <w:t>Asmens privalomojo sveikatos tikrinimo kortelė</w:t>
                </w:r>
              </w:p>
            </w:tc>
          </w:tr>
          <w:tr>
            <w:trPr>
              <w:trHeight w:val="62"/>
            </w:trPr>
            <w:tc>
              <w:tcPr>
                <w:tcW w:w="875" w:type="dxa"/>
                <w:tcBorders>
                  <w:top w:val="single" w:sz="4" w:space="0" w:color="000000"/>
                  <w:left w:val="single" w:sz="4" w:space="0" w:color="auto"/>
                  <w:bottom w:val="single" w:sz="4" w:space="0" w:color="000000"/>
                  <w:right w:val="single" w:sz="4" w:space="0" w:color="000000"/>
                </w:tcBorders>
                <w:tcMar>
                  <w:top w:w="40" w:type="dxa"/>
                  <w:left w:w="57" w:type="dxa"/>
                  <w:bottom w:w="40" w:type="dxa"/>
                  <w:right w:w="57" w:type="dxa"/>
                </w:tcMar>
                <w:vAlign w:val="center"/>
              </w:tcPr>
              <w:p>
                <w:pPr>
                  <w:widowControl w:val="0"/>
                  <w:suppressAutoHyphens/>
                  <w:jc w:val="right"/>
                  <w:rPr>
                    <w:color w:val="000000"/>
                    <w:sz w:val="22"/>
                    <w:szCs w:val="22"/>
                  </w:rPr>
                </w:pPr>
                <w:r>
                  <w:rPr>
                    <w:b/>
                    <w:bCs/>
                    <w:color w:val="000000"/>
                    <w:sz w:val="22"/>
                    <w:szCs w:val="22"/>
                  </w:rPr>
                  <w:t>2.2.</w:t>
                </w:r>
              </w:p>
            </w:tc>
            <w:tc>
              <w:tcPr>
                <w:tcW w:w="7710" w:type="dxa"/>
                <w:gridSpan w:val="4"/>
                <w:tcBorders>
                  <w:top w:val="single" w:sz="4" w:space="0" w:color="000000"/>
                  <w:left w:val="single" w:sz="4" w:space="0" w:color="000000"/>
                  <w:bottom w:val="single" w:sz="4" w:space="0" w:color="000000"/>
                </w:tcBorders>
                <w:tcMar>
                  <w:top w:w="40" w:type="dxa"/>
                  <w:left w:w="57" w:type="dxa"/>
                  <w:bottom w:w="40" w:type="dxa"/>
                  <w:right w:w="57" w:type="dxa"/>
                </w:tcMar>
                <w:vAlign w:val="center"/>
              </w:tcPr>
              <w:p>
                <w:pPr>
                  <w:widowControl w:val="0"/>
                  <w:suppressAutoHyphens/>
                  <w:rPr>
                    <w:color w:val="000000"/>
                    <w:sz w:val="22"/>
                    <w:szCs w:val="22"/>
                  </w:rPr>
                </w:pPr>
                <w:r>
                  <w:rPr>
                    <w:b/>
                    <w:bCs/>
                    <w:color w:val="000000"/>
                    <w:sz w:val="22"/>
                    <w:szCs w:val="22"/>
                  </w:rPr>
                  <w:t xml:space="preserve">Specializuota veikla </w:t>
                </w:r>
              </w:p>
            </w:tc>
            <w:tc>
              <w:tcPr>
                <w:tcW w:w="485" w:type="dxa"/>
                <w:tcBorders>
                  <w:top w:val="single" w:sz="4" w:space="0" w:color="000000"/>
                  <w:left w:val="nil"/>
                  <w:bottom w:val="single" w:sz="4" w:space="0" w:color="000000"/>
                  <w:right w:val="single" w:sz="4" w:space="0" w:color="auto"/>
                </w:tcBorders>
                <w:vAlign w:val="center"/>
              </w:tcPr>
              <w:p>
                <w:pPr>
                  <w:widowControl w:val="0"/>
                  <w:suppressAutoHyphens/>
                  <w:rPr>
                    <w:color w:val="000000"/>
                    <w:sz w:val="22"/>
                    <w:szCs w:val="22"/>
                  </w:rPr>
                </w:pPr>
              </w:p>
            </w:tc>
          </w:tr>
          <w:tr>
            <w:trPr>
              <w:trHeight w:val="62"/>
            </w:trPr>
            <w:tc>
              <w:tcPr>
                <w:tcW w:w="875" w:type="dxa"/>
                <w:tcBorders>
                  <w:top w:val="single" w:sz="4" w:space="0" w:color="000000"/>
                  <w:left w:val="single" w:sz="4" w:space="0" w:color="auto"/>
                  <w:bottom w:val="single" w:sz="4" w:space="0" w:color="000000"/>
                  <w:right w:val="single" w:sz="4" w:space="0" w:color="000000"/>
                </w:tcBorders>
                <w:tcMar>
                  <w:top w:w="40" w:type="dxa"/>
                  <w:left w:w="57" w:type="dxa"/>
                  <w:bottom w:w="40" w:type="dxa"/>
                  <w:right w:w="57" w:type="dxa"/>
                </w:tcMar>
                <w:vAlign w:val="center"/>
              </w:tcPr>
              <w:p>
                <w:pPr>
                  <w:widowControl w:val="0"/>
                  <w:suppressAutoHyphens/>
                  <w:jc w:val="right"/>
                  <w:rPr>
                    <w:color w:val="000000"/>
                    <w:sz w:val="22"/>
                    <w:szCs w:val="22"/>
                  </w:rPr>
                </w:pPr>
                <w:r>
                  <w:rPr>
                    <w:b/>
                    <w:bCs/>
                    <w:color w:val="000000"/>
                    <w:sz w:val="22"/>
                    <w:szCs w:val="22"/>
                  </w:rPr>
                  <w:t>2.2.1.</w:t>
                </w:r>
              </w:p>
            </w:tc>
            <w:tc>
              <w:tcPr>
                <w:tcW w:w="7710" w:type="dxa"/>
                <w:gridSpan w:val="4"/>
                <w:tcBorders>
                  <w:top w:val="single" w:sz="4" w:space="0" w:color="000000"/>
                  <w:left w:val="single" w:sz="4" w:space="0" w:color="000000"/>
                  <w:bottom w:val="single" w:sz="4" w:space="0" w:color="000000"/>
                </w:tcBorders>
                <w:tcMar>
                  <w:top w:w="40" w:type="dxa"/>
                  <w:left w:w="57" w:type="dxa"/>
                  <w:bottom w:w="40" w:type="dxa"/>
                  <w:right w:w="57" w:type="dxa"/>
                </w:tcMar>
                <w:vAlign w:val="center"/>
              </w:tcPr>
              <w:p>
                <w:pPr>
                  <w:widowControl w:val="0"/>
                  <w:suppressAutoHyphens/>
                  <w:rPr>
                    <w:color w:val="000000"/>
                    <w:sz w:val="22"/>
                    <w:szCs w:val="22"/>
                  </w:rPr>
                </w:pPr>
                <w:r>
                  <w:rPr>
                    <w:b/>
                    <w:bCs/>
                    <w:color w:val="000000"/>
                    <w:sz w:val="22"/>
                    <w:szCs w:val="22"/>
                  </w:rPr>
                  <w:t xml:space="preserve">Vaikų ligos </w:t>
                </w:r>
              </w:p>
            </w:tc>
            <w:tc>
              <w:tcPr>
                <w:tcW w:w="485" w:type="dxa"/>
                <w:tcBorders>
                  <w:top w:val="single" w:sz="4" w:space="0" w:color="000000"/>
                  <w:left w:val="nil"/>
                  <w:bottom w:val="single" w:sz="4" w:space="0" w:color="000000"/>
                  <w:right w:val="single" w:sz="4" w:space="0" w:color="auto"/>
                </w:tcBorders>
                <w:vAlign w:val="center"/>
              </w:tcPr>
              <w:p>
                <w:pPr>
                  <w:widowControl w:val="0"/>
                  <w:suppressAutoHyphens/>
                  <w:rPr>
                    <w:color w:val="000000"/>
                    <w:sz w:val="22"/>
                    <w:szCs w:val="22"/>
                  </w:rPr>
                </w:pPr>
              </w:p>
            </w:tc>
          </w:tr>
          <w:tr>
            <w:trPr>
              <w:trHeight w:val="62"/>
            </w:trPr>
            <w:tc>
              <w:tcPr>
                <w:tcW w:w="875" w:type="dxa"/>
                <w:tcBorders>
                  <w:top w:val="single" w:sz="4" w:space="0" w:color="000000"/>
                  <w:left w:val="single" w:sz="4" w:space="0" w:color="auto"/>
                  <w:bottom w:val="single" w:sz="4" w:space="0" w:color="000000"/>
                  <w:right w:val="single" w:sz="4" w:space="0" w:color="000000"/>
                </w:tcBorders>
                <w:tcMar>
                  <w:top w:w="40" w:type="dxa"/>
                  <w:left w:w="57" w:type="dxa"/>
                  <w:bottom w:w="40" w:type="dxa"/>
                  <w:right w:w="57" w:type="dxa"/>
                </w:tcMar>
                <w:vAlign w:val="center"/>
              </w:tcPr>
              <w:p>
                <w:pPr>
                  <w:widowControl w:val="0"/>
                  <w:suppressAutoHyphens/>
                  <w:jc w:val="right"/>
                  <w:rPr>
                    <w:color w:val="000000"/>
                    <w:sz w:val="22"/>
                    <w:szCs w:val="22"/>
                  </w:rPr>
                </w:pPr>
                <w:r>
                  <w:rPr>
                    <w:color w:val="000000"/>
                    <w:sz w:val="22"/>
                    <w:szCs w:val="22"/>
                  </w:rPr>
                  <w:t>2.2.1.1.</w:t>
                </w:r>
              </w:p>
            </w:tc>
            <w:tc>
              <w:tcPr>
                <w:tcW w:w="2875" w:type="dxa"/>
                <w:gridSpan w:val="2"/>
                <w:tcBorders>
                  <w:top w:val="single" w:sz="4" w:space="0" w:color="000000"/>
                  <w:left w:val="single" w:sz="4" w:space="0" w:color="000000"/>
                  <w:bottom w:val="single" w:sz="4" w:space="0" w:color="000000"/>
                  <w:right w:val="single" w:sz="4" w:space="0" w:color="auto"/>
                </w:tcBorders>
                <w:tcMar>
                  <w:top w:w="40" w:type="dxa"/>
                  <w:left w:w="57" w:type="dxa"/>
                  <w:bottom w:w="40" w:type="dxa"/>
                  <w:right w:w="57" w:type="dxa"/>
                </w:tcMar>
                <w:vAlign w:val="center"/>
              </w:tcPr>
              <w:p>
                <w:pPr>
                  <w:widowControl w:val="0"/>
                  <w:suppressAutoHyphens/>
                  <w:rPr>
                    <w:color w:val="000000"/>
                    <w:sz w:val="22"/>
                    <w:szCs w:val="22"/>
                  </w:rPr>
                </w:pPr>
                <w:r>
                  <w:rPr>
                    <w:color w:val="000000"/>
                    <w:sz w:val="22"/>
                    <w:szCs w:val="22"/>
                    <w:u w:val="thick"/>
                  </w:rPr>
                  <w:t xml:space="preserve">025-112/a </w:t>
                </w:r>
              </w:p>
            </w:tc>
            <w:tc>
              <w:tcPr>
                <w:tcW w:w="5320" w:type="dxa"/>
                <w:gridSpan w:val="3"/>
                <w:tcBorders>
                  <w:top w:val="single" w:sz="4" w:space="0" w:color="000000"/>
                  <w:left w:val="single" w:sz="4" w:space="0" w:color="auto"/>
                  <w:bottom w:val="single" w:sz="4" w:space="0" w:color="000000"/>
                  <w:right w:val="single" w:sz="4" w:space="0" w:color="auto"/>
                </w:tcBorders>
                <w:tcMar>
                  <w:top w:w="40" w:type="dxa"/>
                  <w:left w:w="57" w:type="dxa"/>
                  <w:bottom w:w="40" w:type="dxa"/>
                  <w:right w:w="57" w:type="dxa"/>
                </w:tcMar>
                <w:vAlign w:val="center"/>
              </w:tcPr>
              <w:p>
                <w:pPr>
                  <w:widowControl w:val="0"/>
                  <w:suppressAutoHyphens/>
                  <w:rPr>
                    <w:color w:val="000000"/>
                    <w:sz w:val="22"/>
                    <w:szCs w:val="22"/>
                  </w:rPr>
                </w:pPr>
                <w:r>
                  <w:rPr>
                    <w:color w:val="000000"/>
                    <w:sz w:val="22"/>
                    <w:szCs w:val="22"/>
                  </w:rPr>
                  <w:t>Vaiko sveikatos raidos istorija (etapinė epikrizė)</w:t>
                </w:r>
              </w:p>
            </w:tc>
          </w:tr>
          <w:tr>
            <w:trPr>
              <w:trHeight w:val="62"/>
            </w:trPr>
            <w:tc>
              <w:tcPr>
                <w:tcW w:w="875" w:type="dxa"/>
                <w:tcBorders>
                  <w:top w:val="single" w:sz="4" w:space="0" w:color="000000"/>
                  <w:left w:val="single" w:sz="4" w:space="0" w:color="auto"/>
                  <w:bottom w:val="single" w:sz="4" w:space="0" w:color="000000"/>
                  <w:right w:val="single" w:sz="4" w:space="0" w:color="000000"/>
                </w:tcBorders>
                <w:tcMar>
                  <w:top w:w="40" w:type="dxa"/>
                  <w:left w:w="57" w:type="dxa"/>
                  <w:bottom w:w="40" w:type="dxa"/>
                  <w:right w:w="57" w:type="dxa"/>
                </w:tcMar>
                <w:vAlign w:val="center"/>
              </w:tcPr>
              <w:p>
                <w:pPr>
                  <w:widowControl w:val="0"/>
                  <w:suppressAutoHyphens/>
                  <w:jc w:val="right"/>
                  <w:rPr>
                    <w:color w:val="000000"/>
                    <w:sz w:val="22"/>
                    <w:szCs w:val="22"/>
                  </w:rPr>
                </w:pPr>
                <w:r>
                  <w:rPr>
                    <w:color w:val="000000"/>
                    <w:sz w:val="22"/>
                    <w:szCs w:val="22"/>
                  </w:rPr>
                  <w:t>2.2.1.2.</w:t>
                </w:r>
              </w:p>
            </w:tc>
            <w:tc>
              <w:tcPr>
                <w:tcW w:w="2875" w:type="dxa"/>
                <w:gridSpan w:val="2"/>
                <w:tcBorders>
                  <w:top w:val="single" w:sz="4" w:space="0" w:color="000000"/>
                  <w:left w:val="single" w:sz="4" w:space="0" w:color="000000"/>
                  <w:bottom w:val="single" w:sz="4" w:space="0" w:color="000000"/>
                  <w:right w:val="single" w:sz="4" w:space="0" w:color="auto"/>
                </w:tcBorders>
                <w:tcMar>
                  <w:top w:w="40" w:type="dxa"/>
                  <w:left w:w="57" w:type="dxa"/>
                  <w:bottom w:w="40" w:type="dxa"/>
                  <w:right w:w="57" w:type="dxa"/>
                </w:tcMar>
                <w:vAlign w:val="center"/>
              </w:tcPr>
              <w:p>
                <w:pPr>
                  <w:widowControl w:val="0"/>
                  <w:suppressAutoHyphens/>
                  <w:rPr>
                    <w:color w:val="000000"/>
                    <w:sz w:val="22"/>
                    <w:szCs w:val="22"/>
                  </w:rPr>
                </w:pPr>
                <w:r>
                  <w:rPr>
                    <w:color w:val="000000"/>
                    <w:sz w:val="22"/>
                    <w:szCs w:val="22"/>
                    <w:u w:val="thick"/>
                  </w:rPr>
                  <w:t xml:space="preserve">063/a </w:t>
                </w:r>
              </w:p>
            </w:tc>
            <w:tc>
              <w:tcPr>
                <w:tcW w:w="5320" w:type="dxa"/>
                <w:gridSpan w:val="3"/>
                <w:tcBorders>
                  <w:top w:val="single" w:sz="4" w:space="0" w:color="000000"/>
                  <w:left w:val="single" w:sz="4" w:space="0" w:color="auto"/>
                  <w:bottom w:val="single" w:sz="4" w:space="0" w:color="000000"/>
                  <w:right w:val="single" w:sz="4" w:space="0" w:color="auto"/>
                </w:tcBorders>
                <w:tcMar>
                  <w:top w:w="40" w:type="dxa"/>
                  <w:left w:w="57" w:type="dxa"/>
                  <w:bottom w:w="40" w:type="dxa"/>
                  <w:right w:w="57" w:type="dxa"/>
                </w:tcMar>
                <w:vAlign w:val="center"/>
              </w:tcPr>
              <w:p>
                <w:pPr>
                  <w:widowControl w:val="0"/>
                  <w:suppressAutoHyphens/>
                  <w:rPr>
                    <w:color w:val="000000"/>
                    <w:sz w:val="22"/>
                    <w:szCs w:val="22"/>
                  </w:rPr>
                </w:pPr>
                <w:r>
                  <w:rPr>
                    <w:color w:val="000000"/>
                    <w:sz w:val="22"/>
                    <w:szCs w:val="22"/>
                  </w:rPr>
                  <w:t>Profilaktiniai skiepijimai</w:t>
                </w:r>
              </w:p>
            </w:tc>
          </w:tr>
          <w:tr>
            <w:trPr>
              <w:trHeight w:val="62"/>
            </w:trPr>
            <w:tc>
              <w:tcPr>
                <w:tcW w:w="875" w:type="dxa"/>
                <w:tcBorders>
                  <w:top w:val="single" w:sz="4" w:space="0" w:color="000000"/>
                  <w:left w:val="single" w:sz="4" w:space="0" w:color="auto"/>
                  <w:bottom w:val="single" w:sz="4" w:space="0" w:color="000000"/>
                  <w:right w:val="single" w:sz="4" w:space="0" w:color="000000"/>
                </w:tcBorders>
                <w:tcMar>
                  <w:top w:w="40" w:type="dxa"/>
                  <w:left w:w="57" w:type="dxa"/>
                  <w:bottom w:w="40" w:type="dxa"/>
                  <w:right w:w="57" w:type="dxa"/>
                </w:tcMar>
                <w:vAlign w:val="center"/>
              </w:tcPr>
              <w:p>
                <w:pPr>
                  <w:widowControl w:val="0"/>
                  <w:suppressAutoHyphens/>
                  <w:jc w:val="right"/>
                  <w:rPr>
                    <w:color w:val="000000"/>
                    <w:sz w:val="22"/>
                    <w:szCs w:val="22"/>
                  </w:rPr>
                </w:pPr>
                <w:r>
                  <w:rPr>
                    <w:b/>
                    <w:bCs/>
                    <w:color w:val="000000"/>
                    <w:sz w:val="22"/>
                    <w:szCs w:val="22"/>
                  </w:rPr>
                  <w:t>2.2.2</w:t>
                </w:r>
              </w:p>
            </w:tc>
            <w:tc>
              <w:tcPr>
                <w:tcW w:w="7710" w:type="dxa"/>
                <w:gridSpan w:val="4"/>
                <w:tcBorders>
                  <w:top w:val="single" w:sz="4" w:space="0" w:color="000000"/>
                  <w:left w:val="single" w:sz="4" w:space="0" w:color="000000"/>
                  <w:bottom w:val="single" w:sz="4" w:space="0" w:color="000000"/>
                </w:tcBorders>
                <w:tcMar>
                  <w:top w:w="40" w:type="dxa"/>
                  <w:left w:w="57" w:type="dxa"/>
                  <w:bottom w:w="40" w:type="dxa"/>
                  <w:right w:w="57" w:type="dxa"/>
                </w:tcMar>
                <w:vAlign w:val="center"/>
              </w:tcPr>
              <w:p>
                <w:pPr>
                  <w:widowControl w:val="0"/>
                  <w:suppressAutoHyphens/>
                  <w:rPr>
                    <w:color w:val="000000"/>
                    <w:sz w:val="22"/>
                    <w:szCs w:val="22"/>
                  </w:rPr>
                </w:pPr>
                <w:r>
                  <w:rPr>
                    <w:b/>
                    <w:bCs/>
                    <w:color w:val="000000"/>
                    <w:sz w:val="22"/>
                    <w:szCs w:val="22"/>
                  </w:rPr>
                  <w:t xml:space="preserve">Akušerija-ginekologija </w:t>
                </w:r>
              </w:p>
            </w:tc>
            <w:tc>
              <w:tcPr>
                <w:tcW w:w="485" w:type="dxa"/>
                <w:tcBorders>
                  <w:top w:val="single" w:sz="4" w:space="0" w:color="000000"/>
                  <w:left w:val="nil"/>
                  <w:bottom w:val="single" w:sz="4" w:space="0" w:color="000000"/>
                  <w:right w:val="single" w:sz="4" w:space="0" w:color="auto"/>
                </w:tcBorders>
                <w:vAlign w:val="center"/>
              </w:tcPr>
              <w:p>
                <w:pPr>
                  <w:widowControl w:val="0"/>
                  <w:suppressAutoHyphens/>
                  <w:rPr>
                    <w:color w:val="000000"/>
                    <w:sz w:val="22"/>
                    <w:szCs w:val="22"/>
                  </w:rPr>
                </w:pPr>
              </w:p>
            </w:tc>
          </w:tr>
          <w:tr>
            <w:trPr>
              <w:trHeight w:val="62"/>
            </w:trPr>
            <w:tc>
              <w:tcPr>
                <w:tcW w:w="875" w:type="dxa"/>
                <w:tcBorders>
                  <w:top w:val="single" w:sz="4" w:space="0" w:color="000000"/>
                  <w:left w:val="single" w:sz="4" w:space="0" w:color="auto"/>
                  <w:bottom w:val="single" w:sz="4" w:space="0" w:color="000000"/>
                  <w:right w:val="single" w:sz="4" w:space="0" w:color="000000"/>
                </w:tcBorders>
                <w:tcMar>
                  <w:top w:w="40" w:type="dxa"/>
                  <w:left w:w="57" w:type="dxa"/>
                  <w:bottom w:w="40" w:type="dxa"/>
                  <w:right w:w="57" w:type="dxa"/>
                </w:tcMar>
                <w:vAlign w:val="center"/>
              </w:tcPr>
              <w:p>
                <w:pPr>
                  <w:widowControl w:val="0"/>
                  <w:suppressAutoHyphens/>
                  <w:jc w:val="right"/>
                  <w:rPr>
                    <w:color w:val="000000"/>
                    <w:sz w:val="22"/>
                    <w:szCs w:val="22"/>
                  </w:rPr>
                </w:pPr>
                <w:r>
                  <w:rPr>
                    <w:color w:val="000000"/>
                    <w:sz w:val="22"/>
                    <w:szCs w:val="22"/>
                  </w:rPr>
                  <w:t>2.2.2.1.</w:t>
                </w:r>
              </w:p>
            </w:tc>
            <w:tc>
              <w:tcPr>
                <w:tcW w:w="2875" w:type="dxa"/>
                <w:gridSpan w:val="2"/>
                <w:tcBorders>
                  <w:top w:val="single" w:sz="4" w:space="0" w:color="000000"/>
                  <w:left w:val="single" w:sz="4" w:space="0" w:color="000000"/>
                  <w:bottom w:val="single" w:sz="4" w:space="0" w:color="000000"/>
                  <w:right w:val="single" w:sz="4" w:space="0" w:color="auto"/>
                </w:tcBorders>
                <w:tcMar>
                  <w:top w:w="40" w:type="dxa"/>
                  <w:left w:w="57" w:type="dxa"/>
                  <w:bottom w:w="40" w:type="dxa"/>
                  <w:right w:w="57" w:type="dxa"/>
                </w:tcMar>
                <w:vAlign w:val="center"/>
              </w:tcPr>
              <w:p>
                <w:pPr>
                  <w:widowControl w:val="0"/>
                  <w:suppressAutoHyphens/>
                  <w:rPr>
                    <w:color w:val="000000"/>
                    <w:sz w:val="22"/>
                    <w:szCs w:val="22"/>
                  </w:rPr>
                </w:pPr>
                <w:r>
                  <w:rPr>
                    <w:color w:val="000000"/>
                    <w:sz w:val="22"/>
                    <w:szCs w:val="22"/>
                    <w:u w:val="thick"/>
                  </w:rPr>
                  <w:t xml:space="preserve">025-111/a </w:t>
                </w:r>
              </w:p>
            </w:tc>
            <w:tc>
              <w:tcPr>
                <w:tcW w:w="5320" w:type="dxa"/>
                <w:gridSpan w:val="3"/>
                <w:tcBorders>
                  <w:top w:val="single" w:sz="4" w:space="0" w:color="000000"/>
                  <w:left w:val="single" w:sz="4" w:space="0" w:color="auto"/>
                  <w:bottom w:val="single" w:sz="4" w:space="0" w:color="000000"/>
                  <w:right w:val="single" w:sz="4" w:space="0" w:color="auto"/>
                </w:tcBorders>
                <w:tcMar>
                  <w:top w:w="40" w:type="dxa"/>
                  <w:left w:w="57" w:type="dxa"/>
                  <w:bottom w:w="40" w:type="dxa"/>
                  <w:right w:w="57" w:type="dxa"/>
                </w:tcMar>
                <w:vAlign w:val="center"/>
              </w:tcPr>
              <w:p>
                <w:pPr>
                  <w:widowControl w:val="0"/>
                  <w:suppressAutoHyphens/>
                  <w:rPr>
                    <w:color w:val="000000"/>
                    <w:sz w:val="22"/>
                    <w:szCs w:val="22"/>
                  </w:rPr>
                </w:pPr>
                <w:r>
                  <w:rPr>
                    <w:color w:val="000000"/>
                    <w:sz w:val="22"/>
                    <w:szCs w:val="22"/>
                  </w:rPr>
                  <w:t>Nėštumo eigos įrašai (Asmens sveikatos istorija Nr. .....)</w:t>
                </w:r>
              </w:p>
            </w:tc>
          </w:tr>
          <w:tr>
            <w:trPr>
              <w:trHeight w:val="62"/>
            </w:trPr>
            <w:tc>
              <w:tcPr>
                <w:tcW w:w="875" w:type="dxa"/>
                <w:tcBorders>
                  <w:top w:val="single" w:sz="4" w:space="0" w:color="000000"/>
                  <w:left w:val="single" w:sz="4" w:space="0" w:color="auto"/>
                  <w:bottom w:val="single" w:sz="4" w:space="0" w:color="000000"/>
                  <w:right w:val="single" w:sz="4" w:space="0" w:color="000000"/>
                </w:tcBorders>
                <w:tcMar>
                  <w:top w:w="40" w:type="dxa"/>
                  <w:left w:w="57" w:type="dxa"/>
                  <w:bottom w:w="40" w:type="dxa"/>
                  <w:right w:w="57" w:type="dxa"/>
                </w:tcMar>
                <w:vAlign w:val="center"/>
              </w:tcPr>
              <w:p>
                <w:pPr>
                  <w:widowControl w:val="0"/>
                  <w:suppressAutoHyphens/>
                  <w:jc w:val="right"/>
                  <w:rPr>
                    <w:color w:val="000000"/>
                    <w:sz w:val="22"/>
                    <w:szCs w:val="22"/>
                  </w:rPr>
                </w:pPr>
                <w:r>
                  <w:rPr>
                    <w:color w:val="000000"/>
                    <w:sz w:val="22"/>
                    <w:szCs w:val="22"/>
                  </w:rPr>
                  <w:t>2.2.2.2.</w:t>
                </w:r>
              </w:p>
            </w:tc>
            <w:tc>
              <w:tcPr>
                <w:tcW w:w="2875" w:type="dxa"/>
                <w:gridSpan w:val="2"/>
                <w:tcBorders>
                  <w:top w:val="single" w:sz="4" w:space="0" w:color="000000"/>
                  <w:left w:val="single" w:sz="4" w:space="0" w:color="000000"/>
                  <w:bottom w:val="single" w:sz="4" w:space="0" w:color="000000"/>
                  <w:right w:val="single" w:sz="4" w:space="0" w:color="auto"/>
                </w:tcBorders>
                <w:tcMar>
                  <w:top w:w="40" w:type="dxa"/>
                  <w:left w:w="57" w:type="dxa"/>
                  <w:bottom w:w="40" w:type="dxa"/>
                  <w:right w:w="57" w:type="dxa"/>
                </w:tcMar>
                <w:vAlign w:val="center"/>
              </w:tcPr>
              <w:p>
                <w:pPr>
                  <w:widowControl w:val="0"/>
                  <w:suppressAutoHyphens/>
                  <w:rPr>
                    <w:color w:val="000000"/>
                    <w:sz w:val="22"/>
                    <w:szCs w:val="22"/>
                  </w:rPr>
                </w:pPr>
                <w:r>
                  <w:rPr>
                    <w:color w:val="000000"/>
                    <w:sz w:val="22"/>
                    <w:szCs w:val="22"/>
                    <w:u w:val="thick"/>
                  </w:rPr>
                  <w:t xml:space="preserve">113/a </w:t>
                </w:r>
              </w:p>
            </w:tc>
            <w:tc>
              <w:tcPr>
                <w:tcW w:w="5320" w:type="dxa"/>
                <w:gridSpan w:val="3"/>
                <w:tcBorders>
                  <w:top w:val="single" w:sz="4" w:space="0" w:color="000000"/>
                  <w:left w:val="single" w:sz="4" w:space="0" w:color="auto"/>
                  <w:bottom w:val="single" w:sz="4" w:space="0" w:color="000000"/>
                  <w:right w:val="single" w:sz="4" w:space="0" w:color="auto"/>
                </w:tcBorders>
                <w:tcMar>
                  <w:top w:w="40" w:type="dxa"/>
                  <w:left w:w="57" w:type="dxa"/>
                  <w:bottom w:w="40" w:type="dxa"/>
                  <w:right w:w="57" w:type="dxa"/>
                </w:tcMar>
                <w:vAlign w:val="center"/>
              </w:tcPr>
              <w:p>
                <w:pPr>
                  <w:widowControl w:val="0"/>
                  <w:suppressAutoHyphens/>
                  <w:rPr>
                    <w:color w:val="000000"/>
                    <w:sz w:val="22"/>
                    <w:szCs w:val="22"/>
                  </w:rPr>
                </w:pPr>
                <w:r>
                  <w:rPr>
                    <w:color w:val="000000"/>
                    <w:sz w:val="22"/>
                    <w:szCs w:val="22"/>
                  </w:rPr>
                  <w:t>Nėščiosios, gimdyvės ir naujagimio kortelė</w:t>
                </w:r>
              </w:p>
            </w:tc>
          </w:tr>
          <w:tr>
            <w:trPr>
              <w:trHeight w:val="62"/>
            </w:trPr>
            <w:tc>
              <w:tcPr>
                <w:tcW w:w="875" w:type="dxa"/>
                <w:tcBorders>
                  <w:top w:val="single" w:sz="4" w:space="0" w:color="000000"/>
                  <w:left w:val="single" w:sz="4" w:space="0" w:color="auto"/>
                  <w:bottom w:val="single" w:sz="4" w:space="0" w:color="000000"/>
                  <w:right w:val="single" w:sz="4" w:space="0" w:color="000000"/>
                </w:tcBorders>
                <w:tcMar>
                  <w:top w:w="40" w:type="dxa"/>
                  <w:left w:w="57" w:type="dxa"/>
                  <w:bottom w:w="40" w:type="dxa"/>
                  <w:right w:w="57" w:type="dxa"/>
                </w:tcMar>
                <w:vAlign w:val="center"/>
              </w:tcPr>
              <w:p>
                <w:pPr>
                  <w:widowControl w:val="0"/>
                  <w:suppressAutoHyphens/>
                  <w:jc w:val="right"/>
                  <w:rPr>
                    <w:color w:val="000000"/>
                    <w:sz w:val="22"/>
                    <w:szCs w:val="22"/>
                  </w:rPr>
                </w:pPr>
                <w:r>
                  <w:rPr>
                    <w:b/>
                    <w:bCs/>
                    <w:color w:val="000000"/>
                    <w:sz w:val="22"/>
                    <w:szCs w:val="22"/>
                  </w:rPr>
                  <w:t>2.3.</w:t>
                </w:r>
              </w:p>
            </w:tc>
            <w:tc>
              <w:tcPr>
                <w:tcW w:w="7710" w:type="dxa"/>
                <w:gridSpan w:val="4"/>
                <w:tcBorders>
                  <w:top w:val="single" w:sz="4" w:space="0" w:color="000000"/>
                  <w:left w:val="single" w:sz="4" w:space="0" w:color="000000"/>
                  <w:bottom w:val="single" w:sz="4" w:space="0" w:color="000000"/>
                </w:tcBorders>
                <w:tcMar>
                  <w:top w:w="40" w:type="dxa"/>
                  <w:left w:w="57" w:type="dxa"/>
                  <w:bottom w:w="40" w:type="dxa"/>
                  <w:right w:w="57" w:type="dxa"/>
                </w:tcMar>
                <w:vAlign w:val="center"/>
              </w:tcPr>
              <w:p>
                <w:pPr>
                  <w:widowControl w:val="0"/>
                  <w:suppressAutoHyphens/>
                  <w:rPr>
                    <w:color w:val="000000"/>
                    <w:sz w:val="22"/>
                    <w:szCs w:val="22"/>
                  </w:rPr>
                </w:pPr>
                <w:r>
                  <w:rPr>
                    <w:b/>
                    <w:bCs/>
                    <w:color w:val="000000"/>
                    <w:sz w:val="22"/>
                    <w:szCs w:val="22"/>
                  </w:rPr>
                  <w:t xml:space="preserve">Pažymos </w:t>
                </w:r>
              </w:p>
            </w:tc>
            <w:tc>
              <w:tcPr>
                <w:tcW w:w="485" w:type="dxa"/>
                <w:tcBorders>
                  <w:top w:val="single" w:sz="4" w:space="0" w:color="000000"/>
                  <w:left w:val="nil"/>
                  <w:bottom w:val="single" w:sz="4" w:space="0" w:color="000000"/>
                  <w:right w:val="single" w:sz="4" w:space="0" w:color="auto"/>
                </w:tcBorders>
                <w:vAlign w:val="center"/>
              </w:tcPr>
              <w:p>
                <w:pPr>
                  <w:widowControl w:val="0"/>
                  <w:suppressAutoHyphens/>
                  <w:rPr>
                    <w:color w:val="000000"/>
                    <w:sz w:val="22"/>
                    <w:szCs w:val="22"/>
                  </w:rPr>
                </w:pPr>
              </w:p>
            </w:tc>
          </w:tr>
          <w:tr>
            <w:trPr>
              <w:trHeight w:val="62"/>
            </w:trPr>
            <w:tc>
              <w:tcPr>
                <w:tcW w:w="875" w:type="dxa"/>
                <w:tcBorders>
                  <w:top w:val="single" w:sz="4" w:space="0" w:color="000000"/>
                  <w:left w:val="single" w:sz="4" w:space="0" w:color="auto"/>
                  <w:bottom w:val="single" w:sz="4" w:space="0" w:color="000000"/>
                  <w:right w:val="single" w:sz="4" w:space="0" w:color="000000"/>
                </w:tcBorders>
                <w:tcMar>
                  <w:top w:w="40" w:type="dxa"/>
                  <w:left w:w="57" w:type="dxa"/>
                  <w:bottom w:w="40" w:type="dxa"/>
                  <w:right w:w="57" w:type="dxa"/>
                </w:tcMar>
                <w:vAlign w:val="center"/>
              </w:tcPr>
              <w:p>
                <w:pPr>
                  <w:widowControl w:val="0"/>
                  <w:suppressAutoHyphens/>
                  <w:jc w:val="right"/>
                  <w:rPr>
                    <w:color w:val="000000"/>
                    <w:sz w:val="22"/>
                    <w:szCs w:val="22"/>
                  </w:rPr>
                </w:pPr>
                <w:r>
                  <w:rPr>
                    <w:color w:val="000000"/>
                    <w:sz w:val="22"/>
                    <w:szCs w:val="22"/>
                  </w:rPr>
                  <w:t>2.3.1.</w:t>
                </w:r>
              </w:p>
            </w:tc>
            <w:tc>
              <w:tcPr>
                <w:tcW w:w="2875" w:type="dxa"/>
                <w:gridSpan w:val="2"/>
                <w:tcBorders>
                  <w:top w:val="single" w:sz="4" w:space="0" w:color="000000"/>
                  <w:left w:val="single" w:sz="4" w:space="0" w:color="000000"/>
                  <w:bottom w:val="single" w:sz="4" w:space="0" w:color="000000"/>
                  <w:right w:val="single" w:sz="4" w:space="0" w:color="auto"/>
                </w:tcBorders>
                <w:tcMar>
                  <w:top w:w="40" w:type="dxa"/>
                  <w:left w:w="57" w:type="dxa"/>
                  <w:bottom w:w="40" w:type="dxa"/>
                  <w:right w:w="57" w:type="dxa"/>
                </w:tcMar>
                <w:vAlign w:val="center"/>
              </w:tcPr>
              <w:p>
                <w:pPr>
                  <w:widowControl w:val="0"/>
                  <w:suppressAutoHyphens/>
                  <w:rPr>
                    <w:color w:val="000000"/>
                    <w:sz w:val="22"/>
                    <w:szCs w:val="22"/>
                  </w:rPr>
                </w:pPr>
                <w:r>
                  <w:rPr>
                    <w:color w:val="000000"/>
                    <w:sz w:val="22"/>
                    <w:szCs w:val="22"/>
                    <w:u w:val="thick"/>
                  </w:rPr>
                  <w:t xml:space="preserve">047/a </w:t>
                </w:r>
              </w:p>
            </w:tc>
            <w:tc>
              <w:tcPr>
                <w:tcW w:w="5320" w:type="dxa"/>
                <w:gridSpan w:val="3"/>
                <w:tcBorders>
                  <w:top w:val="single" w:sz="4" w:space="0" w:color="000000"/>
                  <w:left w:val="single" w:sz="4" w:space="0" w:color="auto"/>
                  <w:bottom w:val="single" w:sz="4" w:space="0" w:color="000000"/>
                  <w:right w:val="single" w:sz="4" w:space="0" w:color="auto"/>
                </w:tcBorders>
                <w:tcMar>
                  <w:top w:w="40" w:type="dxa"/>
                  <w:left w:w="57" w:type="dxa"/>
                  <w:bottom w:w="40" w:type="dxa"/>
                  <w:right w:w="57" w:type="dxa"/>
                </w:tcMar>
                <w:vAlign w:val="center"/>
              </w:tcPr>
              <w:p>
                <w:pPr>
                  <w:widowControl w:val="0"/>
                  <w:suppressAutoHyphens/>
                  <w:rPr>
                    <w:color w:val="000000"/>
                    <w:sz w:val="22"/>
                    <w:szCs w:val="22"/>
                  </w:rPr>
                </w:pPr>
                <w:r>
                  <w:rPr>
                    <w:color w:val="000000"/>
                    <w:sz w:val="22"/>
                    <w:szCs w:val="22"/>
                  </w:rPr>
                  <w:t>Privalomo sveikatos patikrinimo medicininė pažyma</w:t>
                </w:r>
              </w:p>
            </w:tc>
          </w:tr>
          <w:tr>
            <w:trPr>
              <w:trHeight w:val="62"/>
            </w:trPr>
            <w:tc>
              <w:tcPr>
                <w:tcW w:w="875" w:type="dxa"/>
                <w:tcBorders>
                  <w:top w:val="single" w:sz="4" w:space="0" w:color="000000"/>
                  <w:left w:val="single" w:sz="4" w:space="0" w:color="auto"/>
                  <w:bottom w:val="single" w:sz="4" w:space="0" w:color="000000"/>
                  <w:right w:val="single" w:sz="4" w:space="0" w:color="000000"/>
                </w:tcBorders>
                <w:tcMar>
                  <w:top w:w="40" w:type="dxa"/>
                  <w:left w:w="57" w:type="dxa"/>
                  <w:bottom w:w="40" w:type="dxa"/>
                  <w:right w:w="57" w:type="dxa"/>
                </w:tcMar>
                <w:vAlign w:val="center"/>
              </w:tcPr>
              <w:p>
                <w:pPr>
                  <w:widowControl w:val="0"/>
                  <w:suppressAutoHyphens/>
                  <w:jc w:val="right"/>
                  <w:rPr>
                    <w:color w:val="000000"/>
                    <w:sz w:val="22"/>
                    <w:szCs w:val="22"/>
                  </w:rPr>
                </w:pPr>
                <w:r>
                  <w:rPr>
                    <w:color w:val="000000"/>
                    <w:sz w:val="22"/>
                    <w:szCs w:val="22"/>
                  </w:rPr>
                  <w:t>2.3.2.</w:t>
                </w:r>
              </w:p>
            </w:tc>
            <w:tc>
              <w:tcPr>
                <w:tcW w:w="2875" w:type="dxa"/>
                <w:gridSpan w:val="2"/>
                <w:tcBorders>
                  <w:top w:val="single" w:sz="4" w:space="0" w:color="000000"/>
                  <w:left w:val="single" w:sz="4" w:space="0" w:color="000000"/>
                  <w:bottom w:val="single" w:sz="4" w:space="0" w:color="000000"/>
                  <w:right w:val="single" w:sz="4" w:space="0" w:color="auto"/>
                </w:tcBorders>
                <w:tcMar>
                  <w:top w:w="40" w:type="dxa"/>
                  <w:left w:w="57" w:type="dxa"/>
                  <w:bottom w:w="40" w:type="dxa"/>
                  <w:right w:w="57" w:type="dxa"/>
                </w:tcMar>
                <w:vAlign w:val="center"/>
              </w:tcPr>
              <w:p>
                <w:pPr>
                  <w:widowControl w:val="0"/>
                  <w:suppressAutoHyphens/>
                  <w:rPr>
                    <w:color w:val="000000"/>
                    <w:sz w:val="22"/>
                    <w:szCs w:val="22"/>
                  </w:rPr>
                </w:pPr>
                <w:r>
                  <w:rPr>
                    <w:color w:val="000000"/>
                    <w:sz w:val="22"/>
                    <w:szCs w:val="22"/>
                    <w:u w:val="thick"/>
                  </w:rPr>
                  <w:t xml:space="preserve">083-1/a </w:t>
                </w:r>
              </w:p>
            </w:tc>
            <w:tc>
              <w:tcPr>
                <w:tcW w:w="5320" w:type="dxa"/>
                <w:gridSpan w:val="3"/>
                <w:tcBorders>
                  <w:top w:val="single" w:sz="4" w:space="0" w:color="000000"/>
                  <w:left w:val="single" w:sz="4" w:space="0" w:color="auto"/>
                  <w:bottom w:val="single" w:sz="4" w:space="0" w:color="000000"/>
                  <w:right w:val="single" w:sz="4" w:space="0" w:color="auto"/>
                </w:tcBorders>
                <w:tcMar>
                  <w:top w:w="40" w:type="dxa"/>
                  <w:left w:w="57" w:type="dxa"/>
                  <w:bottom w:w="40" w:type="dxa"/>
                  <w:right w:w="57" w:type="dxa"/>
                </w:tcMar>
                <w:vAlign w:val="center"/>
              </w:tcPr>
              <w:p>
                <w:pPr>
                  <w:widowControl w:val="0"/>
                  <w:suppressAutoHyphens/>
                  <w:rPr>
                    <w:color w:val="000000"/>
                    <w:sz w:val="22"/>
                    <w:szCs w:val="22"/>
                  </w:rPr>
                </w:pPr>
                <w:r>
                  <w:rPr>
                    <w:color w:val="000000"/>
                    <w:sz w:val="22"/>
                    <w:szCs w:val="22"/>
                  </w:rPr>
                  <w:t>Vairuotojo sveikatos patikrinimo medicininė pažyma</w:t>
                </w:r>
              </w:p>
            </w:tc>
          </w:tr>
          <w:tr>
            <w:trPr>
              <w:trHeight w:val="62"/>
            </w:trPr>
            <w:tc>
              <w:tcPr>
                <w:tcW w:w="875" w:type="dxa"/>
                <w:tcBorders>
                  <w:top w:val="single" w:sz="4" w:space="0" w:color="000000"/>
                  <w:left w:val="single" w:sz="4" w:space="0" w:color="auto"/>
                  <w:bottom w:val="single" w:sz="4" w:space="0" w:color="000000"/>
                  <w:right w:val="single" w:sz="4" w:space="0" w:color="000000"/>
                </w:tcBorders>
                <w:tcMar>
                  <w:top w:w="40" w:type="dxa"/>
                  <w:left w:w="57" w:type="dxa"/>
                  <w:bottom w:w="40" w:type="dxa"/>
                  <w:right w:w="57" w:type="dxa"/>
                </w:tcMar>
                <w:vAlign w:val="center"/>
              </w:tcPr>
              <w:p>
                <w:pPr>
                  <w:widowControl w:val="0"/>
                  <w:suppressAutoHyphens/>
                  <w:jc w:val="right"/>
                  <w:rPr>
                    <w:color w:val="000000"/>
                    <w:sz w:val="22"/>
                    <w:szCs w:val="22"/>
                  </w:rPr>
                </w:pPr>
                <w:r>
                  <w:rPr>
                    <w:b/>
                    <w:bCs/>
                    <w:color w:val="000000"/>
                    <w:sz w:val="22"/>
                    <w:szCs w:val="22"/>
                  </w:rPr>
                  <w:t>3.</w:t>
                </w:r>
              </w:p>
            </w:tc>
            <w:tc>
              <w:tcPr>
                <w:tcW w:w="7710" w:type="dxa"/>
                <w:gridSpan w:val="4"/>
                <w:tcBorders>
                  <w:top w:val="single" w:sz="4" w:space="0" w:color="000000"/>
                  <w:left w:val="single" w:sz="4" w:space="0" w:color="000000"/>
                  <w:bottom w:val="single" w:sz="4" w:space="0" w:color="000000"/>
                </w:tcBorders>
                <w:tcMar>
                  <w:top w:w="40" w:type="dxa"/>
                  <w:left w:w="57" w:type="dxa"/>
                  <w:bottom w:w="40" w:type="dxa"/>
                  <w:right w:w="57" w:type="dxa"/>
                </w:tcMar>
                <w:vAlign w:val="center"/>
              </w:tcPr>
              <w:p>
                <w:pPr>
                  <w:widowControl w:val="0"/>
                  <w:suppressAutoHyphens/>
                  <w:rPr>
                    <w:color w:val="000000"/>
                    <w:sz w:val="22"/>
                    <w:szCs w:val="22"/>
                  </w:rPr>
                </w:pPr>
                <w:r>
                  <w:rPr>
                    <w:b/>
                    <w:bCs/>
                    <w:color w:val="000000"/>
                    <w:sz w:val="22"/>
                    <w:szCs w:val="22"/>
                  </w:rPr>
                  <w:t xml:space="preserve">KITOS STACIONARINES IR AMBULATORINES PASLAUGAS TEIKIANČIOS ĮSTAIGOS </w:t>
                </w:r>
              </w:p>
            </w:tc>
            <w:tc>
              <w:tcPr>
                <w:tcW w:w="485" w:type="dxa"/>
                <w:tcBorders>
                  <w:top w:val="single" w:sz="4" w:space="0" w:color="000000"/>
                  <w:left w:val="nil"/>
                  <w:bottom w:val="single" w:sz="4" w:space="0" w:color="000000"/>
                  <w:right w:val="single" w:sz="4" w:space="0" w:color="auto"/>
                </w:tcBorders>
                <w:vAlign w:val="center"/>
              </w:tcPr>
              <w:p>
                <w:pPr>
                  <w:widowControl w:val="0"/>
                  <w:suppressAutoHyphens/>
                  <w:rPr>
                    <w:color w:val="000000"/>
                    <w:sz w:val="22"/>
                    <w:szCs w:val="22"/>
                  </w:rPr>
                </w:pPr>
              </w:p>
            </w:tc>
          </w:tr>
          <w:tr>
            <w:trPr>
              <w:trHeight w:val="62"/>
            </w:trPr>
            <w:tc>
              <w:tcPr>
                <w:tcW w:w="875" w:type="dxa"/>
                <w:tcBorders>
                  <w:top w:val="single" w:sz="4" w:space="0" w:color="000000"/>
                  <w:left w:val="single" w:sz="4" w:space="0" w:color="auto"/>
                  <w:bottom w:val="single" w:sz="4" w:space="0" w:color="000000"/>
                  <w:right w:val="single" w:sz="4" w:space="0" w:color="000000"/>
                </w:tcBorders>
                <w:tcMar>
                  <w:top w:w="40" w:type="dxa"/>
                  <w:left w:w="57" w:type="dxa"/>
                  <w:bottom w:w="40" w:type="dxa"/>
                  <w:right w:w="57" w:type="dxa"/>
                </w:tcMar>
                <w:vAlign w:val="center"/>
              </w:tcPr>
              <w:p>
                <w:pPr>
                  <w:widowControl w:val="0"/>
                  <w:suppressAutoHyphens/>
                  <w:jc w:val="right"/>
                  <w:rPr>
                    <w:color w:val="000000"/>
                    <w:sz w:val="22"/>
                    <w:szCs w:val="22"/>
                  </w:rPr>
                </w:pPr>
                <w:r>
                  <w:rPr>
                    <w:color w:val="000000"/>
                    <w:sz w:val="22"/>
                    <w:szCs w:val="22"/>
                  </w:rPr>
                  <w:t>3.1.</w:t>
                </w:r>
              </w:p>
            </w:tc>
            <w:tc>
              <w:tcPr>
                <w:tcW w:w="2875" w:type="dxa"/>
                <w:gridSpan w:val="2"/>
                <w:tcBorders>
                  <w:top w:val="single" w:sz="4" w:space="0" w:color="000000"/>
                  <w:left w:val="single" w:sz="4" w:space="0" w:color="000000"/>
                  <w:bottom w:val="single" w:sz="4" w:space="0" w:color="000000"/>
                  <w:right w:val="single" w:sz="4" w:space="0" w:color="auto"/>
                </w:tcBorders>
                <w:tcMar>
                  <w:top w:w="40" w:type="dxa"/>
                  <w:left w:w="57" w:type="dxa"/>
                  <w:bottom w:w="40" w:type="dxa"/>
                  <w:right w:w="57" w:type="dxa"/>
                </w:tcMar>
                <w:vAlign w:val="center"/>
              </w:tcPr>
              <w:p>
                <w:pPr>
                  <w:widowControl w:val="0"/>
                  <w:suppressAutoHyphens/>
                  <w:rPr>
                    <w:color w:val="000000"/>
                    <w:sz w:val="22"/>
                    <w:szCs w:val="22"/>
                  </w:rPr>
                </w:pPr>
                <w:r>
                  <w:rPr>
                    <w:color w:val="000000"/>
                    <w:sz w:val="22"/>
                    <w:szCs w:val="22"/>
                    <w:u w:val="thick"/>
                  </w:rPr>
                  <w:t xml:space="preserve">106/a </w:t>
                </w:r>
              </w:p>
            </w:tc>
            <w:tc>
              <w:tcPr>
                <w:tcW w:w="4835" w:type="dxa"/>
                <w:gridSpan w:val="2"/>
                <w:tcBorders>
                  <w:top w:val="single" w:sz="4" w:space="0" w:color="000000"/>
                  <w:left w:val="single" w:sz="4" w:space="0" w:color="auto"/>
                  <w:bottom w:val="single" w:sz="4" w:space="0" w:color="000000"/>
                </w:tcBorders>
                <w:tcMar>
                  <w:top w:w="40" w:type="dxa"/>
                  <w:left w:w="57" w:type="dxa"/>
                  <w:bottom w:w="40" w:type="dxa"/>
                  <w:right w:w="57" w:type="dxa"/>
                </w:tcMar>
                <w:vAlign w:val="center"/>
              </w:tcPr>
              <w:p>
                <w:pPr>
                  <w:widowControl w:val="0"/>
                  <w:suppressAutoHyphens/>
                  <w:rPr>
                    <w:color w:val="000000"/>
                    <w:sz w:val="22"/>
                    <w:szCs w:val="22"/>
                  </w:rPr>
                </w:pPr>
                <w:r>
                  <w:rPr>
                    <w:color w:val="000000"/>
                    <w:sz w:val="22"/>
                    <w:szCs w:val="22"/>
                  </w:rPr>
                  <w:t>Medicininis mirties liudijimas</w:t>
                </w:r>
              </w:p>
            </w:tc>
            <w:tc>
              <w:tcPr>
                <w:tcW w:w="485" w:type="dxa"/>
                <w:tcBorders>
                  <w:top w:val="single" w:sz="4" w:space="0" w:color="000000"/>
                  <w:left w:val="nil"/>
                  <w:bottom w:val="single" w:sz="4" w:space="0" w:color="000000"/>
                  <w:right w:val="single" w:sz="4" w:space="0" w:color="auto"/>
                </w:tcBorders>
                <w:vAlign w:val="center"/>
              </w:tcPr>
              <w:p>
                <w:pPr>
                  <w:widowControl w:val="0"/>
                  <w:suppressAutoHyphens/>
                  <w:rPr>
                    <w:color w:val="000000"/>
                    <w:sz w:val="22"/>
                    <w:szCs w:val="22"/>
                  </w:rPr>
                </w:pPr>
              </w:p>
            </w:tc>
          </w:tr>
          <w:tr>
            <w:trPr>
              <w:trHeight w:val="62"/>
            </w:trPr>
            <w:tc>
              <w:tcPr>
                <w:tcW w:w="875" w:type="dxa"/>
                <w:tcBorders>
                  <w:top w:val="single" w:sz="4" w:space="0" w:color="000000"/>
                  <w:left w:val="single" w:sz="4" w:space="0" w:color="auto"/>
                  <w:bottom w:val="single" w:sz="4" w:space="0" w:color="000000"/>
                  <w:right w:val="single" w:sz="4" w:space="0" w:color="000000"/>
                </w:tcBorders>
                <w:tcMar>
                  <w:top w:w="40" w:type="dxa"/>
                  <w:left w:w="57" w:type="dxa"/>
                  <w:bottom w:w="40" w:type="dxa"/>
                  <w:right w:w="57" w:type="dxa"/>
                </w:tcMar>
                <w:vAlign w:val="center"/>
              </w:tcPr>
              <w:p>
                <w:pPr>
                  <w:widowControl w:val="0"/>
                  <w:suppressAutoHyphens/>
                  <w:jc w:val="right"/>
                  <w:rPr>
                    <w:color w:val="000000"/>
                    <w:sz w:val="22"/>
                    <w:szCs w:val="22"/>
                  </w:rPr>
                </w:pPr>
                <w:r>
                  <w:rPr>
                    <w:color w:val="000000"/>
                    <w:sz w:val="22"/>
                    <w:szCs w:val="22"/>
                  </w:rPr>
                  <w:t>3.2.</w:t>
                </w:r>
              </w:p>
            </w:tc>
            <w:tc>
              <w:tcPr>
                <w:tcW w:w="2875" w:type="dxa"/>
                <w:gridSpan w:val="2"/>
                <w:tcBorders>
                  <w:top w:val="single" w:sz="4" w:space="0" w:color="000000"/>
                  <w:left w:val="single" w:sz="4" w:space="0" w:color="000000"/>
                  <w:bottom w:val="single" w:sz="4" w:space="0" w:color="000000"/>
                  <w:right w:val="single" w:sz="4" w:space="0" w:color="auto"/>
                </w:tcBorders>
                <w:tcMar>
                  <w:top w:w="40" w:type="dxa"/>
                  <w:left w:w="57" w:type="dxa"/>
                  <w:bottom w:w="40" w:type="dxa"/>
                  <w:right w:w="57" w:type="dxa"/>
                </w:tcMar>
                <w:vAlign w:val="center"/>
              </w:tcPr>
              <w:p>
                <w:pPr>
                  <w:widowControl w:val="0"/>
                  <w:suppressAutoHyphens/>
                  <w:rPr>
                    <w:color w:val="000000"/>
                    <w:sz w:val="22"/>
                    <w:szCs w:val="22"/>
                  </w:rPr>
                </w:pPr>
                <w:r>
                  <w:rPr>
                    <w:color w:val="000000"/>
                    <w:sz w:val="22"/>
                    <w:szCs w:val="22"/>
                    <w:u w:val="thick"/>
                  </w:rPr>
                  <w:t xml:space="preserve">106-2-1/a </w:t>
                </w:r>
              </w:p>
            </w:tc>
            <w:tc>
              <w:tcPr>
                <w:tcW w:w="5320" w:type="dxa"/>
                <w:gridSpan w:val="3"/>
                <w:tcBorders>
                  <w:top w:val="single" w:sz="4" w:space="0" w:color="000000"/>
                  <w:left w:val="single" w:sz="4" w:space="0" w:color="auto"/>
                  <w:bottom w:val="single" w:sz="4" w:space="0" w:color="000000"/>
                  <w:right w:val="single" w:sz="4" w:space="0" w:color="auto"/>
                </w:tcBorders>
                <w:tcMar>
                  <w:top w:w="40" w:type="dxa"/>
                  <w:left w:w="57" w:type="dxa"/>
                  <w:bottom w:w="40" w:type="dxa"/>
                  <w:right w:w="57" w:type="dxa"/>
                </w:tcMar>
                <w:vAlign w:val="center"/>
              </w:tcPr>
              <w:p>
                <w:pPr>
                  <w:widowControl w:val="0"/>
                  <w:suppressAutoHyphens/>
                  <w:rPr>
                    <w:color w:val="000000"/>
                    <w:sz w:val="22"/>
                    <w:szCs w:val="22"/>
                  </w:rPr>
                </w:pPr>
                <w:r>
                  <w:rPr>
                    <w:color w:val="000000"/>
                    <w:sz w:val="22"/>
                    <w:szCs w:val="22"/>
                  </w:rPr>
                  <w:t>Medicininis perinatalinės mirties liudijimas</w:t>
                </w:r>
              </w:p>
            </w:tc>
          </w:tr>
          <w:tr>
            <w:trPr>
              <w:trHeight w:val="62"/>
            </w:trPr>
            <w:tc>
              <w:tcPr>
                <w:tcW w:w="875" w:type="dxa"/>
                <w:tcBorders>
                  <w:top w:val="single" w:sz="4" w:space="0" w:color="000000"/>
                  <w:left w:val="single" w:sz="4" w:space="0" w:color="auto"/>
                  <w:bottom w:val="single" w:sz="4" w:space="0" w:color="000000"/>
                  <w:right w:val="single" w:sz="4" w:space="0" w:color="000000"/>
                </w:tcBorders>
                <w:tcMar>
                  <w:top w:w="40" w:type="dxa"/>
                  <w:left w:w="57" w:type="dxa"/>
                  <w:bottom w:w="40" w:type="dxa"/>
                  <w:right w:w="57" w:type="dxa"/>
                </w:tcMar>
                <w:vAlign w:val="center"/>
              </w:tcPr>
              <w:p>
                <w:pPr>
                  <w:widowControl w:val="0"/>
                  <w:suppressAutoHyphens/>
                  <w:jc w:val="right"/>
                  <w:rPr>
                    <w:color w:val="000000"/>
                    <w:sz w:val="22"/>
                    <w:szCs w:val="22"/>
                  </w:rPr>
                </w:pPr>
                <w:r>
                  <w:rPr>
                    <w:color w:val="000000"/>
                    <w:sz w:val="22"/>
                    <w:szCs w:val="22"/>
                  </w:rPr>
                  <w:t>3.3.</w:t>
                </w:r>
              </w:p>
            </w:tc>
            <w:tc>
              <w:tcPr>
                <w:tcW w:w="2875" w:type="dxa"/>
                <w:gridSpan w:val="2"/>
                <w:tcBorders>
                  <w:top w:val="single" w:sz="4" w:space="0" w:color="000000"/>
                  <w:left w:val="single" w:sz="4" w:space="0" w:color="000000"/>
                  <w:bottom w:val="single" w:sz="4" w:space="0" w:color="000000"/>
                  <w:right w:val="single" w:sz="4" w:space="0" w:color="auto"/>
                </w:tcBorders>
                <w:tcMar>
                  <w:top w:w="40" w:type="dxa"/>
                  <w:left w:w="57" w:type="dxa"/>
                  <w:bottom w:w="40" w:type="dxa"/>
                  <w:right w:w="57" w:type="dxa"/>
                </w:tcMar>
                <w:vAlign w:val="center"/>
              </w:tcPr>
              <w:p>
                <w:pPr>
                  <w:widowControl w:val="0"/>
                  <w:suppressAutoHyphens/>
                  <w:rPr>
                    <w:color w:val="000000"/>
                    <w:sz w:val="22"/>
                    <w:szCs w:val="22"/>
                  </w:rPr>
                </w:pPr>
                <w:r>
                  <w:rPr>
                    <w:color w:val="000000"/>
                    <w:sz w:val="22"/>
                    <w:szCs w:val="22"/>
                    <w:u w:val="thick"/>
                  </w:rPr>
                  <w:t xml:space="preserve">027/a </w:t>
                </w:r>
              </w:p>
            </w:tc>
            <w:tc>
              <w:tcPr>
                <w:tcW w:w="5320" w:type="dxa"/>
                <w:gridSpan w:val="3"/>
                <w:tcBorders>
                  <w:top w:val="single" w:sz="4" w:space="0" w:color="000000"/>
                  <w:left w:val="single" w:sz="4" w:space="0" w:color="auto"/>
                  <w:bottom w:val="single" w:sz="4" w:space="0" w:color="000000"/>
                  <w:right w:val="single" w:sz="4" w:space="0" w:color="auto"/>
                </w:tcBorders>
                <w:tcMar>
                  <w:top w:w="40" w:type="dxa"/>
                  <w:left w:w="57" w:type="dxa"/>
                  <w:bottom w:w="40" w:type="dxa"/>
                  <w:right w:w="57" w:type="dxa"/>
                </w:tcMar>
                <w:vAlign w:val="center"/>
              </w:tcPr>
              <w:p>
                <w:pPr>
                  <w:widowControl w:val="0"/>
                  <w:suppressAutoHyphens/>
                  <w:rPr>
                    <w:color w:val="000000"/>
                    <w:sz w:val="22"/>
                    <w:szCs w:val="22"/>
                  </w:rPr>
                </w:pPr>
                <w:r>
                  <w:rPr>
                    <w:color w:val="000000"/>
                    <w:sz w:val="22"/>
                    <w:szCs w:val="22"/>
                  </w:rPr>
                  <w:t>Medicinos dokumentų išrašas</w:t>
                </w:r>
              </w:p>
            </w:tc>
          </w:tr>
          <w:tr>
            <w:trPr>
              <w:trHeight w:val="62"/>
            </w:trPr>
            <w:tc>
              <w:tcPr>
                <w:tcW w:w="875" w:type="dxa"/>
                <w:tcBorders>
                  <w:top w:val="single" w:sz="4" w:space="0" w:color="000000"/>
                  <w:left w:val="single" w:sz="4" w:space="0" w:color="auto"/>
                  <w:bottom w:val="single" w:sz="4" w:space="0" w:color="000000"/>
                  <w:right w:val="single" w:sz="4" w:space="0" w:color="000000"/>
                </w:tcBorders>
                <w:tcMar>
                  <w:top w:w="40" w:type="dxa"/>
                  <w:left w:w="57" w:type="dxa"/>
                  <w:bottom w:w="40" w:type="dxa"/>
                  <w:right w:w="57" w:type="dxa"/>
                </w:tcMar>
                <w:vAlign w:val="center"/>
              </w:tcPr>
              <w:p>
                <w:pPr>
                  <w:widowControl w:val="0"/>
                  <w:suppressAutoHyphens/>
                  <w:jc w:val="right"/>
                  <w:rPr>
                    <w:color w:val="000000"/>
                    <w:sz w:val="22"/>
                    <w:szCs w:val="22"/>
                  </w:rPr>
                </w:pPr>
                <w:r>
                  <w:rPr>
                    <w:color w:val="000000"/>
                    <w:sz w:val="22"/>
                    <w:szCs w:val="22"/>
                  </w:rPr>
                  <w:t>3.4.</w:t>
                </w:r>
              </w:p>
            </w:tc>
            <w:tc>
              <w:tcPr>
                <w:tcW w:w="2875" w:type="dxa"/>
                <w:gridSpan w:val="2"/>
                <w:tcBorders>
                  <w:top w:val="single" w:sz="4" w:space="0" w:color="000000"/>
                  <w:left w:val="single" w:sz="4" w:space="0" w:color="000000"/>
                  <w:bottom w:val="single" w:sz="4" w:space="0" w:color="000000"/>
                  <w:right w:val="single" w:sz="4" w:space="0" w:color="auto"/>
                </w:tcBorders>
                <w:tcMar>
                  <w:top w:w="40" w:type="dxa"/>
                  <w:left w:w="57" w:type="dxa"/>
                  <w:bottom w:w="40" w:type="dxa"/>
                  <w:right w:w="57" w:type="dxa"/>
                </w:tcMar>
                <w:vAlign w:val="center"/>
              </w:tcPr>
              <w:p>
                <w:pPr>
                  <w:widowControl w:val="0"/>
                  <w:suppressAutoHyphens/>
                  <w:rPr>
                    <w:color w:val="000000"/>
                    <w:sz w:val="22"/>
                    <w:szCs w:val="22"/>
                  </w:rPr>
                </w:pPr>
                <w:r>
                  <w:rPr>
                    <w:color w:val="000000"/>
                    <w:sz w:val="22"/>
                    <w:szCs w:val="22"/>
                    <w:u w:val="thick"/>
                  </w:rPr>
                  <w:t xml:space="preserve">027-1/a </w:t>
                </w:r>
              </w:p>
            </w:tc>
            <w:tc>
              <w:tcPr>
                <w:tcW w:w="5320" w:type="dxa"/>
                <w:gridSpan w:val="3"/>
                <w:tcBorders>
                  <w:top w:val="single" w:sz="4" w:space="0" w:color="000000"/>
                  <w:left w:val="single" w:sz="4" w:space="0" w:color="auto"/>
                  <w:bottom w:val="single" w:sz="4" w:space="0" w:color="000000"/>
                  <w:right w:val="single" w:sz="4" w:space="0" w:color="auto"/>
                </w:tcBorders>
                <w:tcMar>
                  <w:top w:w="40" w:type="dxa"/>
                  <w:left w:w="57" w:type="dxa"/>
                  <w:bottom w:w="40" w:type="dxa"/>
                  <w:right w:w="57" w:type="dxa"/>
                </w:tcMar>
                <w:vAlign w:val="center"/>
              </w:tcPr>
              <w:p>
                <w:pPr>
                  <w:widowControl w:val="0"/>
                  <w:suppressAutoHyphens/>
                  <w:rPr>
                    <w:color w:val="000000"/>
                    <w:sz w:val="22"/>
                    <w:szCs w:val="22"/>
                  </w:rPr>
                </w:pPr>
                <w:r>
                  <w:rPr>
                    <w:color w:val="000000"/>
                    <w:sz w:val="22"/>
                    <w:szCs w:val="22"/>
                  </w:rPr>
                  <w:t>Vaiko sveikatos pažymėjimas</w:t>
                </w:r>
              </w:p>
            </w:tc>
          </w:tr>
          <w:tr>
            <w:trPr>
              <w:trHeight w:val="62"/>
            </w:trPr>
            <w:tc>
              <w:tcPr>
                <w:tcW w:w="875" w:type="dxa"/>
                <w:tcBorders>
                  <w:top w:val="single" w:sz="4" w:space="0" w:color="000000"/>
                  <w:left w:val="single" w:sz="4" w:space="0" w:color="auto"/>
                  <w:bottom w:val="single" w:sz="4" w:space="0" w:color="000000"/>
                  <w:right w:val="single" w:sz="4" w:space="0" w:color="000000"/>
                </w:tcBorders>
                <w:tcMar>
                  <w:top w:w="40" w:type="dxa"/>
                  <w:left w:w="57" w:type="dxa"/>
                  <w:bottom w:w="40" w:type="dxa"/>
                  <w:right w:w="57" w:type="dxa"/>
                </w:tcMar>
                <w:vAlign w:val="center"/>
              </w:tcPr>
              <w:p>
                <w:pPr>
                  <w:widowControl w:val="0"/>
                  <w:suppressAutoHyphens/>
                  <w:jc w:val="right"/>
                  <w:rPr>
                    <w:color w:val="000000"/>
                    <w:sz w:val="22"/>
                    <w:szCs w:val="22"/>
                  </w:rPr>
                </w:pPr>
                <w:r>
                  <w:rPr>
                    <w:color w:val="000000"/>
                    <w:sz w:val="22"/>
                    <w:szCs w:val="22"/>
                  </w:rPr>
                  <w:t>3.5.</w:t>
                </w:r>
              </w:p>
            </w:tc>
            <w:tc>
              <w:tcPr>
                <w:tcW w:w="2875" w:type="dxa"/>
                <w:gridSpan w:val="2"/>
                <w:tcBorders>
                  <w:top w:val="single" w:sz="4" w:space="0" w:color="000000"/>
                  <w:left w:val="single" w:sz="4" w:space="0" w:color="000000"/>
                  <w:bottom w:val="single" w:sz="4" w:space="0" w:color="000000"/>
                  <w:right w:val="single" w:sz="4" w:space="0" w:color="auto"/>
                </w:tcBorders>
                <w:tcMar>
                  <w:top w:w="40" w:type="dxa"/>
                  <w:left w:w="57" w:type="dxa"/>
                  <w:bottom w:w="40" w:type="dxa"/>
                  <w:right w:w="57" w:type="dxa"/>
                </w:tcMar>
                <w:vAlign w:val="center"/>
              </w:tcPr>
              <w:p>
                <w:pPr>
                  <w:widowControl w:val="0"/>
                  <w:suppressAutoHyphens/>
                  <w:rPr>
                    <w:color w:val="000000"/>
                    <w:sz w:val="22"/>
                    <w:szCs w:val="22"/>
                  </w:rPr>
                </w:pPr>
                <w:r>
                  <w:rPr>
                    <w:color w:val="000000"/>
                    <w:sz w:val="22"/>
                    <w:szCs w:val="22"/>
                    <w:u w:val="thick"/>
                  </w:rPr>
                  <w:t xml:space="preserve">028-1/a </w:t>
                </w:r>
              </w:p>
            </w:tc>
            <w:tc>
              <w:tcPr>
                <w:tcW w:w="5320" w:type="dxa"/>
                <w:gridSpan w:val="3"/>
                <w:tcBorders>
                  <w:top w:val="single" w:sz="4" w:space="0" w:color="000000"/>
                  <w:left w:val="single" w:sz="4" w:space="0" w:color="auto"/>
                  <w:bottom w:val="single" w:sz="4" w:space="0" w:color="000000"/>
                  <w:right w:val="single" w:sz="4" w:space="0" w:color="auto"/>
                </w:tcBorders>
                <w:tcMar>
                  <w:top w:w="40" w:type="dxa"/>
                  <w:left w:w="57" w:type="dxa"/>
                  <w:bottom w:w="40" w:type="dxa"/>
                  <w:right w:w="57" w:type="dxa"/>
                </w:tcMar>
                <w:vAlign w:val="center"/>
              </w:tcPr>
              <w:p>
                <w:pPr>
                  <w:widowControl w:val="0"/>
                  <w:suppressAutoHyphens/>
                  <w:rPr>
                    <w:color w:val="000000"/>
                    <w:sz w:val="22"/>
                    <w:szCs w:val="22"/>
                  </w:rPr>
                </w:pPr>
                <w:r>
                  <w:rPr>
                    <w:color w:val="000000"/>
                    <w:sz w:val="22"/>
                    <w:szCs w:val="22"/>
                  </w:rPr>
                  <w:t>Siuntimas tirti, konsultuoti ir gydyti</w:t>
                </w:r>
              </w:p>
            </w:tc>
          </w:tr>
          <w:tr>
            <w:trPr>
              <w:trHeight w:val="62"/>
            </w:trPr>
            <w:tc>
              <w:tcPr>
                <w:tcW w:w="875" w:type="dxa"/>
                <w:tcBorders>
                  <w:top w:val="single" w:sz="4" w:space="0" w:color="000000"/>
                  <w:left w:val="single" w:sz="4" w:space="0" w:color="auto"/>
                  <w:bottom w:val="single" w:sz="4" w:space="0" w:color="000000"/>
                  <w:right w:val="single" w:sz="4" w:space="0" w:color="000000"/>
                </w:tcBorders>
                <w:tcMar>
                  <w:top w:w="40" w:type="dxa"/>
                  <w:left w:w="57" w:type="dxa"/>
                  <w:bottom w:w="40" w:type="dxa"/>
                  <w:right w:w="57" w:type="dxa"/>
                </w:tcMar>
                <w:vAlign w:val="center"/>
              </w:tcPr>
              <w:p>
                <w:pPr>
                  <w:widowControl w:val="0"/>
                  <w:suppressAutoHyphens/>
                  <w:jc w:val="right"/>
                  <w:rPr>
                    <w:color w:val="000000"/>
                    <w:sz w:val="22"/>
                    <w:szCs w:val="22"/>
                  </w:rPr>
                </w:pPr>
                <w:r>
                  <w:rPr>
                    <w:b/>
                    <w:bCs/>
                    <w:color w:val="000000"/>
                    <w:sz w:val="22"/>
                    <w:szCs w:val="22"/>
                  </w:rPr>
                  <w:t>4.</w:t>
                </w:r>
              </w:p>
            </w:tc>
            <w:tc>
              <w:tcPr>
                <w:tcW w:w="7710" w:type="dxa"/>
                <w:gridSpan w:val="4"/>
                <w:tcBorders>
                  <w:top w:val="single" w:sz="4" w:space="0" w:color="000000"/>
                  <w:left w:val="single" w:sz="4" w:space="0" w:color="000000"/>
                  <w:bottom w:val="single" w:sz="4" w:space="0" w:color="000000"/>
                </w:tcBorders>
                <w:tcMar>
                  <w:top w:w="40" w:type="dxa"/>
                  <w:left w:w="57" w:type="dxa"/>
                  <w:bottom w:w="40" w:type="dxa"/>
                  <w:right w:w="57" w:type="dxa"/>
                </w:tcMar>
                <w:vAlign w:val="center"/>
              </w:tcPr>
              <w:p>
                <w:pPr>
                  <w:widowControl w:val="0"/>
                  <w:suppressAutoHyphens/>
                  <w:rPr>
                    <w:color w:val="000000"/>
                    <w:sz w:val="22"/>
                    <w:szCs w:val="22"/>
                  </w:rPr>
                </w:pPr>
                <w:r>
                  <w:rPr>
                    <w:b/>
                    <w:bCs/>
                    <w:color w:val="000000"/>
                    <w:sz w:val="22"/>
                    <w:szCs w:val="22"/>
                  </w:rPr>
                  <w:t xml:space="preserve">LABORATORIJA </w:t>
                </w:r>
              </w:p>
            </w:tc>
            <w:tc>
              <w:tcPr>
                <w:tcW w:w="485" w:type="dxa"/>
                <w:tcBorders>
                  <w:top w:val="single" w:sz="4" w:space="0" w:color="000000"/>
                  <w:left w:val="nil"/>
                  <w:bottom w:val="single" w:sz="4" w:space="0" w:color="000000"/>
                  <w:right w:val="single" w:sz="4" w:space="0" w:color="auto"/>
                </w:tcBorders>
                <w:vAlign w:val="center"/>
              </w:tcPr>
              <w:p>
                <w:pPr>
                  <w:widowControl w:val="0"/>
                  <w:suppressAutoHyphens/>
                  <w:rPr>
                    <w:color w:val="000000"/>
                    <w:sz w:val="22"/>
                    <w:szCs w:val="22"/>
                  </w:rPr>
                </w:pPr>
              </w:p>
            </w:tc>
          </w:tr>
          <w:tr>
            <w:trPr>
              <w:trHeight w:val="62"/>
            </w:trPr>
            <w:tc>
              <w:tcPr>
                <w:tcW w:w="875" w:type="dxa"/>
                <w:tcBorders>
                  <w:top w:val="single" w:sz="4" w:space="0" w:color="000000"/>
                  <w:left w:val="single" w:sz="4" w:space="0" w:color="auto"/>
                  <w:bottom w:val="single" w:sz="4" w:space="0" w:color="000000"/>
                  <w:right w:val="single" w:sz="4" w:space="0" w:color="000000"/>
                </w:tcBorders>
                <w:tcMar>
                  <w:top w:w="40" w:type="dxa"/>
                  <w:left w:w="57" w:type="dxa"/>
                  <w:bottom w:w="40" w:type="dxa"/>
                  <w:right w:w="57" w:type="dxa"/>
                </w:tcMar>
                <w:vAlign w:val="center"/>
              </w:tcPr>
              <w:p>
                <w:pPr>
                  <w:widowControl w:val="0"/>
                  <w:suppressAutoHyphens/>
                  <w:jc w:val="right"/>
                  <w:rPr>
                    <w:color w:val="000000"/>
                    <w:sz w:val="22"/>
                    <w:szCs w:val="22"/>
                  </w:rPr>
                </w:pPr>
                <w:r>
                  <w:rPr>
                    <w:color w:val="000000"/>
                    <w:sz w:val="22"/>
                    <w:szCs w:val="22"/>
                  </w:rPr>
                  <w:t>4.1.</w:t>
                </w:r>
              </w:p>
            </w:tc>
            <w:tc>
              <w:tcPr>
                <w:tcW w:w="2875" w:type="dxa"/>
                <w:gridSpan w:val="2"/>
                <w:tcBorders>
                  <w:top w:val="single" w:sz="4" w:space="0" w:color="000000"/>
                  <w:left w:val="single" w:sz="4" w:space="0" w:color="000000"/>
                  <w:bottom w:val="single" w:sz="4" w:space="0" w:color="000000"/>
                  <w:right w:val="single" w:sz="4" w:space="0" w:color="auto"/>
                </w:tcBorders>
                <w:tcMar>
                  <w:top w:w="40" w:type="dxa"/>
                  <w:left w:w="57" w:type="dxa"/>
                  <w:bottom w:w="40" w:type="dxa"/>
                  <w:right w:w="57" w:type="dxa"/>
                </w:tcMar>
                <w:vAlign w:val="center"/>
              </w:tcPr>
              <w:p>
                <w:pPr>
                  <w:widowControl w:val="0"/>
                  <w:suppressAutoHyphens/>
                  <w:rPr>
                    <w:color w:val="000000"/>
                    <w:sz w:val="22"/>
                    <w:szCs w:val="22"/>
                  </w:rPr>
                </w:pPr>
                <w:r>
                  <w:rPr>
                    <w:color w:val="000000"/>
                    <w:sz w:val="22"/>
                    <w:szCs w:val="22"/>
                    <w:u w:val="thick"/>
                  </w:rPr>
                  <w:t xml:space="preserve">200/a </w:t>
                </w:r>
              </w:p>
            </w:tc>
            <w:tc>
              <w:tcPr>
                <w:tcW w:w="5320" w:type="dxa"/>
                <w:gridSpan w:val="3"/>
                <w:tcBorders>
                  <w:top w:val="single" w:sz="4" w:space="0" w:color="000000"/>
                  <w:left w:val="single" w:sz="4" w:space="0" w:color="auto"/>
                  <w:bottom w:val="single" w:sz="4" w:space="0" w:color="000000"/>
                  <w:right w:val="single" w:sz="4" w:space="0" w:color="auto"/>
                </w:tcBorders>
                <w:tcMar>
                  <w:top w:w="40" w:type="dxa"/>
                  <w:left w:w="57" w:type="dxa"/>
                  <w:bottom w:w="40" w:type="dxa"/>
                  <w:right w:w="57" w:type="dxa"/>
                </w:tcMar>
                <w:vAlign w:val="center"/>
              </w:tcPr>
              <w:p>
                <w:pPr>
                  <w:widowControl w:val="0"/>
                  <w:suppressAutoHyphens/>
                  <w:rPr>
                    <w:color w:val="000000"/>
                    <w:sz w:val="22"/>
                    <w:szCs w:val="22"/>
                  </w:rPr>
                </w:pPr>
                <w:r>
                  <w:rPr>
                    <w:color w:val="000000"/>
                    <w:sz w:val="22"/>
                    <w:szCs w:val="22"/>
                  </w:rPr>
                  <w:t>Siuntimas laboratoriškai ištirti ir tyrimų rezultatai</w:t>
                </w:r>
              </w:p>
            </w:tc>
          </w:tr>
          <w:tr>
            <w:trPr>
              <w:trHeight w:val="62"/>
            </w:trPr>
            <w:tc>
              <w:tcPr>
                <w:tcW w:w="875" w:type="dxa"/>
                <w:tcBorders>
                  <w:top w:val="single" w:sz="4" w:space="0" w:color="000000"/>
                  <w:left w:val="single" w:sz="4" w:space="0" w:color="auto"/>
                  <w:bottom w:val="single" w:sz="4" w:space="0" w:color="000000"/>
                  <w:right w:val="single" w:sz="4" w:space="0" w:color="000000"/>
                </w:tcBorders>
                <w:tcMar>
                  <w:top w:w="40" w:type="dxa"/>
                  <w:left w:w="57" w:type="dxa"/>
                  <w:bottom w:w="40" w:type="dxa"/>
                  <w:right w:w="57" w:type="dxa"/>
                </w:tcMar>
                <w:vAlign w:val="center"/>
              </w:tcPr>
              <w:p>
                <w:pPr>
                  <w:widowControl w:val="0"/>
                  <w:suppressAutoHyphens/>
                  <w:jc w:val="right"/>
                  <w:rPr>
                    <w:color w:val="000000"/>
                    <w:sz w:val="22"/>
                    <w:szCs w:val="22"/>
                  </w:rPr>
                </w:pPr>
                <w:r>
                  <w:rPr>
                    <w:color w:val="000000"/>
                    <w:sz w:val="22"/>
                    <w:szCs w:val="22"/>
                  </w:rPr>
                  <w:t>4.2.</w:t>
                </w:r>
              </w:p>
            </w:tc>
            <w:tc>
              <w:tcPr>
                <w:tcW w:w="2875" w:type="dxa"/>
                <w:gridSpan w:val="2"/>
                <w:tcBorders>
                  <w:top w:val="single" w:sz="4" w:space="0" w:color="000000"/>
                  <w:left w:val="single" w:sz="4" w:space="0" w:color="000000"/>
                  <w:bottom w:val="single" w:sz="4" w:space="0" w:color="000000"/>
                  <w:right w:val="single" w:sz="4" w:space="0" w:color="auto"/>
                </w:tcBorders>
                <w:tcMar>
                  <w:top w:w="40" w:type="dxa"/>
                  <w:left w:w="57" w:type="dxa"/>
                  <w:bottom w:w="40" w:type="dxa"/>
                  <w:right w:w="57" w:type="dxa"/>
                </w:tcMar>
                <w:vAlign w:val="center"/>
              </w:tcPr>
              <w:p>
                <w:pPr>
                  <w:widowControl w:val="0"/>
                  <w:suppressAutoHyphens/>
                  <w:rPr>
                    <w:color w:val="000000"/>
                    <w:sz w:val="22"/>
                    <w:szCs w:val="22"/>
                  </w:rPr>
                </w:pPr>
                <w:r>
                  <w:rPr>
                    <w:color w:val="000000"/>
                    <w:sz w:val="22"/>
                    <w:szCs w:val="22"/>
                    <w:u w:val="thick"/>
                  </w:rPr>
                  <w:t xml:space="preserve">210/a </w:t>
                </w:r>
              </w:p>
            </w:tc>
            <w:tc>
              <w:tcPr>
                <w:tcW w:w="5320" w:type="dxa"/>
                <w:gridSpan w:val="3"/>
                <w:tcBorders>
                  <w:top w:val="single" w:sz="4" w:space="0" w:color="000000"/>
                  <w:left w:val="single" w:sz="4" w:space="0" w:color="auto"/>
                  <w:bottom w:val="single" w:sz="4" w:space="0" w:color="000000"/>
                  <w:right w:val="single" w:sz="4" w:space="0" w:color="auto"/>
                </w:tcBorders>
                <w:tcMar>
                  <w:top w:w="40" w:type="dxa"/>
                  <w:left w:w="57" w:type="dxa"/>
                  <w:bottom w:w="40" w:type="dxa"/>
                  <w:right w:w="57" w:type="dxa"/>
                </w:tcMar>
                <w:vAlign w:val="center"/>
              </w:tcPr>
              <w:p>
                <w:pPr>
                  <w:widowControl w:val="0"/>
                  <w:suppressAutoHyphens/>
                  <w:rPr>
                    <w:color w:val="000000"/>
                    <w:sz w:val="22"/>
                    <w:szCs w:val="22"/>
                  </w:rPr>
                </w:pPr>
                <w:r>
                  <w:rPr>
                    <w:color w:val="000000"/>
                    <w:sz w:val="22"/>
                    <w:szCs w:val="22"/>
                  </w:rPr>
                  <w:t>Šlapimo tyrimas</w:t>
                </w:r>
              </w:p>
            </w:tc>
          </w:tr>
          <w:tr>
            <w:trPr>
              <w:trHeight w:val="62"/>
            </w:trPr>
            <w:tc>
              <w:tcPr>
                <w:tcW w:w="875" w:type="dxa"/>
                <w:tcBorders>
                  <w:top w:val="single" w:sz="4" w:space="0" w:color="000000"/>
                  <w:left w:val="single" w:sz="4" w:space="0" w:color="auto"/>
                  <w:bottom w:val="single" w:sz="4" w:space="0" w:color="000000"/>
                  <w:right w:val="single" w:sz="4" w:space="0" w:color="000000"/>
                </w:tcBorders>
                <w:tcMar>
                  <w:top w:w="40" w:type="dxa"/>
                  <w:left w:w="57" w:type="dxa"/>
                  <w:bottom w:w="40" w:type="dxa"/>
                  <w:right w:w="57" w:type="dxa"/>
                </w:tcMar>
                <w:vAlign w:val="center"/>
              </w:tcPr>
              <w:p>
                <w:pPr>
                  <w:widowControl w:val="0"/>
                  <w:suppressAutoHyphens/>
                  <w:jc w:val="right"/>
                  <w:rPr>
                    <w:color w:val="000000"/>
                    <w:sz w:val="22"/>
                    <w:szCs w:val="22"/>
                  </w:rPr>
                </w:pPr>
                <w:r>
                  <w:rPr>
                    <w:color w:val="000000"/>
                    <w:sz w:val="22"/>
                    <w:szCs w:val="22"/>
                  </w:rPr>
                  <w:t>4.3.</w:t>
                </w:r>
              </w:p>
            </w:tc>
            <w:tc>
              <w:tcPr>
                <w:tcW w:w="2875" w:type="dxa"/>
                <w:gridSpan w:val="2"/>
                <w:tcBorders>
                  <w:top w:val="single" w:sz="4" w:space="0" w:color="000000"/>
                  <w:left w:val="single" w:sz="4" w:space="0" w:color="000000"/>
                  <w:bottom w:val="single" w:sz="4" w:space="0" w:color="000000"/>
                  <w:right w:val="single" w:sz="4" w:space="0" w:color="auto"/>
                </w:tcBorders>
                <w:tcMar>
                  <w:top w:w="40" w:type="dxa"/>
                  <w:left w:w="57" w:type="dxa"/>
                  <w:bottom w:w="40" w:type="dxa"/>
                  <w:right w:w="57" w:type="dxa"/>
                </w:tcMar>
                <w:vAlign w:val="center"/>
              </w:tcPr>
              <w:p>
                <w:pPr>
                  <w:widowControl w:val="0"/>
                  <w:suppressAutoHyphens/>
                  <w:rPr>
                    <w:color w:val="000000"/>
                    <w:sz w:val="22"/>
                    <w:szCs w:val="22"/>
                  </w:rPr>
                </w:pPr>
                <w:r>
                  <w:rPr>
                    <w:color w:val="000000"/>
                    <w:sz w:val="22"/>
                    <w:szCs w:val="22"/>
                    <w:u w:val="thick"/>
                  </w:rPr>
                  <w:t xml:space="preserve">217/a </w:t>
                </w:r>
              </w:p>
            </w:tc>
            <w:tc>
              <w:tcPr>
                <w:tcW w:w="5320" w:type="dxa"/>
                <w:gridSpan w:val="3"/>
                <w:tcBorders>
                  <w:top w:val="single" w:sz="4" w:space="0" w:color="000000"/>
                  <w:left w:val="single" w:sz="4" w:space="0" w:color="auto"/>
                  <w:bottom w:val="single" w:sz="4" w:space="0" w:color="000000"/>
                  <w:right w:val="single" w:sz="4" w:space="0" w:color="auto"/>
                </w:tcBorders>
                <w:tcMar>
                  <w:top w:w="40" w:type="dxa"/>
                  <w:left w:w="57" w:type="dxa"/>
                  <w:bottom w:w="40" w:type="dxa"/>
                  <w:right w:w="57" w:type="dxa"/>
                </w:tcMar>
                <w:vAlign w:val="center"/>
              </w:tcPr>
              <w:p>
                <w:pPr>
                  <w:widowControl w:val="0"/>
                  <w:suppressAutoHyphens/>
                  <w:rPr>
                    <w:color w:val="000000"/>
                    <w:sz w:val="22"/>
                    <w:szCs w:val="22"/>
                  </w:rPr>
                </w:pPr>
                <w:r>
                  <w:rPr>
                    <w:color w:val="000000"/>
                    <w:sz w:val="22"/>
                    <w:szCs w:val="22"/>
                  </w:rPr>
                  <w:t>Prostatos sekreto tyrimas</w:t>
                </w:r>
              </w:p>
            </w:tc>
          </w:tr>
          <w:tr>
            <w:trPr>
              <w:trHeight w:val="62"/>
            </w:trPr>
            <w:tc>
              <w:tcPr>
                <w:tcW w:w="875" w:type="dxa"/>
                <w:tcBorders>
                  <w:top w:val="single" w:sz="4" w:space="0" w:color="000000"/>
                  <w:left w:val="single" w:sz="4" w:space="0" w:color="auto"/>
                  <w:bottom w:val="single" w:sz="4" w:space="0" w:color="000000"/>
                  <w:right w:val="single" w:sz="4" w:space="0" w:color="000000"/>
                </w:tcBorders>
                <w:tcMar>
                  <w:top w:w="40" w:type="dxa"/>
                  <w:left w:w="57" w:type="dxa"/>
                  <w:bottom w:w="40" w:type="dxa"/>
                  <w:right w:w="57" w:type="dxa"/>
                </w:tcMar>
                <w:vAlign w:val="center"/>
              </w:tcPr>
              <w:p>
                <w:pPr>
                  <w:widowControl w:val="0"/>
                  <w:suppressAutoHyphens/>
                  <w:jc w:val="right"/>
                  <w:rPr>
                    <w:color w:val="000000"/>
                    <w:sz w:val="22"/>
                    <w:szCs w:val="22"/>
                  </w:rPr>
                </w:pPr>
                <w:r>
                  <w:rPr>
                    <w:color w:val="000000"/>
                    <w:sz w:val="22"/>
                    <w:szCs w:val="22"/>
                  </w:rPr>
                  <w:t>4.4.</w:t>
                </w:r>
              </w:p>
            </w:tc>
            <w:tc>
              <w:tcPr>
                <w:tcW w:w="2875" w:type="dxa"/>
                <w:gridSpan w:val="2"/>
                <w:tcBorders>
                  <w:top w:val="single" w:sz="4" w:space="0" w:color="000000"/>
                  <w:left w:val="single" w:sz="4" w:space="0" w:color="000000"/>
                  <w:bottom w:val="single" w:sz="4" w:space="0" w:color="000000"/>
                  <w:right w:val="single" w:sz="4" w:space="0" w:color="auto"/>
                </w:tcBorders>
                <w:tcMar>
                  <w:top w:w="40" w:type="dxa"/>
                  <w:left w:w="57" w:type="dxa"/>
                  <w:bottom w:w="40" w:type="dxa"/>
                  <w:right w:w="57" w:type="dxa"/>
                </w:tcMar>
                <w:vAlign w:val="center"/>
              </w:tcPr>
              <w:p>
                <w:pPr>
                  <w:widowControl w:val="0"/>
                  <w:suppressAutoHyphens/>
                  <w:rPr>
                    <w:color w:val="000000"/>
                    <w:sz w:val="22"/>
                    <w:szCs w:val="22"/>
                  </w:rPr>
                </w:pPr>
                <w:r>
                  <w:rPr>
                    <w:color w:val="000000"/>
                    <w:sz w:val="22"/>
                    <w:szCs w:val="22"/>
                    <w:u w:val="thick"/>
                  </w:rPr>
                  <w:t xml:space="preserve">219/a </w:t>
                </w:r>
              </w:p>
            </w:tc>
            <w:tc>
              <w:tcPr>
                <w:tcW w:w="5320" w:type="dxa"/>
                <w:gridSpan w:val="3"/>
                <w:tcBorders>
                  <w:top w:val="single" w:sz="4" w:space="0" w:color="000000"/>
                  <w:left w:val="single" w:sz="4" w:space="0" w:color="auto"/>
                  <w:bottom w:val="single" w:sz="4" w:space="0" w:color="000000"/>
                  <w:right w:val="single" w:sz="4" w:space="0" w:color="auto"/>
                </w:tcBorders>
                <w:tcMar>
                  <w:top w:w="40" w:type="dxa"/>
                  <w:left w:w="57" w:type="dxa"/>
                  <w:bottom w:w="40" w:type="dxa"/>
                  <w:right w:w="57" w:type="dxa"/>
                </w:tcMar>
                <w:vAlign w:val="center"/>
              </w:tcPr>
              <w:p>
                <w:pPr>
                  <w:widowControl w:val="0"/>
                  <w:suppressAutoHyphens/>
                  <w:rPr>
                    <w:color w:val="000000"/>
                    <w:sz w:val="22"/>
                    <w:szCs w:val="22"/>
                  </w:rPr>
                </w:pPr>
                <w:r>
                  <w:rPr>
                    <w:color w:val="000000"/>
                    <w:sz w:val="22"/>
                    <w:szCs w:val="22"/>
                  </w:rPr>
                  <w:t>Koprologinis tyrimas</w:t>
                </w:r>
              </w:p>
            </w:tc>
          </w:tr>
          <w:tr>
            <w:trPr>
              <w:trHeight w:val="62"/>
            </w:trPr>
            <w:tc>
              <w:tcPr>
                <w:tcW w:w="875" w:type="dxa"/>
                <w:tcBorders>
                  <w:top w:val="single" w:sz="4" w:space="0" w:color="000000"/>
                  <w:left w:val="single" w:sz="4" w:space="0" w:color="auto"/>
                  <w:bottom w:val="single" w:sz="4" w:space="0" w:color="000000"/>
                  <w:right w:val="single" w:sz="4" w:space="0" w:color="000000"/>
                </w:tcBorders>
                <w:tcMar>
                  <w:top w:w="40" w:type="dxa"/>
                  <w:left w:w="57" w:type="dxa"/>
                  <w:bottom w:w="40" w:type="dxa"/>
                  <w:right w:w="57" w:type="dxa"/>
                </w:tcMar>
                <w:vAlign w:val="center"/>
              </w:tcPr>
              <w:p>
                <w:pPr>
                  <w:widowControl w:val="0"/>
                  <w:suppressAutoHyphens/>
                  <w:jc w:val="right"/>
                  <w:rPr>
                    <w:color w:val="000000"/>
                    <w:sz w:val="22"/>
                    <w:szCs w:val="22"/>
                  </w:rPr>
                </w:pPr>
                <w:r>
                  <w:rPr>
                    <w:color w:val="000000"/>
                    <w:sz w:val="22"/>
                    <w:szCs w:val="22"/>
                  </w:rPr>
                  <w:t>4.5.</w:t>
                </w:r>
              </w:p>
            </w:tc>
            <w:tc>
              <w:tcPr>
                <w:tcW w:w="2875" w:type="dxa"/>
                <w:gridSpan w:val="2"/>
                <w:tcBorders>
                  <w:top w:val="single" w:sz="4" w:space="0" w:color="000000"/>
                  <w:left w:val="single" w:sz="4" w:space="0" w:color="000000"/>
                  <w:bottom w:val="single" w:sz="4" w:space="0" w:color="000000"/>
                  <w:right w:val="single" w:sz="4" w:space="0" w:color="auto"/>
                </w:tcBorders>
                <w:tcMar>
                  <w:top w:w="40" w:type="dxa"/>
                  <w:left w:w="57" w:type="dxa"/>
                  <w:bottom w:w="40" w:type="dxa"/>
                  <w:right w:w="57" w:type="dxa"/>
                </w:tcMar>
                <w:vAlign w:val="center"/>
              </w:tcPr>
              <w:p>
                <w:pPr>
                  <w:widowControl w:val="0"/>
                  <w:suppressAutoHyphens/>
                  <w:rPr>
                    <w:color w:val="000000"/>
                    <w:sz w:val="22"/>
                    <w:szCs w:val="22"/>
                  </w:rPr>
                </w:pPr>
                <w:r>
                  <w:rPr>
                    <w:color w:val="000000"/>
                    <w:sz w:val="22"/>
                    <w:szCs w:val="22"/>
                    <w:u w:val="thick"/>
                  </w:rPr>
                  <w:t xml:space="preserve">224/a </w:t>
                </w:r>
              </w:p>
            </w:tc>
            <w:tc>
              <w:tcPr>
                <w:tcW w:w="5320" w:type="dxa"/>
                <w:gridSpan w:val="3"/>
                <w:tcBorders>
                  <w:top w:val="single" w:sz="4" w:space="0" w:color="000000"/>
                  <w:left w:val="single" w:sz="4" w:space="0" w:color="auto"/>
                  <w:bottom w:val="single" w:sz="4" w:space="0" w:color="000000"/>
                  <w:right w:val="single" w:sz="4" w:space="0" w:color="auto"/>
                </w:tcBorders>
                <w:tcMar>
                  <w:top w:w="40" w:type="dxa"/>
                  <w:left w:w="57" w:type="dxa"/>
                  <w:bottom w:w="40" w:type="dxa"/>
                  <w:right w:w="57" w:type="dxa"/>
                </w:tcMar>
                <w:vAlign w:val="center"/>
              </w:tcPr>
              <w:p>
                <w:pPr>
                  <w:widowControl w:val="0"/>
                  <w:suppressAutoHyphens/>
                  <w:rPr>
                    <w:color w:val="000000"/>
                    <w:sz w:val="22"/>
                    <w:szCs w:val="22"/>
                  </w:rPr>
                </w:pPr>
                <w:r>
                  <w:rPr>
                    <w:color w:val="000000"/>
                    <w:sz w:val="22"/>
                    <w:szCs w:val="22"/>
                  </w:rPr>
                  <w:t>Bendras kraujo tyrimas</w:t>
                </w:r>
              </w:p>
            </w:tc>
          </w:tr>
          <w:tr>
            <w:trPr>
              <w:trHeight w:val="62"/>
            </w:trPr>
            <w:tc>
              <w:tcPr>
                <w:tcW w:w="875" w:type="dxa"/>
                <w:tcBorders>
                  <w:top w:val="single" w:sz="4" w:space="0" w:color="000000"/>
                  <w:left w:val="single" w:sz="4" w:space="0" w:color="auto"/>
                  <w:bottom w:val="single" w:sz="4" w:space="0" w:color="000000"/>
                  <w:right w:val="single" w:sz="4" w:space="0" w:color="000000"/>
                </w:tcBorders>
                <w:tcMar>
                  <w:top w:w="40" w:type="dxa"/>
                  <w:left w:w="57" w:type="dxa"/>
                  <w:bottom w:w="40" w:type="dxa"/>
                  <w:right w:w="57" w:type="dxa"/>
                </w:tcMar>
                <w:vAlign w:val="center"/>
              </w:tcPr>
              <w:p>
                <w:pPr>
                  <w:widowControl w:val="0"/>
                  <w:suppressAutoHyphens/>
                  <w:jc w:val="right"/>
                  <w:rPr>
                    <w:color w:val="000000"/>
                    <w:sz w:val="22"/>
                    <w:szCs w:val="22"/>
                  </w:rPr>
                </w:pPr>
                <w:r>
                  <w:rPr>
                    <w:color w:val="000000"/>
                    <w:sz w:val="22"/>
                    <w:szCs w:val="22"/>
                  </w:rPr>
                  <w:t>4.6.</w:t>
                </w:r>
              </w:p>
            </w:tc>
            <w:tc>
              <w:tcPr>
                <w:tcW w:w="2875" w:type="dxa"/>
                <w:gridSpan w:val="2"/>
                <w:tcBorders>
                  <w:top w:val="single" w:sz="4" w:space="0" w:color="000000"/>
                  <w:left w:val="single" w:sz="4" w:space="0" w:color="000000"/>
                  <w:bottom w:val="single" w:sz="4" w:space="0" w:color="000000"/>
                  <w:right w:val="single" w:sz="4" w:space="0" w:color="auto"/>
                </w:tcBorders>
                <w:tcMar>
                  <w:top w:w="40" w:type="dxa"/>
                  <w:left w:w="57" w:type="dxa"/>
                  <w:bottom w:w="40" w:type="dxa"/>
                  <w:right w:w="57" w:type="dxa"/>
                </w:tcMar>
                <w:vAlign w:val="center"/>
              </w:tcPr>
              <w:p>
                <w:pPr>
                  <w:widowControl w:val="0"/>
                  <w:suppressAutoHyphens/>
                  <w:rPr>
                    <w:color w:val="000000"/>
                    <w:sz w:val="22"/>
                    <w:szCs w:val="22"/>
                  </w:rPr>
                </w:pPr>
                <w:r>
                  <w:rPr>
                    <w:color w:val="000000"/>
                    <w:sz w:val="22"/>
                    <w:szCs w:val="22"/>
                    <w:u w:val="thick"/>
                  </w:rPr>
                  <w:t xml:space="preserve">228-1/a </w:t>
                </w:r>
              </w:p>
            </w:tc>
            <w:tc>
              <w:tcPr>
                <w:tcW w:w="5320" w:type="dxa"/>
                <w:gridSpan w:val="3"/>
                <w:tcBorders>
                  <w:top w:val="single" w:sz="4" w:space="0" w:color="000000"/>
                  <w:left w:val="single" w:sz="4" w:space="0" w:color="auto"/>
                  <w:bottom w:val="single" w:sz="4" w:space="0" w:color="000000"/>
                  <w:right w:val="single" w:sz="4" w:space="0" w:color="auto"/>
                </w:tcBorders>
                <w:tcMar>
                  <w:top w:w="40" w:type="dxa"/>
                  <w:left w:w="57" w:type="dxa"/>
                  <w:bottom w:w="40" w:type="dxa"/>
                  <w:right w:w="57" w:type="dxa"/>
                </w:tcMar>
                <w:vAlign w:val="center"/>
              </w:tcPr>
              <w:p>
                <w:pPr>
                  <w:widowControl w:val="0"/>
                  <w:suppressAutoHyphens/>
                  <w:rPr>
                    <w:color w:val="000000"/>
                    <w:sz w:val="22"/>
                    <w:szCs w:val="22"/>
                  </w:rPr>
                </w:pPr>
                <w:r>
                  <w:rPr>
                    <w:color w:val="000000"/>
                    <w:sz w:val="22"/>
                    <w:szCs w:val="22"/>
                  </w:rPr>
                  <w:t>Biocheminis kraujo tyrimas (lipoproteinograma)</w:t>
                </w:r>
              </w:p>
            </w:tc>
          </w:tr>
          <w:tr>
            <w:trPr>
              <w:trHeight w:val="62"/>
            </w:trPr>
            <w:tc>
              <w:tcPr>
                <w:tcW w:w="875" w:type="dxa"/>
                <w:tcBorders>
                  <w:top w:val="single" w:sz="4" w:space="0" w:color="000000"/>
                  <w:left w:val="single" w:sz="4" w:space="0" w:color="auto"/>
                  <w:bottom w:val="single" w:sz="4" w:space="0" w:color="auto"/>
                  <w:right w:val="single" w:sz="4" w:space="0" w:color="000000"/>
                </w:tcBorders>
                <w:tcMar>
                  <w:top w:w="40" w:type="dxa"/>
                  <w:left w:w="57" w:type="dxa"/>
                  <w:bottom w:w="40" w:type="dxa"/>
                  <w:right w:w="57" w:type="dxa"/>
                </w:tcMar>
                <w:vAlign w:val="center"/>
              </w:tcPr>
              <w:p>
                <w:pPr>
                  <w:widowControl w:val="0"/>
                  <w:suppressAutoHyphens/>
                  <w:jc w:val="right"/>
                  <w:rPr>
                    <w:color w:val="000000"/>
                    <w:sz w:val="22"/>
                    <w:szCs w:val="22"/>
                  </w:rPr>
                </w:pPr>
                <w:r>
                  <w:rPr>
                    <w:color w:val="000000"/>
                    <w:sz w:val="22"/>
                    <w:szCs w:val="22"/>
                  </w:rPr>
                  <w:t>4.7.</w:t>
                </w:r>
              </w:p>
            </w:tc>
            <w:tc>
              <w:tcPr>
                <w:tcW w:w="2875" w:type="dxa"/>
                <w:gridSpan w:val="2"/>
                <w:tcBorders>
                  <w:top w:val="single" w:sz="4" w:space="0" w:color="000000"/>
                  <w:left w:val="single" w:sz="4" w:space="0" w:color="000000"/>
                  <w:bottom w:val="single" w:sz="4" w:space="0" w:color="auto"/>
                  <w:right w:val="single" w:sz="4" w:space="0" w:color="auto"/>
                </w:tcBorders>
                <w:tcMar>
                  <w:top w:w="40" w:type="dxa"/>
                  <w:left w:w="57" w:type="dxa"/>
                  <w:bottom w:w="40" w:type="dxa"/>
                  <w:right w:w="57" w:type="dxa"/>
                </w:tcMar>
                <w:vAlign w:val="center"/>
              </w:tcPr>
              <w:p>
                <w:pPr>
                  <w:widowControl w:val="0"/>
                  <w:suppressAutoHyphens/>
                  <w:rPr>
                    <w:color w:val="000000"/>
                    <w:sz w:val="22"/>
                    <w:szCs w:val="22"/>
                  </w:rPr>
                </w:pPr>
                <w:r>
                  <w:rPr>
                    <w:color w:val="000000"/>
                    <w:sz w:val="22"/>
                    <w:szCs w:val="22"/>
                    <w:u w:val="thick"/>
                  </w:rPr>
                  <w:t xml:space="preserve">228-2/a </w:t>
                </w:r>
              </w:p>
            </w:tc>
            <w:tc>
              <w:tcPr>
                <w:tcW w:w="5320" w:type="dxa"/>
                <w:gridSpan w:val="3"/>
                <w:tcBorders>
                  <w:top w:val="single" w:sz="4" w:space="0" w:color="000000"/>
                  <w:left w:val="single" w:sz="4" w:space="0" w:color="auto"/>
                  <w:bottom w:val="single" w:sz="4" w:space="0" w:color="auto"/>
                  <w:right w:val="single" w:sz="4" w:space="0" w:color="auto"/>
                </w:tcBorders>
                <w:tcMar>
                  <w:top w:w="40" w:type="dxa"/>
                  <w:left w:w="57" w:type="dxa"/>
                  <w:bottom w:w="40" w:type="dxa"/>
                  <w:right w:w="57" w:type="dxa"/>
                </w:tcMar>
                <w:vAlign w:val="center"/>
              </w:tcPr>
              <w:p>
                <w:pPr>
                  <w:widowControl w:val="0"/>
                  <w:suppressAutoHyphens/>
                  <w:rPr>
                    <w:color w:val="000000"/>
                    <w:sz w:val="22"/>
                    <w:szCs w:val="22"/>
                  </w:rPr>
                </w:pPr>
                <w:r>
                  <w:rPr>
                    <w:color w:val="000000"/>
                    <w:sz w:val="22"/>
                    <w:szCs w:val="22"/>
                  </w:rPr>
                  <w:t>Biocheminis kraujo tyrimas (proteinograma)</w:t>
                </w:r>
              </w:p>
            </w:tc>
          </w:tr>
        </w:tbl>
        <w:p>
          <w:pPr>
            <w:widowControl w:val="0"/>
            <w:suppressAutoHyphens/>
            <w:ind w:firstLine="567"/>
            <w:jc w:val="both"/>
            <w:rPr>
              <w:color w:val="000000"/>
            </w:rPr>
          </w:pPr>
        </w:p>
        <w:sdt>
          <w:sdtPr>
            <w:alias w:val="pabaiga"/>
            <w:tag w:val="part_51e5345c733246728515188e27525ce6"/>
            <w:lock w:val="sdtLocked"/>
            <w:richText/>
          </w:sdtPr>
          <w:sdtContent>
            <w:p>
              <w:pPr>
                <w:widowControl w:val="0"/>
                <w:suppressAutoHyphens/>
                <w:jc w:val="center"/>
                <w:rPr>
                  <w:color w:val="000000"/>
                </w:rPr>
              </w:pPr>
              <w:r>
                <w:rPr>
                  <w:color w:val="000000"/>
                </w:rPr>
                <w:t>_________________</w:t>
              </w:r>
            </w:p>
            <w:p>
              <w:pPr>
                <w:widowControl w:val="0"/>
                <w:suppressAutoHyphens/>
                <w:ind w:firstLine="567"/>
                <w:jc w:val="both"/>
              </w:pPr>
            </w:p>
          </w:sdtContent>
        </w:sdt>
      </w:sdtContent>
    </w:sdt>
    <w:sdt>
      <w:sdtPr>
        <w:alias w:val="3 pr."/>
        <w:tag w:val="part_bab78ce77195404e843730c4c1cacde2"/>
        <w:lock w:val="sdtLocked"/>
        <w:richText/>
      </w:sdtPr>
      <w:sdtContent>
        <w:p>
          <w:pPr>
            <w:widowControl w:val="0"/>
            <w:suppressAutoHyphens/>
            <w:ind w:left="4535"/>
            <w:rPr>
              <w:color w:val="000000"/>
            </w:rPr>
          </w:pPr>
          <w:r>
            <w:rPr>
              <w:color w:val="000000"/>
            </w:rPr>
            <w:br w:type="page"/>
            <w:t xml:space="preserve">Sveikatos priežiūros įstaigų informacinių </w:t>
          </w:r>
        </w:p>
        <w:p>
          <w:pPr>
            <w:widowControl w:val="0"/>
            <w:suppressAutoHyphens/>
            <w:ind w:left="4535"/>
            <w:rPr>
              <w:color w:val="000000"/>
            </w:rPr>
          </w:pPr>
          <w:r>
            <w:rPr>
              <w:color w:val="000000"/>
            </w:rPr>
            <w:t xml:space="preserve">sistemų susiejimo su e. sveikatos paslaugų ir </w:t>
          </w:r>
        </w:p>
        <w:p>
          <w:pPr>
            <w:widowControl w:val="0"/>
            <w:suppressAutoHyphens/>
            <w:ind w:left="4535"/>
            <w:rPr>
              <w:color w:val="000000"/>
            </w:rPr>
          </w:pPr>
          <w:r>
            <w:rPr>
              <w:color w:val="000000"/>
            </w:rPr>
            <w:t xml:space="preserve">bendradarbiavimo infrastruktūra reikalavimų ir </w:t>
          </w:r>
        </w:p>
        <w:p>
          <w:pPr>
            <w:widowControl w:val="0"/>
            <w:suppressAutoHyphens/>
            <w:ind w:left="4535"/>
            <w:rPr>
              <w:color w:val="000000"/>
            </w:rPr>
          </w:pPr>
          <w:r>
            <w:rPr>
              <w:color w:val="000000"/>
            </w:rPr>
            <w:t>techninių sąlygų</w:t>
          </w:r>
        </w:p>
        <w:p>
          <w:pPr>
            <w:widowControl w:val="0"/>
            <w:suppressAutoHyphens/>
            <w:ind w:left="4535"/>
            <w:rPr>
              <w:color w:val="000000"/>
            </w:rPr>
          </w:pPr>
          <w:sdt>
            <w:sdtPr>
              <w:alias w:val="Numeris"/>
              <w:tag w:val="nr_bab78ce77195404e843730c4c1cacde2"/>
              <w:lock w:val="sdtLocked"/>
              <w:richText/>
            </w:sdtPr>
            <w:sdtContent>
              <w:r>
                <w:rPr>
                  <w:color w:val="000000"/>
                </w:rPr>
                <w:t>3</w:t>
              </w:r>
            </w:sdtContent>
          </w:sdt>
          <w:r>
            <w:rPr>
              <w:color w:val="000000"/>
            </w:rPr>
            <w:t xml:space="preserve"> priedas</w:t>
          </w:r>
        </w:p>
        <w:p>
          <w:pPr>
            <w:widowControl w:val="0"/>
            <w:suppressAutoHyphens/>
            <w:ind w:firstLine="567"/>
            <w:jc w:val="both"/>
            <w:rPr>
              <w:color w:val="000000"/>
            </w:rPr>
          </w:pPr>
        </w:p>
        <w:p>
          <w:pPr>
            <w:widowControl w:val="0"/>
            <w:suppressAutoHyphens/>
            <w:jc w:val="center"/>
            <w:rPr>
              <w:b/>
              <w:bCs/>
              <w:caps/>
              <w:color w:val="000000"/>
            </w:rPr>
          </w:pPr>
          <w:sdt>
            <w:sdtPr>
              <w:alias w:val="Pavadinimas"/>
              <w:tag w:val="title_bab78ce77195404e843730c4c1cacde2"/>
              <w:lock w:val="sdtLocked"/>
              <w:richText/>
            </w:sdtPr>
            <w:sdtContent>
              <w:r>
                <w:rPr>
                  <w:b/>
                  <w:bCs/>
                  <w:caps/>
                  <w:color w:val="000000"/>
                </w:rPr>
                <w:t>Įvykių, sveikatos statistikos apskaitos formų ir duomenų sąsaja</w:t>
              </w:r>
            </w:sdtContent>
          </w:sdt>
        </w:p>
        <w:p>
          <w:pPr>
            <w:widowControl w:val="0"/>
            <w:suppressAutoHyphens/>
            <w:ind w:firstLine="567"/>
            <w:jc w:val="both"/>
            <w:rPr>
              <w:color w:val="000000"/>
            </w:rPr>
          </w:pPr>
        </w:p>
        <w:tbl>
          <w:tblPr>
            <w:tblW w:w="9070" w:type="dxa"/>
            <w:tblLayout w:type="fixed"/>
            <w:tblCellMar>
              <w:left w:w="0" w:type="dxa"/>
              <w:right w:w="0" w:type="dxa"/>
            </w:tblCellMar>
            <w:tblLook w:val="0000" w:firstRow="0" w:lastRow="0" w:firstColumn="0" w:lastColumn="0" w:noHBand="0" w:noVBand="0"/>
          </w:tblPr>
          <w:tblGrid>
            <w:gridCol w:w="1059"/>
            <w:gridCol w:w="1668"/>
            <w:gridCol w:w="2110"/>
            <w:gridCol w:w="4233"/>
          </w:tblGrid>
          <w:tr>
            <w:trPr>
              <w:trHeight w:val="62"/>
              <w:tblHeader/>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pPr>
                  <w:widowControl w:val="0"/>
                  <w:suppressAutoHyphens/>
                  <w:jc w:val="center"/>
                  <w:rPr>
                    <w:color w:val="000000"/>
                  </w:rPr>
                </w:pPr>
                <w:r>
                  <w:rPr>
                    <w:b/>
                    <w:bCs/>
                    <w:color w:val="000000"/>
                  </w:rPr>
                  <w:t>Numeris</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pPr>
                  <w:widowControl w:val="0"/>
                  <w:suppressAutoHyphens/>
                  <w:jc w:val="center"/>
                  <w:rPr>
                    <w:color w:val="000000"/>
                  </w:rPr>
                </w:pPr>
                <w:r>
                  <w:rPr>
                    <w:b/>
                    <w:bCs/>
                    <w:color w:val="000000"/>
                  </w:rPr>
                  <w:t>Duomenų grupė</w:t>
                </w: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pPr>
                  <w:widowControl w:val="0"/>
                  <w:suppressAutoHyphens/>
                  <w:jc w:val="center"/>
                  <w:rPr>
                    <w:color w:val="000000"/>
                  </w:rPr>
                </w:pPr>
                <w:r>
                  <w:rPr>
                    <w:b/>
                    <w:bCs/>
                    <w:color w:val="000000"/>
                  </w:rPr>
                  <w:t>Duomens pavadinimas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pPr>
                  <w:widowControl w:val="0"/>
                  <w:suppressAutoHyphens/>
                  <w:jc w:val="center"/>
                  <w:rPr>
                    <w:color w:val="000000"/>
                  </w:rPr>
                </w:pPr>
                <w:r>
                  <w:rPr>
                    <w:b/>
                    <w:bCs/>
                    <w:color w:val="000000"/>
                  </w:rPr>
                  <w:t>(Įvykio Nr., formos Nr.)</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b/>
                    <w:bCs/>
                    <w:color w:val="000000"/>
                  </w:rPr>
                  <w:t>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b/>
                    <w:bCs/>
                    <w:color w:val="000000"/>
                  </w:rPr>
                  <w:t>Asmens identifikatoriai sistemose</w:t>
                </w: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1.1.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ESI identifikacinis numeris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1.2.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Užsienio valstybės piliečio asmens kodas ar kitas identifikavimo numeris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(13, 003/a) (18, 003-2/a) (13, 003-9/a) (13, 010-1-1/a) (13, 010-2-1/a) (11, 096/a) (13, 096/a) (11, 097/a) (13, 097/a) (11, 113/a)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1.3.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Draudžiamojo identifikacinis kodas (pagal VLK)</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(13, 066/a-LK) (18, 066/a-LK) (19, 066/a-LK) (19, 025/a-LK) (13, 003/a) (2, 003-2/a) (18, 003-2/a) (13, 003-9/a) (13, 010-1-1/a) (13, 010-2-1/a) (23, 027/a) (8, 028-1/a) (9, 028-1/a) (17, 106/a) (17, 106-2-1/a) (11, 096/a) (13, 096/a) (11, 097/a) (13, 097/a) (23, 047/a) (22, 047/a) (23, 048/a) (22, 048/a) (23, 049/a) (22, 049/a) (23, 103-1/a) (11, 113/a) (8, Siuntimas į NDNT) (4, 200/a) (4, 210/a) (4, 217/a) (4, 219/a) (4, 224/a) (4, 228-1/a) (4, 228-2/a) (23, 083-1/a)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1.4.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Asmens SVEIDRA identifikatorius (pagal VLK)</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(13, 066/a-LK) (18, 066/a-LK) (19, 066/a-LK) (19, 025/a-LK) (13, 003/a) (2, 003-2/a) (18, 003-2/a) (13, 003-9/a) (13, 010-1-1/a) (13, 010-2-1/a) (23, 027/a) (8, 028-1/a) (9, 028-1/a) (17, 106/a) (17, 106-2-1/a) (11, 096/a) (13, 096/a) (11, 097/a) (13, 097/a) (23, 047/a) (22, 047/a) (23, 048/a) (22, 048/a) (23, 049/a) (22, 049/a) (11, 113/a) (8, Siuntimas į NDNT) (4, 200/a) (4, 210/a) (4, 217/a) (4, 219/a) (4, 224/a) (4, 228-1/a) (4, 228-2/a) (23, 083-1/a)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1.5.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Socialinio draudimo serija (SODRA)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(2, 025/a-LK) (19, 025/a-LK) (11, 025-1/a-LK) (13, 003/a) (2, 003-2/a) (18, 003-2/a) (13, 003-9/a) (13, 010-1-1/a) (13, 010-2-1/a) (23, 027/a) (8, 028-1/a) (9, 028-1/a) (17, 106/a) (17, 106-2-1/a) (11, 096/a) (13, 096/a) (11, 097/a) (13, 097/a) (23, 047/a) (22, 047/a) (23, 048/a) (22, 048/a) (23, 049/a) (22, 049/a) (11, 113/a) (8, Siuntimas į NDNT) (4, 200/a) (4, 210/a) (4, 217/a) (4, 219/a) (4, 224/a) (4, 228-1/a) (4, 228-2/a) (23, 083-1/a)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1.6.</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Socialinio draudimo numeris (SODRA)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(2, 025/a-LK) (19, 025/a-LK) (11, 025-1/a-LK) (13, 003/a) (2, 003-2/a) (18, 003-2/a) (13, 003-9/a) (13, 010-1-1/a) (13, 010-2-1/a) (23, 027/a) (8, 028-1/a) (9, 028-1/a) (17, 106/a) (17, 106-2-1/a) (11, 096/a) (13, 096/a) (11, 097/a) (13, 097/a) (23, 047/a) (22, 047/a) (23, 048/a) (22, 048/a) (23, 049/a) (22, 049/a) (11, 113/a) (8, Siuntimas į NDNT) (4, 200/a) (4, 210/a) (4, 217/a) (4, 219/a) (4, 224/a) (4, 228-1/a) (4, 228-2/a) (23, 083-1/a)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1.7.</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Unikalus identifikatorius Europos Sąjungoje</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b/>
                    <w:bCs/>
                    <w:color w:val="000000"/>
                  </w:rPr>
                  <w:t>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b/>
                    <w:bCs/>
                    <w:color w:val="000000"/>
                  </w:rPr>
                  <w:t>Asmens duomenys</w:t>
                </w: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2.1.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Asmens kodas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(13, 066/a-LK) (18, 066/a-LK) (19, 066/a-LK) (2, 025/a-LK) (19, 025/a-LK) (11, 025-1/a-LK) (1, 025-025-1/a) (1, 025-025-2/a) (6, e. receptas) (13, 003/a) (2, 003-2/a) (18, 003-2/a) (13, 003-4/a) (2, 025/a) (13, 003-9/a) (13, 010-1-1/a) (13, 010-2-1/a) (23, 027/a) (8, 028-1/a) (9, 028-1/a) (21, 063/a) (17, 106/a) (17, 106-2-1/a) (11, 096/a) (13, 096/a) (11, 097/a) (13, 097/a) (23, 047/a) (22, 047/a) (23, 048/a) (22, 048/a) (23, 049/a) (22, 049/a) (23, 027-1/a) (2, 025-112/a) (2, 113/a) (8, Siuntimas į NDNT) (4, 200/a) (4, 210/a) (4, 217/a) (4, 219/a) (4, 224/a) (4, 228-1/a) (4, 228-2/a) (23, 083-1/a)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2.2.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Vardas (-ai)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(13, 066/a-LK) (18, 066/a-LK) (19, 066/a-LK) (2, 025/a-LK) (19, 025/a-LK) (11, 025-1/a-LK) (6, e. receptas) (13, 003/a) (2, 003-2/a) (18, 003-2/a) (13, 003-4/a) (2, 025/a) (13, 003-9/a) (13, 010-1-1/a) (13, 010-2-1/a) (23, 027/a) (8, 028-1/a) (9, 028-1/a) (21, 063/a) (17, 106/a) (17, 106-2-1/a) (11, 096/a) (13, 096/a) (11, 097/a) (13, 097/a) (23, 047/a) (22, 047/a) (23, 048/a) (22, 048/a) (23, 049/a) (22, 049/a) (23, 027-1/a) (2, 025-112/a) (2, 113/a) (8, Siuntimas į NDNT) (4, 200/a) (4, 210/a) (4, 217/a) (4, 219/a) (4, 224/a) (4, 228-1/a) (4, 228-2/a) (23, 083-1/a)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2.3.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Pavardė (-ės)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(13, 066/a-LK) (19, 066/a-LK) (2, 025/a-LK) (19, 025/a-LK) (11, 025-1/a-LK) (6, e. receptas) (13, 003/a) (2, 003-2/a) (18, 003-2/a) (13, 003-4/a) (2, 025/a) (13, 003-9/a) (13, 010-1-1/a) (13, 010-2-1/a) (23, 027/a) (8, 028-1/a) (9, 028-1/a) (21, 063/a) (17, 106/a) (17, 106-2-1/a) (11, 096/a) (13, 096/a) (11, 097/a) (13, 097/a) (23, 047/a) (22, 047/a) (23, 048/a) (22, 048/a) (23, 049/a) (22, 049/a) (23, 027-1/a) (2, 025-112/a) (2, 113/a) (8, Siuntimas į NDNT) (4, 200/a) (4, 210/a) (4, 217/a) (4, 219/a) (4, 224/a) (4, 228-1/a) (4, 228-2/a) (23, 083-1/a)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2.4.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Lytis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(13, 066/a-LK) (18, 066/a-LK) (19, 066/a-LK) (2, 025/a-LK) (19, 025/a-LK) (11, 025-1/a-LK) (6, e. receptas) (13, 003/a) (2, 003-2/a) (18, 003-2/a) (2, 025/a) (13, 003-9/a) (17, 106/a) (17, 106-2-1/a) (23, 047/a) (22, 047/a) (23, 027-1/a) (23, 103-1/a) (2, 025-112/a) (4, 200/a) (4, 210/a) (4, 217/a) (4, 219/a) (4, 224/a) (4, 228-1/a) (4, 228-2/a) (23, 083-1/a)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2.5.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Gimimo data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(13, 066/a-LK) (18, 066/a-LK) (19, 066/a-LK) (2, 025/a-LK) (19, 025/a-LK) (11, 025-1/a-LK) (6, e. receptas) (13, 003/a) (2, 003-2/a) (18, 003-2/a) (2, 025/a) (13, 003-9/a) (13, 010-1-1/a) (13, 010-2-1/a) (23, 027/a) (8, 028-1/a) (9, 028-1/a) (21, 063/a) (17, 106/a) (17, 106-2-1/a) (11, 096/a) (13, 096/a) (11, 097/a) (13, 097/a) (23, 047/a) (22, 047/a) (23, 027-1/a) (23, 103-1/a) (2, 025-112/a) (2, 113/a) (4, 200/a) (4, 210/a) (4, 217/a) (4, 219/a) (4, 224/a) (4, 228-1/a) (4, 228-2/a) (23, 083-1/a)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2.6.</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Mirties data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(13, 066/a-LK) (18, 066/a-LK) (19, 066/a-LK) (19, 025/a-LK) (15, 003-9/a) (17, 106/a) (17, 106-2-1/a)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2.7.</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Mirties vieta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(13, 066/a-LK) (18, 066/a-LK) (19, 066/a-LK) (19, 025/a-LK) (15, 003-9/a) (17, 106/a) (17, 106-2-1/a)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2.8.</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Veido atvaizdas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2.9.</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Lengvatos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(2, 025/a)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2.10.</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Neįgalumo grupė</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(13, 003/a) (18, 003-2/a) (2, 025/a) (13, 003-9/a) (23, 047/a) (22, 047/a) (2, 025-112/a) (23, 083-1/a)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2.11.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Neįgalumo grupės pripažinimo data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(13, 003/a) (18, 003-2/a) (2, 025/a) (13, 003-9/a) (23, 047/a) (22, 047/a) (2, 025-112/a) (23, 083-1/a)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2.12.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Neįgalumo grupės pabaigos data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(13, 003/a) (18, 003-2/a) (2, 025/a) (13, 003-9/a) (23, 047/a) (22, 047/a) (2, 025-112/a) (23, 083-1/a)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2.13.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Darbingumo lygis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(13, 003/a) (18, 003-2/a) (2, 025/a) (13, 003-9/a)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2.14.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Darbingumo lygio pripažinimo data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(13, 003/a) (18, 003-2/a) (2, 025/a) (13, 003-9/a)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2.15.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Darbingumo lygio pabaigos data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(13, 003/a) (18, 003-2/a) (2, 025/a) (13, 003-9/a)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2.16.</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Šeiminė padėtis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(13, 003-9/a) (13, 010-1-1/a) (13, 010-2-1/a) (11, 097/a) (13, 097/a)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2.17.</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Kreipinys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2.18.</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Religija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2.19.</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Išsilavinimas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(13, 003-9/a) (13, 010-1-1/a) (13, 010-2-1/a)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2.20.</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Profesija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(13, 003/a) (18, 003-2/a) (13, 003-9/a) (13, 010-1-1/a) (13, 010-2-1/a) (11, 097/a) (13, 097/a) (23, 047/a) (22, 047/a) (23, 048/a) (22, 048/a) (23, 049/a) (22, 049/a)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2.21.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Profesinės veiklos pradžia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(23, 047/a) (22, 047/a) (23, 048/a) (22, 048/a) (23, 049/a) (22, 049/a)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2.22.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Darbovietė/mokymosi įstaiga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(2, 003-2/a) (18, 003-2/a) (23, 027/a) (21, 063/a) (11, 096/a) (13, 096/a) (11, 097/a) (13, 097/a) (23, 047/a) (22, 047/a) (23, 048/a) (22, 048/a) (8, Siuntimas į NDNT)</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2.23.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Darbovietės (įmonės, įstaigos) pagrindinė veiklos rūšis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(13, 003-9/a) (3, 049/a) (22, 049/a)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2.24.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Pareigos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(13, 003/a) (2, 003-2/a) (18, 003-2/a) (13, 003-9/a) (11, 096/a) (13, 096/a) (11, 097/a) (13, 097/a) (23, 047/a) (22, 047/a) (23, 048/a) (22, 048/a) (23, 049/a) (22, 049/a) (8, Siuntimas į NDNT)</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2.25.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Nuo kada eina pareigas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(23, 047/a) (22, 047/a) (23, 048/a) (22, 048/a) (23, 049/a) (22, 049/a)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2.26.</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Darbo stažas pagal šią profesiją, metais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(23, 047/a) (22, 047/a) (23, 048/a) (22, 048/a) (23, 049/a) (22, 049/a)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2.27.</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Pilietybė</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(13, 003-9/a)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2.28.</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Tautybė</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(13, 003-9/a) (13, 010-1-1/a) (13, 010-2-1/a) (11, 097/a) (13, 097/a)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b/>
                    <w:bCs/>
                    <w:color w:val="000000"/>
                  </w:rPr>
                  <w:t>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b/>
                    <w:bCs/>
                    <w:color w:val="000000"/>
                  </w:rPr>
                  <w:t>Asmens dokumentai</w:t>
                </w: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Numeris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(2, 025/a-LK) (19, 025/a-LK) (11, 025-1/a-LK) (6, e. receptas) (13, 003/a) (18, 003-2/a) (13, 003-9/a) (11, 096/a) (13, 096/a) (11, 097/a) (13, 097/a) (2, 113/a)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Tipas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(2, 025/a-LK) (19, 025/a-LK) (11, 025-1/a-LK) (6, e. receptas) (13, 003/a) (18, 003-2/a) (13, 003-9/a) (11, 096/a) (13, 096/a) (11, 097/a) (13, 097/a) (2, 113/a)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Išdavusi valstybė</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(2, 025/a-LK) (19, 025/a-LK) (11, 025-1/a-LK) (13, 003/a) (18, 003-2/a) (13, 003-9/a) (11, 096/a) (13, 096/a) (11, 097/a) (13, 097/a) (2, 113/a)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Galiojimo data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(13, 003/a) (18, 003-2/a) (13, 003-9/a) (11, 096/a) (13, 096/a) (11, 097/a) (13, 097/a) (2, 113/a)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b/>
                    <w:bCs/>
                    <w:color w:val="000000"/>
                  </w:rPr>
                  <w:t>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b/>
                    <w:bCs/>
                    <w:color w:val="000000"/>
                  </w:rPr>
                  <w:t>Kontaktiniai duomenys</w:t>
                </w: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Tipas (deklaruota ar faktinė gyvenamoji vieta)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(13, 003/a) (2, 003-2/a) (18, 003-2/a) (2, 025/a) (13, 003-9/a) (23, 027/a) (21, 063/a) (17, 106/a) (17, 106-2-1/a) (11, 096/a) (13, 096/a) (11, 097/a) (13, 097/a) (2, 025-112/a) (2, 113/a)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Valstybė</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(13, 066/a-LK) (18, 066/a-LK) (19, 066/a-LK) (2, 025/a-LK) (19, 025/a-LK) (11, 025-1/a-LK) (6, e. receptas) (13, 003/a) (2, 003-2/a) (18, 003-2/a) (13, 003-9/a) (13, 010-1-1/a) (13, 010-2-1/a) (21, 063/a) (17, 106/a) (17, 106-2-1/a) (11, 096/a) (13, 096/a) (11, 097/a) (13, 097/a) (23, 027-1/a) (23, 103-1/a) (2, 025-112/a) (2, 113/a) (4, 200/a) (23, 083-1/a)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Nuolatinis LR gyventojas (taip / ne)</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(13, 066/a-LK) (18, 066/a-LK) (19, 066/a-LK) (19, 025/a-LK) (13, 003-9/a) (11, 096/a) (13, 096/a) (11, 097/a) (13, 097/a) (23, 027-1/a) (23, 103-1/a) (23, 083-1/a)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Savivaldybė</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(13, 066/a-LK) (18, 066/a-LK) (19, 066/a-LK) (2, 025/a-LK) (19, 025/a-LK) (11, 025-1/a-LK) (1, 025-025-1/a) (1, 025-025-2/a) (13, 003/a) (2, 003-2/a) (18, 003-2/a) (13, 003-9/a) (13, 010-1-1/a) (13, 010-2-1/a) (21, 063/a) (17, 106/a) (17, 106-2-1/a) (11, 096/a) (13, 096/a) (11, 097/a) (13, 097/a) (23, 047/a) (22, 047/a) (23, 048/a) (22, 048/a) (23, 049/a) (22, 049/a) (23, 027-1/a) (23, 103-1/a) (2, 025-112/a) (2, 113/a) (8, Siuntimas į NDNT) (4, 200/a) (23, 083-1/a)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Miestas (vietovė)</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(13, 066/a-LK) (18, 066/a-LK) (19, 066/a-LK) (2, 025/a-LK) (19, 025/a-LK) (11, 025-1/a-LK) (1, 025-025-1/a) (1, 025-025-2/a) (13, 003/a) (2, 003-2/a) (18, 003-2/a) (13, 003-9/a) (13, 010-1-1/a) (13, 010-2-1/a) (23, 027/a) (21, 063/a) (17, 106/a) (17, 106-2-1/a) (11, 096/a) (13, 096/a) (11, 097/a) (13, 097/a) (23, 047/a) (22, 047/a) (23, 048/a) (22, 048/a) (23, 049/a) (22, 049/a) (23, 027-1/a) (23, 103-1/a) (2, 025-112/a) (2, 113/a) (8, Siuntimas į NDNT) (4, 200/a) (23, 083-1/a)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4.6.</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Rajonas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(13, 066/a-LK) (18, 066/a-LK) (19, 066/a-LK) (2, 025/a-LK) (19, 025/a-LK) (11, 025-1/a-LK) (1, 025-025-1/a) (1, 025-025-2/a) (13, 003/a) (2, 003-2/a) (18, 003-2/a) (13, 003-9/a) (13, 010-1-1/a) (13, 010-2-1/a) (23, 027/a) (21, 063/a) (17, 106/a) (17, 106-2-1/a) (11, 096/a) (13, 096/a) (11, 097/a) (13, 097/a) (23, 047/a) (22, 047/a) (23, 048/a) (22, 048/a) (23, 049/a) (22, 049/a) (23, 027-1/a) (23, 103-1/a) (2, 025-112/a) (2, 113/a) (8, Siuntimas į NDNT) (4, 200/a) (23, 083-1/a)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4.7.</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Kaimas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(13, 066/a-LK) (18, 066/a-LK) (19, 066/a-LK) (2, 025/a-LK) (19, 025/a-LK) (11, 025-1/a-LK) (1, 025-025-1/a) (1, 025-025-2/a) (13, 003/a) (2, 003-2/a) (18, 003-2/a) (13, 003-9/a) (13, 010-1-1/a) (13, 010-2-1/a) (23, 027/a) (21, 063/a) (17, 106/a) (17, 106-2-1/a) (11, 096/a) (13, 096/a) (11, 097/a) (13, 097/a) (23, 047/a) (22, 047/a) (23, 048/a) (22, 048/a) (23, 049/a) (22, 049/a) (23, 027-1/a) (23, 103-1/a) (2, 025-112/a) (2, 113/a) (8, Siuntimas į NDNT) (4, 200/a) (23, 083-1/a)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4.8.</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Miesto / kaimo gyventojas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(13, 066/a-LK) (18, 066/a-LK) (19, 066/a-LK) (2, 025/a-LK) (19, 025/a-LK) (11, 025-1/a-LK) (1, 025-025-1/a) (1, 025-025-2/a) (2, 003-2/a) (18, 003-2/a) (23, 027/a) (17, 106/a) (17, 106-2-1/a) (11, 096/a) (13, 096/a) (11, 097/a) (13, 097/a) (2, 025-112/a) (2, 113/a)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4.9.</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Gatvė</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(13, 066/a-LK) (18, 066/a-LK) (19, 066/a-LK) (2, 025/a-LK) (19, 025/a-LK) (11, 025-1/a-LK) (1, 025-025-1/a) (1, 025-025-2/a) (13, 003/a) (2, 003-2/a) (18, 003-2/a) (13, 003-9/a) (13, 010-1-1/a) (13, 010-2-1/a) (23, 027/a) (21, 063/a) (17, 106/a) (17, 106-2-1/a) (11, 096/a) (13, 096/a) (11, 097/a) (13, 097/a) (23, 047/a) (22, 047/a) (23, 048/a) (22, 048/a) (23, 049/a) (22, 049/a) (23, 027-1/a) (23, 103-1/a) (2, 025-112/a) (2, 113/a) (8, Siuntimas į NDNT) (4, 200/a) (23, 083-1/a)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4.10.</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Gatvės kodas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(18, 066/a-LK) (19, 066/a-LK) (19, 025/a-LK) (2, 025/a) (11, 096/a) (13, 096/a) (11, 097/a) (13, 097/a) (23, 047/a) (22, 047/a) (23, 049/a) (22, 049/a) (23, 027-1/a) (23, 103-1/a) (23, 083-1/a)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4.11.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Namas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(13, 066/a-LK) (18, 066/a-LK) (19, 066/a-LK) (2, 025/a-LK) (19, 025/a-LK) (11, 025-1/a-LK) (1, 025-025-1/a) (1, 025-025-2/a) (13, 003/a) (2, 003-2/a) (18, 003-2/a) (13, 003-9/a) (13, 010-1-1/a) (13, 010-2-1/a) (23, 027/a) (21, 063/a) (17, 106/a) (17, 106-2-1/a) (11, 096/a) (13, 096/a) (11, 097/a) (13, 097/a) (23, 047/a) (22, 047/a) (23, 048/a) (22, 048/a) (23, 049/a) (22, 049/a) (23, 027-1/a) (23, 103-1/a) (2, 025-112/a) (2, 113/a) (8, Siuntimas į NDNT) (4, 200/a) (23, 083-1/a)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4.12.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Butas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(13, 066/a-LK) (18, 066/a-LK) (19, 066/a-LK) (2, 025/a-LK) (19, 025/a-LK) (11, 025-1/a-LK) (1, 025-025-1/a) (1, 025-025-2/a) (13, 003/a) (2, 003-2/a) (18, 003-2/a) (13, 003-9/a) (13, 010-1-1/a) (13, 010-2-1/a) (23, 027/a) (21, 063/a) (17, 106/a) (17, 106-2-1/a) (11, 096/a) (13, 096/a) (11, 097/a) (13, 097/a) (23, 047/a) (22, 047/a) (23, 048/a) (22, 048/a) (23, 049/a) (22, 049/a) (23, 027-1/a) (23, 103-1/a) (2, 025-112/a) (2, 113/a) (8, Siuntimas į NDNT) (4, 200/a) (23, 083-1/a)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4.13.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Pašto kodas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(13, 066/a-LK) (18, 066/a-LK) (19, 066/a-LK) (19, 025/a-LK) (21, 063/a)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4.14.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Telefono numeriai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(13, 066/a-LK) (18, 066/a-LK) (19, 066/a-LK) (19, 025/a-LK) (1, 025-025-1/a) (1, 025-025-2/a) (6, e. receptas) (11, 096/a) (13, 096/a) (11, 097/a) (13, 097/a) (8, Siuntimas į NDNT)</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4.15.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Elektroninio pašto adresai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(8, Siuntimas į NDNT)</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4.16.</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Nestruktūrizuotas adresas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(2, 025/a-LK) (19, 025/a-LK) (11, 025-1/a-LK)</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b/>
                    <w:bCs/>
                    <w:color w:val="000000"/>
                  </w:rPr>
                  <w:t>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b/>
                    <w:bCs/>
                    <w:color w:val="000000"/>
                  </w:rPr>
                  <w:t>Paciento atstovai</w:t>
                </w: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Atstovo tipas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(11, 096/a) (13, 096/a) (11, 097/a) (13, 097/a) (23, 103-1/a) (2, 025-112/a) (2, 113/a)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Atstovo asmens kodas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(13, 066/a-LK) (18, 066/a-LK) (19, 066/a-LK) (19, 025/a-LK) (21, 063/a) (23, 103-1/a)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Atstovo SVEIDRA identifikatorius (pagal VLK)</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(13, 066/a-LK) (18, 066/a-LK) (19, 066/a-LK) (19, 025/a-LK) (23, 103-1/a)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Atstovo socialinio draudimo serija (SODRA)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Atstovo socialinio draudimo numeris (SODRA)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b/>
                    <w:bCs/>
                    <w:color w:val="000000"/>
                  </w:rPr>
                  <w:t>6.</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b/>
                    <w:bCs/>
                    <w:color w:val="000000"/>
                  </w:rPr>
                  <w:t>Paciento valios pareiškimai</w:t>
                </w: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6.1.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Sveikatinimo įstaigos kodas (JAR)</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(6, e. receptas) (7, e. receptas) (23, 103-1/a)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6.2.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Tipas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(23, 103-1/a)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6.3.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Dokumento numeris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6.4.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Pasirašymo data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6.5.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Galioja iki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6.6.</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Pastabos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b/>
                    <w:bCs/>
                    <w:color w:val="000000"/>
                  </w:rPr>
                  <w:t>7.</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b/>
                    <w:bCs/>
                    <w:color w:val="000000"/>
                  </w:rPr>
                  <w:t>Kraujas</w:t>
                </w: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7.1.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Kraujo grupė</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(14, 003/a) (13, 003/a) (18, 003-2/a) (2, 025/a) (14, 003-9/a) (13, 003-9/a) (14, 096/a) (23, 048/a) (22, 048/a) (2, 025-112/a) (2, 113/a)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7.2.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Rezus faktorius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(14, 003/a) (13, 003/a) (18, 003-2/a) (2, 025/a) (14, 003-9/a) (13, 003-9/a) (14, 096/a) (23, 048/a) (22, 048/a) (2, 025-112/a) (2, 113/a)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7.3.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Perpylimai (data)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(2, 025/a)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7.4.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Arterinis kraujo spaudimas (diastolinis, sistolinis), Hg/mm</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(14, 003/a) (13, 003/a) (18, 003-2/a) (2, 025/a) (14, 003-9/a) (13, 003-9/a) (14, 096/a) (23, 027-1/a)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7.5.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Kraujotakos sistema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(23, 027-1/a)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7.6.</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Kraujas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(23, 027-1/a)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b/>
                    <w:bCs/>
                    <w:color w:val="000000"/>
                  </w:rPr>
                  <w:t>8.</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b/>
                    <w:bCs/>
                    <w:color w:val="000000"/>
                  </w:rPr>
                  <w:t>Persirgtos ligos</w:t>
                </w: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8.1.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TLK-10-AM kodas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(16, 003/a) (13, 003/a) (18, 003-2/a) (2, 025/a) (10, 025/a) (16, 003-9/a) (13, 003-9/a) (14, 096/a) (14, 097/a) (3, 049/a) (22, 049/a) (2, 025-112/a) (2, 113/a)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8.2.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Data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(16, 003/a) (13, 003/a) (18, 003-2/a) (2, 025/a) (10, 025/a) (16, 003-9/a) (13, 003-9/a) (14, 096/a) (14, 097/a) (2, 025-112/a) (2, 113/a)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8.3.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Aprašymas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(16, 003/a) (13, 003/a) (18, 003-2/a) (2, 025/a) (10, 025/a) (16, 003-9/a) (13, 003-9/a) (14, 096/a) (14, 097/a) (2, 025-112/a) (2, 113/a)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b/>
                    <w:bCs/>
                    <w:color w:val="000000"/>
                  </w:rPr>
                  <w:t>9.</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b/>
                    <w:bCs/>
                    <w:color w:val="000000"/>
                  </w:rPr>
                  <w:t>Artimųjų ligos</w:t>
                </w: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9.1.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TLK-10-AM kodas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(2, 025/a) (14, 003-9/a) (14, 096/a) (14, 097/a) (2, 025-112/a) (2, 113/a)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9.2.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Aprašymas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(2, 025/a) (14, 003-9/a) (14, 096/a) (14, 097/a) (2, 025-112/a) (2, 113/a)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b/>
                    <w:bCs/>
                    <w:color w:val="000000"/>
                  </w:rPr>
                  <w:t>10.</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b/>
                    <w:bCs/>
                    <w:color w:val="000000"/>
                  </w:rPr>
                  <w:t>Alergijos</w:t>
                </w: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10.1.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Medikamentinės ar kitokios alergijos TLK-10-AM kodas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(16, 003/a) (13, 003/a) (18, 003-2/a) (2, 025/a) (16, 003-9/a) (13, 003-9/a) (14, 096/a) (23, 048/a) (22, 048/a) (3, 049/a) (22, 049/a)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10.2.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Data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(16, 003/a) (13, 003/a) (18, 003-2/a) (2, 025/a) (16, 003-9/a) (13, 003-9/a) (14, 096/a)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10.3.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Medikamentinės ar kitokios alergijos aprašymas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(16, 003/a) (13, 003/a) (18, 003-2/a) (2, 025/a) (16, 003-9/a) (13, 003-9/a) (14, 096/a)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b/>
                    <w:bCs/>
                    <w:color w:val="000000"/>
                  </w:rPr>
                  <w:t>11.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b/>
                    <w:bCs/>
                    <w:color w:val="000000"/>
                  </w:rPr>
                  <w:t>Ūgis, svoris, KMI</w:t>
                </w: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11.1.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Data (kada išmatuoti parametrai)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(23, 048/a) (22, 048/a) (23, 027-1/a) (23, 113/a)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11.2.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Ūgis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(23, 048/a) (22, 048/a) (23, 027-1/a)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11.3.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Svoris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(23, 048/a) (22, 048/a) (23, 027-1/a) (23, 113/a)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11.4.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Kūno masės indeksas (KMI)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(23, 048/a) (22, 048/a) (23, 027-1/a)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11.5.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Juosmens apimtis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(23, 048/a) (22, 048/a)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11.6.</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Rega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(23, 048/a) (22, 048/a) (23, 027-1/a)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11.7.</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Klausa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(23, 048/a) (22, 048/a) (23, 027-1/a)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11.8.</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AKS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(23, 048/a) (22, 048/a)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11.9.</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Akispūdis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(23, 048/a) (22, 048/a)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b/>
                    <w:bCs/>
                    <w:color w:val="000000"/>
                  </w:rPr>
                  <w:t>12.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b/>
                    <w:bCs/>
                    <w:color w:val="000000"/>
                  </w:rPr>
                  <w:t>Rizikos faktoriai</w:t>
                </w: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12.1.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Rizikos faktorius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(13, 003/a) (18, 003-2/a) (2, 025/a) (13, 003-9/a) (14, 096/a) (3, 047/a) (22, 047/a) (23, 048/a) (22, 048/a) (3, 049/a) (22, 049/a) (2, 025-112/a)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12.2.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Data (rizikos faktoriaus pradžios)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(13, 003/a) (18, 003-2/a) (2, 025/a) (13, 003-9/a) (14, 096/a) (3, 047/a) (22, 047/a) (23, 048/a) (22, 048/a) (3, 049/a) (22, 049/a) (2, 025-112/a)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12.3.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Pastabos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(13, 003/a) (18, 003-2/a) (2, 025/a) (13, 003-9/a) (14, 096/a) (2, 025-112/a)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b/>
                    <w:bCs/>
                    <w:color w:val="000000"/>
                  </w:rPr>
                  <w:t>13.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b/>
                    <w:bCs/>
                    <w:color w:val="000000"/>
                  </w:rPr>
                  <w:t>Konfiden-cialumas</w:t>
                </w: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13.1.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Konfidencialumo lygis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b/>
                    <w:bCs/>
                    <w:color w:val="000000"/>
                  </w:rPr>
                  <w:t>14.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b/>
                    <w:bCs/>
                    <w:color w:val="000000"/>
                  </w:rPr>
                  <w:t>Draustumas</w:t>
                </w: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14.1.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Draustumas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(13, 066/a-LK) (18, 066/a-LK) (19, 066/a-LK) (19, 025/a-LK) (2, 025/a) (11, 096/a) (13, 096/a) (2, 025-112/a) (2, 113/a)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14.2.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Apdraudusioji valstybė</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(13, 066/a-LK) (18, 066/a-LK) (19, 066/a-LK) (19, 025/a-LK) (11, 096/a) (13, 096/a) (2, 113/a)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14.3.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Draudimo dokumentas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(13, 066/a-LK) (18, 066/a-LK) (19, 066/a-LK) (19, 025/a-LK) (11, 096/a) (13, 096/a) (2, 113/a)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14.4.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Draudimo dokumentas galioja iki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(13, 066/a-LK) (18, 066/a-LK) (19, 066/a-LK) (19, 025/a-LK) (11, 096/a) (13, 096/a) (2, 113/a)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b/>
                    <w:bCs/>
                    <w:color w:val="000000"/>
                  </w:rPr>
                  <w:t>15.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b/>
                    <w:bCs/>
                    <w:color w:val="000000"/>
                  </w:rPr>
                  <w:t>Specialūs poreikiai</w:t>
                </w: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15.1.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Specialūs poreikiai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b/>
                    <w:bCs/>
                    <w:color w:val="000000"/>
                  </w:rPr>
                  <w:t>16.</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b/>
                    <w:bCs/>
                    <w:color w:val="000000"/>
                  </w:rPr>
                  <w:t>Aplinkos faktoriai</w:t>
                </w: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16.1.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Poveikiai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b/>
                    <w:bCs/>
                    <w:color w:val="000000"/>
                  </w:rPr>
                  <w:t>17.</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b/>
                    <w:bCs/>
                    <w:color w:val="000000"/>
                  </w:rPr>
                  <w:t>Gyvenimo būdas</w:t>
                </w: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17.1.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Alkoholio vartojimas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(3, 025/a) (13, 003-9/a) (11, 096/a) (13, 096/a)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17.2.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Tabako vartojimas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(3, 025/a) (13, 003-9/a) (11, 096/a) (13, 096/a)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17.3.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Narkotikų vartojimas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(3, 025/a) (13, 003-9/a) (11, 096/a) (13, 096/a)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17.4.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Teistumas (įkalintas)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(3, 025/a)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b/>
                    <w:bCs/>
                    <w:color w:val="000000"/>
                  </w:rPr>
                  <w:t>18.</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b/>
                    <w:bCs/>
                    <w:color w:val="000000"/>
                  </w:rPr>
                  <w:t>Kita informacija</w:t>
                </w: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18.1.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Kita informacija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(2, 025/a) (13, 003-9/a) (11, 096/a) (13, 096/a) (1, 025-112/a) (2, 113/a)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b/>
                    <w:bCs/>
                    <w:color w:val="000000"/>
                  </w:rPr>
                  <w:t>19.</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b/>
                    <w:bCs/>
                    <w:color w:val="000000"/>
                  </w:rPr>
                  <w:t>Prisirašymas prie PASPĮ ar PSC</w:t>
                </w: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19.1.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Veiksmas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 025-025-1/a) (1, 025-025-2/a) (1, 025-112/a)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19.2.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PASPĮ kodas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(13, 066/a-LK) (18, 066/a-LK) (19, 066/a-LK) (19, 025/a-LK) (1, 025-025-1/a) (1, 025-025-2/a) (23, 027-1/a) (1, 025-112/a)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19.3.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SPĮ, prie kurios prisirašoma (SVEIDRA identifikatorius)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(13, 066/a-LK) (18, 066/a-LK) (19, 066/a-LK) (19, 025/a-LK) (1, 025-025-1/a) (1, 025-025-2/a) (23, 027-1/a) (1, 025-112/a)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19.4.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Gydytojo, prie kurio asmuo prisirašęs (spaudo numeris)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(13, 066/a-LK) (18, 066/a-LK) (19, 066/a-LK) (19, 025/a-LK) (1, 025-025-1/a) (1, 025-025-2/a) (2, 025/a) (23, 027-1/a) (2, 025-112/a)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19.5.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Šeimos, apylinkės gydytojo vardas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(13, 066/a-LK) (18, 066/a-LK) (19, 066/a-LK) (19, 025/a-LK) (1, 025-025-1/a) (1, 025-025-2/a) (2, 025/a) (23, 027-1/a) (2, 025-112/a)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19.6.</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Šeimos, apylinkės gydytojo pavardė</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(13, 066/a-LK) (18, 066/a-LK) (19, 066/a-LK) (19, 025/a-LK) (1, 025-025-1/a) (1, 025-025-2/a) (2, 025/a) (23, 027-1/a) (2, 025-112/a)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19.7.</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Kontaktinis šeimos, apylinkės gydytojo telefonas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(23, 027-1/a)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19.8.</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Prisirašymo data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(13, 066/a-LK) (18, 066/a-LK) (19, 066/a-LK) (19, 025/a-LK) (1, 025-025-1/a) (1, 025-025-2/a)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19.9.</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Išsirašymo data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(13, 066/a-LK) (18, 066/a-LK) (19, 066/a-LK) (19, 025/a-LK) (1, 025-025-1/a) (1, 025-025-2/a)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19.10.</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Prašymo data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 025-025-1/a) (1, 025-025-2/a)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19.11.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Paslaugų grupė</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 025-025-1/a) (1, 025-025-2/a)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19.12.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Apylinkė</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(2, 025-112/a) (4, 200/a) (4, 210/a) (4, 217/a) (4, 219/a) (4, 224/a) (4, 228-1/a) (4, 228-2/a)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b/>
                    <w:bCs/>
                    <w:color w:val="000000"/>
                  </w:rPr>
                  <w:t>20.</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b/>
                    <w:bCs/>
                    <w:color w:val="000000"/>
                  </w:rPr>
                  <w:t>Duomenys atvykimo į įstaigą metu</w:t>
                </w: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20.1.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Siuntimas (yra / ne / GMP)</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(13, 066/a-LK) (18, 066/a-LK) (19, 066/a-LK) (2, 025/a-LK) (19, 025/a-LK) (11, 025-1/a-LK) (13, 003/a) (2, 003-2/a) (18, 003-2/a) (13, 003-9/a) (11, 096/a) (13, 096/a)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20.2.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Siuntusios SPĮ kodas (JAR)</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(13, 066/a-LK) (18, 066/a-LK) (19, 066/a-LK) (19, 025/a-LK) (11, 025-1/a-LK) (6, e. receptas) (13, 003/a) (18, 003-2/a) (13, 003-9/a) (23, 027/a) (8, 028-1/a) (4, 200/a) (4, 210/a) (4, 217/a) (4, 219/a) (4, 224/a) (4, 228-1/a) (4, 228-2/a)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20.3.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Siuntusios SPĮ (SVEIDRA identifikatorius)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(13, 066/a-LK) (18, 066/a-LK) (19, 066/a-LK) (2, 025/a-LK) (19, 025/a-LK) (11, 025-1/a-LK) (13, 003/a) (2, 003-2/a) (18, 003-2/a) (13, 003-9/a) (23, 027/a) (8, 028-1/a) (4, 200/a) (4, 210/a) (4, 217/a) (4, 219/a) (4, 224/a) (4, 228-1/a) (4, 228-2/a)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20.4.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Atvykimo tipas (būtinoji pagalba / kita)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(13, 066/a-LK) (18, 066/a-LK) (19, 066/a-LK) (19, 025/a-LK) (13, 003/a) (18, 003-2/a) (13, 003-9/a)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20.5.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Pristatymas į stacionarą per __ val. nuo susirgimo pradžios ar traumos gavimo</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(13, 003/a) (18, 003-2/a) (13, 003-9/a)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20.6.</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Atvykimo data ir laikas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(13, 066/a-LK) (18, 066/a-LK) (19, 066/a-LK) (2, 025/a-LK) (19, 025/a-LK) (11, 025-1/a-LK) (13, 003/a) (2, 003-2/a) (18, 003-2/a) (2, 025/a) (13, 003-9/a) (23, 027/a) (2, 113/a)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20.7.</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Siuntimo priežastis (TLK-10-AM kodas)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(13, 066/a-LK) (18, 066/a-LK) (19, 066/a-LK) (19, 025/a-LK) (13, 003/a) (2, 003-2/a) (18, 003-2/a) (13, 003-9/a) (23, 027/a) (4, 200/a) (4, 210/a) (4, 217/a) (4, 219/a) (4, 224/a) (4, 228-1/a) (4, 228-2/a)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20.8.</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Gali eiti, reikia vežti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(13, 003/a) (18, 003-2/a) (13, 003-9/a)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b/>
                    <w:bCs/>
                    <w:color w:val="000000"/>
                  </w:rPr>
                  <w:t>21.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b/>
                    <w:bCs/>
                    <w:color w:val="000000"/>
                  </w:rPr>
                  <w:t>Identifikaciniai 066/a-LK, 025/A-LK ir 025-1/a-LK formų duomenys</w:t>
                </w: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21.1.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Apskaitos dokumento forma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(2, 025/a-LK) (19, 025/a-LK) (11, 025-1/a-LK) (2, 003-2/a) (18, 003-2/a)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21.2.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SPĮ kodas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(13, 066/a-LK) (18, 066/a-LK) (19, 066/a-LK) (2, 025/a-LK) (19, 025/a-LK) (11, 025-1/a-LK) (6, e. receptas) (13, 003/a) (2, 003-2/a) (18, 003-2/a) (2, 025/a) (13, 003-9/a) (23, 027/a) (9, 028-1/a) (17, 106/a) (17, 106-2-1/a) (11, 096/a) (13, 096/a) (3, 047/a) (22, 047/a) (23, 048/a) (22, 048/a) (3, 049/a) (22, 049/a) (23, 027-1/a) (23, 103-1/a) (23, 113/a) (8, Siuntimas į NDNT) (23, 083-1/a)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21.3.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Įstaigos, pateikusios kortelę, SVEIDRA identifikatorius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(13, 066/a-LK) (18, 066/a-LK) (19, 066/a-LK) (2, 025/a-LK) (19, 025/a-LK) (11, 025-1/a-LK) (13, 003/a) (2, 003-2/a) (18, 003-2/a) (2, 025/a) (13, 003-9/a) (23, 027/a) (9, 028-1/a) (11, 096/a) (13, 096/a) (3, 047/a) (22, 047/a) (3, 049/a) (22, 049/a) (23, 027-1/a) (23, 103-1/a) (23, 113/a) (8, Siuntimas į NDNT) (23, 083-1/a)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21.4.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Kortelės Nr.</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(13, 066/a-LK) (18, 066/a-LK) (19, 066/a-LK) (2, 025/a-LK) (19, 025/a-LK) (11, 025-1/a-LK) (6, e. receptas) (2, 003-2/a) (18, 003-2/a) (13, 003-4/a)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21.5.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Ligos istorijos Nr.</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(13, 066/a-LK) (18, 066/a-LK) (19, 066/a-LK) (19, 025/a-LK) (6, e. receptas) (13, 003/a) (18, 003-2/a) (13, 003-4/a) (13, 003-9/a) (11, 096/a) (13, 096/a) (4, 200/a) (4, 210/a) (4, 217/a) (4, 219/a) (4, 224/a) (4, 228-1/a) (4, 228-2/a)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21.6.</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Įstaigos suteiktas Ligos istorijos Nr.</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(6, e. receptas) (13, 003/a) (18, 003-2/a) (13, 003-4/a) (2, 025/a) (13, 003-9/a) (2, 025-112/a) (4, 200/a) (4, 210/a) (4, 217/a) (4, 219/a) (4, 224/a) (4, 228-1/a) (4, 228-2/a)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21.7.</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HIS sistemoje fiksuojamas įrašo identifikatorius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(13, 066/a-LK) (18, 066/a-LK) (19, 066/a-LK) (19, 025/a-LK) (13, 003/a) (18, 003-2/a) (13, 003-4/a) (2, 025/a) (13, 003-9/a) (2, 025-112/a) (4, 200/a) (4, 210/a) (4, 217/a) (4, 219/a) (4, 224/a) (4, 228-1/a) (4, 228-2/a)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b/>
                    <w:bCs/>
                    <w:color w:val="000000"/>
                  </w:rPr>
                  <w:t>22.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b/>
                    <w:bCs/>
                    <w:color w:val="000000"/>
                  </w:rPr>
                  <w:t>Ambulatorinių formų 025/a-LK ir 025-1/a-LK duomenys</w:t>
                </w: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22.1.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Paslaugos suteikimo data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(3, 025/a-LK) (19, 025/a-LK) (3, 025-1/a-LK) (3, 003-2/a) (3, 025/a) (3, 047/a) (22, 047/a) (3, 049/a) (22, 049/a) (23, 027-1/a) (3, 025-112/a) (8, Siuntimas į NDNT) (23, 083-1/a)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22.2.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Paslaugos kodas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(3, 025/a-LK) (19, 025/a-LK) (3, 025-1/a-LK) (3, 003-2/a) (3, 049/a) (22, 049/a) (8, Siuntimas į NDNT)</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22.3.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Paslaugos tipas 1</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(3, 025/a-LK) (19, 025/a-LK) (3, 025-1/a-LK) (3, 003-2/a)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22.4.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Paslaugos tipas 2</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(3, 025/a-LK) (19, 025/a-LK) (3, 025-1/a-LK) (3, 003-2/a)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22.5.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Chirurginis gydymas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(19, 066/a-LK) (19, 025/a-LK) (10, 025/a) (8, Siuntimas į NDNT)</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22.6.</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TLK-10-AM kodas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(3, 025/a-LK) (19, 025/a-LK) (3, 025-1/a-LK) (6, e. receptas) (3, 003-2/a) (3, 025/a) (8, 028-1/a) (23, 048/a) (22, 048/a) (3, 049/a) (22, 049/a) (3, 025-112/a) (4, 200/a) (4, 210/a) (4, 217/a) (4, 219/a) (4, 224/a) (4, 228-1/a) (4, 228-2/a)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22.7.</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Papildomas TLK-10-AM kodo aprašymas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(3, 003-2/a) (3, 025/a) (8, 028-1/a) (23, 048/a) (22, 048/a) (3, 049/a) (22, 049/a) (3, 025-112/a) (4, 200/a) (4, 210/a) (4, 217/a) (4, 219/a) (4, 224/a) (4, 228-1/a) (4, 228-2/a)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22.8.</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Gydytojo spaudo Nr.</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(3, 025/a-LK) (10, 025/a-LK) (19, 025/a-LK) (3, 025-1/a-LK) (12, 025-1/a-LK) (6, e. receptas) (3, 003-2/a) (10, 003-2/a) (3, 025/a) (10, 025/a) (23, 027/a) (8, 028-1/a) (9, 028-1/a) (3, 047/a) (22, 047/a) (23, 048/a) (22, 048/a) (3, 049/a) (22, 049/a) (23, 027-1/a) (3, 025-112/a) (4, 200/a) (4, 210/a) (4, 217/a) (4, 219/a) (4, 224/a) (4, 228-1/a) (4, 228-2/a) (23, 083-1/a)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22.9.</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Gydytojo vardas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(3, 025/a-LK) (10, 025/a-LK) (19, 025/a-LK) (3, 025-1/a-LK) (12, 025-1/a-LK) (6, e. receptas) (3, 003-2/a) (10, 003-2/a) (3, 025/a) (10, 025/a) (23, 027/a) (8, 028-1/a) (9, 028-1/a) (3, 047/a) (22, 047/a) (23, 048/a) (22, 048/a) (3, 049/a) (22, 049/a) (23, 027-1/a) (3, 025-112/a) (4, 200/a) (4, 210/a) (4, 217/a) (4, 219/a) (4, 224/a) (4, 228-1/a) (4, 228-2/a) (23, 083-1/a)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22.10.</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Gydytojo pavardė</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(3, 025/a-LK) (10, 025/a-LK) (19, 025/a-LK) (3, 025-1/a-LK) (12, 025-1/a-LK) (6, e. receptas) (3, 003-2/a) (10, 003-2/a) (3, 025/a) (10, 025/a) (23, 027/a) (8, 028-1/a) (9, 028-1/a) (3, 047/a) (22, 047/a) (23, 048/a) (22, 048/a) (3, 049/a) (22, 049/a) (23, 027-1/a) (3, 025-112/a) (4, 200/a) (4, 210/a) (4, 217/a) (4, 219/a) (4, 224/a) (4, 228-1/a) (4, 228-2/a) (23, 083-1/a)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22.11.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Paskyrimai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(3, 003-2/a) (3, 025/a) (23, 048/a) (22, 048/a) (3, 025-112/a) (8, Siuntimas į NDNT)</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22.12.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Pagrindinė diagnozė (TLK-10-AM)</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(10, 025/a-LK) (19, 025/a-LK) (6, e. receptas) (10, 025/a) (23, 027/a) (3, 049/a) (22, 049/a) (10, 025-112/a) (8, Siuntimas į NDNT) (4, 200/a) (4, 210/a) (4, 217/a) (4, 219/a) (4, 224/a) (4, 228-1/a) (4, 228-2/a)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22.13.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Traumos priežastis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(10, 025/a-LK) (19, 025/a-LK) (3, 049/a) (22, 049/a)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22.14.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Diagnozės nustatymo data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(10, 025/a-LK) (19, 025/a-LK) (10, 025/a) (8, Siuntimas į NDNT)</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22.15.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+/-/0</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(10, 025/a-LK) (19, 025/a-LK) (10, 025/a)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22.16.</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Formos pildymo pabaigos data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(10, 025/a-LK) (19, 025/a-LK) (10, 003-2/a)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22.17.</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Rezultatas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(3, 025/a-LK) (18, 025/a-LK) (3, 025-1/a-LK) (18, 025-1/a-LK) (12, 025-1/a-LK) (10, 003-2/a) (21, 063/a)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b/>
                    <w:bCs/>
                    <w:color w:val="000000"/>
                  </w:rPr>
                  <w:t>23.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b/>
                    <w:bCs/>
                    <w:color w:val="000000"/>
                  </w:rPr>
                  <w:t>Stacionaro formų 066/a-LK specifiniai duomenys</w:t>
                </w: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23.1.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Tipas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(13, 066/a-LK) (18, 066/a-LK) (19, 066/a-LK) (19, 025/a-LK)</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23.2.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Tikslinamos pirminės kortelės Nr.</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(14, 066/a-LK) (16, 066/a-LK) (13, 066/a-LK) (18, 066/a-LK) (19, 066/a-LK) (19, 025/a-LK)</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23.3.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SPAP fiksuojamas įrašo identifikatorius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(13, 066/a-LK) (18, 066/a-LK) (19, 066/a-LK) (19, 025/a-LK)</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23.4.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Patologoanatominės diagnozės: komplikacijos ir gretutinės ligos (TLK-10-AM, TLK-O) kodai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(16, 066/a-LK) (18, 066/a-LK) (19, 066/a-LK) (19, 025/a-LK)</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23.5.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Teritorinė ligonių kasa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(2, 025/a-LK) (19, 025/a-LK) (6, e. receptas)</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b/>
                    <w:bCs/>
                    <w:color w:val="000000"/>
                  </w:rPr>
                  <w:t>24.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b/>
                    <w:bCs/>
                    <w:color w:val="000000"/>
                  </w:rPr>
                  <w:t>Nepageidaujamas įvykis</w:t>
                </w: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24.1.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Nepageidaujamas įvykis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(14, 066/a-LK) (18, 066/a-LK) (19, 066/a-LK) (19, 025/a-LK)</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24.2.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Komplikacijos (TLK-10-AM, TLK-O)</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(14, 066/a-LK) (18, 066/a-LK) (19, 066/a-LK) (19, 025/a-LK) (14, 003/a) (18, 003-2/a) (14, 003-9/a) (23, 027/a) (8, Siuntimas į NDNT)</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24.3.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Gretutinės ligos (TLK-10-AM, TLK-O)</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(14, 066/a-LK) (18, 066/a-LK) (19, 066/a-LK) (19, 025/a-LK) (14, 003/a) (18, 003-2/a) (14, 003-9/a) (23, 027/a) (8, Siuntimas į NDNT)</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24.4.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Papildomas komplikacijų aprašymas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(14, 003/a) (18, 003-2/a) (14, 003-9/a) (23, 027/a) (23, 027-1/a) (8, Siuntimas į NDNT)</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24.5.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Papildomas gretutinių ligų aprašymas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(14, 003/a) (18, 003-2/a) (14, 003-9/a) (23, 027/a) (8, Siuntimas į NDNT)</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b/>
                    <w:bCs/>
                    <w:color w:val="000000"/>
                  </w:rPr>
                  <w:t>25.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b/>
                    <w:bCs/>
                    <w:color w:val="000000"/>
                  </w:rPr>
                  <w:t>Išrašymo iš stacionaro 066/a-LK formos duomenys</w:t>
                </w: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25.1.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Išrašymo data ir laikas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(17, 066/a-LK) (18, 066/a-LK) (19, 066/a-LK) (19, 025/a-LK) (17, 003/a) (18, 003-2/a) (17, 003-9/a) (17, 106/a) (17, 106-2-1/a) (16, 096/a) (17, 096/a) (12, 096/a) (16, 097/a) (17, 097/a) (17, 113/a) (8, Siuntimas į NDNT)</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25.2.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Paciento gydymo stacionare trukmė lovadieniais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(17, 066/a-LK) (18, 066/a-LK) (19, 066/a-LK) (19, 025/a-LK) (17, 003/a) (18, 003-2/a) (17, 003-9/a)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25.3.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Etapų skaičius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(17, 066/a-LK) (18, 066/a-LK) (19, 066/a-LK) (19, 025/a-LK)</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25.4.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Mokama iš PSDF</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(17, 066/a-LK, Pateikia VLK sistema)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25.5.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Bendra suma (balais)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(17, 066/a-LK, Pateikia VLK sistema)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b/>
                    <w:bCs/>
                    <w:color w:val="000000"/>
                  </w:rPr>
                  <w:t>26.</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b/>
                    <w:bCs/>
                    <w:color w:val="000000"/>
                  </w:rPr>
                  <w:t>Paciento priemokos (Lt) (066/a-LK)</w:t>
                </w: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26.1.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Už medžiagas ir vaistus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(20, 066/a-LK)</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26.2.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Už procedūras ir tyrimus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(20, 066/a-LK)</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26.3.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Už paciento buvimo SPĮ sąlygas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(20, 066/a-LK)</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26.4.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Kita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(20, 066/a-LK)</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26.5.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Iš viso</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(20, 066/a-LK)</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b/>
                    <w:bCs/>
                    <w:color w:val="000000"/>
                  </w:rPr>
                  <w:t>27.</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b/>
                    <w:bCs/>
                    <w:color w:val="000000"/>
                  </w:rPr>
                  <w:t>Mokamos paslaugos (Lt) (066/a-LK)</w:t>
                </w: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27.1.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Įrašytos į mokamų paslaugų sąrašą</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(20, 066/a-LK) (8, Siuntimas į NDNT)</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27.2.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Planinės, gautos skubos tvarka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(20, 066/a-LK) (8, Siuntimas į NDNT)</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27.3.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Kita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(20, 066/a-LK)</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27.4.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Iš viso</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(20, 066/a-LK)</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b/>
                    <w:bCs/>
                    <w:color w:val="000000"/>
                  </w:rPr>
                  <w:t>28.</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b/>
                    <w:bCs/>
                    <w:color w:val="000000"/>
                  </w:rPr>
                  <w:t>Kraujas ir jo komponentai (vienetų skaičius)</w:t>
                </w: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28.1.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Eritrocitai be leukocitų ir trombocitų</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(20, 066/a-LK)</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28.2.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Eritrocitai be leukocitų</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(20, 066/a-LK)</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28.3.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Nuplauti eritrocitai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(20, 066/a-LK)</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28.4.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Šviežiai užšaldyta plazma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(20, 066/a-LK)</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28.5.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Trombocitai, gauti iš konservuoto kraujo</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(20, 066/a-LK)</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28.6.</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Trombocitai, gauti aferezės būdu</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(20, 066/a-LK)</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28.7.</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Kiti komponentai ....</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(20, 066/a-LK) (14, 096/a)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b/>
                    <w:bCs/>
                    <w:color w:val="000000"/>
                  </w:rPr>
                  <w:t>29.</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b/>
                    <w:bCs/>
                    <w:color w:val="000000"/>
                  </w:rPr>
                  <w:t>DRG</w:t>
                </w: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29.1.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DRG grupė</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(20, 066/a-LK)</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29.2.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DRG grupės pavadinimas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(20, 066/a-LK)</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29.3.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DRG grupės koeficientas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(20, 066/a-LK)</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29.4.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Vieno gydymo etapo kaina (balų kiekis)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(20, 066/a-LK)</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29.5.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Suma, mokama už gydymo etapą (balų kiekis)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(20, 066/a-LK)</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b/>
                    <w:bCs/>
                    <w:color w:val="000000"/>
                  </w:rPr>
                  <w:t>30.</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b/>
                    <w:bCs/>
                    <w:color w:val="000000"/>
                    <w:spacing w:val="-5"/>
                  </w:rPr>
                  <w:t>Stacionaro gydymo</w:t>
                </w:r>
                <w:r>
                  <w:rPr>
                    <w:b/>
                    <w:bCs/>
                    <w:color w:val="000000"/>
                  </w:rPr>
                  <w:t xml:space="preserve"> skyriuje (-iuose) duomenys  (066/a-LK)</w:t>
                </w: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30.1.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Atvykimo į skyrių data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(14, 066/a-LK) (18, 066/a-LK) (19, 066/a-LK) (19, 025/a-LK) (14, 003/a) (18, 003-2/a) (14, 003-9/a) (23, 027/a) (11, 096/a) (13, 096/a) (13, 097/a) (13, 113/a) (8, Siuntimas į NDNT)</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30.2.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Išvykimo iš skyriaus data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(14, 066/a-LK) (18, 066/a-LK) (19, 066/a-LK) (19, 025/a-LK) (14, 003/a) (18, 003-2/a) (14, 003-9/a) (23, 027/a) (9, 028-1/a) (17, 106/a) (17, 106-2-1/a) (16, 096/a) (17, 096/a) (12, 096/a) (17, 097/a) (12, 097/a) (17, 113/a) (8, Siuntimas į NDNT)</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30.3.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Lovadienių skaičius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(14, 066/a-LK) (18, 066/a-LK) (19, 066/a-LK) (19, 025/a-LK)</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30.4.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Skyriaus pavadinimas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(14, 066/a-LK) (18, 066/a-LK) (19, 066/a-LK) (19, 025/a-LK) (14, 003/a) (18, 003-2/a) (13, 003-4/a) (14, 003-9/a) (14, 097/a) (8, Siuntimas į NDNT) (4, 200/a) (4, 210/a) (4, 217/a) (4, 219/a) (4, 224/a) (4, 228-1/a) (4, 228-2/a)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30.5.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Palata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(14, 003/a) (18, 003-2/a) (14, 003-4/a) (14, 003-9/a) (14, 097/a) (4, 200/a) (4, 210/a) (4, 217/a) (4, 219/a) (4, 224/a) (4, 228-1/a) (4, 228-2/a)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30.6.</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Paslaugos kodas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(14, 066/a-LK) (18, 066/a-LK) (19, 066/a-LK) (19, 025/a-LK)</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30.7.</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TLK-10-AM</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(14, 066/a-LK) (18, 066/a-LK) (19, 066/a-LK) (19, 025/a-LK) (14, 003/a) (18, 003-2/a) (14, 003-9/a) (8, 028-1/a) (8, Siuntimas į NDNT) (4, 200/a) (4, 210/a) (4, 217/a) (4, 219/a) (4, 224/a) (4, 228-1/a) (4, 228-2/a)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30.8.</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Papildomas aprašymas prie TLK-10-AM</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(14, 003/a) (18, 003-2/a) (14, 003-9/a) (9, 028-1/a) (8, Siuntimas į NDNT) (4, 200/a) (4, 210/a) (4, 217/a) (4, 219/a) (4, 224/a) (4, 228-1/a) (4, 228-2/a)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30.9.</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Gydytojo spaudo Nr.</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(14, 066/a-LK) (18, 066/a-LK) (19, 066/a-LK) (19, 025/a-LK) (6, e. receptas) (8, 028-1/a) (9, 028-1/a) (17, 106/a) (17, 106-2-1/a) (16, 096/a) (17, 096/a) (12, 096/a) (16, 097/a) (17, 097/a) (23, 103-1/a) (17, 113/a) (4, 200/a) (4, 210/a) (4, 217/a) (4, 219/a) (4, 224/a) (4, 228-1/a) (4, 228-2/a)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30.10.</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Gydytojo vardas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(14, 066/a-LK) (18, 066/a-LK) (19, 066/a-LK) (19, 025/a-LK) (6, e. receptas) (14, 003-4/a) (14, 003-9/a) (8, 028-1/a) (9, 028-1/a) (17, 106/a) (17, 106-2-1/a) (16, 096/a) (17, 096/a) (12, 096/a) (16, 097/a) (17, 097/a) (23, 103-1/a) (17, 113/a) (4, 200/a) (4, 210/a) (4, 217/a) (4, 219/a) (4, 224/a) (4, 228-1/a) (4, 228-2/a)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30.11.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Gydytojo pavardė</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(14, 066/a-LK) (18, 066/a-LK) (19, 066/a-LK) (19, 025/a-LK) (6, e. receptas) (14, 003-4/a) (14, 003-9/a) (8, 028-1/a) (9, 028-1/a) (17, 106/a) (17, 106-2-1/a) (16, 096/a) (17, 096/a) (12, 096/a) (16, 097/a) (17, 097/a) (23, 103-1/a) (17, 113/a) (4, 200/a) (4, 210/a) (4, 217/a) (4, 219/a) (4, 224/a) (4, 228-1/a) (4, 228-2/a)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30.12.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Slaugos specialisto vardas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(14, 003-4/a) (16, 096/a) (17, 096/a) (12, 096/a) (16, 097/a) (17, 097/a)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30.13.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Slaugos specialisto pavardė</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(14, 003-4/a) (16, 096/a) (17, 096/a) (12, 096/a) (16, 097/a) (17, 097/a)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30.14.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Bazinės kainos kompensuojamoji dalis procentais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(14, 066/a-LK, Pateikia VLK sistema)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30.15.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Apmokami lovadieniai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(14, 066/a-LK, Pateikia VLK sistema)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30.16.</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Mokama suma (balais)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30.17.</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Etapo Nr.</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(14, 066/a-LK, Pateikia VLK sistema)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b/>
                    <w:bCs/>
                    <w:color w:val="000000"/>
                  </w:rPr>
                  <w:t>31.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b/>
                    <w:bCs/>
                    <w:color w:val="000000"/>
                  </w:rPr>
                  <w:t>Išrašymo iš stacionaro (003/a) ar gydymo baigimo (025/a) duomenys</w:t>
                </w: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31.1.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Išduoto nedarbingumo pažymėjimo serija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(17, 003/a) (18, 003-2/a) (3, 025/a) (17, 003-9/a) (16, 096/a) (17, 096/a) (12, 096/a) (23, 047/a) (22, 047/a) (23, 048/a) (22, 048/a)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31.2.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Išduoto nedarbingumo pažymėjimo numeris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(17, 003/a) (18, 003-2/a) (3, 025/a) (17, 003-9/a) (16, 096/a) (17, 096/a) (12, 096/a) (23, 047/a) (22, 047/a) (23, 048/a) (22, 048/a) (8, Siuntimas į NDNT)</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31.3.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Nedarbingumo pradžios data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(17, 003/a) (2, 003-2/a) (18, 003-2/a) (3, 025/a) (17, 003-9/a) (16, 096/a) (17, 096/a) (12, 096/a) (23, 047/a) (22, 047/a) (23, 048/a) (22, 048/a) (8, Siuntimas į NDNT)</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31.4.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Nedarbingumo pabaigos data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(17, 003/a) (2, 003-2/a) (18, 003-2/a) (3, 025/a) (17, 003-9/a) (16, 096/a) (17, 096/a) (12, 096/a) (23, 047/a) (22, 047/a) (23, 048/a) (22, 048/a) (8, Siuntimas į NDNT)</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31.5.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Visiškai atkurtas darbingumas, laikinai nedarbingas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(17, 003/a) (18, 003-2/a) (17, 003-9/a) (23, 047/a) (22, 047/a)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31.6.</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MDEK išvada (siųstiems atlikti ekspertizės)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(17, 003/a) (18, 003-2/a) (17, 003-9/a) (8, Siuntimas į NDNT)</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31.7.</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Kitos ypatingos žymos, pastabos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(17, 003/a) (18, 003-2/a) (17, 003-9/a) (17, 106/a) (17, 106-2-1/a) (8, Siuntimas į NDNT)</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31.8.</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Režimas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(17, 003/a) (12, 003/a) (14, 003-4/a) (14, 003-9/a)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31.9.</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Dieta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(17, 003/a) (12, 003/a) (14, 003-4/a) (14, 003-9/a)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31.10.</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Skyriaus vedėjo (gydytojo) spaudo Nr.</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(17, 003/a) (18, 003-2/a) (17, 003-9/a) (17, 106/a) (17, 106-2-1/a) (16, 096/a) (17, 096/a) (12, 096/a)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31.11.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Skyriaus vedėjo (gydytojo) vardas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(17, 003/a) (18, 003-2/a) (17, 003-9/a) (17, 106/a) (17, 106-2-1/a) (16, 096/a) (17, 096/a) (12, 096/a)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31.12.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Skyriaus vedėjo (gydytojo) pavardė</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(17, 003/a) (18, 003-2/a) (17, 003-9/a) (17, 106/a) (17, 106-2-1/a) (16, 096/a) (17, 096/a) (12, 096/a)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b/>
                    <w:bCs/>
                    <w:color w:val="000000"/>
                  </w:rPr>
                  <w:t>32.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b/>
                    <w:bCs/>
                    <w:color w:val="000000"/>
                  </w:rPr>
                  <w:t>Stacionaro etapų duomenys (066/a-LK)</w:t>
                </w: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32.1.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Etapo Nr. / gydymo rūšis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(16, 066/a-LK) (18, 066/a-LK) (19, 066/a-LK) (19, 025/a-LK)</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32.2.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Priverstinis gydymas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(16, 066/a-LK) (18, 066/a-LK) (19, 066/a-LK) (19, 025/a-LK)</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32.3.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Etapo pradžios data ir laikas (iki min.)</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(16, 066/a-LK) (18, 066/a-LK) (19, 066/a-LK) (19, 025/a-LK) (16, 003/a) (18, 003-2/a) (16, 003-9/a) (8, Siuntimas į NDNT)</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32.4.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 xml:space="preserve">Amžius metais (kai </w:t>
                </w:r>
                <w:r>
                  <w:rPr>
                    <w:color w:val="000000"/>
                    <w:position w:val="-4"/>
                  </w:rPr>
                  <w:object w:dxaOrig="195" w:dyaOrig="240" w14:anchorId="280D4DCA">
                    <v:shape id="_x0000_i1033" type="#_x0000_t75" style="width:9.5pt;height:11.85pt" o:ole="">
                      <v:imagedata r:id="rId37" o:title=""/>
                    </v:shape>
                    <o:OLEObject Type="Embed" ProgID="Equation.3" ShapeID="_x0000_i1033" DrawAspect="Content" ObjectID="_1505028086" r:id="rId38"/>
                  </w:object>
                </w:r>
                <w:r>
                  <w:rPr>
                    <w:vanish/>
                    <w:color w:val="000000"/>
                    <w:lang w:val="en-US"/>
                  </w:rPr>
                  <w:t>&gt;=</w:t>
                </w:r>
                <w:r>
                  <w:rPr>
                    <w:color w:val="000000"/>
                  </w:rPr>
                  <w:t xml:space="preserve"> 1 m.)</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(16, 066/a-LK) (18, 066/a-LK) (19, 066/a-LK) (19, 025/a-LK)</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32.5.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Amžius dienomis (kai &lt; 1 m.)</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(16, 066/a-LK) (18, 066/a-LK) (19, 066/a-LK) (19, 025/a-LK)</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32.6.</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Išankstinio mokėjimo etapas (taip / ne)</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(16, 066/a-LK) (18, 066/a-LK) (19, 066/a-LK) (19, 025/a-LK)</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32.7.</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Svoris gramais (iki 1 metų)</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(16, 066/a-LK) (18, 066/a-LK) (19, 066/a-LK) (19, 025/a-LK)</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32.8.</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Pagrindinė diagnozė (TLK-10-AM)</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(16, 066/a-LK) (18, 066/a-LK) (19, 066/a-LK) (19, 025/a-LK) (6, e. receptas) (16, 003/a) (18, 003-2/a) (16, 003-9/a) (23, 027/a) (14, 096/a) (8, Siuntimas į NDNT) (4, 200/a) (4, 210/a) (4, 217/a) (4, 219/a) (4, 224/a) (4, 228-1/a) (4, 228-2/a)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32.9.</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Papildomas pagrindinės diagnozės (TLK-10-AM) aprašymas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(16, 003/a) (18, 003-2/a) (10, 025/a) (16, 003-9/a) (23, 027/a) (14, 096/a) (14, 097/a) (8, Siuntimas į NDNT)</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32.10.</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Diagnozės nustatymo data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(16, 003/a) (18, 003-2/a) (16, 003-9/a) (14, 096/a) (14, 097/a) (8, Siuntimas į NDNT)</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32.11.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Klinikinė diagnozė TLK-10-AM kodas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(16, 003/a) (18, 003-2/a) (16, 003-9/a) (14, 096/a) (14, 097/a) (8, Siuntimas į NDNT) (4, 200/a) (4, 210/a) (4, 217/a) (4, 219/a) (4, 224/a) (4, 228-1/a) (4, 228-2/a)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32.12.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Papildomas klinikinės diagnozės aprašymas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(16, 003/a) (18, 003-2/a) (16, 003-9/a) (14, 096/a) (14, 097/a) (8, Siuntimas į NDNT) (4, 200/a) (4, 210/a) (4, 217/a) (4, 219/a) (4, 224/a) (4, 228-1/a) (4, 228-2/a)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32.13.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Klinikinės diagnozės nustatymo data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(16, 003/a) (18, 003-2/a) (16, 003-9/a) (14, 096/a) (14, 097/a) (8, Siuntimas į NDNT) (4, 200/a) (4, 210/a) (4, 217/a) (4, 219/a) (4, 224/a) (4, 228-1/a) (4, 228-2/a)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32.14.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Dėl šios ligos (traumos) gydosi stacionare pirmą kartą, pakartotinai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(13, 003/a) (18, 003-2/a) (13, 003-9/a) (8, Siuntimas į NDNT)</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32.15.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Etapo pabaigos data ir laikas (iki min.)</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(16, 066/a-LK) (18, 066/a-LK) (19, 066/a-LK) (19, 025/a-LK) (8, Siuntimas į NDNT)</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32.16.</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Etapo lovadienių skaičius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(16, 066/a-LK) (18, 066/a-LK) (19, 066/a-LK) (19, 025/a-LK)</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32.17.</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Dienos paslauga (taip / ne)</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(16, 066/a-LK) (18, 066/a-LK) (19, 066/a-LK) (19, 025/a-LK)</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32.18.</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Siuntimas atlikti medicininę reabilitaciją (ambulatorinę / stacionarinę)</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(16, 066/a-LK) (18, 066/a-LK) (19, 066/a-LK) (19, 025/a-LK) (16, 003-9/a) (8, Siuntimas į NDNT)</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32.19.</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Dienos chirurgija (taip / ne)</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(16, 066/a-LK) (18, 066/a-LK) (19, 066/a-LK) (19, 025/a-LK)</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32.20.</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Išrašymo būdas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(16, 066/a-LK) (17, 066/a-LK) (18, 066/a-LK) (19, 066/a-LK) (19, 025/a-LK) (16, 003/a) (10, 003-2/a) (18, 003-2/a) (16, 003-9/a) (23, 027/a) (17, 106/a) (17, 106-2-1/a) (8, Siuntimas į NDNT)</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32.21.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Keliamas į SPĮ (kodas)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(16, 066/a-LK) (18, 066/a-LK) (19, 066/a-LK) (19, 025/a-LK) (16, 003/a) (18, 003-2/a) (16, 003-9/a) (23, 027/a)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32.22.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Keliamas SPĮ (SVEIDRA identifikatorius)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(16, 066/a-LK) (18, 066/a-LK) (19, 066/a-LK) (19, 025/a-LK) (16, 003/a) (18, 003-2/a) (16, 003-9/a) (23, 027/a)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32.23.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Keliamas į SPĮ (pavadinimas)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(16, 066/a-LK) (18, 066/a-LK) (19, 066/a-LK) (19, 025/a-LK) (16, 003/a) (18, 003-2/a) (16, 003-9/a) (23, 027/a)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32.24.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Pagrindinė patologoanatominė diagnozė (TLK-10-AM)</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(16, 066/a-LK) (18, 066/a-LK) (19, 066/a-LK) (19, 025/a-LK) (17, 106/a) (17, 106-2-1/a)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32.25.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Pacientą išrašančio gydytojo spaudo Nr.</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(16, 066/a-LK) (17, 066/a-LK) (18, 066/a-LK) (19, 066/a-LK) (19, 025/a-LK) (16, 003/a) (17, 003/a) (10, 003-2/a) (18, 003-2/a) (16, 003-9/a) (17, 003-9/a) (23, 027/a) (16, 096/a) (17, 096/a) (12, 096/a) (16, 097/a) (17, 097/a) (12, 097/a)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32.26.</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Pacientą išrašančio gydytojo vardas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(16, 066/a-LK) (17, 066/a-LK) (18, 066/a-LK) (19, 066/a-LK) (19, 025/a-LK) (16, 003/a) (17, 003/a) (10, 003-2/a) (18, 003-2/a) (16, 003-9/a) (17, 003-9/a) (23, 027/a) (16, 096/a) (17, 096/a) (12, 096/a) (16, 097/a) (17, 097/a) (12, 097/a)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32.27.</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Pacientą išrašančio gydytojo pavardė</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(16, 066/a-LK) (17, 066/a-LK) (18, 066/a-LK) (19, 066/a-LK) (19, 025/a-LK) (16, 003/a) (17, 003/a) (10, 003-2/a) (18, 003-2/a) (16, 003-9/a) (17, 003-9/a) (23, 027/a) (16, 096/a) (17, 096/a) (12, 096/a) (16, 097/a) (17, 097/a) (12, 097/a)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32.28.</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Atsakingo asmens vardas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(16, 066/a-LK) (17, 066/a-LK) (18, 066/a-LK) (19, 066/a-LK) (19, 025/a-LK) (3, 047/a)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32.29.</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Atsakingo asmens pavardė</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(16, 066/a-LK) (17, 066/a-LK) (18, 066/a-LK) (19, 066/a-LK) (19, 025/a-LK) (3, 047/a)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32.30.</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Klinikinė tuberkuliozės diagnozė</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(14, 003-9/a) (16, 003-9/a)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32.31.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Infekcijos šaltinis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(13, 003-9/a)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32.32.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Diagnozės patvirtinimo būdai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(14, 003-9/a)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b/>
                    <w:bCs/>
                    <w:color w:val="000000"/>
                  </w:rPr>
                  <w:t>33.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pPr>
                  <w:widowControl w:val="0"/>
                  <w:suppressAutoHyphens/>
                  <w:rPr>
                    <w:color w:val="000000"/>
                  </w:rPr>
                </w:pPr>
                <w:r>
                  <w:rPr>
                    <w:b/>
                    <w:bCs/>
                    <w:color w:val="000000"/>
                  </w:rPr>
                  <w:t>Medicininės intervencijos</w:t>
                </w: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33.1.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Data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(15, 066/a-LK) (16, 066/a-LK) (18, 066/a-LK) (19, 066/a-LK) (19, 025/a-LK) (15, 003/a) (16, 003/a) (18, 003-2/a) (15, 003-9/a) (16, 003-9/a) (14, 096/a) (15, 113/a)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33.2.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Valanda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(15, 003/a) (16, 003/a) (18, 003-2/a) (15, 003-9/a) (16, 003-9/a) (14, 096/a) (15, 113/a)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33.3.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Pagrindinė med. intervencija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(15, 066/a-LK) (16, 066/a-LK) (18, 066/a-LK) (19, 066/a-LK) (19, 025/a-LK) (23, 027/a) (14, 096/a) (15, 113/a) (8, Siuntimas į NDNT) (4, 200/a)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33.4.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ACHI kodas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(15, 066/a-LK) (16, 066/a-LK) (18, 066/a-LK) (19, 066/a-LK) (19, 025/a-LK) (15, 003/a) (16, 003/a) (18, 003-2/a) (15, 003-9/a) (16, 003-9/a) (23, 027/a) (14, 096/a) (8, Siuntimas į NDNT) (4, 200/a)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33.5.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Medicininės intervencijos pavadinimas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(15, 066/a-LK) (16, 066/a-LK) (18, 066/a-LK) (19, 066/a-LK) (19, 025/a-LK) (15, 003/a) (16, 003/a) (18, 003-2/a) (15, 003-9/a) (16, 003-9/a) (23, 027/a) (14, 096/a) (15, 113/a) (8, Siuntimas į NDNT) (4, 200/a)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33.6.</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Papildomas medicininės intervencijos (chirurginės operacijos) aprašymas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(15, 003/a) (16, 003/a) (18, 003-2/a) (15, 003-9/a) (16, 003-9/a) (23, 027/a) (14, 096/a) (15, 113/a) (8, Siuntimas į NDNT)</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33.7.</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Komplikacijos (TLK-10-AM)</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(15, 003/a) (16, 003/a) (18, 003-2/a) (15, 003-9/a) (16, 003-9/a) (23, 027/a) (14, 096/a) (8, Siuntimas į NDNT)</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33.8.</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Papildomas komplikacijos (chirurginės operacijos) aprašymas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(15, 003/a) (16, 003/a) (18, 003-2/a) (15, 003-9/a) (16, 003-9/a) (14, 096/a) (8, Siuntimas į NDNT)</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33.9.</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Paslaugos kodas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(15, 066/a-LK) (16, 066/a-LK) (18, 066/a-LK) (19, 066/a-LK) (19, 025/a-LK) (8, Siuntimas į NDNT)</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33.10.</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Specialisto spaudo Nr.</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(15, 066/a-LK) (16, 066/a-LK) (18, 066/a-LK) (19, 066/a-LK) (19, 025/a-LK) (15, 003/a) (16, 003/a) (18, 003-2/a) (15, 003-9/a) (16, 003-9/a) (14, 096/a)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33.11.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Specialisto vardas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(15, 066/a-LK) (16, 066/a-LK) (18, 066/a-LK) (19, 066/a-LK) (19, 025/a-LK) (14, 096/a)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33.12.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Specialisto pavardė</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(15, 066/a-LK) (16, 066/a-LK) (18, 066/a-LK) (19, 066/a-LK) (19, 025/a-LK) (14, 096/a)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33.13.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Mokama suma (balais)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(20, 066/a-LK)</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33.14.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Išlaidos kontrastui (balais)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(20, 066/a-LK) (3, 025/a-LK) (3, 025-1/a-LK)</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33.15.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Atlikta kitoje SPĮ</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(15, 066/a-LK) (16, 066/a-LK) (18, 066/a-LK) (19, 066/a-LK) (19, 025/a-LK)</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b/>
                    <w:bCs/>
                    <w:color w:val="000000"/>
                  </w:rPr>
                  <w:t>34.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b/>
                    <w:bCs/>
                    <w:color w:val="000000"/>
                  </w:rPr>
                  <w:t>Siuntimas tirti, konsultuoti ir gydyti (028-1/a)</w:t>
                </w: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34.1.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Siuntimo data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(8, 028-1/a) (8, Siuntimas į NDNT) (4, 200/a) (4, 210/a) (4, 217/a) (4, 219/a) (4, 224/a) (4, 228-1/a) (4, 228-2/a)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34.2.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Specialisto, pas kurį siunčiama konsultuoti, profesinė kvalifikacija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(8, 028-1/a) (8, Siuntimas į NDNT)</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34.3.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Dėl ko siunčiama (paslaugų kodai)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(3, 025/a-LK)</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34.4.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Papildoma informacija specialistui, kuriam siunčiama konsultuoti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(8, 028-1/a) (8, Siuntimas į NDNT)</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34.5.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Konsultavusio gydytojo išvados tekstas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(9, 028-1/a) (8, Siuntimas į NDNT)</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34.6.</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Diagnozė, TLK-10-AM kodas (konsultavusio gydytojo)</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(9, 028-1/a) (8, Siuntimas į NDNT)</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b/>
                    <w:bCs/>
                    <w:color w:val="000000"/>
                  </w:rPr>
                  <w:t>35.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b/>
                    <w:bCs/>
                    <w:color w:val="000000"/>
                  </w:rPr>
                  <w:t>Medicinos dokumentų išrašas (027/a)</w:t>
                </w: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35.1.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Susirgimo data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(14, 003-9/a) (23, 027/a) (23, 048/a) (22, 048/a) (23, 049/a) (22, 049/a) (8, Siuntimas į NDNT)</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35.2.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Siuntimo į stacionarą data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(14, 003-9/a) (23, 027/a) (23, 048/a) (22, 048/a) (23, 049/a) (22, 049/a) (8, Siuntimas į NDNT)</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35.3.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Hospitalizavimo data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(14, 003-9/a) (23, 027/a) (23, 048/a) (22, 048/a) (23, 049/a) (22, 049/a) (8, Siuntimas į NDNT)</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35.4.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Diagnostiniai tyrimai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(14, 003-9/a) (23, 027/a) (14, 096/a) (23, 048/a) (22, 048/a) (23, 049/a) (22, 049/a) (8, Siuntimas į NDNT)</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35.5.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Ligonio būklė išrašant</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(17, 003-9/a) (23, 027/a) (14, 096/a) (23, 113/a) (8, Siuntimas į NDNT)</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b/>
                    <w:bCs/>
                    <w:color w:val="000000"/>
                  </w:rPr>
                  <w:t>36.</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b/>
                    <w:bCs/>
                    <w:color w:val="000000"/>
                  </w:rPr>
                  <w:t>Gydymo stacionare istorijos duomenys (003/a)</w:t>
                </w: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36.1.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Objektyvūs duomenys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(13, 003/a) (2, 003-2/a) (3, 003-2/a) (18, 003-2/a) (2, 025/a) (13, 003-9/a) (14, 096/a) (3, 025-112/a) (8, Siuntimas į NDNT)</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36.2.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Nusiskundimai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(13, 003/a) (18, 003-2/a) (2, 025/a) (13, 003-9/a) (23, 027/a) (14, 096/a) (3, 025-112/a) (8, Siuntimas į NDNT)</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36.3.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Anamnezė</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(13, 003/a) (18, 003-2/a) (2, 025/a) (13, 003-9/a) (23, 027/a) (14, 096/a) (3, 025-112/a) (8, Siuntimas į NDNT)</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36.4.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Susirgimo data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(13, 003/a) (18, 003-2/a) (2, 025/a) (13, 003-9/a) (23, 027/a) (8, Siuntimas į NDNT)</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36.5.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Somatinė būklė</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(13, 003-9/a) (3, 025-112/a)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36.6.</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Neurologinė būklė</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(13, 003-9/a) (3, 025-112/a)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36.7.</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Psichikos būklė</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36.8.</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Kiti įrašai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(14, 003/a) (17, 003/a) (18, 003-2/a) (3, 025/a) (14, 003-9/a) (17, 003-9/a) (14, 096/a) (3, 025-112/a)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b/>
                    <w:bCs/>
                    <w:color w:val="000000"/>
                  </w:rPr>
                  <w:t>37.</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b/>
                    <w:bCs/>
                    <w:color w:val="000000"/>
                  </w:rPr>
                  <w:t>Epikrizė (Gydymo stacionare istorija, 003/a)</w:t>
                </w: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37.1.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Trumpas ligos aprašymas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(16, 003/a) (17, 003/a) (18, 003-2/a) (16, 003-9/a) (17, 003-9/a) (23, 027/a) (16, 097/a) (17, 097/a) (3, 025-112/a) (8, Siuntimas į NDNT)</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37.2.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Tyrimas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(16, 003/a) (17, 003/a) (3, 003-2/a) (18, 003-2/a) (16, 003-9/a) (17, 003-9/a) (3, 025-112/a) (8, Siuntimas į NDNT)</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37.3.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Konsultantų išvados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(16, 003/a) (17, 003/a) (18, 003-2/a) (16, 003-9/a) (17, 003-9/a) (16, 097/a) (17, 097/a) (3, 025-112/a) (8, Siuntimas į NDNT)</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37.4.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Klinikinė diagnozė</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(16, 003/a) (17, 003/a) (18, 003-2/a) (16, 003-9/a) (17, 003-9/a) (17, 106/a) (17, 106-2-1/a) (16, 097/a) (17, 097/a) (3, 025-112/a) (8, Siuntimas į NDNT)</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37.5.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Pagrindinė ir gretutinės ligos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(16, 003/a) (17, 003/a) (18, 003-2/a) (16, 003-9/a) (17, 003-9/a) (3, 025-112/a) (8, Siuntimas į NDNT)</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37.6.</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Gydymas, jo efektyvumas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(16, 003/a) (17, 003/a) (10, 003-2/a) (18, 003-2/a) (16, 003-9/a) (17, 003-9/a) (23, 027/a) (3, 025-112/a) (8, Siuntimas į NDNT)</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37.7.</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Gydymo rekomendacijos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(16, 003/a) (17, 003/a) (18, 003-2/a) (16, 003-9/a) (17, 003-9/a) (23, 027/a) (16, 097/a) (17, 097/a) (3, 025-112/a) (8, Siuntimas į NDNT)</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37.8.</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Darbo rekomendacijos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(16, 003/a) (17, 003/a) (18, 003-2/a) (16, 003-9/a) (17, 003-9/a) (23, 027/a) (8, Siuntimas į NDNT)</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37.9.</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Data (epikrizės parašymo)</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(16, 003/a) (17, 003/a) (10, 003-2/a) (18, 003-2/a) (16, 003-9/a) (17, 003-9/a) (17, 106/a) (17, 106-2-1/a) (16, 097/a) (17, 097/a) (3, 025-112/a) (8, Siuntimas į NDNT)</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b/>
                    <w:bCs/>
                    <w:color w:val="000000"/>
                  </w:rPr>
                  <w:t>38.</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b/>
                    <w:bCs/>
                    <w:color w:val="000000"/>
                  </w:rPr>
                  <w:t>Vairuotojo sveikatos patikrinimo medicininė pažyma (083-1/a)</w:t>
                </w: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38.1.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Išvada dėl tinkamumo vairuoti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(23, 083-1/a)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38.2.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Transporto priemonių kategorijos grupė</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(23, 083-1/a)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38.3.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Pažymos galiojimas (1 grupė)</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(23, 083-1/a)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38.4.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Taikomi apribojimai (1 grupė)</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(23, 083-1/a)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38.5.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Pažymos galiojimas (2 grupė)</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(23, 083-1/a)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38.6.</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Taikomi apribojimai (2 grupė)</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(23, 083-1/a)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38.7.</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Psichologinio tyrimo ir kt. rezultatai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(23, 083-1/a)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b/>
                    <w:bCs/>
                    <w:color w:val="000000"/>
                  </w:rPr>
                  <w:t>39.</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b/>
                    <w:bCs/>
                    <w:color w:val="000000"/>
                  </w:rPr>
                  <w:t>Žinios apie rizikos faktorius ir sveikatos tikrinimus</w:t>
                </w: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39.1.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Data (sveikatos tikrinimų išvados)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(10, 025/a) (3, 047/a) (22, 047/a) (23, 048/a) (22, 048/a) (23, 027-1/a) (23, 103-1/a) (10, 025-112/a) (8, Siuntimas į NDNT) (23, 083-1/a)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39.2.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Sveikatos tikrinimų išvados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(10, 025/a) (3, 047/a) (22, 047/a) (23, 048/a) (22, 048/a) (23, 027-1/a) (10, 025-112/a) (8, Siuntimas į NDNT) (23, 083-1/a)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39.3.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Pagal nurodytą specialybę dirbti gali / negali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(3, 047/a) (22, 047/a) (23, 027-1/a) (23, 083-1/a)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39.4.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Kito kontrolinio patikrinimo data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(3, 047/a) (22, 047/a) (23, 027-1/a)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39.5.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Fizinės būklės įvertinimas procentiliniu metodu</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(23, 027-1/a)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39.6.</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Kvėpavimo sistema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(23, 027-1/a)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39.7.</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Nervų sistema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(23, 027-1/a)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39.8.</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Virškinimo sistema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(23, 027-1/a)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39.9.</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Urogenitalinė sistema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(23, 027-1/a)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39.10.</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Endokrininė sistema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(23, 027-1/a)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39.11.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Skeleto-raumenų sistema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(23, 027-1/a)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39.12.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Oda ir jos priedai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(23, 027-1/a)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39.13.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Išvados ir rekomendacijos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(23, 027-1/a)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39.14.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Fizinio ugdymo grupė</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(23, 027-1/a)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39.15.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Vaikas atleistas nuo KK pamokų iki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(23, 027-1/a)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b/>
                    <w:bCs/>
                    <w:color w:val="000000"/>
                  </w:rPr>
                  <w:t>40.</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b/>
                    <w:bCs/>
                    <w:color w:val="000000"/>
                  </w:rPr>
                  <w:t>Odontologo įrašai</w:t>
                </w: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40.1.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Objektyvaus tyrimo duomenys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40.2.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Dantų būklė</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(23, 027-1/a)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40.3.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KPI indeksas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40.4.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Parodonto patologija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40.5.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Ortodontinės anomalijos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40.6.</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Protezų konstrukcija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40.7.</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Kita odontologinė patologija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b/>
                    <w:bCs/>
                    <w:color w:val="000000"/>
                  </w:rPr>
                  <w:t>41.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b/>
                    <w:bCs/>
                    <w:color w:val="000000"/>
                  </w:rPr>
                  <w:t>Vaistai</w:t>
                </w: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41.1.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Recepto serija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(6, e. receptas) (14, 003/a) (18, 003-2/a) (6, 025/a)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41.2.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Recepto numeris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(6, e. receptas) (14, 003/a) (18, 003-2/a) (6, 025/a)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41.3.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Vaistinės identifikatorius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(7, e. receptas)</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41.4.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Kompensacijos rūšies kodas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(6, e. receptas)</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41.5.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Recepto išrašymo data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(6, e. receptas) (14, 003/a) (18, 003-2/a) (6, 025/a)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41.6.</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Vaisto ar kompensuojamosios MPP išdavimo data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(7, e. receptas)</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41.7.</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Gydytojo specialybės kodas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(6, e. receptas) (14, 003/a) (18, 003-2/a) (21, 063/a)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41.8.</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Gydytojo tapatybę patvirtinančio lipduko numeris (su kontroliniu skaičiumi)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(6, e. receptas) (14, 003/a) (18, 003-2/a) (21, 063/a)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41.9.</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Receptas galioja nuo datos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(6, e. receptas) (14, 003/a) (18, 003-2/a) (6, 025/a)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41.10.</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Receptas galioja iki datos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(6, e. receptas) (14, 003/a) (18, 003-2/a) (6, 025/a)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41.11.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Farmacijos specialisto spaudo numeris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(7, e. receptas)</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41.12.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Farmacijos specialisto vardas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(7, e. receptas)</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41.13.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Farmacijos specialisto pavardė</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(7, e. receptas)</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41.14.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Recepto anuliavimo požymis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(6, e. receptas) (7, e. receptas)</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41.15.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Išduoto vaisto ar kompensuojamosios MPP identifikatorius (NPKID/MPPID)</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(7, e. receptas) (14, 003/a) (18, 003-2/a) (14, 003-4/a) (21, 063/a)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41.16.</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Išduotos kompensuojamosios MPP grupės pavadinimas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(7, e. receptas) (14, 003/a) (18, 003-2/a) (14, 003-4/a) (14, 003-9/a)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41.17.</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Išduotos kompensuojamosios MPP matmenys ir kiti duomenys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(7, e. receptas) (14, 003/a) (18, 003-2/a) (14, 003-4/a) (14, 003-9/a)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41.18.</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Išduoto vaisto bendrinis pavadinimas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(7, e. receptas)</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41.19.</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Išduoto vaisto ar kompensuojamosios MPP prekinis pavadinimas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(7, e. receptas) (14, 003/a) (18, 003-2/a) (14, 003-4/a) (14, 003-9/a) (21, 063/a)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41.20.</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Išduoto ekstemporalaus vaisto pavadinimas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(7, e. receptas) (14, 003/a) (18, 003-2/a) (14, 003-4/a) (14, 003-9/a) (21, 063/a)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41.21.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Išduoto ekstemporalaus vaisto sudėtis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(7, e. receptas) (14, 003/a) (18, 003-2/a) (14, 003-4/a) (14, 003-9/a) (21, 063/a)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41.22.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Išduoto vaisto stiprumas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(6, e. receptas) (14, 003/a) (18, 003-2/a) (14, 003-4/a) (14, 003-9/a)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41.23.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Išduoto vaisto farmacinė forma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(6, e. receptas) (14, 003/a) (18, 003-2/a) (14, 003-4/a) (14, 003-9/a) (21, 063/a)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41.24.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Išduoto vaisto dozuočių skaičius ar kompensuojamosios MPP kiekis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(7, e. receptas) (14, 003/a) (18, 003-2/a) (14, 003-4/a) (21, 063/a) (14, 097/a) (23, 113/a)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41.25.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Išduoto vaisto ar kompensuojamosios MPP pardavimo kaina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(7, e. receptas)</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41.26.</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Išduoto vaisto ar kompensuojamosios MPP kompensuojama kaina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(7, e. receptas)</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41.27.</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Paciento sumokėta suma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(7, e. receptas)</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41.28.</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Vaisto ar kompensuojamosios MPP pakanka iki (data)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(7, e. receptas)</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41.29.</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Vaisto ar kompensuojamosios MPP vartojimo trukmė</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(6, e. receptas) (14, 003/a) (18, 003-2/a) (14, 003-4/a)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41.30.</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ES kompetentingos institucijos kodas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(6, e. receptas) (7, e. receptas)</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41.31.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ES piliečio sveikatos draudimo kortelės / sertifikato / e. formos numeris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(6, e. receptas) (7, e. receptas)</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41.32.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ES piliečio identifikacinis kodas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(6, e. receptas) (7, e. receptas)</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41.33.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Paskirto vaisto ar kompensuojamosios MPP identifikatorius (NPKID/MPPID)</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(6, e. receptas) (14, 003/a) (18, 003-2/a) (14, 003-4/a) (3, 025/a) (21, 063/a)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41.34.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Paskirtos kompensuojamosios MPP grupės pavadinimas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(6, e. receptas) (14, 003/a) (18, 003-2/a) (14, 003-4/a)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41.35.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Paskirtos kompensuojamosios MPP matmenys ir kiti duomenys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(6, e. receptas) (14, 003/a) (18, 003-2/a) (14, 003-4/a) (14, 003-9/a)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41.36.</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Paskirto vaisto bendrinis pavadinimas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(6, e. receptas) (14, 003/a) (18, 003-2/a) (14, 003-4/a) (3, 025/a) (21, 063/a) (14, 097/a) (23, 048/a) (23, 113/a)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41.37.</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Paskirto vaisto ar kompensuojamosios MPP prekinis pavadinimas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(6, e. receptas) (14, 003/a) (18, 003-2/a) (14, 003-4/a) (14, 003-9/a)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41.38.</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Paskirto ekstemporalaus vaisto pavadinimas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(6, e. receptas) (14, 003/a) (18, 003-2/a) (14, 003-4/a) (14, 003-9/a)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41.39.</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Paskirto ekstemporalaus vaisto sudėtis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(6, e. receptas) (14, 003/a) (18, 003-2/a) (14, 003-4/a) (14, 003-9/a)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41.40.</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Paskirto vaisto stiprumas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(6, e. receptas) (14, 003/a) (18, 003-2/a) (14, 003-4/a) (14, 003-9/a)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41.41.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Paskirto vaisto farmacinė forma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(6, e. receptas) (14, 003/a) (18, 003-2/a) (14, 003-4/a) (3, 025/a) (14, 003-9/a) (21, 063/a)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41.42.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Paskirto vaisto vienkartinė dozė</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(6, e. receptas) (14, 003/a) (18, 003-2/a) (14, 003-4/a) (14, 003-9/a) (21, 063/a) (14, 097/a) (23, 113/a)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41.43.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Paskirto vaisto vartojimo dažnumas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(6, e. receptas) (14, 003/a) (18, 003-2/a) (14, 003-4/a) (14, 003-9/a)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41.44.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Paskirto vaisto vartojimo būdas</w:t>
                </w:r>
              </w:p>
            </w:tc>
            <w:tc>
              <w:tcPr>
                <w:tcW w:w="4585" w:type="dxa"/>
                <w:tcBorders>
                  <w:top w:val="single" w:sz="4" w:space="0" w:color="000000"/>
                  <w:left w:val="single" w:sz="4" w:space="0" w:color="000000"/>
                  <w:bottom w:val="single" w:sz="4" w:space="0" w:color="000000"/>
                  <w:right w:val="nil"/>
                </w:tcBorders>
                <w:tcMar>
                  <w:top w:w="40" w:type="dxa"/>
                  <w:left w:w="57" w:type="dxa"/>
                  <w:bottom w:w="40" w:type="dxa"/>
                  <w:right w:w="57" w:type="dxa"/>
                </w:tcMar>
              </w:tcPr>
              <w:p>
                <w:pPr>
                  <w:widowControl w:val="0"/>
                  <w:suppressAutoHyphens/>
                  <w:rPr>
                    <w:color w:val="000000"/>
                  </w:rPr>
                </w:pPr>
                <w:r>
                  <w:rPr>
                    <w:color w:val="000000"/>
                  </w:rPr>
                  <w:t>(6, e. receptas) (14, 003/a) (18, 003-2/a) (14, 003-4/a) (14, 003-9/a)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41.45.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Vaisto įsigijimo būdas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(14, 003/a) (18, 003-2/a) (14, 003-4/a) (14, 003-9/a)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41.46.</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Paskirto vaisto dozuočių skaičius ar kompensuojamosios MPP kiekis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(6, e. receptas) (14, 003/a) (18, 003-2/a) (14, 003-4/a) (14, 003-9/a)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41.47.</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Rp. (Recipe)</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(6, e. receptas) (14, 003/a) (18, 003-2/a) (14, 003-4/a) (14, 003-9/a)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41.48.</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Vaikui / suaugusiam</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(6, e. receptas) (14, 003/a) (18, 003-2/a) (14, 003-4/a)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41.49.</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Recepto požymis (kompensuojamasis / paprastas / narkotinis)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(6, e. receptas) (14, 003/a) (18, 003-2/a) (14, 003-4/a)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41.50.</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Vaisto žymuo</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(6, e. receptas) (14, 003/a) (18, 003-2/a) (14, 003-4/a)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41.51.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Gydymo vaistais pradžia, data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(6, e. receptas) (14, 003/a) (18, 003-2/a) (14, 003-4/a)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41.52.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Rekomendacija farmacijos specialistui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(6, e. receptas) (14, 003/a) (18, 003-2/a) (14, 003-4/a)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41.53.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Vaisto pakaitalas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(7, e. receptas)</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41.54.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Receptą išrašiusio gydytojo telefonas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(6, e. receptas) (14, 003/a) (18, 003-2/a) (14, 003-4/a)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b/>
                    <w:bCs/>
                    <w:color w:val="000000"/>
                  </w:rPr>
                  <w:t>42.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b/>
                    <w:bCs/>
                    <w:color w:val="000000"/>
                  </w:rPr>
                  <w:t>Profilaktinių skiepijimų registravimas (063/a)</w:t>
                </w: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42.1.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Skiepo pavadinimas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(2, 025/a) (3, 025/a) (21, 063/a) (14, 097/a) (23, 048/a) (23, 113/a)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42.2.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Vakcinacija ar revakcinacija (požymis)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(21, 063/a) (14, 097/a) (23, 113/a)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42.3.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Vakcinacijos neatlikimo priežastis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(14, 097/a) (23, 113/a)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42.4.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Šalis, iš kurios gauta (vakcina)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(21, 063/a) (14, 097/a) (23, 113/a)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42.5.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Skiepijimo metodas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(21, 063/a) (14, 097/a) (23, 113/a)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42.6.</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Skiepijimo etapo Nr.</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(21, 063/a) (14, 097/a) (23, 113/a)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42.7.</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Skiepijimo data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(2, 025/a) (3, 025/a) (21, 063/a) (14, 097/a) (23, 048/a) (23, 113/a)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42.8.</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Serija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(21, 063/a) (14, 097/a) (23, 113/a)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42.9.</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Bendra reakcija į skiepijimą (T)</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(21, 063/a) (14, 097/a)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42.10.</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Vietinė reakcija į skiepijimą</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(21, 063/a) (14, 097/a)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42.11.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Medicininės kontraindikacijos nustatymo data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(21, 063/a) (14, 097/a)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42.12.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Medicininės kontraindikacijos priežastis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(21, 063/a) (14, 097/a)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42.13.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Pastabos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(2, 025/a) (3, 025/a) (21, 063/a) (14, 097/a)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b/>
                    <w:bCs/>
                    <w:color w:val="000000"/>
                  </w:rPr>
                  <w:t>43.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b/>
                    <w:bCs/>
                    <w:color w:val="000000"/>
                  </w:rPr>
                  <w:t>Siuntimas laboratoriniam / instrumentiniam tyrimui ir tyrimo rezultatas</w:t>
                </w: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43.1.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Siuntimo numeris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(4, 003-9/a) (4, 200/a)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43.2.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Tyrimų rinkinio pavadinimas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(4, 003-9/a) (4, 200/a)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43.3.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Ištirti (įrašyti)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(4, 003-9/a) (4, 200/a)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43.4.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Medžiaga tirti paimta iš</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(4, 003-9/a) (4, 200/a)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43.5.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Tiriamoji medžiaga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(4, 003-9/a) (4, 200/a)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43.6.</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Audinį fiksuojanti medžiaga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(4, 003-9/a) (4, 200/a)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43.7.</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Medžiagos paėmimo data (iki minučių)</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(4, 003-9/a) (4, 200/a)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43.8.</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Pasėlio data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(4, 003-9/a) (4, 200/a)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43.9.</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Pasėlio terpė</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(4, 003-9/a) (4, 200/a)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43.10.</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Bandinio / tepinėlio numeris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(4, 003-9/a) (4, 200/a)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b/>
                    <w:bCs/>
                    <w:color w:val="000000"/>
                  </w:rPr>
                  <w:t>44.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b/>
                    <w:bCs/>
                    <w:color w:val="000000"/>
                  </w:rPr>
                  <w:t>Bendro kraujo tyrimo duomenys</w:t>
                </w: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44.1.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Eritrocitai (RBC)</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003-9/a) (5, 096/a) (5, 224/a)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44.2.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Hemoglobinas (HGB</w:t>
                </w:r>
                <w:r>
                  <w:rPr>
                    <w:b/>
                    <w:bCs/>
                    <w:color w:val="000000"/>
                  </w:rPr>
                  <w:t>)</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003-9/a) (5, 096/a) (5, 224/a)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44.3.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Hemoglobinas eritrocite (MCH</w:t>
                </w:r>
                <w:r>
                  <w:rPr>
                    <w:b/>
                    <w:bCs/>
                    <w:color w:val="000000"/>
                  </w:rPr>
                  <w:t>)</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003-9/a) (5, 096/a) (5, 224/a)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44.4.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Vidutinis eritrocito tūris (MVC)</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003-9/a) (5, 096/a) (5, 224/a)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44.5.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Retikulocitai (RET)</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003-9/a) (5, 096/a) (5, 224/a)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44.6.</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Trombocitai (PLT)</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003-9/a) (5, 096/a) (5, 224/a)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44.7.</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Eritrocitų nusėdimo greitis (ESR)</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003-9/a) (5, 096/a) (5, 224/a)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44.8.</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Hemokritas (HCT)</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003-9/a) (5, 096/a) (5, 224/a)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44.9.</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Krešėjimo laikas (min. pagal Sucharevą)</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003-9/a) (5, 096/a) (5, 224/a)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44.10.</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Krešėjimo laikas (min. pagal Dukė)</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003-9/a) (5, 096/a) (5, 224/a)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44.11.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Leukocitai (WBC)</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003-9/a) (5, 096/a) (5, 224/a)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44.12.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Bazofilai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003-9/a) (5, 096/a) (5, 224/a)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44.13.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Mielocitai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003-9/a) (5, 096/a) (5, 224/a)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44.14.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Meta-mielocitai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003-9/a) (5, 096/a) (5, 224/a)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44.15.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Lazdeliniai, proc.</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003-9/a) (5, 096/a) (5, 224/a)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44.16.</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Segmentuoti, proc.</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003-9/a) (5, 096/a) (5, 224/a)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44.17.</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Limfocitai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003-9/a) (5, 096/a) (5, 224/a)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44.18.</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Monacitai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003-9/a) (5, 096/a) (5, 224/a)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44.19.</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Promielocitai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003-9/a) (5, 096/a) (5, 224/a)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44.20.</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Blastai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003-9/a) (5, 096/a) (5, 224/a)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44.21.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Plazminės ląstelės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003-9/a) (5, 096/a) (5, 224/a)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44.22.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Anizocitozė</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003-9/a) (5, 096/a) (5, 224/a)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44.23.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Poikilocitozė</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003-9/a) (5, 096/a) (5, 224/a)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44.24.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Normocitai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003-9/a) (5, 096/a) (5, 224/a)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44.25.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Hipersegmentacija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003-9/a) (5, 096/a) (5, 224/a)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44.26.</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Eritrocitų morfologiniai pakitimai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003-9/a) (5, 096/a) (5, 224/a)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44.27.</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Neutrofilų toksinis grūdėtumas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003-9/a) (5, 096/a) (5, 224/a)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b/>
                    <w:bCs/>
                    <w:color w:val="000000"/>
                  </w:rPr>
                  <w:t>45.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b/>
                    <w:bCs/>
                    <w:color w:val="000000"/>
                  </w:rPr>
                  <w:t>Šlapimo tyrimo duomenys</w:t>
                </w: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45.1.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Šlapimo kiekis, ml</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003-9/a) (5, 096/a) (4, 113/a) (5, 210/a)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45.2.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Acetonas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003-9/a) (5, 096/a) (4, 113/a) (5, 210/a)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45.3.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Spalva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003-9/a) (5, 096/a) (4, 113/a) (5, 210/a)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45.4.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Tulžies pigmentas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003-9/a) (5, 096/a) (4, 113/a) (5, 210/a)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45.5.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Skaidrumas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003-9/a) (5, 096/a) (4, 113/a) (5, 210/a)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45.6.</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Urobilinas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003-9/a) (5, 096/a) (4, 113/a) (5, 210/a)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45.7.</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Lyg. tankis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003-9/a) (5, 096/a) (4, 113/a) (5, 210/a)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45.8.</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Indikanas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003-9/a) (5, 096/a) (4, 113/a) (5, 210/a)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45.9.</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Reakcija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003-9/a) (5, 096/a) (4, 113/a) (5, 210/a)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45.10.</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Baltymas, mg/l</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003-9/a) (5, 096/a) (4, 113/a) (5, 210/a)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45.11.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Gliukozė, mmol/l</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003-9/a) (5, 096/a) (4, 113/a) (5, 210/a)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45.12.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Epitelis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003-9/a) (5, 096/a) (4, 113/a) (5, 210/a)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45.13.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Leukocitai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003-9/a) (5, 096/a) (4, 113/a) (5, 210/a)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45.14.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Eritrocitai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003-9/a) (5, 096/a) (4, 113/a) (5, 210/a)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45.15.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Cilindrai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003-9/a) (5, 096/a) (4, 113/a) (5, 210/a)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45.16.</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Gleivės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003-9/a) (5, 096/a) (4, 113/a) (5, 210/a)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45.17.</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Bakterijos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003-9/a) (5, 096/a) (4, 113/a) (5, 210/a)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45.18.</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Druskos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003-9/a) (5, 096/a) (4, 113/a) (5, 210/a)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45.19.</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Grybeliai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003-9/a) (5, 096/a) (4, 113/a) (5, 210/a)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b/>
                    <w:bCs/>
                    <w:color w:val="000000"/>
                  </w:rPr>
                  <w:t>46.</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b/>
                    <w:bCs/>
                    <w:color w:val="000000"/>
                  </w:rPr>
                  <w:t>Prostatos sekreto tyrimo duomenys</w:t>
                </w: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46.1.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Tiriamoji medžiaga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003-9/a) (5, 217/a)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46.2.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Epiteliai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003-9/a) (5, 217/a)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46.3.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Leukocitai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003-9/a) (5, 217/a)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46.4.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Eritrocitai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003-9/a) (5, 217/a)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46.5.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Makrofagai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003-9/a) (5, 217/a)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46.6.</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Lecitiniai kūneliai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003-9/a) (5, 217/a)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46.7.</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Amiliodiniai kūnai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003-9/a) (5, 217/a)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46.8.</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Spermatozoidai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003-9/a) (5, 217/a)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46.9.</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Trichomonos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003-9/a) (5, 217/a)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46.10.</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Gonokokai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003-9/a) (5, 217/a)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46.11.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Flora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003-9/a) (5, 217/a)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46.12.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Atipinės ląstelės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003-9/a) (5, 217/a)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b/>
                    <w:bCs/>
                    <w:color w:val="000000"/>
                  </w:rPr>
                  <w:t>47.</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b/>
                    <w:bCs/>
                    <w:color w:val="000000"/>
                  </w:rPr>
                  <w:t>Koprologinio tyrimo duomenys</w:t>
                </w: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47.1.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Kraujui aptikti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(4, 219/a)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47.2.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Bilirubinui aptikti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(4, 219/a)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47.3.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Su acto rūgštimi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(4, 219/a)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47.4.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Su aublimatu</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(4, 219/a)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47.5.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Su trichloracto rūgštimi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(4, 219/a)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47.6.</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Sterkobilinui aptikti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(4, 219/a)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47.7.</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Kiekis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219/a)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47.8.</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Gleivės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219/a)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47.9.</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Forma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219/a)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47.10.</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Konsistencija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219/a)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47.11.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Spalva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219/a)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47.12.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Kvapas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219/a)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47.13.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Kraujas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219/a)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47.14.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Pūliai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219/a)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47.15.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Nesuvirškintas maistas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219/a)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47.16.</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Riebalinės rūgštys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219/a)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47.17.</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Natūralūs riebalai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219/a)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47.18.</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Muilai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219/a)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47.19.</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Raumenų skaidulos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219/a)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47.20.</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Krakmolas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219/a)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47.21.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Jodofilinė flora pirmuonys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219/a)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47.22.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Jungiamasis audinys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219/a)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47.23.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Narveliena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219/a)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47.24.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Gleivės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219/a)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47.25.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Leukocitai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219/a)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47.26.</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Eritrocitai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219/a)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47.27.</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Žarnų epitelis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219/a)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47.28.</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Kristalai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219/a)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47.29.</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Mielių grybeliai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219/a)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47.30.</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Patogeniniai pirmuonys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219/a)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47.31.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Kirmėlių kiaušinėliai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219/a)</w:t>
                </w:r>
              </w:p>
            </w:tc>
          </w:tr>
          <w:tr>
            <w:trPr>
              <w:trHeight w:val="1075"/>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b/>
                    <w:bCs/>
                    <w:color w:val="000000"/>
                  </w:rPr>
                  <w:t>48.</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b/>
                    <w:bCs/>
                    <w:color w:val="000000"/>
                  </w:rPr>
                  <w:t>Biocheminio kraujo tyrimo duomenys (Lipopro- teinograma)</w:t>
                </w: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48.1.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Bendras cholesterolis, mmol/l</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003-9/a) (5, 096/a) (5, 228-1/a)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48.2.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DTL – cholesterolis, mmol/l</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003-9/a) (5, 096/a) (5, 228-1/a)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48.3.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MTL – cholesterolis, mmol/l</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003-9/a) (5, 096/a) (5, 228-1/a)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48.4.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Trigliceridai, mmol/l</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003-9/a) (5, 096/a) (5, 228-1/a)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48.5.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Lipoproteinogramos tipas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003-9/a) (5, 096/a) (5, 228-1/a)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b/>
                    <w:bCs/>
                    <w:color w:val="000000"/>
                  </w:rPr>
                  <w:t>49.</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b/>
                    <w:bCs/>
                    <w:color w:val="000000"/>
                  </w:rPr>
                  <w:t>Biocheminio kraujo tyrimo duomenys (Proteinograma)</w:t>
                </w: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49.1.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Baltymų kiekis, g/l</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003-9/a) (5, 096/a) (5, 228-2/a)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49.2.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Albuminai, proc.</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003-9/a) (5, 096/a) (5, 228-2/a)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49.3.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Alfa 1</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003-9/a) (5, 096/a) (5, 228-2/a)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49.4.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Alfa 2</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003-9/a) (5, 096/a) (5, 228-2/a)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49.5.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Beta 1</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003-9/a) (5, 096/a) (5, 228-2/a)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49.6.</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Beta 2</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003-9/a) (5, 096/a) (5, 228-2/a)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49.7.</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Gama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003-9/a) (5, 096/a) (5, 228-2/a)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49.8.</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Paraproteininės reakcijos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003-9/a) (5, 096/a) (5, 228-2/a)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b/>
                    <w:bCs/>
                    <w:color w:val="000000"/>
                  </w:rPr>
                  <w:t>50.</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b/>
                    <w:bCs/>
                    <w:color w:val="000000"/>
                  </w:rPr>
                  <w:t>Serologinio tyrimo duomenys</w:t>
                </w: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50.1.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Kraujo paėmimo data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096/a)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50.2.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Vasermano reakcija su antigenais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096/a)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50.3.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Mikroprecipitacijos reakcija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096/a)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50.4.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TPHA (titras)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096/a)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50.5.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RPR (titras)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096/a)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50.6.</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Vasermano reakcija šaltyje</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096/a)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50.7.</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Treponeizacijos imobilizacijos reakcija (TIR)</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096/a)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50.8.</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Imunofluorescencijos reakcija (IFR)</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096/a)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50.9.</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Ekspresreakcija su kraujo plazma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096/a)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50.10.</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Kitos reakcijos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096/a)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b/>
                    <w:bCs/>
                    <w:color w:val="000000"/>
                  </w:rPr>
                  <w:t>51.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b/>
                    <w:bCs/>
                    <w:color w:val="000000"/>
                  </w:rPr>
                  <w:t>Biopsinės ir operacinės medžiagos siuntimas tirti (specifinė dalis)</w:t>
                </w: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51.1.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Pirminė biopsija? (taip / ne)</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(4, 200/a)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51.2.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Ankstesnių morfologinių tyrimų data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(4, 200/a)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51.3.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Ankstesnių morfologinių tyrimų vieta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(4, 200/a)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51.4.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Ankstesnių morfologinių tyrimų registracijos Nr.</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(4, 200/a)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51.5.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Histologinio / citologinio objekto apibūdinimas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(4, 200/a)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b/>
                    <w:bCs/>
                    <w:color w:val="000000"/>
                  </w:rPr>
                  <w:t>52.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b/>
                    <w:bCs/>
                    <w:color w:val="000000"/>
                  </w:rPr>
                  <w:t>Biopsinės ir operacinės medžiagos tyrimo duomenys (specifinė dalis)</w:t>
                </w: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52.1.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Medžiagos gavimo data (iki minučių)</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003-9/a) (5, 096/a) (5, 200/a)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52.2.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Atliktų tyrimų grąžinimo data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003-9/a) (5, 096/a) (5, 200/a)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52.3.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Tyrimo numeris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003-9/a) (5, 096/a) (5, 200/a)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52.4.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Rodiklių grupės pavadinimas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003-9/a) (5, 096/a) (5, 200/a)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52.5.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Tirtas rodiklis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003-9/a) (5, 096/a) (5, 200/a)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52.6.</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Norma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003-9/a) (5, 096/a) (5, 200/a)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52.7.</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Tyrimo rezultatas (tirtų rodiklių reikšmės)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003-9/a) (5, 096/a) (5, 200/a)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52.8.</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Tyrimo rezultato nuoroda (kai rezultatas grąžinamas daugialypės terpės pavidalu, pvz., vaizdas ) į „prisegtą“ bylą</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003-9/a) (5, 096/a) (5, 200/a)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52.9.</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Išvada / Diagnozė</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003-9/a) (5, 096/a) (4, 113/a) (5, 200/a)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52.10.</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Ligos kodas (TLK-10-AM)</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003-9/a) (5, 096/a) (4, 113/a) (5, 200/a)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52.11.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Pastabos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003-9/a) (5, 096/a) (4, 113/a) (5, 200/a)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52.12.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Tiriančiosios įstaigos kodas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003-9/a) (5, 096/a) (5, 200/a) (5, 210/a) (5, 217/a) (5, 219/a) (5, 224/a) (5, 228-1/a) (5, 228-2/a)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52.13.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Tiriančiosios įstaigos identifikatorius (SVEIDRA identifikatorius)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003-9/a) (5, 096/a) (5, 200/a) (5, 210/a) (5, 217/a) (5, 219/a) (5, 224/a) (5, 228-1/a) (5, 228-2/a)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52.14.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Tiriančiosios įstaigos pavadinimas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003-9/a) (5, 096/a) (5, 200/a) (5, 210/a) (5, 217/a) (5, 219/a) (5, 224/a) (5, 228-1/a) (5, 228-2/a)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52.15.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Laboratorijos pavadinimas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003-9/a) (5, 096/a) (5, 200/a) (5, 210/a) (5, 217/a) (5, 219/a) (5, 224/a) (5, 228-1/a) (5, 228-2/a)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52.16.</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Specialisto (gydytojo tyrėjo) spaudo Nr.</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003-9/a) (5, 096/a) (5, 200/a) (5, 210/a) (5, 217/a) (5, 219/a) (5, 224/a) (5, 228-1/a) (5, 228-2/a)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52.17.</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Specialisto (gydytojo tyrėjo) vardas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003-9/a) (5, 096/a) (5, 200/a) (5, 210/a) (5, 217/a) (5, 219/a) (5, 224/a) (5, 228-1/a) (5, 228-2/a)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52.18.</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Specialisto (gydytojo tyrėjo) pavardė</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003-9/a) (5, 096/a) (5, 200/a) (5, 210/a) (5, 217/a) (5, 219/a) (5, 224/a) (5, 228-1/a) (5, 228-2/a)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52.19.</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Laboranto vardas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003-9/a) (5, 096/a) (5, 200/a) (5, 210/a) (5, 217/a) (5, 219/a) (5, 224/a) (5, 228-1/a) (5, 228-2/a)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52.20.</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Laboranto pavardė</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003-9/a) (5, 096/a) (5, 200/a) (5, 210/a) (5, 217/a) (5, 219/a) (5, 224/a) (5, 228-1/a) (5, 228-2/a)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52.21.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Procedūros kodai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200/a) (5, 210/a) (5, 217/a) (5, 219/a) (5, 224/a) (5, 228-1/a) (5, 228-2/a)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52.22.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Morfologinis kodas (pagal ICD-O-2 ar SNOMED)</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200/a) (5, 210/a) (5, 217/a) (5, 219/a) (5, 224/a) (5, 228-1/a) (5, 228-2/a)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52.23.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Patologo spaudo Nr.</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200/a) (5, 210/a) (5, 217/a) (5, 219/a) (5, 224/a) (5, 228-1/a) (5, 228-2/a)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52.24.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Patologo vardas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200/a) (5, 210/a) (5, 217/a) (5, 219/a) (5, 224/a) (5, 228-1/a) (5, 228-2/a)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52.25.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Patologo pavardė</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(5, 200/a) (5, 210/a) (5, 217/a) (5, 219/a) (5, 224/a) (5, 228-1/a) (5, 228-2/a)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b/>
                    <w:bCs/>
                    <w:color w:val="000000"/>
                  </w:rPr>
                  <w:t>53.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b/>
                    <w:bCs/>
                    <w:color w:val="000000"/>
                  </w:rPr>
                  <w:t>Radiacinės saugos duomenys</w:t>
                </w: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pP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pP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53.1.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Medicinos prietaiso identifikatorius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pP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53.2.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Apšvitos dozė / aktyvumas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pP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53.3.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 xml:space="preserve">Matavimo vienetai  (apšvitos dozė / aktyvumas)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pP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53.4.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Bendra procedūros trukmė atliekant spindulinę terapiją</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pP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53.5.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Naudotas radiofarmakologinis preparatas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pP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53.6.</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Naudotas radionuklidas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pP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b/>
                    <w:bCs/>
                    <w:color w:val="000000"/>
                  </w:rPr>
                  <w:t>54.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b/>
                    <w:bCs/>
                    <w:color w:val="000000"/>
                  </w:rPr>
                  <w:t>Siuntimas į Neįgalumo ir darbingumo nustatymo tarnybą prie SADM</w:t>
                </w: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54.1.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Barthelio indeksas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(8, Siuntimas į NDNT)</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54.2.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Siuntimo į NDNT pagrindas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(8, Siuntimas į NDNT)</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54.3.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Gydytojų konsultacinės komisijos (GKK) išvada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(8, Siuntimas į NDNT)</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54.4.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GKK pirmininkas spaudo Nr.</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(8, Siuntimas į NDNT)</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54.5.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GKK pirmininko vardas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(8, Siuntimas į NDNT)</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54.6.</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GKK pirmininko pavardė</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(8, Siuntimas į NDNT)</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54.7.</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Funkcijų sutrikimo klasė</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(8, Siuntimas į NDNT)</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54.8.</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Funkcijų sutrikimo laipsnis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(8, Siuntimas į NDNT)</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54.9.</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Funkcijų sutrikimo stadija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(8, Siuntimas į NDNT)</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54.10.</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Funkcijų sutrikimo eiga / forma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(8, Siuntimas į NDNT)</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b/>
                    <w:bCs/>
                    <w:color w:val="000000"/>
                  </w:rPr>
                  <w:t>55.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b/>
                    <w:bCs/>
                    <w:color w:val="000000"/>
                  </w:rPr>
                  <w:t>Naujagimio kortelė (010-1-1/a), Negyvagimio kortelė (010-2-1/a)</w:t>
                </w: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55.1.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Ankstesnių nėštumų skaičius (iš viso)</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(14, 010-1-1/a) (14, 010-2-1/a) (14, 096/a) (14, 097/a)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55.2.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Ankstesnių nėštumų, nutrūkusių dėl ..., skaičius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(14, 010-1-1/a) (14, 010-2-1/a) (14, 096/a) (14, 097/a)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55.3.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Ankstesnių gimdymų skaičius (iš viso)</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(14, 010-1-1/a) (14, 010-2-1/a) (14, 096/a) (14, 097/a)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55.4.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Ankstesnių gimdymų skaičius pagal baigtis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(14, 010-1-1/a) (14, 010-2-1/a) (14, 096/a) (14, 097/a)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55.5.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Akušerinė ir ginekologinė anamnezė</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(14, 096/a) (14, 097/a) (23, 113/a)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55.6.</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Nepalanki akušerinė anamnezė</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(14, 010-1-1/a) (14, 010-2-1/a) (23, 113/a)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55.7.</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Nepalanki nėščiosios būklė</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(14, 010-1-1/a) (14, 010-2-1/a) (23, 113/a)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55.8.</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Nėštumo patologija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(14, 010-1-1/a) (14, 010-2-1/a) (23, 113/a)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55.9.</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Persileidimai, nėštumo nutraukimai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(23, 113/a)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55.10.</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Nėštumo komplikacijos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(14, 097/a)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55.11.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Ekstragenitalinė patologija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(23, 113/a)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55.12.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Nėščiosios liga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(14, 010-1-1/a) (14, 010-2-1/a)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55.13.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Rizika vaisiui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(14, 096/a) (23, 113/a)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55.14.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Akušerinė procedūra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(14, 010-1-1/a) (14, 010-2-1/a) (23, 113/a)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55.15.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Gimdymo vieta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(14, 010-1-1/a) (14, 010-2-1/a) (23, 103-1/a) (23, 113/a)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55.16.</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Gimdymo būdas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(14, 010-1-1/a) (14, 010-2-1/a) (23, 113/a)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55.17.</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Gimdymo komplikacijos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(14, 010-1-1/a) (14, 010-2-1/a) (14, 097/a) (23, 113/a)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55.18.</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Gimdymo trukmė, bendra (val., min.)</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(14, 010-1-1/a) (14, 010-2-1/a) (14, 096/a) (14, 097/a) (23, 113/a)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55.19.</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Gimdymo trukmė, I laikotarpis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(14, 096/a) (14, 097/a)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55.20.</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Gimdymo trukmė, II laikotarpis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(14, 096/a) (14, 097/a)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55.21.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Gimdymo trukmė, III laikotarpis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(14, 096/a)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55.22.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Bevandenis laikotarpis (val., min.)</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(14, 010-1-1/a) (14, 010-2-1/a) (14, 097/a) (23, 113/a)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55.23.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Gimdos dugno aukštis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(14, 096/a)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55.24.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Pilvo apimtis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(14, 096/a)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55.25.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Gimdos susitraukimai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(14, 096/a)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55.26.</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Stangų pradžia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(14, 096/a)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55.27.</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Visiškas gimdos kaklelio atsidarymas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(14, 096/a)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55.28.</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Edemos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(23, 113/a)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55.29.</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Santykis su kauliniu dubeniu</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(14, 096/a) (23, 113/a)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55.30.</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Vaisiaus širdies tonai (V.Š.T.)</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(14, 096/a) (23, 113/a)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55.31.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Vaisiaus judesiai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(14, 096/a) (23, 113/a)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55.32.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Vaisiaus padėtis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(14, 096/a) (23, 113/a)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55.33.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Vaisiaus pirmaeiga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(14, 096/a)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55.34.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Vaisiaus vaizdas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(14, 096/a) (14, 097/a)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55.35.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Vaisiaus pozicija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(14, 096/a)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55.36.</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Išskyros iš lyties organų</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(14, 096/a)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55.37.</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Vaisiaus vandenys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(14, 096/a)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55.38.</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Vaisiaus vandenų kiekis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(14, 096/a)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55.39.</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Vaisiaus vandenų spalva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(14, 096/a)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55.40.</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Gimdymo tyrimas pagal</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(14, 096/a)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55.41.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Vaisių skaičius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(14, 010-1-1/a) (14, 010-2-1/a) (14, 096/a)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55.42.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Kelintas vaisius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(14, 010-1-1/a) (14, 010-2-1/a) (14, 096/a) (14, 097/a)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55.43.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Gimimo data (iki minučių)</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(14, 010-1-1/a) (14, 010-2-1/a) (14, 096/a) (14, 097/a) (23, 113/a)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55.44.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Lytis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(14, 010-1-1/a) (14, 010-2-1/a) (14, 096/a) (14, 097/a) (23, 113/a)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55.45.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Svoris, g</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(14, 010-1-1/a) (14, 010-2-1/a) (14, 096/a) (14, 097/a) (23, 113/a)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55.46.</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Svoris išrašant, g</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(23, 113/a)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55.47.</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Ūgis cm</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(14, 010-1-1/a) (14, 010-2-1/a) (14, 096/a) (14, 097/a) (23, 113/a)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55.48.</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Išnešiotas (neišnešiotas)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(14, 097/a)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55.49.</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Galva (momenėliai, siūlės, priešgalvis)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(14, 097/a)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55.50.</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Galvos apimtis cm</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(14, 010-1-1/a) (14, 010-2-1/a) (14, 096/a) (14, 097/a) (23, 113/a)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55.51.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Krūtinės apimtis cm</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(14, 096/a) (14, 097/a)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55.52.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Krūtinės ląstos forma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(14, 097/a)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55.53.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Odos spalva, riksmas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(14, 097/a)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55.54.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Asfiksija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(14, 097/a)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55.55.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Gestacinis amžius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(14, 010-1-1/a) (14, 010-2-1/a)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55.56.</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APGAR</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(14, 010-1-1/a) (14, 010-2-1/a) (14, 096/a) (14, 097/a) (23, 113/a)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55.57.</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Subrendimo indeksas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(14, 010-1-1/a) (14, 010-2-1/a)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55.58.</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Virkštelės kraujo pH</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(14, 010-1-1/a) (14, 010-2-1/a) (14, 096/a) (23, 113/a)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55.59.</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Trachėjos intubacija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(14, 010-1-1/a) (14, 010-2-1/a)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55.60.</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Deguonies terapija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(14, 010-1-1/a) (14, 010-2-1/a)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55.61.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Naujagimio patologija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(14, 010-1-1/a) (14, 010-2-1/a)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55.62.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Baigtis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(14, 010-1-1/a) (14, 010-2-1/a)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55.63.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Gonoblenorėjos profilaktika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(14, 096/a) (14, 097/a)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55.64.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Placentinis laikotarpis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(14, 096/a)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55.65.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Placenta atsiskyrė</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(14, 096/a)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55.66.</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Placentos ir plėvių apibūdinimas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(14, 096/a)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55.67.</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Placenta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(14, 096/a)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55.68.</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Virkštelės ilgis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(14, 096/a)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55.69.</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Virkštelės bigė</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(14, 097/a)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55.70.</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Virkštelė apsisukusi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(14, 096/a)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55.71.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Netekta kraujo</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(14, 096/a)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55.72.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Netekta kūno masės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(14, 096/a)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55.73.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Episiotomija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(14, 096/a)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55.74.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Gimdos kaklelio plyšimai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(14, 096/a)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55.75.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Makšties plyšimai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(14, 096/a)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55.76.</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Tarpvietės plyšimai</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(14, 096/a)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55.77.</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Reanimacija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(14, 097/a)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55.78.</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Įgimtos ydos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(14, 097/a)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55.79.</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Naujagimio stebėjimo duomenys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(14, 097/a)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55.80.</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Vaisius žuvo</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(14, 010-1-1/a) (14, 010-2-1/a) (17, 106-2-1/a) (14, 097/a)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55.81.</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Mirties data (iki min.)</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(14, 010-1-1/a) (14, 010-2-1/a) (17, 106-2-1/a) (14, 097/a)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55.82.</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Mirties priežastys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(14, 010-1-1/a) (14, 010-2-1/a) (17, 106-2-1/a)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55.83.</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Naujagimio mirties aplinkybės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(14, 010-1-1/a) (14, 010-2-1/a) (17, 106/a)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55.84.</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Galutinė išvada</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(14, 010-1-1/a) (14, 010-2-1/a) (17, 106/a) (17, 106-2-1/a)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55.85.</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Specialisto spaudo Nr.</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(14, 010-1-1/a) (14, 010-2-1/a) (17, 106/a) (17, 106-2-1/a) (14, 096/a) (14, 097/a)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55.86.</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Specialisto vardas</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(14, 010-1-1/a) (14, 010-2-1/a) (17, 106/a) (17, 106-2-1/a) (14, 096/a) (14, 097/a)</w:t>
                </w:r>
              </w:p>
            </w:tc>
          </w:tr>
          <w:tr>
            <w:trPr>
              <w:trHeight w:val="62"/>
            </w:trPr>
            <w:tc>
              <w:tcPr>
                <w:tcW w:w="1137"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jc w:val="center"/>
                  <w:rPr>
                    <w:color w:val="000000"/>
                  </w:rPr>
                </w:pPr>
                <w:r>
                  <w:rPr>
                    <w:color w:val="000000"/>
                  </w:rPr>
                  <w:t>55.87.</w:t>
                </w:r>
              </w:p>
            </w:tc>
            <w:tc>
              <w:tcPr>
                <w:tcW w:w="180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p>
            </w:tc>
            <w:tc>
              <w:tcPr>
                <w:tcW w:w="2280"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Specialisto pavardė</w:t>
                </w:r>
              </w:p>
            </w:tc>
            <w:tc>
              <w:tcPr>
                <w:tcW w:w="4585" w:type="dxa"/>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suppressAutoHyphens/>
                  <w:rPr>
                    <w:color w:val="000000"/>
                  </w:rPr>
                </w:pPr>
                <w:r>
                  <w:rPr>
                    <w:color w:val="000000"/>
                  </w:rPr>
                  <w:t>(14, 010-1-1/a) (14, 010-2-1/a) (17, 106/a) (17, 106-2-1/a) (14, 096/a) (14, 097/a)</w:t>
                </w:r>
              </w:p>
            </w:tc>
          </w:tr>
        </w:tbl>
        <w:p>
          <w:pPr>
            <w:widowControl w:val="0"/>
            <w:suppressAutoHyphens/>
            <w:ind w:firstLine="567"/>
            <w:jc w:val="both"/>
            <w:rPr>
              <w:color w:val="000000"/>
            </w:rPr>
          </w:pPr>
        </w:p>
        <w:p>
          <w:pPr>
            <w:widowControl w:val="0"/>
            <w:suppressAutoHyphens/>
            <w:ind w:firstLine="567"/>
            <w:jc w:val="both"/>
            <w:rPr>
              <w:color w:val="000000"/>
            </w:rPr>
          </w:pPr>
          <w:r>
            <w:rPr>
              <w:color w:val="000000"/>
              <w:u w:val="single"/>
            </w:rPr>
            <w:t>Pastaba.</w:t>
          </w:r>
          <w:r>
            <w:rPr>
              <w:color w:val="000000"/>
            </w:rPr>
            <w:t xml:space="preserve"> Šiame priede pateikti ir tie duomenys, kurių nebuvo nagrinėtose sveikatos statistikos apskaitos formose, tačiau elektroniniame sveikatos įraše jie turės prasmę (pvz., kreipinys – ne visada pagal vardą ir pavardę įmanoma nustatyti lytį, religija – galbūt nepriimtinas kraujo perpylimas ir kt.).</w:t>
          </w:r>
        </w:p>
        <w:p>
          <w:pPr>
            <w:widowControl w:val="0"/>
            <w:suppressAutoHyphens/>
            <w:ind w:firstLine="567"/>
            <w:jc w:val="both"/>
            <w:rPr>
              <w:color w:val="000000"/>
            </w:rPr>
          </w:pPr>
        </w:p>
        <w:sdt>
          <w:sdtPr>
            <w:alias w:val="pabaiga"/>
            <w:tag w:val="part_baa1060283314102b0c46067733b9ad1"/>
            <w:lock w:val="sdtLocked"/>
            <w:richText/>
          </w:sdtPr>
          <w:sdtContent>
            <w:p>
              <w:pPr>
                <w:widowControl w:val="0"/>
                <w:suppressAutoHyphens/>
                <w:jc w:val="center"/>
                <w:rPr>
                  <w:color w:val="000000"/>
                </w:rPr>
              </w:pPr>
              <w:r>
                <w:rPr>
                  <w:color w:val="000000"/>
                </w:rPr>
                <w:t>_________________</w:t>
              </w:r>
            </w:p>
            <w:p>
              <w:pP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E0083407C1B1">
            <w:r w:rsidRPr="00532B9F">
              <w:rPr>
                <w:rFonts w:ascii="Times New Roman" w:eastAsia="MS Mincho" w:hAnsi="Times New Roman"/>
                <w:sz w:val="20"/>
                <w:iCs/>
                <w:color w:val="0000FF" w:themeColor="hyperlink"/>
                <w:u w:val="single"/>
              </w:rPr>
              <w:t>V-509</w:t>
            </w:r>
          </w:fldSimple>
          <w:r>
            <w:rPr>
              <w:rFonts w:ascii="Times New Roman" w:eastAsia="MS Mincho" w:hAnsi="Times New Roman"/>
              <w:sz w:val="20"/>
              <w:iCs/>
            </w:rPr>
            <w:t>,
2012-06-07,
Žin., 2012, Nr.
66-3376 (2012-06-13), i. k. 1122250ISAK000V-509                </w:t>
          </w:r>
        </w:p>
        <w:p>
          <w:pPr>
            <w:jc w:val="both"/>
            <w:rPr>
              <w:rFonts w:ascii="Times New Roman" w:hAnsi="Times New Roman"/>
            </w:rPr>
          </w:pPr>
          <w:r>
            <w:rPr>
              <w:rFonts w:ascii="Times New Roman" w:hAnsi="Times New Roman"/>
              <w:sz w:val="20"/>
            </w:rPr>
            <w:t>Dėl Lietuvos Respublikos sveikatos apsaugos ministro 2010 m. gruodžio 17 d. įsakymo Nr. V-1079 "Dėl Sveikatos priežiūros įstaigų informacinių sistemų susiejimo su e. sveikatos paslaugų ir bendradarbiavimo infrastruktūra reikalavimų ir techninių sąlygų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1134" w:bottom="1134" w:left="1701" w:header="567" w:footer="284"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17BA"/>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42"/>
    <o:shapelayout v:ext="edit">
      <o:idmap v:ext="edit" data="1"/>
    </o:shapelayout>
  </w:shapeDefaults>
  <w:decimalSymbol w:val=","/>
  <w:listSeparator w:val=";"/>
  <w14:docId w14:val="74F5D59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oleObject" Target="embeddings/oleObject4.bin"/>
  <Relationship Id="rId11" Type="http://schemas.openxmlformats.org/officeDocument/2006/relationships/oleObject" Target="embeddings/oleObject5.bin"/>
  <Relationship Id="rId12" Type="http://schemas.openxmlformats.org/officeDocument/2006/relationships/oleObject" Target="embeddings/oleObject6.bin"/>
  <Relationship Id="rId13" Type="http://schemas.openxmlformats.org/officeDocument/2006/relationships/oleObject" Target="embeddings/oleObject7.bin"/>
  <Relationship Id="rId14" Type="http://schemas.openxmlformats.org/officeDocument/2006/relationships/endnotes" Target="endnotes.xml"/>
  <Relationship Id="rId15" Type="http://schemas.openxmlformats.org/officeDocument/2006/relationships/fontTable" Target="fontTable.xml"/>
  <Relationship Id="rId16" Type="http://schemas.openxmlformats.org/officeDocument/2006/relationships/footnotes" Target="footnotes.xml"/>
  <Relationship Id="rId17" Type="http://schemas.openxmlformats.org/officeDocument/2006/relationships/image" Target="media/image2.emf"/>
  <Relationship Id="rId18" Type="http://schemas.openxmlformats.org/officeDocument/2006/relationships/image" Target="media/image3.emf"/>
  <Relationship Id="rId19" Type="http://schemas.openxmlformats.org/officeDocument/2006/relationships/image" Target="media/image4.emf"/>
  <Relationship Id="rId2" Type="http://schemas.openxmlformats.org/officeDocument/2006/relationships/header" Target="header2.xml"/>
  <Relationship Id="rId20" Type="http://schemas.openxmlformats.org/officeDocument/2006/relationships/image" Target="media/image5.emf"/>
  <Relationship Id="rId21" Type="http://schemas.openxmlformats.org/officeDocument/2006/relationships/image" Target="media/image6.emf"/>
  <Relationship Id="rId22" Type="http://schemas.openxmlformats.org/officeDocument/2006/relationships/image" Target="media/image7.emf"/>
  <Relationship Id="rId23" Type="http://schemas.openxmlformats.org/officeDocument/2006/relationships/image" Target="media/image8.emf"/>
  <Relationship Id="rId24" Type="http://schemas.openxmlformats.org/officeDocument/2006/relationships/settings" Target="settings.xml"/>
  <Relationship Id="rId25" Type="http://schemas.openxmlformats.org/officeDocument/2006/relationships/styles" Target="styles.xml"/>
  <Relationship Id="rId26" Type="http://schemas.microsoft.com/office/2007/relationships/stylesWithEffects" Target="stylesWithEffects.xml"/>
  <Relationship Id="rId27" Type="http://schemas.openxmlformats.org/officeDocument/2006/relationships/theme" Target="theme/theme1.xml"/>
  <Relationship Id="rId28" Type="http://schemas.openxmlformats.org/officeDocument/2006/relationships/webSettings" Target="webSettings.xml"/>
  <Relationship Id="rId29" Type="http://schemas.openxmlformats.org/officeDocument/2006/relationships/image" Target="media/image1.wmf"/>
  <Relationship Id="rId3" Type="http://schemas.openxmlformats.org/officeDocument/2006/relationships/footer" Target="footer1.xml"/>
  <Relationship Id="rId30" Type="http://schemas.openxmlformats.org/officeDocument/2006/relationships/control" Target="activeX/activeX1.xml"/>
  <Relationship Id="rId31" Type="http://schemas.openxmlformats.org/officeDocument/2006/relationships/hyperlink" TargetMode="External" Target="https://www.e-tar.lt/portal/lt/legalAct/TAR.082E03CD9A27"/>
  <Relationship Id="rId32" Type="http://schemas.openxmlformats.org/officeDocument/2006/relationships/hyperlink" TargetMode="External" Target="https://www.e-tar.lt/portal/lt/legalAct/TAR.C487DCB39587"/>
  <Relationship Id="rId33" Type="http://schemas.openxmlformats.org/officeDocument/2006/relationships/hyperlink" TargetMode="External" Target="https://www.e-tar.lt/portal/lt/legalAct/TAR.082E03CD9A27"/>
  <Relationship Id="rId34" Type="http://schemas.openxmlformats.org/officeDocument/2006/relationships/hyperlink" TargetMode="External" Target="https://www.e-tar.lt/portal/lt/legalAct/TAR.06AE1481FEE7"/>
  <Relationship Id="rId35" Type="http://schemas.openxmlformats.org/officeDocument/2006/relationships/hyperlink" TargetMode="External" Target="https://www.e-tar.lt/portal/lt/legalAct/TAR.A5AD03F7C95C"/>
  <Relationship Id="rId36" Type="http://schemas.openxmlformats.org/officeDocument/2006/relationships/hyperlink" TargetMode="External" Target="https://www.e-tar.lt/portal/lt/legalAct/TAR.F1D86F455636"/>
  <Relationship Id="rId37" Type="http://schemas.openxmlformats.org/officeDocument/2006/relationships/image" Target="media/image9.wmf"/>
  <Relationship Id="rId38" Type="http://schemas.openxmlformats.org/officeDocument/2006/relationships/oleObject" Target="embeddings/oleObject8.bin"/>
  <Relationship Id="rId39" Type="http://schemas.openxmlformats.org/officeDocument/2006/relationships/customXml" Target="../customXml/item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oleObject" Target="embeddings/oleObject1.bin"/>
  <Relationship Id="rId8" Type="http://schemas.openxmlformats.org/officeDocument/2006/relationships/oleObject" Target="embeddings/oleObject2.bin"/>
  <Relationship Id="rId9" Type="http://schemas.openxmlformats.org/officeDocument/2006/relationships/oleObject" Target="embeddings/oleObject3.bin"/>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SVEIKATOS PRIEŽIŪROS ĮSTAIGŲ INFORMACINIŲ SISTEMŲ SUSIEJIMO SU E. SVEIKATOS PASLAUGŲ IR BENDRADARBIAVIMO INFRASTRUKTŪRA REIKALAVIMŲ IR TECHNINIŲ SĄLYGŲ PATVIRTINIMO" DocPartId="c5df092b35a740f088ce29c25ddf0125" PartId="8b368c98543b4bb59eca7e0e57871b80">
    <Part Type="preambule" DocPartId="60af3822b5234ef2b212045b3f55999a" PartId="16e9563c12ca45b39fb79a5f65f00d3a"/>
    <Part Type="punktas" Nr="1" Abbr="1 p." DocPartId="c3c8a77f44374f4999739b11a4b71dbf" PartId="87be2eda19f04e4f80fab2c93a4fe42c"/>
    <Part Type="punktas" Nr="2" Abbr="2 p." DocPartId="84688ab0d5bd40eca7e6386c7ee7150c" PartId="260fbcb8af8b4414937b9910e1f16c3c"/>
    <Part Type="signatura" DocPartId="747ce9f3476d49689dd653f4870aed58" PartId="decb84ab58514bac9ab5d958959c9539"/>
  </Part>
  <Part Type="patvirtinta" Title="SVEIKATOS PRIEŽIŪROS ĮSTAIGŲ INFORMACINIŲ SISTEMŲ SUSIEJIMO SU E. SVEIKATOS PASLAUGŲ IR BENDRADARBIAVIMO INFRASTRUKTŪRA REIKALAVIMAI IR TECHNINĖS SĄLYGOS" DocPartId="84bb83ba15214923bddb3a0001e0d028" PartId="0a6e80f44f49445c99f87200ffa7c2f0">
    <Part Type="skyrius" Nr="1" Title="BENDROSIOS NUOSTATOS" DocPartId="297fd8a52a704e1b83556b011004043b" PartId="c99f8bc5bbeb47a39cd694d0ad573c1b">
      <Part Type="punktas" Nr="1" Abbr="1 p." DocPartId="75aaed3800664a5abb9ccf4eef9e9d11" PartId="ed3af5e9543f4a758a08e53e90642f06"/>
      <Part Type="punktas" Nr="2" Abbr="2 p." DocPartId="03960f0feceb4fd7ba944620d622e67a" PartId="51bee86e03ff444784947cf83eaaf76f"/>
      <Part Type="punktas" Nr="3" Abbr="3 p." DocPartId="164e14bc30024b9b8d307293fa87be5e" PartId="f6ef96ecc24645ca94e3faaa876180c5"/>
      <Part Type="punktas" Nr="4" Abbr="4 p." DocPartId="de101b1769c14a9280a511307559beaf" PartId="cc681367e56b40ca9af16cb8185cc418"/>
      <Part Type="punktas" Nr="5" Abbr="5 p." DocPartId="ffdc59d2c9e14709b70950aebcf06e6e" PartId="4e343cefd3704be09d7b24f0c6ca758a"/>
      <Part Type="punktas" Nr="6" Abbr="6 p." DocPartId="f0c9eaf42a1c4941bf1ad6b520afccdc" PartId="a828f2afbe0741e999a864e77b3796c5"/>
    </Part>
    <Part Type="skyrius" Nr="2" Title="ESPBI IS IR SPĮ IS INFORMACIJOS MAINŲ PAGRINDINIAI REIKALAVIMAI" DocPartId="bf17536ae86e4bb9889031c9eb92ec58" PartId="3f8a044d5b764fffab95aa08c5e9b804">
      <Part Type="punktas" Nr="7" Abbr="7 p." DocPartId="0bba00184248495cb90f85a94e88338e" PartId="316feaea513c47b4b3e944223b9e883f"/>
      <Part Type="punktas" Nr="8" Abbr="8 p." DocPartId="b923445f5e3e4ecb9f8a27a10f02b83b" PartId="468a0a8dfce44b26b44544ee470b5e69"/>
      <Part Type="punktas" Nr="9" Abbr="9 p." DocPartId="1bf3aa6ea1824c56b851a8f3d396029c" PartId="9b7354e638504fcb9eedb1b0a0e5aeaf">
        <Part Type="punktas" Nr="9.1" Abbr="9.1 p." DocPartId="6c70b57aa96743ceb7a258bf46f85442" PartId="c5b63864e61e46fe8fa9bf6f9dc4a9cd">
          <Part Type="punktas" Nr="9.1.1" Abbr="9.1.1 p." DocPartId="34ffd70fdb7446f59dcadba0582b43c0" PartId="d28a7c90f82747beb3f28efdd514d283"/>
          <Part Type="punktas" Nr="9.1.2" Abbr="9.1.2 p." DocPartId="db4d867bf66344158c94a986283e9869" PartId="1b542e8716d847e6a003a48176e9e828"/>
          <Part Type="punktas" Nr="9.1.3" Abbr="9.1.3 p." DocPartId="03b69b6a99a5413b943dfb2a1fe70aa1" PartId="ebd5e00a2d7841ffbf711bd01363cb45"/>
          <Part Type="punktas" Nr="9.1.4" Abbr="9.1.4 p." DocPartId="beeb752e6f984cd9a2a00990b2c50a26" PartId="9c2c56059797419abca6928d28e04714"/>
          <Part Type="punktas" Nr="9.1.5" Abbr="9.1.5 p." DocPartId="e13a2f85480e4c71810354b34961e397" PartId="4efd1b0ccc4b45ee949c55af0499ac88"/>
          <Part Type="punktas" Nr="9.1.6" Abbr="9.1.6 p." DocPartId="f7bccee50fa840369544c98660c7eaee" PartId="f8c09e6e68604ee2af265054b72fdf24"/>
          <Part Type="punktas" Nr="9.1.7" Abbr="9.1.7 p." DocPartId="6dca95807cc74d4e91f3e4411c06b140" PartId="6505aca2494546cb92f8e473e6f80743"/>
          <Part Type="punktas" Nr="9.1.8" Abbr="9.1.8 p." DocPartId="98ab6cb79cfb427ebd1921956edea0e1" PartId="d60fe3c811244a01862844eb12fcc32b"/>
          <Part Type="punktas" Nr="9.1.9" Abbr="9.1.9 p." DocPartId="8c50069bf2894df6af2141e38ca154be" PartId="d730bac7c6204287b3c10c315e1b3029"/>
          <Part Type="punktas" Nr="9.1.10" Abbr="9.1.10 p." DocPartId="07bdedb4882e4870be2b67abb6b94f0b" PartId="4b162fe2342b45559121df6a2744a702"/>
          <Part Type="punktas" Nr="9.1.11" Abbr="9.1.11 p." DocPartId="fd1519367ec547e180e79c7be5f363e1" PartId="cf987e20c56f4ac4b4c1d295d658726f"/>
          <Part Type="punktas" Nr="9.1.12" Abbr="9.1.12 p." DocPartId="f4408587be7d4bc88c3ff0973147d6ef" PartId="764b3545386745d5862effb59ee0bd24"/>
        </Part>
        <Part Type="punktas" Nr="9.2" Abbr="9.2 p." DocPartId="044aece3e74741c997795b5c4b648694" PartId="bef57887f7a84196a435f814b1b75f8b">
          <Part Type="punktas" Nr="9.2.1" Abbr="9.2.1 p." DocPartId="22784514797646488201e14f4f0e7bcf" PartId="b8a744824d464cb7b737990e47b573c4"/>
          <Part Type="punktas" Nr="9.2.2" Abbr="9.2.2 p." DocPartId="52b73dce24f84e16814da928b1a7cb3d" PartId="4181ca0b05a54f90b74886a59ebd2983"/>
          <Part Type="punktas" Nr="9.2.3" Abbr="9.2.3 p." DocPartId="c13c0a18118c464292b9b53b6e09a6df" PartId="a000c72d26564e9183a57080dc22dd55"/>
          <Part Type="punktas" Nr="9.2.4" Abbr="9.2.4 p." DocPartId="3641fe653e964800ae637c4351d2eba5" PartId="99fddc8bd8244bb885212e57611d607f"/>
          <Part Type="punktas" Nr="9.2.5" Abbr="9.2.5 p." DocPartId="ba0d85120032466c8c6626e9515074c2" PartId="95d5beae03b84cd3b556058132d35e5d"/>
          <Part Type="punktas" Nr="9.2.6" Abbr="9.2.6 p." DocPartId="81bfc53437c34e19b3c464fac2e26b10" PartId="4af915bc2b034cfdadabefd5239bd055"/>
          <Part Type="punktas" Nr="9.2.7" Abbr="9.2.7 p." DocPartId="ac91df31f85e4d1cb782b649a17e438a" PartId="075c6407254c4ae0a55e00898ca5af6a"/>
          <Part Type="punktas" Nr="9.2.8" Abbr="9.2.8 p." DocPartId="d212ddf1c48e439aa56315b54bf856c7" PartId="c21780f1e45a4bb6ac17dbe6e38af9fa"/>
          <Part Type="punktas" Nr="9.2.9" Abbr="9.2.9 p." DocPartId="e0bd2ca4a3f44e1286fbfb5616f31e56" PartId="d4606661a1184c53a7cfc13da27a66f5"/>
          <Part Type="punktas" Nr="9.2.10" Abbr="9.2.10 p." DocPartId="91cd8f860c5f48b49499208bb4e2d4f2" PartId="606796dd18ff459a8b2ff7f5627fcedb"/>
          <Part Type="punktas" Nr="9.2.11" Abbr="9.2.11 p." DocPartId="601f9c3c0dbf4e83a1919eddba358107" PartId="53960a397d7844cab6dcd5f31918babb"/>
        </Part>
      </Part>
      <Part Type="punktas" Nr="10" Abbr="10 p." DocPartId="421c992676a8470db593593d0d33770e" PartId="2eb3ec930f66442b9d52ac5d77fb9139"/>
      <Part Type="punktas" Nr="11" Abbr="11 p." DocPartId="94b06a2597c8479d93d60afa8fa0e7bf" PartId="c3f2731f0fba41f08dc4e555b774b3bc">
        <Part Type="punktas" Nr="11.1" Abbr="11.1 p." DocPartId="2885fb126187430c988037cd75c6bb76" PartId="aa7df048257249f08afeeec90e9a6430">
          <Part Type="punktas" Nr="11.1.1" Abbr="11.1.1 p." DocPartId="af896243fa91435b84b2cd24fbcda2d5" PartId="1c1ade8358414bad8ab26a72c41fc866"/>
          <Part Type="punktas" Nr="11.1.2" Abbr="11.1.2 p." DocPartId="5d147575ba174ef0ac86777cdf433d18" PartId="d3f1ca31333a4f428c06b8e574b2dbc6"/>
          <Part Type="punktas" Nr="11.1.3" Abbr="11.1.3 p." DocPartId="3155f179922c47149082183dbf2038ef" PartId="c89a0cf354b8472f8f48efe6b261a636"/>
          <Part Type="punktas" Nr="11.1.4" Abbr="11.1.4 p." DocPartId="ffbfae1896e7464cb23b8c11c5901191" PartId="c2abada0ced14eba8b537c1f05a264c5"/>
          <Part Type="punktas" Nr="11.1.5" Abbr="11.1.5 p." DocPartId="af8c5da079d34bd8bcdb1b5c3857c2c2" PartId="64f52a77ea134a0999faf9b9e847d478"/>
          <Part Type="punktas" Nr="11.1.6" Abbr="11.1.6 p." DocPartId="abea40834a014b47819db6b2c1fe5801" PartId="5c1027c6248f4f839c22b9ed23a9e967"/>
          <Part Type="punktas" Nr="11.1.7" Abbr="11.1.7 p." DocPartId="08c9af52554244fb99e0b479c42ac8e3" PartId="7f3eabcdb69d42dfbec3aa9e7cf6fd2d"/>
          <Part Type="punktas" Nr="11.1.8" Abbr="11.1.8 p." DocPartId="c8322266b27743a8b028ccfba411111c" PartId="005eb953ca60421a9d56a9ae1d4091f3"/>
          <Part Type="punktas" Nr="11.1.9" Abbr="11.1.9 p." DocPartId="a3917b1c474e49c0af67cb4d04e66a5a" PartId="fdc88b4b78244df9a18c41955af12152"/>
          <Part Type="punktas" Nr="11.1.10" Abbr="11.1.10 p." DocPartId="035fa34fbbc04d3d9c595c5331e1f121" PartId="cfe2991c7ba7410a870602d8c8937dcf"/>
          <Part Type="punktas" Nr="11.1.11" Abbr="11.1.11 p." DocPartId="04b3ba5e5f8042e6a68937526bce0146" PartId="acac3a5c935b436a856a8c361526d9b0"/>
          <Part Type="punktas" Nr="11.1.12" Abbr="11.1.12 p." DocPartId="c04069667f6b4ee1a19c3222ac5f3810" PartId="00824a0d9b884da8ba0dcf38c2be64ea"/>
          <Part Type="punktas" Nr="11.1.13" Abbr="11.1.13 p." DocPartId="9270055d0ff84d0b9b574f3311d2c4eb" PartId="008f14721d974ac2a2d3f8ec19735db4"/>
        </Part>
        <Part Type="punktas" Nr="11.2" Abbr="11.2 p." DocPartId="4b54870ad7964662b2fd6bc1d27c92d5" PartId="489e4bcb939a4c18a11420368d478cd0">
          <Part Type="punktas" Nr="11.2.1" Abbr="11.2.1 p." DocPartId="aa3fac46583c4bea9adfdf806fe5c4da" PartId="867a22bfa58243fe941481fb353e55ee"/>
          <Part Type="punktas" Nr="11.2.2" Abbr="11.2.2 p." DocPartId="4c302eb002a943a79836de90dbb972e7" PartId="078242d96e89413aa2f37887bb28b1df"/>
          <Part Type="punktas" Nr="11.2.3" Abbr="11.2.3 p." DocPartId="0a533909125c43928923895c6775fa5a" PartId="059e7877661e4e04abc282919a86be61"/>
          <Part Type="punktas" Nr="11.2.4" Abbr="11.2.4 p." DocPartId="dac3a54e250e40bb8cd9272e374f11ef" PartId="62af80b8cdca477a88afd81daeb05098"/>
          <Part Type="punktas" Nr="11.2.5" Abbr="11.2.5 p." DocPartId="22630a2f97484f75a93acc0b6c46af8a" PartId="889dbf7fd94d4feeb829f3808dc1aef0"/>
          <Part Type="punktas" Nr="11.2.6" Abbr="11.2.6 p." DocPartId="8d23efa41eaa497ba4d2d65b3857938d" PartId="73d56548dbda41bf948db41dd98d0a46"/>
          <Part Type="punktas" Nr="11.2.7" Abbr="11.2.7 p." DocPartId="6657b73c14b04abfae1805ba242284da" PartId="4b2bd03e5236427c8ca4ba605db431a7"/>
          <Part Type="punktas" Nr="11.2.8" Abbr="11.2.8 p." DocPartId="529cabcb961349589fd3daef229edd58" PartId="744777b64e174745a36e49892be77986"/>
          <Part Type="punktas" Nr="11.2.9" Abbr="11.2.9 p." DocPartId="1e23e06be2fc434581b1075f6bf973a4" PartId="d6d43b0d18734f04a5597189f343c8f8"/>
          <Part Type="punktas" Nr="11.2.10" Abbr="11.2.10 p." DocPartId="f311d5aa7d4b466b81b446d8af6bbea5" PartId="7bf6fae9aaba4557a4f11af8ef27fb56"/>
        </Part>
      </Part>
      <Part Type="punktas" Nr="12" Abbr="12 p." DocPartId="366749f8af7e46c3909da598709ab318" PartId="3e6f932d106e445f8f5ec7209067721a"/>
      <Part Type="punktas" Nr="13" Abbr="13 p." DocPartId="1cd594f2629c435aa58e27a70ae2d234" PartId="03e1d55c293d47b3966936a3883610a8"/>
    </Part>
    <Part Type="skyrius" Nr="3" Title="ESPBI IS IR SPĮ IS SUSIEJIMO PRINCIPAI" DocPartId="20331e383d82418ca3d4e5548d5b46dc" PartId="40b8b22876784271a312d52cae3c601e">
      <Part Type="punktas" Nr="14" Abbr="14 p." DocPartId="df29f2cd0a3b4a45abc43fcbd4af2b9d" PartId="a0578420704c469c8aa8856ae067c809">
        <Part Type="punktas" Nr="14.1" Abbr="14.1 p." DocPartId="01c411b692be4d6ea49bcb9da363960e" PartId="dd422f7adf534622872787b1790afbc9"/>
        <Part Type="punktas" Nr="14.2" Abbr="14.2 p." DocPartId="28a5f7b9aa384967a82f1716022c7729" PartId="b68432d6969140b9988e40166c549e4e"/>
      </Part>
      <Part Type="punktas" Nr="15" Abbr="15 p." DocPartId="5086e17226454a94b05f1de6d79f4323" PartId="8c8a48ff0868445f95dc100cc9e1fb84"/>
      <Part Type="punktas" Nr="16" Abbr="16 p." DocPartId="9e34d00c9a7d42d2a524eb902213c4c9" PartId="9c4204d51b6a49b69c40d9fb8799a662"/>
      <Part Type="punktas" Nr="17" Abbr="17 p." DocPartId="b4ea011e2c894f4588b7b970afcd6341" PartId="d3a9723641ee49e98a8bcd991f022e14"/>
      <Part Type="punktas" Nr="18" Abbr="18 p." DocPartId="8a8d9bd0ccc948b4b52396a686d3d2ce" PartId="361b6fc11fbc41df8106a1ea13632af3"/>
      <Part Type="punktas" Nr="19" Abbr="19 p." DocPartId="f66e39e745e2475a82fbfbc761d1d47a" PartId="c5cc15a809ce42c8bc6a7323dbda1b04"/>
      <Part Type="punktas" Nr="20" Abbr="20 p." DocPartId="28964691e70141fca8036f9a2c77da2c" PartId="488dc4d2626644a69f284552a251edf9"/>
      <Part Type="punktas" Nr="21" Abbr="21 p." DocPartId="25be09396966418d964e68276d5a06f4" PartId="cc0fbb6eaf5c459d9c16dd19d25fbedd"/>
      <Part Type="punktas" Nr="22" Abbr="22 p." DocPartId="5ef2560bea4c4cbc8366eed6be2eed10" PartId="e317226b8a424d1bbfe19cb2c8812e88"/>
      <Part Type="punktas" Nr="23" Abbr="23 p." DocPartId="fc3ba261f4204ee88da24b5e4b0283da" PartId="9d4d98d7a72e4d67a277a13b72bb21b7"/>
      <Part Type="punktas" Nr="24" Abbr="24 p." DocPartId="ae89a68c6a214dc9b38f180f8b753b67" PartId="336190a9d0274cf7a62b14ecefd9fdfc"/>
      <Part Type="punktas" Nr="25" Abbr="25 p." DocPartId="0eb9d1230ac14162885120494f13dffb" PartId="02697574f5f7423c9d0886611b4a6e52"/>
    </Part>
    <Part Type="pabaiga" DocPartId="fa644a4846434785ac546f9fd046d29c" PartId="329f0ec59e6241978d7282a9f031ddfd"/>
  </Part>
  <Part Type="priedas" Nr="1" Abbr="1 pr." Title="ĮVYKIŲ SĄRAŠAS" DocPartId="c67b419a61174b85946ecb1e71474369" PartId="0685e0e68716443ab2e320cc5c5f7732">
    <Part Type="pabaiga" DocPartId="ec6802cfb9844e5f997449bd91d9ef2c" PartId="d47d971862de400aa27a78be16816ca2"/>
  </Part>
  <Part Type="priedas" Nr="2" Abbr="2 pr." Title="STATISTIKOS APSKAITOS FORMŲ, NAUDOJAMŲ DUOMENŲ MAINAMS SU ESPBI IS, SĄRAŠAS" DocPartId="065eea17011a4a6a88bcdc6b92086ef2" PartId="04bd9329374c40b7be2c77bfa844a0a4">
    <Part Type="pabaiga" DocPartId="6fff2e8445d4429fbec0c20a6500f4fa" PartId="51e5345c733246728515188e27525ce6"/>
  </Part>
  <Part Type="priedas" Nr="3" Abbr="3 pr." Title="ĮVYKIŲ, SVEIKATOS STATISTIKOS APSKAITOS FORMŲ IR DUOMENŲ SĄSAJA" DocPartId="d91b1331c48e4316b9b5052212b37301" PartId="bab78ce77195404e843730c4c1cacde2">
    <Part Type="pabaiga" DocPartId="14e8afd03b6b4a75b9767d3e3ffc93a0" PartId="baa1060283314102b0c46067733b9ad1"/>
  </Part>
</Parts>
</file>

<file path=customXml/itemProps1.xml><?xml version="1.0" encoding="utf-8"?>
<ds:datastoreItem xmlns:ds="http://schemas.openxmlformats.org/officeDocument/2006/customXml" ds:itemID="{2F8EB9A0-DB6C-421F-93E6-3DCD5F7D08F4}">
  <ds:schemaRefs>
    <ds:schemaRef ds:uri="http://lrs.lt/TAIS/DocParts"/>
  </ds:schemaRefs>
</ds:datastoreItem>
</file>

<file path=docProps/app.xml><?xml version="1.0" encoding="utf-8"?>
<Properties xmlns="http://schemas.openxmlformats.org/officeDocument/2006/extended-properties">
  <Template>Normal.dotm</Template>
  <TotalTime>2</TotalTime>
  <Pages>68</Pages>
  <Words>77581</Words>
  <Characters>44222</Characters>
  <Application>Microsoft Office Word</Application>
  <DocSecurity>0</DocSecurity>
  <Lines>368</Lines>
  <Paragraphs>243</Paragraphs>
  <ScaleCrop>false</ScaleCrop>
  <Company/>
  <LinksUpToDate>false</LinksUpToDate>
  <CharactersWithSpaces>121560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2015-09-29T07:14:00Z</dcterms:created>
  <dc:creator>Rima</dc:creator>
  <lastModifiedBy>PETRAUSKAITĖ Girmantė</lastModifiedBy>
  <dcterms:modified xsi:type="dcterms:W3CDTF">2015-09-29T07:35:00Z</dcterms:modified>
  <revision>6</revision>
  <dc:title>LIETUVOS RESPUBLIKOS SVEIKATOS APSAUGOS MINISTRO</dc:title>
</coreProperties>
</file>