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9f40189dc5444f18e76a18b441ca306"/>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2FCC47953F78">
            <w:r w:rsidRPr="00532B9F">
              <w:rPr>
                <w:rFonts w:ascii="Times New Roman" w:eastAsia="MS Mincho" w:hAnsi="Times New Roman"/>
                <w:sz w:val="20"/>
                <w:i/>
                <w:iCs/>
                <w:color w:val="0000FF" w:themeColor="hyperlink"/>
                <w:u w:val="single"/>
              </w:rPr>
              <w:t>120-6148</w:t>
            </w:r>
          </w:fldSimple>
          <w:r>
            <w:rPr>
              <w:rFonts w:ascii="Times New Roman" w:eastAsia="MS Mincho" w:hAnsi="Times New Roman"/>
              <w:sz w:val="20"/>
              <w:i/>
              <w:iCs/>
            </w:rPr>
            <w:t>, i. k. 1102250ISAK000V-885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2016-04-01:</w:t>
          </w:r>
        </w:p>
        <w:p>
          <w:pPr>
            <w:rPr>
              <w:rFonts w:ascii="Times New Roman" w:hAnsi="Times New Roman"/>
              <w:sz w:val="20"/>
              <w:i/>
            </w:rPr>
          </w:pPr>
          <w:r>
            <w:rPr>
              <w:rFonts w:ascii="Times New Roman" w:hAnsi="Times New Roman"/>
              <w:sz w:val="20"/>
              <w:i/>
            </w:rPr>
            <w:t xml:space="preserve">Nr. </w:t>
          </w:r>
          <w:fldSimple w:instr="HYPERLINK https://www.e-tar.lt/portal/legalAct.html?documentId=953467f0f0d811e5989ee743dd0efbb0">
            <w:r w:rsidRPr="00532B9F">
              <w:rPr>
                <w:rFonts w:ascii="Times New Roman" w:eastAsia="MS Mincho" w:hAnsi="Times New Roman"/>
                <w:sz w:val="20"/>
                <w:i/>
                <w:iCs/>
                <w:color w:val="0000FF" w:themeColor="hyperlink"/>
                <w:u w:val="single"/>
              </w:rPr>
              <w:t>V-373</w:t>
            </w:r>
          </w:fldSimple>
          <w:r>
            <w:rPr>
              <w:rFonts w:ascii="Times New Roman" w:eastAsia="MS Mincho" w:hAnsi="Times New Roman"/>
              <w:sz w:val="20"/>
              <w:i/>
              <w:iCs/>
            </w:rPr>
            <w:t>,
2016-03-22,
paskelbta TAR 2016-03-23, i. k. 2016-05756                </w:t>
          </w:r>
        </w:p>
        <w:p>
          <w:pPr>
            <w:rPr>
              <w:rFonts w:ascii="Times New Roman" w:hAnsi="Times New Roman"/>
              <w:sz w:val="22"/>
            </w:rPr>
          </w:pPr>
        </w:p>
        <w:p>
          <w:pPr>
            <w:tabs>
              <w:tab w:val="left" w:pos="851"/>
              <w:tab w:val="left" w:pos="993"/>
              <w:tab w:val="left" w:pos="1134"/>
              <w:tab w:val="left" w:pos="1418"/>
            </w:tabs>
            <w:suppressAutoHyphens/>
            <w:spacing w:line="312" w:lineRule="auto"/>
            <w:jc w:val="center"/>
            <w:textAlignment w:val="center"/>
            <w:rPr>
              <w:b/>
              <w:color w:val="000000"/>
              <w:szCs w:val="24"/>
            </w:rPr>
          </w:pPr>
          <w:r>
            <w:rPr>
              <w:b/>
              <w:color w:val="000000"/>
              <w:szCs w:val="24"/>
            </w:rPr>
            <w:t>LIETUVOS RESPUBLIKOS SVEIKATOS APSAUGOS MINISTRAS</w:t>
          </w:r>
        </w:p>
        <w:p>
          <w:pPr>
            <w:tabs>
              <w:tab w:val="left" w:pos="851"/>
              <w:tab w:val="left" w:pos="993"/>
              <w:tab w:val="left" w:pos="1134"/>
              <w:tab w:val="left" w:pos="1418"/>
            </w:tabs>
            <w:suppressAutoHyphens/>
            <w:spacing w:line="312" w:lineRule="auto"/>
            <w:jc w:val="center"/>
            <w:textAlignment w:val="center"/>
            <w:rPr>
              <w:b/>
              <w:color w:val="000000"/>
              <w:szCs w:val="24"/>
            </w:rPr>
          </w:pPr>
        </w:p>
        <w:p>
          <w:pPr>
            <w:tabs>
              <w:tab w:val="left" w:pos="851"/>
              <w:tab w:val="left" w:pos="993"/>
              <w:tab w:val="left" w:pos="1134"/>
              <w:tab w:val="left" w:pos="1418"/>
            </w:tabs>
            <w:suppressAutoHyphens/>
            <w:spacing w:line="312" w:lineRule="auto"/>
            <w:jc w:val="center"/>
            <w:textAlignment w:val="center"/>
            <w:rPr>
              <w:b/>
              <w:color w:val="000000"/>
              <w:szCs w:val="24"/>
            </w:rPr>
          </w:pPr>
          <w:r>
            <w:rPr>
              <w:b/>
              <w:color w:val="000000"/>
              <w:szCs w:val="24"/>
            </w:rPr>
            <w:t>ĮSAKYMAS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b/>
              <w:szCs w:val="24"/>
              <w:lang w:eastAsia="lt-LT"/>
            </w:rPr>
          </w:pPr>
          <w:r>
            <w:rPr>
              <w:b/>
              <w:szCs w:val="24"/>
              <w:lang w:eastAsia="lt-LT"/>
            </w:rPr>
            <w:t>DĖL LIETUVOS HIGIENOS NORMOS HN 121:2010 „KVAPO KONCENTRACIJOS RIBINĖ VERTĖ GYVENAMOSIOS APLINKOS ORE“ IR KVAPŲ KONTROLĖS GYVENAMOSIOS APLINKOS ORE TAISYKLIŲ PATVIRTINIMO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color w:val="000000"/>
            </w:rPr>
          </w:pPr>
          <w:r>
            <w:rPr>
              <w:color w:val="000000"/>
            </w:rPr>
            <w:t>2010 m. spalio 4 d. Nr. V-885</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color w:val="000000"/>
            </w:rPr>
          </w:pPr>
          <w:r>
            <w:rPr>
              <w:color w:val="000000"/>
            </w:rPr>
            <w:t>Vilnius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b/>
              <w:szCs w:val="24"/>
              <w:lang w:eastAsia="lt-LT"/>
            </w:rPr>
          </w:pPr>
        </w:p>
        <w:p>
          <w:pPr>
            <w:tabs>
              <w:tab w:val="left" w:pos="851"/>
              <w:tab w:val="left" w:pos="993"/>
              <w:tab w:val="left" w:pos="1134"/>
              <w:tab w:val="left" w:pos="1418"/>
            </w:tabs>
            <w:suppressAutoHyphens/>
            <w:spacing w:line="312" w:lineRule="auto"/>
            <w:jc w:val="both"/>
            <w:textAlignment w:val="center"/>
            <w:rPr>
              <w:b/>
              <w:color w:val="000000"/>
              <w:szCs w:val="24"/>
            </w:rPr>
          </w:pPr>
        </w:p>
        <w:sdt>
          <w:sdtPr>
            <w:alias w:val="preambule"/>
            <w:tag w:val="part_baaa579508534fae9ba6f0ddee4a078a"/>
            <w:lock w:val="sdtLocked"/>
            <w:richText/>
          </w:sdtPr>
          <w:sdtContent>
            <w:p>
              <w:pPr>
                <w:tabs>
                  <w:tab w:val="left" w:pos="851"/>
                  <w:tab w:val="left" w:pos="993"/>
                  <w:tab w:val="left" w:pos="1134"/>
                  <w:tab w:val="left" w:pos="1418"/>
                </w:tabs>
                <w:suppressAutoHyphens/>
                <w:spacing w:line="312" w:lineRule="auto"/>
                <w:ind w:firstLine="851"/>
                <w:jc w:val="both"/>
                <w:textAlignment w:val="center"/>
                <w:rPr>
                  <w:color w:val="000000"/>
                  <w:szCs w:val="24"/>
                </w:rPr>
              </w:pPr>
              <w:r>
                <w:rPr>
                  <w:color w:val="000000"/>
                  <w:szCs w:val="24"/>
                </w:rPr>
                <w:t xml:space="preserve">Vadovaudamasis Lietuvos Respublikos visuomenės sveikatos priežiūros įstatymo 16 straipsnio 1 dalimi: </w:t>
              </w:r>
            </w:p>
          </w:sdtContent>
        </w:sdt>
        <w:sdt>
          <w:sdtPr>
            <w:alias w:val="1 p."/>
            <w:tag w:val="part_af908c6ebd614a5ca1ad0050f81647d7"/>
            <w:lock w:val="sdtLocked"/>
            <w:richText/>
          </w:sdtPr>
          <w:sdtContent>
            <w:p>
              <w:pPr>
                <w:tabs>
                  <w:tab w:val="left" w:pos="851"/>
                  <w:tab w:val="left" w:pos="993"/>
                  <w:tab w:val="left" w:pos="1134"/>
                  <w:tab w:val="left" w:pos="1418"/>
                </w:tabs>
                <w:suppressAutoHyphens/>
                <w:spacing w:line="312" w:lineRule="auto"/>
                <w:ind w:firstLine="851"/>
                <w:jc w:val="both"/>
                <w:textAlignment w:val="center"/>
                <w:rPr>
                  <w:color w:val="000000"/>
                  <w:szCs w:val="24"/>
                </w:rPr>
              </w:pPr>
              <w:sdt>
                <w:sdtPr>
                  <w:alias w:val="Numeris"/>
                  <w:tag w:val="nr_af908c6ebd614a5ca1ad0050f81647d7"/>
                  <w:lock w:val="sdtLocked"/>
                  <w:richText/>
                </w:sdtPr>
                <w:sdtContent>
                  <w:r>
                    <w:rPr>
                      <w:color w:val="000000"/>
                      <w:szCs w:val="24"/>
                    </w:rPr>
                    <w:t>1</w:t>
                  </w:r>
                </w:sdtContent>
              </w:sdt>
              <w:r>
                <w:rPr>
                  <w:color w:val="000000"/>
                  <w:szCs w:val="24"/>
                </w:rPr>
                <w:t>. T v i r t i n u:</w:t>
              </w:r>
            </w:p>
            <w:sdt>
              <w:sdtPr>
                <w:alias w:val="1.1 p."/>
                <w:tag w:val="part_be5469efdfba42b0bb759d3cd96c1a73"/>
                <w:lock w:val="sdtLocked"/>
                <w:richText/>
              </w:sdtPr>
              <w:sdtContent>
                <w:p>
                  <w:pPr>
                    <w:tabs>
                      <w:tab w:val="left" w:pos="851"/>
                      <w:tab w:val="left" w:pos="993"/>
                      <w:tab w:val="left" w:pos="1134"/>
                      <w:tab w:val="left" w:pos="1418"/>
                    </w:tabs>
                    <w:suppressAutoHyphens/>
                    <w:spacing w:line="312" w:lineRule="auto"/>
                    <w:ind w:firstLine="851"/>
                    <w:jc w:val="both"/>
                    <w:textAlignment w:val="center"/>
                    <w:rPr>
                      <w:color w:val="000000"/>
                      <w:szCs w:val="24"/>
                    </w:rPr>
                  </w:pPr>
                  <w:sdt>
                    <w:sdtPr>
                      <w:alias w:val="Numeris"/>
                      <w:tag w:val="nr_be5469efdfba42b0bb759d3cd96c1a73"/>
                      <w:lock w:val="sdtLocked"/>
                      <w:richText/>
                    </w:sdtPr>
                    <w:sdtContent>
                      <w:r>
                        <w:rPr>
                          <w:color w:val="000000"/>
                          <w:szCs w:val="24"/>
                        </w:rPr>
                        <w:t>1.1</w:t>
                      </w:r>
                    </w:sdtContent>
                  </w:sdt>
                  <w:r>
                    <w:rPr>
                      <w:color w:val="000000"/>
                      <w:szCs w:val="24"/>
                    </w:rPr>
                    <w:t xml:space="preserve"> Lietuvos higienos normą HN 121:2010 „Kvapo koncentracijos ribinė vertė gyvenamosios aplinkos ore“ (pridedama);</w:t>
                  </w:r>
                </w:p>
              </w:sdtContent>
            </w:sdt>
            <w:sdt>
              <w:sdtPr>
                <w:alias w:val="1.2 p."/>
                <w:tag w:val="part_bf75ec11ae184d45b52efa8eb011020c"/>
                <w:lock w:val="sdtLocked"/>
                <w:richText/>
              </w:sdtPr>
              <w:sdtContent>
                <w:p>
                  <w:pPr>
                    <w:tabs>
                      <w:tab w:val="left" w:pos="851"/>
                      <w:tab w:val="left" w:pos="993"/>
                      <w:tab w:val="left" w:pos="1134"/>
                      <w:tab w:val="left" w:pos="1418"/>
                    </w:tabs>
                    <w:suppressAutoHyphens/>
                    <w:spacing w:line="312" w:lineRule="auto"/>
                    <w:ind w:firstLine="851"/>
                    <w:jc w:val="both"/>
                    <w:textAlignment w:val="center"/>
                    <w:rPr>
                      <w:color w:val="000000"/>
                      <w:szCs w:val="24"/>
                    </w:rPr>
                  </w:pPr>
                  <w:sdt>
                    <w:sdtPr>
                      <w:alias w:val="Numeris"/>
                      <w:tag w:val="nr_bf75ec11ae184d45b52efa8eb011020c"/>
                      <w:lock w:val="sdtLocked"/>
                      <w:richText/>
                    </w:sdtPr>
                    <w:sdtContent>
                      <w:r>
                        <w:rPr>
                          <w:color w:val="000000"/>
                          <w:szCs w:val="24"/>
                        </w:rPr>
                        <w:t>1.2</w:t>
                      </w:r>
                    </w:sdtContent>
                  </w:sdt>
                  <w:r>
                    <w:rPr>
                      <w:color w:val="000000"/>
                      <w:szCs w:val="24"/>
                    </w:rPr>
                    <w:t>. Kvapų kontrolės gyvenamosios aplinkos ore taisykles (pridedama).</w:t>
                  </w:r>
                </w:p>
              </w:sdtContent>
            </w:sdt>
          </w:sdtContent>
        </w:sdt>
        <w:sdt>
          <w:sdtPr>
            <w:alias w:val="2 p."/>
            <w:tag w:val="part_140211a68fc2420da77fb42b1378ac97"/>
            <w:lock w:val="sdtLocked"/>
            <w:richText/>
          </w:sdtPr>
          <w:sdtContent>
            <w:p>
              <w:pPr>
                <w:tabs>
                  <w:tab w:val="left" w:pos="851"/>
                  <w:tab w:val="left" w:pos="993"/>
                  <w:tab w:val="left" w:pos="1134"/>
                  <w:tab w:val="left" w:pos="1418"/>
                </w:tabs>
                <w:suppressAutoHyphens/>
                <w:spacing w:line="312" w:lineRule="auto"/>
                <w:ind w:firstLine="851"/>
                <w:jc w:val="both"/>
                <w:textAlignment w:val="center"/>
              </w:pPr>
              <w:sdt>
                <w:sdtPr>
                  <w:alias w:val="Numeris"/>
                  <w:tag w:val="nr_140211a68fc2420da77fb42b1378ac97"/>
                  <w:lock w:val="sdtLocked"/>
                  <w:richText/>
                </w:sdtPr>
                <w:sdtContent>
                  <w:r>
                    <w:rPr>
                      <w:color w:val="000000"/>
                      <w:szCs w:val="24"/>
                    </w:rPr>
                    <w:t>2</w:t>
                  </w:r>
                </w:sdtContent>
              </w:sdt>
              <w:r>
                <w:rPr>
                  <w:color w:val="000000"/>
                  <w:szCs w:val="24"/>
                </w:rPr>
                <w:t>. P a v e d u įsakymo vykdymą kontroliuoti viceministrui pagal veiklos sritį.</w:t>
              </w:r>
            </w:p>
          </w:sdtContent>
        </w:sdt>
        <w:sdt>
          <w:sdtPr>
            <w:alias w:val="signatura"/>
            <w:tag w:val="part_60a51a633e2c4319a00f756fb6d6226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tabs>
                  <w:tab w:val="right" w:pos="9071"/>
                </w:tabs>
                <w:suppressAutoHyphens/>
                <w:rPr>
                  <w:color w:val="000000"/>
                </w:rPr>
              </w:pPr>
            </w:p>
          </w:sdtContent>
        </w:sdt>
        <w:p/>
      </w:sdtContent>
    </w:sdt>
    <w:sdt>
      <w:sdtPr>
        <w:alias w:val="patvirtinta"/>
        <w:tag w:val="part_7542c4db0e0f47e5a88da42c9b3c8749"/>
        <w:lock w:val="sdtLocked"/>
        <w:richText/>
      </w:sdtPr>
      <w:sdtContent>
        <w:p>
          <w:pPr>
            <w:keepLines/>
            <w:widowControl w:val="0"/>
            <w:suppressAutoHyphens/>
            <w:ind w:left="5102"/>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2010 m. spalio 4 d. </w:t>
          </w:r>
        </w:p>
        <w:p>
          <w:pPr>
            <w:keepLines/>
            <w:widowControl w:val="0"/>
            <w:suppressAutoHyphens/>
            <w:ind w:firstLine="5102"/>
            <w:rPr>
              <w:color w:val="000000"/>
            </w:rPr>
          </w:pPr>
          <w:r>
            <w:rPr>
              <w:color w:val="000000"/>
            </w:rPr>
            <w:t>įsakymu Nr. V-885</w:t>
          </w:r>
        </w:p>
        <w:p>
          <w:pPr>
            <w:widowControl w:val="0"/>
            <w:suppressAutoHyphens/>
            <w:jc w:val="both"/>
            <w:rPr>
              <w:color w:val="000000"/>
            </w:rPr>
          </w:pPr>
        </w:p>
        <w:sdt>
          <w:sdtPr>
            <w:alias w:val="Pavadinimas"/>
            <w:tag w:val="title_7542c4db0e0f47e5a88da42c9b3c8749"/>
            <w:lock w:val="sdtLocked"/>
            <w:richText/>
          </w:sdtPr>
          <w:sdtContent>
            <w:p>
              <w:pPr>
                <w:keepLines/>
                <w:widowControl w:val="0"/>
                <w:suppressAutoHyphens/>
                <w:jc w:val="center"/>
                <w:rPr>
                  <w:b/>
                  <w:bCs/>
                  <w:caps/>
                  <w:color w:val="000000"/>
                </w:rPr>
              </w:pPr>
              <w:r>
                <w:rPr>
                  <w:b/>
                  <w:bCs/>
                  <w:caps/>
                  <w:color w:val="000000"/>
                </w:rPr>
                <w:t>Lietuvos higienos normA HN 121:2010 „KVAPO KONCENTRACIJOS RIBINė VERtė gyvenamosios aplinkos ore“</w:t>
              </w:r>
            </w:p>
          </w:sdtContent>
        </w:sdt>
        <w:p>
          <w:pPr>
            <w:widowControl w:val="0"/>
            <w:suppressAutoHyphens/>
            <w:jc w:val="both"/>
            <w:rPr>
              <w:color w:val="000000"/>
            </w:rPr>
          </w:pPr>
        </w:p>
        <w:sdt>
          <w:sdtPr>
            <w:alias w:val="1 p."/>
            <w:tag w:val="part_3b6971a34d53431f825c8e782121dfe0"/>
            <w:lock w:val="sdtLocked"/>
            <w:richText/>
          </w:sdtPr>
          <w:sdtContent>
            <w:p>
              <w:pPr>
                <w:suppressAutoHyphens/>
                <w:spacing w:line="264" w:lineRule="auto"/>
                <w:ind w:firstLine="567"/>
                <w:jc w:val="both"/>
                <w:textAlignment w:val="center"/>
                <w:rPr>
                  <w:strike/>
                  <w:color w:val="000000"/>
                </w:rPr>
              </w:pPr>
              <w:sdt>
                <w:sdtPr>
                  <w:alias w:val="Numeris"/>
                  <w:tag w:val="nr_3b6971a34d53431f825c8e782121dfe0"/>
                  <w:lock w:val="sdtLocked"/>
                  <w:richText/>
                </w:sdtPr>
                <w:sdtContent>
                  <w:r>
                    <w:rPr>
                      <w:szCs w:val="24"/>
                      <w:lang w:eastAsia="lt-LT"/>
                    </w:rPr>
                    <w:t>1</w:t>
                  </w:r>
                </w:sdtContent>
              </w:sdt>
              <w:r>
                <w:rPr>
                  <w:szCs w:val="24"/>
                  <w:lang w:eastAsia="lt-LT"/>
                </w:rPr>
                <w:t>. </w:t>
              </w:r>
              <w:r>
                <w:rPr>
                  <w:color w:val="000000"/>
                </w:rPr>
                <w:t xml:space="preserve">Kvapo koncentracijos ribinė vertė taikoma gyvenamosios paskirties pastatų ir visuomeninių pastatų (viešbučių paskirties, mokslo paskirties (kuriuose vykdomos </w:t>
              </w:r>
              <w:r>
                <w:t xml:space="preserve">ikimokyklinio, priešmokyklinio, bendrojo </w:t>
              </w:r>
              <w:r>
                <w:rPr>
                  <w:color w:val="000000"/>
                </w:rPr>
                <w:t>ugdymo, neformaliojo vaikų švietimo, pirminio profesinio mokymo programos ir aukštojo mokslo studijos), gydymo paskirties (stacionarinėse asmens sveikatos priežiūros įstaigose</w:t>
              </w:r>
              <w:r>
                <w:t xml:space="preserve">, sanatorijose, reabilitacijos centruose, specialiųjų įstaigų sveikatos apsaugos pastatuose, medicininės priežiūros įstaigų slaugos namuose), poilsio </w:t>
              </w:r>
              <w:r>
                <w:rPr>
                  <w:color w:val="000000"/>
                </w:rPr>
                <w:t>paskirties (poilsio namuose, jaunimo nakvynės namuose, kaimo turizmo pastatuose) pastatų patalpų orui bei jų žemės sklypų ne didesniu kaip 40 m atstumu nuo gyvenamosios paskirties ar nurodytų visuomeninių pastatų aplinkos orui (toliau – gyvenamosios aplinkos 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6160b05e11eab9d9cd0c85e0b745">
                <w:r w:rsidRPr="00532B9F">
                  <w:rPr>
                    <w:rFonts w:ascii="Times New Roman" w:eastAsia="MS Mincho" w:hAnsi="Times New Roman"/>
                    <w:sz w:val="20"/>
                    <w:i/>
                    <w:iCs/>
                    <w:color w:val="0000FF" w:themeColor="hyperlink"/>
                    <w:u w:val="single"/>
                  </w:rPr>
                  <w:t>V-1481</w:t>
                </w:r>
              </w:fldSimple>
              <w:r>
                <w:rPr>
                  <w:rFonts w:ascii="Times New Roman" w:eastAsia="MS Mincho" w:hAnsi="Times New Roman"/>
                  <w:sz w:val="20"/>
                  <w:i/>
                  <w:iCs/>
                </w:rPr>
                <w:t>,
2020-06-16,
paskelbta TAR 2020-06-17, i. k. 2020-13195            </w:t>
              </w:r>
            </w:p>
            <w:p/>
          </w:sdtContent>
        </w:sdt>
        <w:sdt>
          <w:sdtPr>
            <w:alias w:val="2 p."/>
            <w:tag w:val="part_7c9e47874d664a06a8530b8d3ea0c29c"/>
            <w:lock w:val="sdtLocked"/>
            <w:richText/>
          </w:sdtPr>
          <w:sdtContent>
            <w:p>
              <w:pPr>
                <w:widowControl w:val="0"/>
                <w:suppressAutoHyphens/>
                <w:ind w:firstLine="567"/>
                <w:jc w:val="both"/>
                <w:rPr>
                  <w:color w:val="000000"/>
                </w:rPr>
              </w:pPr>
              <w:sdt>
                <w:sdtPr>
                  <w:alias w:val="Numeris"/>
                  <w:tag w:val="nr_7c9e47874d664a06a8530b8d3ea0c29c"/>
                  <w:lock w:val="sdtLocked"/>
                  <w:richText/>
                </w:sdtPr>
                <w:sdtContent>
                  <w:r>
                    <w:rPr>
                      <w:color w:val="000000"/>
                    </w:rPr>
                    <w:t>2</w:t>
                  </w:r>
                </w:sdtContent>
              </w:sdt>
              <w:r>
                <w:rPr>
                  <w:color w:val="000000"/>
                </w:rPr>
                <w:t>. Kvapo koncentracijos ribinė vertė taikoma tik iš ūkinėje komercinėje veikloje, kurioje naudojami stacionarūs taršos kvapais šaltiniai, kylantiems kvapams vertinti.</w:t>
              </w:r>
            </w:p>
          </w:sdtContent>
        </w:sdt>
        <w:sdt>
          <w:sdtPr>
            <w:alias w:val="3 p."/>
            <w:tag w:val="part_6c87d9d57d304163abb7b409f29c4094"/>
            <w:lock w:val="sdtLocked"/>
            <w:richText/>
          </w:sdtPr>
          <w:sdtContent>
            <w:p>
              <w:pPr>
                <w:widowControl w:val="0"/>
                <w:suppressAutoHyphens/>
                <w:ind w:firstLine="567"/>
                <w:jc w:val="both"/>
                <w:rPr>
                  <w:color w:val="000000"/>
                </w:rPr>
              </w:pPr>
              <w:sdt>
                <w:sdtPr>
                  <w:alias w:val="Numeris"/>
                  <w:tag w:val="nr_6c87d9d57d304163abb7b409f29c4094"/>
                  <w:lock w:val="sdtLocked"/>
                  <w:richText/>
                </w:sdtPr>
                <w:sdtContent>
                  <w:r>
                    <w:rPr>
                      <w:color w:val="000000"/>
                    </w:rPr>
                    <w:t>3</w:t>
                  </w:r>
                </w:sdtContent>
              </w:sdt>
              <w:r>
                <w:rPr>
                  <w:color w:val="000000"/>
                </w:rPr>
                <w:t>. Kvapo koncentracijos ribinė vertė netaikoma:</w:t>
              </w:r>
            </w:p>
            <w:sdt>
              <w:sdtPr>
                <w:alias w:val="3.1 p."/>
                <w:tag w:val="part_dba77b1b925e43deb735010e50d32daf"/>
                <w:lock w:val="sdtLocked"/>
                <w:richText/>
              </w:sdtPr>
              <w:sdtContent>
                <w:p>
                  <w:pPr>
                    <w:widowControl w:val="0"/>
                    <w:suppressAutoHyphens/>
                    <w:ind w:firstLine="567"/>
                    <w:jc w:val="both"/>
                    <w:rPr>
                      <w:color w:val="000000"/>
                    </w:rPr>
                  </w:pPr>
                  <w:sdt>
                    <w:sdtPr>
                      <w:alias w:val="Numeris"/>
                      <w:tag w:val="nr_dba77b1b925e43deb735010e50d32daf"/>
                      <w:lock w:val="sdtLocked"/>
                      <w:richText/>
                    </w:sdtPr>
                    <w:sdtContent>
                      <w:r>
                        <w:rPr>
                          <w:color w:val="000000"/>
                        </w:rPr>
                        <w:t>3.1</w:t>
                      </w:r>
                    </w:sdtContent>
                  </w:sdt>
                  <w:r>
                    <w:rPr>
                      <w:color w:val="000000"/>
                    </w:rPr>
                    <w:t>. paties asmens ūkinės komercinės veiklos keliamo ir jį veikiančio kvapo atvejais;</w:t>
                  </w:r>
                </w:p>
              </w:sdtContent>
            </w:sdt>
            <w:sdt>
              <w:sdtPr>
                <w:alias w:val="3.2 p."/>
                <w:tag w:val="part_17f82cf81fde454583d6004e7ce25ea6"/>
                <w:lock w:val="sdtLocked"/>
                <w:richText/>
              </w:sdtPr>
              <w:sdtContent>
                <w:p>
                  <w:pPr>
                    <w:widowControl w:val="0"/>
                    <w:suppressAutoHyphens/>
                    <w:ind w:firstLine="567"/>
                    <w:jc w:val="both"/>
                    <w:rPr>
                      <w:color w:val="000000"/>
                    </w:rPr>
                  </w:pPr>
                  <w:sdt>
                    <w:sdtPr>
                      <w:alias w:val="Numeris"/>
                      <w:tag w:val="nr_17f82cf81fde454583d6004e7ce25ea6"/>
                      <w:lock w:val="sdtLocked"/>
                      <w:richText/>
                    </w:sdtPr>
                    <w:sdtContent>
                      <w:r>
                        <w:rPr>
                          <w:color w:val="000000"/>
                        </w:rPr>
                        <w:t>3.2</w:t>
                      </w:r>
                    </w:sdtContent>
                  </w:sdt>
                  <w:r>
                    <w:rPr>
                      <w:color w:val="000000"/>
                    </w:rPr>
                    <w:t>. kvapui darbo vietose vertinti;</w:t>
                  </w:r>
                </w:p>
              </w:sdtContent>
            </w:sdt>
            <w:sdt>
              <w:sdtPr>
                <w:alias w:val="3.3 p."/>
                <w:tag w:val="part_a35aecaf237c4ff6be6fd07111323a2f"/>
                <w:lock w:val="sdtLocked"/>
                <w:richText/>
              </w:sdtPr>
              <w:sdtContent>
                <w:p>
                  <w:pPr>
                    <w:widowControl w:val="0"/>
                    <w:suppressAutoHyphens/>
                    <w:ind w:firstLine="567"/>
                    <w:jc w:val="both"/>
                    <w:rPr>
                      <w:color w:val="000000"/>
                    </w:rPr>
                  </w:pPr>
                  <w:sdt>
                    <w:sdtPr>
                      <w:alias w:val="Numeris"/>
                      <w:tag w:val="nr_a35aecaf237c4ff6be6fd07111323a2f"/>
                      <w:lock w:val="sdtLocked"/>
                      <w:richText/>
                    </w:sdtPr>
                    <w:sdtContent>
                      <w:r>
                        <w:rPr>
                          <w:color w:val="000000"/>
                        </w:rPr>
                        <w:t>3.3</w:t>
                      </w:r>
                    </w:sdtContent>
                  </w:sdt>
                  <w:r>
                    <w:rPr>
                      <w:color w:val="000000"/>
                    </w:rPr>
                    <w:t>. avarijų ir ekstremalių situacijų sukeliančių taršą kvapais ir jų likvidavimo atvejais.</w:t>
                  </w:r>
                </w:p>
              </w:sdtContent>
            </w:sdt>
          </w:sdtContent>
        </w:sdt>
        <w:sdt>
          <w:sdtPr>
            <w:alias w:val="4 p."/>
            <w:tag w:val="part_c2bddfc0ce104ab9a3a999c86607c3d2"/>
            <w:lock w:val="sdtLocked"/>
            <w:richText/>
          </w:sdtPr>
          <w:sdtContent>
            <w:p>
              <w:pPr>
                <w:suppressAutoHyphens/>
                <w:spacing w:line="264" w:lineRule="auto"/>
                <w:ind w:firstLine="709"/>
                <w:jc w:val="both"/>
                <w:textAlignment w:val="center"/>
              </w:pPr>
              <w:sdt>
                <w:sdtPr>
                  <w:alias w:val="Numeris"/>
                  <w:tag w:val="nr_c2bddfc0ce104ab9a3a999c86607c3d2"/>
                  <w:lock w:val="sdtLocked"/>
                  <w:richText/>
                </w:sdtPr>
                <w:sdtContent>
                  <w:r>
                    <w:rPr>
                      <w:szCs w:val="24"/>
                      <w:lang w:eastAsia="lt-LT"/>
                    </w:rPr>
                    <w:t>4</w:t>
                  </w:r>
                </w:sdtContent>
              </w:sdt>
              <w:r>
                <w:rPr>
                  <w:szCs w:val="24"/>
                  <w:lang w:eastAsia="lt-LT"/>
                </w:rPr>
                <w:t>. </w:t>
              </w:r>
              <w:r>
                <w:t>Šioje higienos normoje vartojamos sąvokos ir jų apibrėžtys:</w:t>
              </w:r>
            </w:p>
            <w:sdt>
              <w:sdtPr>
                <w:alias w:val="4.1 pp."/>
                <w:tag w:val="part_921552c430b142a1bd164ffb24018e2d"/>
                <w:lock w:val="sdtLocked"/>
                <w:richText/>
              </w:sdtPr>
              <w:sdtContent>
                <w:p>
                  <w:pPr>
                    <w:suppressAutoHyphens/>
                    <w:spacing w:line="264" w:lineRule="auto"/>
                    <w:ind w:firstLine="709"/>
                    <w:jc w:val="both"/>
                    <w:textAlignment w:val="center"/>
                  </w:pPr>
                  <w:sdt>
                    <w:sdtPr>
                      <w:alias w:val="Numeris"/>
                      <w:tag w:val="nr_921552c430b142a1bd164ffb24018e2d"/>
                      <w:lock w:val="sdtLocked"/>
                      <w:richText/>
                    </w:sdtPr>
                    <w:sdtContent>
                      <w:r>
                        <w:t>4.1</w:t>
                      </w:r>
                    </w:sdtContent>
                  </w:sdt>
                  <w:r>
                    <w:t>. </w:t>
                  </w:r>
                  <w:r>
                    <w:rPr>
                      <w:b/>
                      <w:bCs/>
                    </w:rPr>
                    <w:t>Europinis kvapo vienetas</w:t>
                  </w:r>
                  <w:r>
                    <w:t xml:space="preserve"> – kvapiosios medžiagos (kvapiųjų medžiagų) kiekis, kuris išgarintas į 1 kubinį metrą neutraliųjų dujų standartinėmis sąlygomis sukelia kvapo vertintojų grupės fiziologinį atsaką (aptikimo slenkstis), ekvivalentišką atsakui, sukeliamam vieno europinės pamatinės kvapo masės (EROM) vieneto, išgarinto į 1 kubinį metrą neutraliųjų dujų standartinėmis sąlygomis.</w:t>
                  </w:r>
                </w:p>
              </w:sdtContent>
            </w:sdt>
            <w:sdt>
              <w:sdtPr>
                <w:alias w:val="4.2 pp."/>
                <w:tag w:val="part_7c90e5a3f8314f57946ddc8a488af658"/>
                <w:lock w:val="sdtLocked"/>
                <w:richText/>
              </w:sdtPr>
              <w:sdtContent>
                <w:p>
                  <w:pPr>
                    <w:widowControl w:val="0"/>
                    <w:suppressAutoHyphens/>
                    <w:ind w:firstLine="567"/>
                    <w:jc w:val="both"/>
                  </w:pPr>
                  <w:sdt>
                    <w:sdtPr>
                      <w:alias w:val="Numeris"/>
                      <w:tag w:val="nr_7c90e5a3f8314f57946ddc8a488af658"/>
                      <w:lock w:val="sdtLocked"/>
                      <w:richText/>
                    </w:sdtPr>
                    <w:sdtContent>
                      <w:r>
                        <w:t>4.2</w:t>
                      </w:r>
                    </w:sdtContent>
                  </w:sdt>
                  <w:r>
                    <w:t>.</w:t>
                  </w:r>
                  <w:r>
                    <w:rPr>
                      <w:b/>
                      <w:bCs/>
                    </w:rPr>
                    <w:t> Kvapas</w:t>
                  </w:r>
                  <w:r>
                    <w:t xml:space="preserve"> – medžiagos savybė sudirginti uoslės receptorius.</w:t>
                  </w:r>
                </w:p>
              </w:sdtContent>
            </w:sdt>
            <w:sdt>
              <w:sdtPr>
                <w:alias w:val="4.3 pp."/>
                <w:tag w:val="part_5f8cd6c4ccd64df686dc5b52ad7339e8"/>
                <w:lock w:val="sdtLocked"/>
                <w:richText/>
              </w:sdtPr>
              <w:sdtContent>
                <w:p>
                  <w:pPr>
                    <w:widowControl w:val="0"/>
                    <w:suppressAutoHyphens/>
                    <w:ind w:firstLine="567"/>
                    <w:jc w:val="both"/>
                  </w:pPr>
                  <w:sdt>
                    <w:sdtPr>
                      <w:alias w:val="Numeris"/>
                      <w:tag w:val="nr_5f8cd6c4ccd64df686dc5b52ad7339e8"/>
                      <w:lock w:val="sdtLocked"/>
                      <w:richText/>
                    </w:sdtPr>
                    <w:sdtContent>
                      <w:r>
                        <w:t>4.3</w:t>
                      </w:r>
                    </w:sdtContent>
                  </w:sdt>
                  <w:r>
                    <w:t>.</w:t>
                  </w:r>
                  <w:r>
                    <w:rPr>
                      <w:b/>
                      <w:bCs/>
                    </w:rPr>
                    <w:t> Kvapo</w:t>
                  </w:r>
                  <w:r>
                    <w:t xml:space="preserve"> </w:t>
                  </w:r>
                  <w:r>
                    <w:rPr>
                      <w:b/>
                      <w:bCs/>
                    </w:rPr>
                    <w:t>koncentracija</w:t>
                  </w:r>
                  <w:r>
                    <w:t xml:space="preserve"> – europinių kvapo vienetų skaičius kubiniam metrui dujų standartinėmis sąlygomis.</w:t>
                  </w:r>
                </w:p>
              </w:sdtContent>
            </w:sdt>
            <w:sdt>
              <w:sdtPr>
                <w:alias w:val="4.4 pp."/>
                <w:tag w:val="part_f9f1e8c7301f4b159c7f1406d0141fbd"/>
                <w:lock w:val="sdtLocked"/>
                <w:richText/>
              </w:sdtPr>
              <w:sdtContent>
                <w:p>
                  <w:pPr>
                    <w:widowControl w:val="0"/>
                    <w:suppressAutoHyphens/>
                    <w:ind w:firstLine="567"/>
                    <w:jc w:val="both"/>
                    <w:rPr>
                      <w:b/>
                      <w:bCs/>
                    </w:rPr>
                  </w:pPr>
                  <w:sdt>
                    <w:sdtPr>
                      <w:alias w:val="Numeris"/>
                      <w:tag w:val="nr_f9f1e8c7301f4b159c7f1406d0141fbd"/>
                      <w:lock w:val="sdtLocked"/>
                      <w:richText/>
                    </w:sdtPr>
                    <w:sdtContent>
                      <w:r>
                        <w:rPr>
                          <w:bCs/>
                        </w:rPr>
                        <w:t>4.4</w:t>
                      </w:r>
                    </w:sdtContent>
                  </w:sdt>
                  <w:r>
                    <w:rPr>
                      <w:bCs/>
                    </w:rPr>
                    <w:t>.</w:t>
                  </w:r>
                  <w:r>
                    <w:rPr>
                      <w:b/>
                    </w:rPr>
                    <w:t> </w:t>
                  </w:r>
                  <w:r>
                    <w:rPr>
                      <w:b/>
                      <w:szCs w:val="24"/>
                      <w:lang w:eastAsia="lt-LT"/>
                    </w:rPr>
                    <w:t>Kvapų valdymo sąlygos</w:t>
                  </w:r>
                  <w:r>
                    <w:rPr>
                      <w:bCs/>
                      <w:szCs w:val="24"/>
                      <w:lang w:eastAsia="lt-LT"/>
                    </w:rPr>
                    <w:t xml:space="preserve"> – taršos integruotos prevencijos ir kontrolės leidimuose ir taršos leidimuose Nacionalinio visuomenės sveikatos centro prie Sveikatos apsaugos ministerijos nustatomos sąlygos, kuriomis siekiama užtikrinti, kad gyvenamosios aplinkos ore nebūtų viršijama </w:t>
                  </w:r>
                  <w:r>
                    <w:rPr>
                      <w:bCs/>
                      <w:szCs w:val="24"/>
                    </w:rPr>
                    <w:t>didžiausioji leidžiamoji kvapo koncentracijos ribinė vertė</w:t>
                  </w:r>
                  <w:r>
                    <w:rPr>
                      <w:bCs/>
                    </w:rPr>
                    <w:t>.</w:t>
                  </w:r>
                </w:p>
              </w:sdtContent>
            </w:sdt>
            <w:sdt>
              <w:sdtPr>
                <w:alias w:val="4.5 pp."/>
                <w:tag w:val="part_72c4e6a06ff441628fefca256a7d99d6"/>
                <w:lock w:val="sdtLocked"/>
                <w:richText/>
              </w:sdtPr>
              <w:sdtContent>
                <w:p>
                  <w:pPr>
                    <w:widowControl w:val="0"/>
                    <w:suppressAutoHyphens/>
                    <w:ind w:firstLine="567"/>
                    <w:jc w:val="both"/>
                    <w:rPr>
                      <w:color w:val="000000"/>
                    </w:rPr>
                  </w:pPr>
                  <w:sdt>
                    <w:sdtPr>
                      <w:alias w:val="Numeris"/>
                      <w:tag w:val="nr_72c4e6a06ff441628fefca256a7d99d6"/>
                      <w:lock w:val="sdtLocked"/>
                      <w:richText/>
                    </w:sdtPr>
                    <w:sdtContent>
                      <w:r>
                        <w:t>4.5</w:t>
                      </w:r>
                    </w:sdtContent>
                  </w:sdt>
                  <w:r>
                    <w:t>.</w:t>
                  </w:r>
                  <w:r>
                    <w:rPr>
                      <w:b/>
                      <w:bCs/>
                    </w:rPr>
                    <w:t> Stacionarusis taršos kvapais šaltinis</w:t>
                  </w:r>
                  <w:r>
                    <w:t xml:space="preserve"> – stacionarusis įrenginys ar vieta, iš kurių kvapai patenka į gyvenamosios aplinkos orą. Tręšiami laukai nėra laikomi stacionariaisiais taršos kvapais šaltiniais.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6160b05e11eab9d9cd0c85e0b745">
                <w:r w:rsidRPr="00532B9F">
                  <w:rPr>
                    <w:rFonts w:ascii="Times New Roman" w:eastAsia="MS Mincho" w:hAnsi="Times New Roman"/>
                    <w:sz w:val="20"/>
                    <w:i/>
                    <w:iCs/>
                    <w:color w:val="0000FF" w:themeColor="hyperlink"/>
                    <w:u w:val="single"/>
                  </w:rPr>
                  <w:t>V-1481</w:t>
                </w:r>
              </w:fldSimple>
              <w:r>
                <w:rPr>
                  <w:rFonts w:ascii="Times New Roman" w:eastAsia="MS Mincho" w:hAnsi="Times New Roman"/>
                  <w:sz w:val="20"/>
                  <w:i/>
                  <w:iCs/>
                </w:rPr>
                <w:t>,
2020-06-16,
paskelbta TAR 2020-06-17, i. k. 2020-13195            </w:t>
              </w:r>
            </w:p>
            <w:p/>
          </w:sdtContent>
        </w:sdt>
        <w:sdt>
          <w:sdtPr>
            <w:alias w:val="5 p."/>
            <w:tag w:val="part_d8cae68de5104054a5dd5eb2210197f3"/>
            <w:lock w:val="sdtLocked"/>
            <w:richText/>
          </w:sdtPr>
          <w:sdtContent>
            <w:p>
              <w:pPr>
                <w:suppressAutoHyphens/>
                <w:spacing w:line="264" w:lineRule="auto"/>
                <w:ind w:firstLine="567"/>
                <w:jc w:val="both"/>
                <w:textAlignment w:val="center"/>
                <w:rPr>
                  <w:color w:val="000000"/>
                </w:rPr>
              </w:pPr>
              <w:sdt>
                <w:sdtPr>
                  <w:alias w:val="Numeris"/>
                  <w:tag w:val="nr_d8cae68de5104054a5dd5eb2210197f3"/>
                  <w:lock w:val="sdtLocked"/>
                  <w:richText/>
                </w:sdtPr>
                <w:sdtContent>
                  <w:r>
                    <w:rPr>
                      <w:rFonts w:eastAsia="Calibri"/>
                      <w:szCs w:val="24"/>
                    </w:rPr>
                    <w:t>5</w:t>
                  </w:r>
                </w:sdtContent>
              </w:sdt>
              <w:r>
                <w:rPr>
                  <w:rFonts w:eastAsia="Calibri"/>
                  <w:szCs w:val="24"/>
                </w:rPr>
                <w:t>. Didžiausia leidžiama kvapo koncentracijos ribinė vertė gyvenamosios aplinkos ore yra 5</w:t>
              </w:r>
              <w:r>
                <w:rPr>
                  <w:rFonts w:eastAsia="Calibri"/>
                  <w:b/>
                  <w:szCs w:val="24"/>
                </w:rPr>
                <w:t xml:space="preserve"> </w:t>
              </w:r>
              <w:r>
                <w:rPr>
                  <w:rFonts w:eastAsia="Calibri"/>
                  <w:szCs w:val="24"/>
                </w:rPr>
                <w:t>europiniai kvapo vienetai (OUE/m</w:t>
              </w:r>
              <w:r>
                <w:rPr>
                  <w:rFonts w:eastAsia="Calibri"/>
                  <w:szCs w:val="24"/>
                  <w:vertAlign w:val="superscript"/>
                </w:rPr>
                <w:t>3</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cc50d0b44711e98451fa7b5933515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2019-08-01,
paskelbta TAR 2019-08-01, i. k. 2019-12683            </w:t>
              </w:r>
            </w:p>
            <w:p/>
          </w:sdtContent>
        </w:sdt>
        <w:sdt>
          <w:sdtPr>
            <w:alias w:val="6 p."/>
            <w:tag w:val="part_82ab9a98a1b843e6897d0528f6cacb15"/>
            <w:lock w:val="sdtLocked"/>
            <w:richText/>
          </w:sdtPr>
          <w:sdtContent>
            <w:p>
              <w:pPr>
                <w:widowControl w:val="0"/>
                <w:suppressAutoHyphens/>
                <w:ind w:firstLine="567"/>
                <w:jc w:val="both"/>
              </w:pPr>
              <w:sdt>
                <w:sdtPr>
                  <w:alias w:val="Numeris"/>
                  <w:tag w:val="nr_82ab9a98a1b843e6897d0528f6cacb15"/>
                  <w:lock w:val="sdtLocked"/>
                  <w:richText/>
                </w:sdtPr>
                <w:sdtContent>
                  <w:r>
                    <w:rPr>
                      <w:color w:val="000000"/>
                    </w:rPr>
                    <w:t>6</w:t>
                  </w:r>
                </w:sdtContent>
              </w:sdt>
              <w:r>
                <w:rPr>
                  <w:color w:val="000000"/>
                </w:rPr>
                <w:t>. Didžiausia leidžiama kvapo koncentracijos ribinė vertė gyvenamosios aplinkos ore gali būti viršijama tik kol įgyvendinamos šiuo įsakymu patvirtintose Kvapų kontrolės gyvenamosios aplinkos ore taisyklėse numatytame kvapų skleidimo sumažinimo veiksmų plane nurodytos priemonės.</w:t>
              </w:r>
            </w:p>
          </w:sdtContent>
        </w:sdt>
        <w:sdt>
          <w:sdtPr>
            <w:alias w:val="7 p."/>
            <w:tag w:val="part_0fa3796efc6f4f45bca3a592c4137342"/>
            <w:lock w:val="sdtLocked"/>
            <w:richText/>
          </w:sdtPr>
          <w:sdtContent>
            <w:p>
              <w:pPr>
                <w:suppressAutoHyphens/>
                <w:spacing w:line="264" w:lineRule="auto"/>
                <w:ind w:firstLine="567"/>
                <w:jc w:val="both"/>
                <w:textAlignment w:val="center"/>
                <w:rPr>
                  <w:color w:val="000000"/>
                </w:rPr>
              </w:pPr>
              <w:sdt>
                <w:sdtPr>
                  <w:alias w:val="Numeris"/>
                  <w:tag w:val="nr_0fa3796efc6f4f45bca3a592c4137342"/>
                  <w:lock w:val="sdtLocked"/>
                  <w:richText/>
                </w:sdtPr>
                <w:sdtContent>
                  <w:r>
                    <w:rPr>
                      <w:szCs w:val="24"/>
                    </w:rPr>
                    <w:t>7</w:t>
                  </w:r>
                </w:sdtContent>
              </w:sdt>
              <w:r>
                <w:rPr>
                  <w:szCs w:val="24"/>
                </w:rPr>
                <w:t>. </w:t>
              </w:r>
              <w:r>
                <w:rPr>
                  <w:bCs/>
                  <w:szCs w:val="24"/>
                </w:rPr>
                <w:t>Kvapo sklaidos modeliavimas atliekamas skaičiuojant 98,08-ąjį procentilį nuo valandinių verčių.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cc50d0b44711e98451fa7b5933515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2019-08-01,
paskelbta TAR 2019-08-01, i. k. 2019-12683        </w:t>
              </w:r>
            </w:p>
            <w:p/>
          </w:sdtContent>
        </w:sdt>
        <w:sdt>
          <w:sdtPr>
            <w:alias w:val="pabaiga"/>
            <w:tag w:val="part_927d21f663594502a9f96567fd5c070a"/>
            <w:lock w:val="sdtLocked"/>
            <w:richText/>
          </w:sdtPr>
          <w:sdtContent>
            <w:p>
              <w:pPr>
                <w:widowControl w:val="0"/>
                <w:suppressAutoHyphens/>
                <w:jc w:val="center"/>
                <w:rPr>
                  <w:color w:val="000000"/>
                </w:rPr>
              </w:pPr>
              <w:r>
                <w:rPr>
                  <w:color w:val="000000"/>
                </w:rPr>
                <w:t>_________________</w:t>
              </w:r>
            </w:p>
          </w:sdtContent>
        </w:sdt>
      </w:sdtContent>
    </w:sdt>
    <w:sdt>
      <w:sdtPr>
        <w:alias w:val="patvirtinta"/>
        <w:tag w:val="part_cb77aa02bf8d464c9a2dae5d16e5ca2b"/>
        <w:lock w:val="sdtLocked"/>
        <w:richText/>
      </w:sdtPr>
      <w:sdtContent>
        <w:p>
          <w:pPr>
            <w:widowControl w:val="0"/>
            <w:suppressAutoHyphens/>
            <w:ind w:left="5102"/>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567" w:bottom="1134" w:left="1701" w:header="567" w:footer="284" w:gutter="0"/>
              <w:pgNumType w:start="1"/>
              <w:cols w:space="1296"/>
              <w:titlePg/>
              <w:docGrid w:linePitch="360"/>
            </w:sectPr>
          </w:pPr>
        </w:p>
        <w:p>
          <w:pPr>
            <w:widowControl w:val="0"/>
            <w:suppressAutoHyphens/>
            <w:ind w:firstLine="4678"/>
            <w:rPr>
              <w:color w:val="000000"/>
            </w:rPr>
          </w:pPr>
          <w:r>
            <w:rPr>
              <w:color w:val="000000"/>
            </w:rPr>
            <w:t>PATVIRTINTA</w:t>
          </w:r>
        </w:p>
        <w:p>
          <w:pPr>
            <w:widowControl w:val="0"/>
            <w:suppressAutoHyphens/>
            <w:ind w:firstLine="4678"/>
            <w:rPr>
              <w:color w:val="000000"/>
            </w:rPr>
          </w:pPr>
          <w:r>
            <w:rPr>
              <w:color w:val="000000"/>
            </w:rPr>
            <w:t xml:space="preserve">Lietuvos Respublikos sveikatos </w:t>
          </w:r>
        </w:p>
        <w:p>
          <w:pPr>
            <w:widowControl w:val="0"/>
            <w:suppressAutoHyphens/>
            <w:ind w:firstLine="4678"/>
            <w:rPr>
              <w:color w:val="000000"/>
            </w:rPr>
          </w:pPr>
          <w:r>
            <w:rPr>
              <w:color w:val="000000"/>
            </w:rPr>
            <w:t xml:space="preserve">apsaugos ministro 2010 m. spalio 4 d. </w:t>
          </w:r>
        </w:p>
        <w:p>
          <w:pPr>
            <w:widowControl w:val="0"/>
            <w:suppressAutoHyphens/>
            <w:ind w:firstLine="4678"/>
            <w:rPr>
              <w:color w:val="000000"/>
            </w:rPr>
          </w:pPr>
          <w:r>
            <w:rPr>
              <w:color w:val="000000"/>
            </w:rPr>
            <w:t>įsakymu Nr. V-885</w:t>
          </w:r>
        </w:p>
        <w:p>
          <w:pPr>
            <w:ind w:firstLine="4678"/>
            <w:rPr>
              <w:szCs w:val="24"/>
              <w:lang w:eastAsia="lt-LT"/>
            </w:rPr>
          </w:pPr>
          <w:r>
            <w:rPr>
              <w:szCs w:val="24"/>
              <w:lang w:eastAsia="lt-LT"/>
            </w:rPr>
            <w:t>(Lietuvos Respublikos</w:t>
          </w:r>
        </w:p>
        <w:p>
          <w:pPr>
            <w:ind w:firstLine="4678"/>
            <w:rPr>
              <w:szCs w:val="24"/>
              <w:lang w:eastAsia="lt-LT"/>
            </w:rPr>
          </w:pPr>
          <w:r>
            <w:rPr>
              <w:szCs w:val="24"/>
              <w:lang w:eastAsia="lt-LT"/>
            </w:rPr>
            <w:t xml:space="preserve">sveikatos apsaugos ministro </w:t>
          </w:r>
        </w:p>
        <w:p>
          <w:pPr>
            <w:ind w:firstLine="4678"/>
            <w:rPr>
              <w:szCs w:val="24"/>
              <w:lang w:eastAsia="lt-LT"/>
            </w:rPr>
          </w:pPr>
          <w:r>
            <w:rPr>
              <w:szCs w:val="24"/>
              <w:lang w:eastAsia="lt-LT"/>
            </w:rPr>
            <w:t>2020 m. birželio 16 d. įsakymo Nr. V-1481</w:t>
          </w:r>
        </w:p>
        <w:p>
          <w:pPr>
            <w:ind w:firstLine="4678"/>
            <w:rPr>
              <w:szCs w:val="24"/>
              <w:lang w:eastAsia="lt-LT"/>
            </w:rPr>
          </w:pPr>
          <w:r>
            <w:rPr>
              <w:szCs w:val="24"/>
              <w:lang w:eastAsia="lt-LT"/>
            </w:rPr>
            <w:t>redakcija)</w:t>
          </w:r>
        </w:p>
        <w:p>
          <w:pPr>
            <w:widowControl w:val="0"/>
            <w:suppressAutoHyphens/>
            <w:ind w:firstLine="4678"/>
            <w:jc w:val="both"/>
          </w:pP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cb77aa02bf8d464c9a2dae5d16e5ca2b"/>
              <w:lock w:val="sdtLocked"/>
              <w:richText/>
            </w:sdtPr>
            <w:sdtContent>
              <w:r>
                <w:rPr>
                  <w:b/>
                  <w:bCs/>
                  <w:caps/>
                  <w:color w:val="000000"/>
                </w:rPr>
                <w:t>KVAPŲ KONTROLĖS GYVENAMOSIOS APLINKOS ORE TAISYKLĖS</w:t>
              </w:r>
            </w:sdtContent>
          </w:sdt>
        </w:p>
        <w:p>
          <w:pPr>
            <w:widowControl w:val="0"/>
            <w:suppressAutoHyphens/>
            <w:jc w:val="center"/>
            <w:rPr>
              <w:b/>
              <w:bCs/>
              <w:caps/>
              <w:color w:val="000000"/>
            </w:rPr>
          </w:pPr>
        </w:p>
        <w:sdt>
          <w:sdtPr>
            <w:alias w:val="skyrius"/>
            <w:tag w:val="part_78546dd6fd174577a283e39d07db9b1b"/>
            <w:lock w:val="sdtLocked"/>
            <w:richText/>
          </w:sdtPr>
          <w:sdtContent>
            <w:p>
              <w:pPr>
                <w:widowControl w:val="0"/>
                <w:suppressAutoHyphens/>
                <w:jc w:val="center"/>
                <w:rPr>
                  <w:b/>
                  <w:bCs/>
                  <w:caps/>
                  <w:color w:val="000000"/>
                </w:rPr>
              </w:pPr>
              <w:sdt>
                <w:sdtPr>
                  <w:alias w:val="Numeris"/>
                  <w:tag w:val="nr_78546dd6fd174577a283e39d07db9b1b"/>
                  <w:lock w:val="sdtLocked"/>
                  <w:richText/>
                </w:sdtPr>
                <w:sdtContent>
                  <w:r>
                    <w:rPr>
                      <w:b/>
                      <w:bCs/>
                      <w:caps/>
                      <w:color w:val="000000"/>
                    </w:rPr>
                    <w:t>I</w:t>
                  </w:r>
                </w:sdtContent>
              </w:sdt>
              <w:r>
                <w:rPr>
                  <w:b/>
                  <w:bCs/>
                  <w:caps/>
                </w:rPr>
                <w:t xml:space="preserve"> </w:t>
              </w:r>
              <w:r>
                <w:rPr>
                  <w:b/>
                  <w:bCs/>
                  <w:caps/>
                  <w:color w:val="000000"/>
                </w:rPr>
                <w:t>SKYRIUS</w:t>
              </w:r>
            </w:p>
            <w:p>
              <w:pPr>
                <w:widowControl w:val="0"/>
                <w:suppressAutoHyphens/>
                <w:jc w:val="center"/>
                <w:rPr>
                  <w:b/>
                  <w:bCs/>
                  <w:caps/>
                  <w:color w:val="000000"/>
                </w:rPr>
              </w:pPr>
              <w:sdt>
                <w:sdtPr>
                  <w:alias w:val="Pavadinimas"/>
                  <w:tag w:val="title_78546dd6fd174577a283e39d07db9b1b"/>
                  <w:lock w:val="sdtLocked"/>
                  <w:richText/>
                </w:sdtPr>
                <w:sdtContent>
                  <w:r>
                    <w:rPr>
                      <w:b/>
                      <w:bCs/>
                      <w:caps/>
                      <w:color w:val="000000"/>
                    </w:rPr>
                    <w:t xml:space="preserve">BENDROSIOS NUOSTATOS </w:t>
                  </w:r>
                </w:sdtContent>
              </w:sdt>
            </w:p>
            <w:p/>
            <w:sdt>
              <w:sdtPr>
                <w:alias w:val="1 p."/>
                <w:tag w:val="part_2af08b843cb54102a73542f7d2cae35a"/>
                <w:lock w:val="sdtLocked"/>
                <w:richText/>
              </w:sdtPr>
              <w:sdtContent>
                <w:p>
                  <w:pPr>
                    <w:widowControl w:val="0"/>
                    <w:suppressAutoHyphens/>
                    <w:ind w:firstLine="567"/>
                    <w:jc w:val="both"/>
                  </w:pPr>
                  <w:sdt>
                    <w:sdtPr>
                      <w:alias w:val="Numeris"/>
                      <w:tag w:val="nr_2af08b843cb54102a73542f7d2cae35a"/>
                      <w:lock w:val="sdtLocked"/>
                      <w:richText/>
                    </w:sdtPr>
                    <w:sdtContent>
                      <w:r>
                        <w:t>1</w:t>
                      </w:r>
                    </w:sdtContent>
                  </w:sdt>
                  <w:r>
                    <w:t xml:space="preserve">. Kvapų kontrolės gyvenamosios aplinkos ore taisyklės (toliau – Taisyklės) nustato kvapų valstybinės visuomenės sveikatos saugos kontrolės (toliau – kvapų kontrolė) gyvenamosios aplinkos ore, įskaitant tai, kaip laikomasi taršos integruotos prevencijos ir kontrolės leidimuose ir taršos leidimuose </w:t>
                  </w:r>
                  <w:r>
                    <w:rPr>
                      <w:szCs w:val="24"/>
                      <w:lang w:eastAsia="lt-LT"/>
                    </w:rPr>
                    <w:t>Nacionalinio visuomenės sveikatos centro prie Sveikatos apsaugos ministerijos</w:t>
                  </w:r>
                  <w:r>
                    <w:t xml:space="preserve"> (toliau – Centras) nustatytų kvapų valdymo sąlygų, atlikimo pagrindus ir tvarką.</w:t>
                  </w:r>
                </w:p>
              </w:sdtContent>
            </w:sdt>
            <w:sdt>
              <w:sdtPr>
                <w:alias w:val="2 p."/>
                <w:tag w:val="part_aa7d845df7ec484985a4bb2759a6aa35"/>
                <w:lock w:val="sdtLocked"/>
                <w:richText/>
              </w:sdtPr>
              <w:sdtContent>
                <w:p>
                  <w:pPr>
                    <w:widowControl w:val="0"/>
                    <w:suppressAutoHyphens/>
                    <w:ind w:firstLine="567"/>
                    <w:jc w:val="both"/>
                  </w:pPr>
                  <w:sdt>
                    <w:sdtPr>
                      <w:alias w:val="Numeris"/>
                      <w:tag w:val="nr_aa7d845df7ec484985a4bb2759a6aa35"/>
                      <w:lock w:val="sdtLocked"/>
                      <w:richText/>
                    </w:sdtPr>
                    <w:sdtContent>
                      <w:r>
                        <w:t>2</w:t>
                      </w:r>
                    </w:sdtContent>
                  </w:sdt>
                  <w:r>
                    <w:t>. Taisyklėse vartojamos sąvokos ir jų apibrėžtys:</w:t>
                  </w:r>
                </w:p>
                <w:sdt>
                  <w:sdtPr>
                    <w:alias w:val="2.1 pp."/>
                    <w:tag w:val="part_7f51fd33e3fb479bae58494cedc086b4"/>
                    <w:lock w:val="sdtLocked"/>
                    <w:richText/>
                  </w:sdtPr>
                  <w:sdtContent>
                    <w:p>
                      <w:pPr>
                        <w:widowControl w:val="0"/>
                        <w:suppressAutoHyphens/>
                        <w:ind w:firstLine="567"/>
                        <w:jc w:val="both"/>
                      </w:pPr>
                      <w:sdt>
                        <w:sdtPr>
                          <w:alias w:val="Numeris"/>
                          <w:tag w:val="nr_7f51fd33e3fb479bae58494cedc086b4"/>
                          <w:lock w:val="sdtLocked"/>
                          <w:richText/>
                        </w:sdtPr>
                        <w:sdtContent>
                          <w:r>
                            <w:t>2.1</w:t>
                          </w:r>
                        </w:sdtContent>
                      </w:sdt>
                      <w:r>
                        <w:t>. </w:t>
                      </w:r>
                      <w:r>
                        <w:rPr>
                          <w:b/>
                          <w:bCs/>
                        </w:rPr>
                        <w:t>Kvapo emisijos rodiklis</w:t>
                      </w:r>
                      <w:r>
                        <w:t xml:space="preserve"> – europinių kvapo vienetų, per tam tikrą laiką pereinančių per tam tikrą paviršių, kiekis, išreiškiamas tam tikros  koncentracijos kvapo srauto išėjimo greičio ir išėjimo ploto sandauga arba kvapo koncentracijos ir tūrio srauto sandauga.</w:t>
                      </w:r>
                    </w:p>
                  </w:sdtContent>
                </w:sdt>
                <w:sdt>
                  <w:sdtPr>
                    <w:alias w:val="2.2 pp."/>
                    <w:tag w:val="part_1aaa129e1878442aaccb6595ed325ddf"/>
                    <w:lock w:val="sdtLocked"/>
                    <w:richText/>
                  </w:sdtPr>
                  <w:sdtContent>
                    <w:p>
                      <w:pPr>
                        <w:widowControl w:val="0"/>
                        <w:suppressAutoHyphens/>
                        <w:ind w:firstLine="567"/>
                        <w:jc w:val="both"/>
                      </w:pPr>
                      <w:sdt>
                        <w:sdtPr>
                          <w:alias w:val="Numeris"/>
                          <w:tag w:val="nr_1aaa129e1878442aaccb6595ed325ddf"/>
                          <w:lock w:val="sdtLocked"/>
                          <w:richText/>
                        </w:sdtPr>
                        <w:sdtContent>
                          <w:r>
                            <w:t>2.2</w:t>
                          </w:r>
                        </w:sdtContent>
                      </w:sdt>
                      <w:r>
                        <w:t>.</w:t>
                      </w:r>
                      <w:r>
                        <w:rPr>
                          <w:b/>
                          <w:bCs/>
                        </w:rPr>
                        <w:t> Netikslinis taršos šaltinis</w:t>
                      </w:r>
                      <w:r>
                        <w:t xml:space="preserve"> – įrenginys ar vieta, iš kurių teršalai išmetami į aplinkos orą (pvz., atviros žaliavų, atliekų saugojimo aikštelės ar pan.), tačiau kurie specialiai tam neskirti</w:t>
                      </w:r>
                    </w:p>
                  </w:sdtContent>
                </w:sdt>
                <w:sdt>
                  <w:sdtPr>
                    <w:alias w:val="2.3 pp."/>
                    <w:tag w:val="part_076ccbd664fe47e8bd559df19cce5f68"/>
                    <w:lock w:val="sdtLocked"/>
                    <w:richText/>
                  </w:sdtPr>
                  <w:sdtContent>
                    <w:p>
                      <w:pPr>
                        <w:widowControl w:val="0"/>
                        <w:suppressAutoHyphens/>
                        <w:ind w:firstLine="567"/>
                        <w:jc w:val="both"/>
                      </w:pPr>
                      <w:sdt>
                        <w:sdtPr>
                          <w:alias w:val="Numeris"/>
                          <w:tag w:val="nr_076ccbd664fe47e8bd559df19cce5f68"/>
                          <w:lock w:val="sdtLocked"/>
                          <w:richText/>
                        </w:sdtPr>
                        <w:sdtContent>
                          <w:r>
                            <w:t>2.3</w:t>
                          </w:r>
                        </w:sdtContent>
                      </w:sdt>
                      <w:r>
                        <w:t>.</w:t>
                      </w:r>
                      <w:r>
                        <w:rPr>
                          <w:b/>
                          <w:bCs/>
                        </w:rPr>
                        <w:t> Tikslinis taršos šaltinis</w:t>
                      </w:r>
                      <w:r>
                        <w:t xml:space="preserve"> – įrenginys, skirtas specialiai teršalams į aplinkos orą išmesti.</w:t>
                      </w:r>
                    </w:p>
                  </w:sdtContent>
                </w:sdt>
                <w:sdt>
                  <w:sdtPr>
                    <w:alias w:val="2.4 pp."/>
                    <w:tag w:val="part_1acd4e4560804d68b32868bd456f2238"/>
                    <w:lock w:val="sdtLocked"/>
                    <w:richText/>
                  </w:sdtPr>
                  <w:sdtContent>
                    <w:p>
                      <w:pPr>
                        <w:widowControl w:val="0"/>
                        <w:suppressAutoHyphens/>
                        <w:ind w:firstLine="567"/>
                        <w:jc w:val="both"/>
                      </w:pPr>
                      <w:sdt>
                        <w:sdtPr>
                          <w:alias w:val="Numeris"/>
                          <w:tag w:val="nr_1acd4e4560804d68b32868bd456f2238"/>
                          <w:lock w:val="sdtLocked"/>
                          <w:richText/>
                        </w:sdtPr>
                        <w:sdtContent>
                          <w:r>
                            <w:t>2.4</w:t>
                          </w:r>
                        </w:sdtContent>
                      </w:sdt>
                      <w:r>
                        <w:t>. Kitos Taisyklėse vartojamos sąvokos atitinka šiuo įsakymu patvirtintoje Lietuvos higienos normoje HN 121:2010 „Kvapo koncentracijos ribinė vertė gyvenamosios aplinkos ore“ (toliau – HN 121:2010) vartojamas sąvokas.</w:t>
                      </w:r>
                    </w:p>
                  </w:sdtContent>
                </w:sdt>
              </w:sdtContent>
            </w:sdt>
            <w:sdt>
              <w:sdtPr>
                <w:alias w:val="3 p."/>
                <w:tag w:val="part_eaa07a40b6034fc5b5bc4ce81346619f"/>
                <w:lock w:val="sdtLocked"/>
                <w:richText/>
              </w:sdtPr>
              <w:sdtContent>
                <w:p>
                  <w:pPr>
                    <w:widowControl w:val="0"/>
                    <w:suppressAutoHyphens/>
                    <w:ind w:firstLine="567"/>
                    <w:jc w:val="both"/>
                    <w:rPr>
                      <w:color w:val="000000"/>
                    </w:rPr>
                  </w:pPr>
                  <w:sdt>
                    <w:sdtPr>
                      <w:alias w:val="Numeris"/>
                      <w:tag w:val="nr_eaa07a40b6034fc5b5bc4ce81346619f"/>
                      <w:lock w:val="sdtLocked"/>
                      <w:richText/>
                    </w:sdtPr>
                    <w:sdtContent>
                      <w:r>
                        <w:rPr>
                          <w:color w:val="000000"/>
                        </w:rPr>
                        <w:t>3</w:t>
                      </w:r>
                    </w:sdtContent>
                  </w:sdt>
                  <w:r>
                    <w:rPr>
                      <w:color w:val="000000"/>
                    </w:rPr>
                    <w:t>. Kvapų kontrolė atliekama gavus asmens (asmenų) skundą, kuriame asmuo (asmenys) skundžiasi iš ūkinėje komercinėje (toliau – ūkinė veikla) veikloje naudojamų stacionariųjų taršos kvapais šaltinių (toliau – taršos šaltiniai) skleidžiamais kvapais gyvenamosios aplinkos ore.</w:t>
                  </w:r>
                </w:p>
              </w:sdtContent>
            </w:sdt>
            <w:sdt>
              <w:sdtPr>
                <w:alias w:val="4 p."/>
                <w:tag w:val="part_9e5ceb0712664586b10607e699dff6d3"/>
                <w:lock w:val="sdtLocked"/>
                <w:richText/>
              </w:sdtPr>
              <w:sdtContent>
                <w:p>
                  <w:pPr>
                    <w:ind w:firstLine="567"/>
                    <w:jc w:val="both"/>
                    <w:rPr>
                      <w:color w:val="000000"/>
                    </w:rPr>
                  </w:pPr>
                  <w:sdt>
                    <w:sdtPr>
                      <w:alias w:val="Numeris"/>
                      <w:tag w:val="nr_9e5ceb0712664586b10607e699dff6d3"/>
                      <w:lock w:val="sdtLocked"/>
                      <w:richText/>
                    </w:sdtPr>
                    <w:sdtContent>
                      <w:r>
                        <w:rPr>
                          <w:color w:val="000000"/>
                          <w:szCs w:val="24"/>
                        </w:rPr>
                        <w:t>4</w:t>
                      </w:r>
                    </w:sdtContent>
                  </w:sdt>
                  <w:r>
                    <w:rPr>
                      <w:color w:val="000000"/>
                      <w:szCs w:val="24"/>
                    </w:rPr>
                    <w:t>. Skundus nagrinėja Centras Tiesioginės valstybinės visuomenės sveikatos saugos kontrolės reglamento, patvirtinto Lietuvos Respublikos sveikatos apsaugos ministro 2010 m. spalio 28 d. įsakymu Nr. V-946 „Dėl Tiesioginės valstybinės visuomenės sveikatos saugos kontrolės reglamento patvirtinimo</w:t>
                  </w:r>
                  <w:r>
                    <w:rPr>
                      <w:szCs w:val="24"/>
                    </w:rPr>
                    <w:t>“, nusta</w:t>
                  </w:r>
                  <w:r>
                    <w:rPr>
                      <w:color w:val="000000"/>
                      <w:szCs w:val="24"/>
                    </w:rPr>
                    <w:t>tyta tvarka su šiose Taisyklėse numatytais ypatumais.</w:t>
                  </w:r>
                </w:p>
              </w:sdtContent>
            </w:sdt>
            <w:sdt>
              <w:sdtPr>
                <w:alias w:val="5 p."/>
                <w:tag w:val="part_9bb826fc1e154cf2ad7c0ec0cecfdc15"/>
                <w:lock w:val="sdtLocked"/>
                <w:richText/>
              </w:sdtPr>
              <w:sdtContent>
                <w:p>
                  <w:pPr>
                    <w:ind w:firstLine="567"/>
                    <w:jc w:val="both"/>
                    <w:rPr>
                      <w:color w:val="000000"/>
                    </w:rPr>
                  </w:pPr>
                  <w:sdt>
                    <w:sdtPr>
                      <w:alias w:val="Numeris"/>
                      <w:tag w:val="nr_9bb826fc1e154cf2ad7c0ec0cecfdc15"/>
                      <w:lock w:val="sdtLocked"/>
                      <w:richText/>
                    </w:sdtPr>
                    <w:sdtContent>
                      <w:r>
                        <w:rPr>
                          <w:color w:val="000000"/>
                          <w:szCs w:val="24"/>
                          <w:lang w:eastAsia="lt-LT"/>
                        </w:rPr>
                        <w:t>5</w:t>
                      </w:r>
                    </w:sdtContent>
                  </w:sdt>
                  <w:r>
                    <w:rPr>
                      <w:color w:val="000000"/>
                      <w:szCs w:val="24"/>
                      <w:lang w:eastAsia="lt-LT"/>
                    </w:rPr>
                    <w:t xml:space="preserve">. Skundas nenagrinėjamas, </w:t>
                  </w:r>
                  <w:r>
                    <w:rPr>
                      <w:szCs w:val="24"/>
                      <w:lang w:eastAsia="lt-LT"/>
                    </w:rPr>
                    <w:t>jei Centras nustato</w:t>
                  </w:r>
                  <w:r>
                    <w:rPr>
                      <w:color w:val="000000"/>
                      <w:szCs w:val="24"/>
                      <w:lang w:eastAsia="lt-LT"/>
                    </w:rPr>
                    <w:t xml:space="preserve">, kad </w:t>
                  </w:r>
                  <w:r>
                    <w:rPr>
                      <w:color w:val="000000"/>
                      <w:szCs w:val="24"/>
                    </w:rPr>
                    <w:t>kvapų kontrolės metu</w:t>
                  </w:r>
                  <w:r>
                    <w:rPr>
                      <w:color w:val="000000"/>
                      <w:szCs w:val="24"/>
                      <w:lang w:eastAsia="lt-LT"/>
                    </w:rPr>
                    <w:t xml:space="preserve"> </w:t>
                  </w:r>
                  <w:r>
                    <w:rPr>
                      <w:bCs/>
                      <w:iCs/>
                      <w:color w:val="000000"/>
                      <w:szCs w:val="24"/>
                    </w:rPr>
                    <w:t>ne daugiau kaip prieš vienus metus</w:t>
                  </w:r>
                  <w:r>
                    <w:rPr>
                      <w:i/>
                      <w:iCs/>
                      <w:color w:val="000000"/>
                      <w:szCs w:val="24"/>
                    </w:rPr>
                    <w:t xml:space="preserve"> </w:t>
                  </w:r>
                  <w:r>
                    <w:rPr>
                      <w:color w:val="000000"/>
                      <w:szCs w:val="24"/>
                      <w:lang w:eastAsia="lt-LT"/>
                    </w:rPr>
                    <w:t>buvo atliktas ūkinės veiklos sukeliamo kvapo koncentracijos modeliavimas, kuriuo apskaičiuota kvapo koncentracija neviršijo didžiausiosios leidžiamosios kvapo koncentracijos ribinės vertės ir ūkinės veiklos vykdymo sąlygos po kvapo koncentracijos modeliavimo nepakito.</w:t>
                  </w:r>
                </w:p>
              </w:sdtContent>
            </w:sdt>
            <w:sdt>
              <w:sdtPr>
                <w:alias w:val="6 p."/>
                <w:tag w:val="part_4eadb42f13c9435094ef4e13ddc4070f"/>
                <w:lock w:val="sdtLocked"/>
                <w:richText/>
              </w:sdtPr>
              <w:sdtContent>
                <w:p>
                  <w:pPr>
                    <w:widowControl w:val="0"/>
                    <w:suppressAutoHyphens/>
                    <w:ind w:firstLine="567"/>
                    <w:jc w:val="both"/>
                    <w:rPr>
                      <w:color w:val="000000"/>
                    </w:rPr>
                  </w:pPr>
                  <w:sdt>
                    <w:sdtPr>
                      <w:alias w:val="Numeris"/>
                      <w:tag w:val="nr_4eadb42f13c9435094ef4e13ddc4070f"/>
                      <w:lock w:val="sdtLocked"/>
                      <w:richText/>
                    </w:sdtPr>
                    <w:sdtContent>
                      <w:r>
                        <w:rPr>
                          <w:color w:val="000000"/>
                        </w:rPr>
                        <w:t>6</w:t>
                      </w:r>
                    </w:sdtContent>
                  </w:sdt>
                  <w:r>
                    <w:rPr>
                      <w:color w:val="000000"/>
                    </w:rPr>
                    <w:t>. Skunde pareiškėjas turi nurodyti šiuos duomenis:</w:t>
                  </w:r>
                </w:p>
                <w:sdt>
                  <w:sdtPr>
                    <w:alias w:val="6.1 pp."/>
                    <w:tag w:val="part_e98c4111bfdd4b5693ac919ceede3af6"/>
                    <w:lock w:val="sdtLocked"/>
                    <w:richText/>
                  </w:sdtPr>
                  <w:sdtContent>
                    <w:p>
                      <w:pPr>
                        <w:widowControl w:val="0"/>
                        <w:suppressAutoHyphens/>
                        <w:ind w:firstLine="567"/>
                        <w:jc w:val="both"/>
                        <w:rPr>
                          <w:color w:val="000000"/>
                        </w:rPr>
                      </w:pPr>
                      <w:sdt>
                        <w:sdtPr>
                          <w:alias w:val="Numeris"/>
                          <w:tag w:val="nr_e98c4111bfdd4b5693ac919ceede3af6"/>
                          <w:lock w:val="sdtLocked"/>
                          <w:richText/>
                        </w:sdtPr>
                        <w:sdtContent>
                          <w:r>
                            <w:rPr>
                              <w:color w:val="000000"/>
                            </w:rPr>
                            <w:t>6.1</w:t>
                          </w:r>
                        </w:sdtContent>
                      </w:sdt>
                      <w:r>
                        <w:rPr>
                          <w:color w:val="000000"/>
                        </w:rPr>
                        <w:t>. pareiškėjo vardą, pavardę, gyvenamosios vietos adresą ir kontaktinius duomenis;</w:t>
                      </w:r>
                    </w:p>
                  </w:sdtContent>
                </w:sdt>
                <w:sdt>
                  <w:sdtPr>
                    <w:alias w:val="6.2 pp."/>
                    <w:tag w:val="part_47bda1f656b240d6a17990db256d55d6"/>
                    <w:lock w:val="sdtLocked"/>
                    <w:richText/>
                  </w:sdtPr>
                  <w:sdtContent>
                    <w:p>
                      <w:pPr>
                        <w:widowControl w:val="0"/>
                        <w:suppressAutoHyphens/>
                        <w:ind w:firstLine="567"/>
                        <w:jc w:val="both"/>
                        <w:rPr>
                          <w:color w:val="000000"/>
                        </w:rPr>
                      </w:pPr>
                      <w:sdt>
                        <w:sdtPr>
                          <w:alias w:val="Numeris"/>
                          <w:tag w:val="nr_47bda1f656b240d6a17990db256d55d6"/>
                          <w:lock w:val="sdtLocked"/>
                          <w:richText/>
                        </w:sdtPr>
                        <w:sdtContent>
                          <w:r>
                            <w:rPr>
                              <w:color w:val="000000"/>
                            </w:rPr>
                            <w:t>6.2</w:t>
                          </w:r>
                        </w:sdtContent>
                      </w:sdt>
                      <w:r>
                        <w:rPr>
                          <w:color w:val="000000"/>
                        </w:rPr>
                        <w:t>. ūkinės</w:t>
                      </w:r>
                      <w:r>
                        <w:t xml:space="preserve"> </w:t>
                      </w:r>
                      <w:r>
                        <w:rPr>
                          <w:color w:val="000000"/>
                        </w:rPr>
                        <w:t>veiklos, kurioje naudojami taršos šaltiniai skleidžia kvapą gyvenamosios aplinkos ore, vykdytojo pavadinimą, veiklos vykdymo adresą, išskyrus atvejus, kai šių duomenų pareiškėjas negali pateikti ir tai motyvuotai paaiškina skunde;</w:t>
                      </w:r>
                    </w:p>
                  </w:sdtContent>
                </w:sdt>
                <w:sdt>
                  <w:sdtPr>
                    <w:alias w:val="6.3 pp."/>
                    <w:tag w:val="part_5ddbdb320fe94958b1c814df78c78f40"/>
                    <w:lock w:val="sdtLocked"/>
                    <w:richText/>
                  </w:sdtPr>
                  <w:sdtContent>
                    <w:p>
                      <w:pPr>
                        <w:widowControl w:val="0"/>
                        <w:suppressAutoHyphens/>
                        <w:ind w:firstLine="567"/>
                        <w:jc w:val="both"/>
                        <w:rPr>
                          <w:color w:val="000000"/>
                        </w:rPr>
                      </w:pPr>
                      <w:sdt>
                        <w:sdtPr>
                          <w:alias w:val="Numeris"/>
                          <w:tag w:val="nr_5ddbdb320fe94958b1c814df78c78f40"/>
                          <w:lock w:val="sdtLocked"/>
                          <w:richText/>
                        </w:sdtPr>
                        <w:sdtContent>
                          <w:r>
                            <w:rPr>
                              <w:color w:val="000000"/>
                            </w:rPr>
                            <w:t>6.3</w:t>
                          </w:r>
                        </w:sdtContent>
                      </w:sdt>
                      <w:r>
                        <w:rPr>
                          <w:color w:val="000000"/>
                        </w:rPr>
                        <w:t>. kvapo pobūdį bei laiką, kada jaučiamas kvapas, kada jis intensyviausias, ir laiką, kada pareiškėjas siūlo atlikti kvapo kontrolę.</w:t>
                      </w:r>
                    </w:p>
                  </w:sdtContent>
                </w:sdt>
              </w:sdtContent>
            </w:sdt>
            <w:sdt>
              <w:sdtPr>
                <w:alias w:val="7 p."/>
                <w:tag w:val="part_db1f664799a94e00872e972b7c56ee64"/>
                <w:lock w:val="sdtLocked"/>
                <w:richText/>
              </w:sdtPr>
              <w:sdtContent>
                <w:p>
                  <w:pPr>
                    <w:widowControl w:val="0"/>
                    <w:suppressAutoHyphens/>
                    <w:ind w:firstLine="567"/>
                    <w:jc w:val="both"/>
                    <w:rPr>
                      <w:color w:val="000000"/>
                    </w:rPr>
                  </w:pPr>
                  <w:sdt>
                    <w:sdtPr>
                      <w:alias w:val="Numeris"/>
                      <w:tag w:val="nr_db1f664799a94e00872e972b7c56ee64"/>
                      <w:lock w:val="sdtLocked"/>
                      <w:richText/>
                    </w:sdtPr>
                    <w:sdtContent>
                      <w:r>
                        <w:rPr>
                          <w:color w:val="000000"/>
                        </w:rPr>
                        <w:t>7</w:t>
                      </w:r>
                    </w:sdtContent>
                  </w:sdt>
                  <w:r>
                    <w:rPr>
                      <w:color w:val="000000"/>
                    </w:rPr>
                    <w:t>. </w:t>
                  </w:r>
                  <w:r>
                    <w:t xml:space="preserve">Centras, gavęs </w:t>
                  </w:r>
                  <w:r>
                    <w:rPr>
                      <w:color w:val="000000"/>
                    </w:rPr>
                    <w:t>skundą, neatitinkantį Taisyklių 6 punkte nurodytų reikalavimų, ne vėliau kaip per 3 darbo dienas raštu pasiūlo pareiškėjui pateikti trūkstamą informaciją ir nurodo, kad skundas bus nagrinėjamas tik gavus trūkstamą informaciją.</w:t>
                  </w:r>
                </w:p>
                <w:p>
                  <w:pPr>
                    <w:widowControl w:val="0"/>
                    <w:suppressAutoHyphens/>
                    <w:ind w:firstLine="567"/>
                    <w:jc w:val="both"/>
                    <w:rPr>
                      <w:color w:val="000000"/>
                    </w:rPr>
                  </w:pPr>
                </w:p>
              </w:sdtContent>
            </w:sdt>
          </w:sdtContent>
        </w:sdt>
        <w:sdt>
          <w:sdtPr>
            <w:alias w:val="skyrius"/>
            <w:tag w:val="part_ae5cda48562a4ed0ad39a8e57a79fef2"/>
            <w:lock w:val="sdtLocked"/>
            <w:richText/>
          </w:sdtPr>
          <w:sdtContent>
            <w:p>
              <w:pPr>
                <w:keepLines/>
                <w:widowControl w:val="0"/>
                <w:suppressAutoHyphens/>
                <w:jc w:val="center"/>
                <w:rPr>
                  <w:b/>
                  <w:bCs/>
                  <w:caps/>
                  <w:color w:val="000000"/>
                </w:rPr>
              </w:pPr>
              <w:sdt>
                <w:sdtPr>
                  <w:alias w:val="Numeris"/>
                  <w:tag w:val="nr_ae5cda48562a4ed0ad39a8e57a79fef2"/>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rPr>
              </w:pPr>
              <w:sdt>
                <w:sdtPr>
                  <w:alias w:val="Pavadinimas"/>
                  <w:tag w:val="title_ae5cda48562a4ed0ad39a8e57a79fef2"/>
                  <w:lock w:val="sdtLocked"/>
                  <w:richText/>
                </w:sdtPr>
                <w:sdtContent>
                  <w:r>
                    <w:rPr>
                      <w:b/>
                      <w:bCs/>
                      <w:caps/>
                      <w:color w:val="000000"/>
                    </w:rPr>
                    <w:t>KVAPŲ</w:t>
                  </w:r>
                  <w:r>
                    <w:rPr>
                      <w:b/>
                      <w:bCs/>
                      <w:caps/>
                    </w:rPr>
                    <w:t xml:space="preserve"> KONTROLĖS ATLIKIMO TVARKA</w:t>
                  </w:r>
                </w:sdtContent>
              </w:sdt>
            </w:p>
            <w:p/>
            <w:sdt>
              <w:sdtPr>
                <w:alias w:val="8 p."/>
                <w:tag w:val="part_6c1151542b2f43e09685a4adf99016a5"/>
                <w:lock w:val="sdtLocked"/>
                <w:richText/>
              </w:sdtPr>
              <w:sdtContent>
                <w:p>
                  <w:pPr>
                    <w:widowControl w:val="0"/>
                    <w:suppressAutoHyphens/>
                    <w:ind w:firstLine="567"/>
                    <w:jc w:val="both"/>
                  </w:pPr>
                  <w:sdt>
                    <w:sdtPr>
                      <w:alias w:val="Numeris"/>
                      <w:tag w:val="nr_6c1151542b2f43e09685a4adf99016a5"/>
                      <w:lock w:val="sdtLocked"/>
                      <w:richText/>
                    </w:sdtPr>
                    <w:sdtContent>
                      <w:r>
                        <w:t>8</w:t>
                      </w:r>
                    </w:sdtContent>
                  </w:sdt>
                  <w:r>
                    <w:t>. Kvapų kontrolė atliekama šiais trimis etapais:</w:t>
                  </w:r>
                </w:p>
                <w:sdt>
                  <w:sdtPr>
                    <w:alias w:val="8.1 pp."/>
                    <w:tag w:val="part_17eb1291ed434763a194031ccf8f0ccd"/>
                    <w:lock w:val="sdtLocked"/>
                    <w:richText/>
                  </w:sdtPr>
                  <w:sdtContent>
                    <w:p>
                      <w:pPr>
                        <w:widowControl w:val="0"/>
                        <w:suppressAutoHyphens/>
                        <w:ind w:firstLine="567"/>
                        <w:jc w:val="both"/>
                      </w:pPr>
                      <w:sdt>
                        <w:sdtPr>
                          <w:alias w:val="Numeris"/>
                          <w:tag w:val="nr_17eb1291ed434763a194031ccf8f0ccd"/>
                          <w:lock w:val="sdtLocked"/>
                          <w:richText/>
                        </w:sdtPr>
                        <w:sdtContent>
                          <w:r>
                            <w:t>8.1</w:t>
                          </w:r>
                        </w:sdtContent>
                      </w:sdt>
                      <w:r>
                        <w:t>. I etapas – kvapų kontrolės komisijos (toliau – Komisija) sudarymas ir galimo kvapo vietoje patikrinimas;</w:t>
                      </w:r>
                    </w:p>
                  </w:sdtContent>
                </w:sdt>
                <w:sdt>
                  <w:sdtPr>
                    <w:alias w:val="8.2 pp."/>
                    <w:tag w:val="part_8617bcbe4c804daba887644690142539"/>
                    <w:lock w:val="sdtLocked"/>
                    <w:richText/>
                  </w:sdtPr>
                  <w:sdtContent>
                    <w:p>
                      <w:pPr>
                        <w:widowControl w:val="0"/>
                        <w:suppressAutoHyphens/>
                        <w:ind w:firstLine="567"/>
                        <w:jc w:val="both"/>
                      </w:pPr>
                      <w:sdt>
                        <w:sdtPr>
                          <w:alias w:val="Numeris"/>
                          <w:tag w:val="nr_8617bcbe4c804daba887644690142539"/>
                          <w:lock w:val="sdtLocked"/>
                          <w:richText/>
                        </w:sdtPr>
                        <w:sdtContent>
                          <w:r>
                            <w:t>8.2</w:t>
                          </w:r>
                        </w:sdtContent>
                      </w:sdt>
                      <w:r>
                        <w:t>. </w:t>
                      </w:r>
                      <w:r>
                        <w:rPr>
                          <w:szCs w:val="24"/>
                        </w:rPr>
                        <w:t xml:space="preserve">II etapas – ūkinės veiklos vykdymo sąlygų vertinimas (Komisijai nustačius, kad gyvenamosios aplinkos ore jaučiamas kvapas gali būti siejamas su skunde nurodyta ar kita ūkine veikla arba Komisijai nustačius, </w:t>
                      </w:r>
                      <w:r>
                        <w:rPr>
                          <w:szCs w:val="24"/>
                          <w:lang w:eastAsia="lt-LT"/>
                        </w:rPr>
                        <w:t>kad nors kvapas gyvenamosios aplinkos ore patikrinimo metu ir nėra jaučiamas, tačiau remiantis papildoma informacija gali būti siejamas su skunde nurodyta ar kita ūkine veikla</w:t>
                      </w:r>
                      <w:r>
                        <w:rPr>
                          <w:szCs w:val="24"/>
                        </w:rPr>
                        <w:t>);</w:t>
                      </w:r>
                    </w:p>
                  </w:sdtContent>
                </w:sdt>
                <w:sdt>
                  <w:sdtPr>
                    <w:alias w:val="8.3 pp."/>
                    <w:tag w:val="part_ea3db5c3ffe64719bd241ee3958cd3e0"/>
                    <w:lock w:val="sdtLocked"/>
                    <w:richText/>
                  </w:sdtPr>
                  <w:sdtContent>
                    <w:p>
                      <w:pPr>
                        <w:ind w:firstLine="567"/>
                        <w:jc w:val="both"/>
                        <w:rPr>
                          <w:szCs w:val="24"/>
                          <w:lang w:eastAsia="lt-LT"/>
                        </w:rPr>
                      </w:pPr>
                      <w:sdt>
                        <w:sdtPr>
                          <w:alias w:val="Numeris"/>
                          <w:tag w:val="nr_ea3db5c3ffe64719bd241ee3958cd3e0"/>
                          <w:lock w:val="sdtLocked"/>
                          <w:richText/>
                        </w:sdtPr>
                        <w:sdtContent>
                          <w:r>
                            <w:t>8.3</w:t>
                          </w:r>
                        </w:sdtContent>
                      </w:sdt>
                      <w:r>
                        <w:t>. </w:t>
                      </w:r>
                      <w:r>
                        <w:rPr>
                          <w:szCs w:val="24"/>
                          <w:lang w:eastAsia="lt-LT"/>
                        </w:rPr>
                        <w:t>III etapas – kvapo koncentracijos vertinimas (k</w:t>
                      </w:r>
                      <w:r>
                        <w:t>ompetentingoms institucijoms nenustačius Taisyklių 10.1 papunktyje nurodytų pažeidimų arba pareiškėjui po kompetentingų institucijų nustatytų pažeidimų pašalinimo,</w:t>
                      </w:r>
                      <w:r>
                        <w:rPr>
                          <w:szCs w:val="24"/>
                        </w:rPr>
                        <w:t xml:space="preserve"> priimtų sprendimų įgyvendinimo ar numatytų veiksmų atlikimo</w:t>
                      </w:r>
                      <w:r>
                        <w:t xml:space="preserve"> informavus Centrą, kad kvapo pobūdis, intensyvumas nepakito, kvapas vis dar jaučiamas ir tikslinga atlikti kvapo koncentracijos vertinimą), išskyrus</w:t>
                      </w:r>
                      <w:r>
                        <w:rPr>
                          <w:szCs w:val="24"/>
                        </w:rPr>
                        <w:t xml:space="preserve"> atvejus, kai kvapas sklinda pastatų vidaus patalpose (iš patalpos į patalpą)</w:t>
                      </w:r>
                      <w:r>
                        <w:t xml:space="preserve">. </w:t>
                      </w:r>
                    </w:p>
                  </w:sdtContent>
                </w:sdt>
              </w:sdtContent>
            </w:sdt>
            <w:sdt>
              <w:sdtPr>
                <w:alias w:val="9 p."/>
                <w:tag w:val="part_8165965f439c4571928f5704e454f459"/>
                <w:lock w:val="sdtLocked"/>
                <w:richText/>
              </w:sdtPr>
              <w:sdtContent>
                <w:p>
                  <w:pPr>
                    <w:widowControl w:val="0"/>
                    <w:suppressAutoHyphens/>
                    <w:ind w:firstLine="567"/>
                    <w:jc w:val="both"/>
                    <w:rPr>
                      <w:color w:val="000000"/>
                    </w:rPr>
                  </w:pPr>
                  <w:sdt>
                    <w:sdtPr>
                      <w:alias w:val="Numeris"/>
                      <w:tag w:val="nr_8165965f439c4571928f5704e454f459"/>
                      <w:lock w:val="sdtLocked"/>
                      <w:richText/>
                    </w:sdtPr>
                    <w:sdtContent>
                      <w:r>
                        <w:t>9</w:t>
                      </w:r>
                    </w:sdtContent>
                  </w:sdt>
                  <w:r>
                    <w:t>. </w:t>
                  </w:r>
                  <w:r>
                    <w:rPr>
                      <w:color w:val="000000"/>
                    </w:rPr>
                    <w:t>Komisijos sudarymas ir galimo kvapo vietoje patikrinimas:</w:t>
                  </w:r>
                </w:p>
                <w:sdt>
                  <w:sdtPr>
                    <w:alias w:val="9.1 pp."/>
                    <w:tag w:val="part_be4e5b37e1ee4126b3023f2336d1269a"/>
                    <w:lock w:val="sdtLocked"/>
                    <w:richText/>
                  </w:sdtPr>
                  <w:sdtContent>
                    <w:p>
                      <w:pPr>
                        <w:ind w:firstLine="567"/>
                        <w:jc w:val="both"/>
                      </w:pPr>
                      <w:sdt>
                        <w:sdtPr>
                          <w:alias w:val="Numeris"/>
                          <w:tag w:val="nr_be4e5b37e1ee4126b3023f2336d1269a"/>
                          <w:lock w:val="sdtLocked"/>
                          <w:richText/>
                        </w:sdtPr>
                        <w:sdtContent>
                          <w:r>
                            <w:rPr>
                              <w:szCs w:val="24"/>
                            </w:rPr>
                            <w:t>9.1</w:t>
                          </w:r>
                        </w:sdtContent>
                      </w:sdt>
                      <w:r>
                        <w:rPr>
                          <w:szCs w:val="24"/>
                        </w:rPr>
                        <w:t>. Centras ne vėliau kaip per 5 darbo dienas nuo skundo, atitinkančio Taisyklių 6 punkte nustatytus reikalavimus, gavimo dienos sudaro Komisiją iš ne mažiau kaip 3 asmenų, į kurią įtraukia savo, leidimą (licenciją) atitinkamai ūkinei veiklai išdavusios institucijos ir (ar) ūkinę veiklą kontroliuojančios institucijos bei savivaldybės, kurios teritorijoje yra ūkinės veiklos vieta, administracijos (toliau – kompetentingų institucijų) atstovus;</w:t>
                      </w:r>
                    </w:p>
                  </w:sdtContent>
                </w:sdt>
                <w:sdt>
                  <w:sdtPr>
                    <w:alias w:val="9.2 pp."/>
                    <w:tag w:val="part_1d85793c53234610a29bbc8ff8118969"/>
                    <w:lock w:val="sdtLocked"/>
                    <w:richText/>
                  </w:sdtPr>
                  <w:sdtContent>
                    <w:p>
                      <w:pPr>
                        <w:tabs>
                          <w:tab w:val="left" w:pos="851"/>
                          <w:tab w:val="left" w:pos="993"/>
                          <w:tab w:val="left" w:pos="1134"/>
                          <w:tab w:val="left" w:pos="1418"/>
                        </w:tabs>
                        <w:suppressAutoHyphens/>
                        <w:ind w:firstLine="567"/>
                        <w:jc w:val="both"/>
                        <w:textAlignment w:val="center"/>
                        <w:rPr>
                          <w:szCs w:val="24"/>
                        </w:rPr>
                      </w:pPr>
                      <w:sdt>
                        <w:sdtPr>
                          <w:alias w:val="Numeris"/>
                          <w:tag w:val="nr_1d85793c53234610a29bbc8ff8118969"/>
                          <w:lock w:val="sdtLocked"/>
                          <w:richText/>
                        </w:sdtPr>
                        <w:sdtContent>
                          <w:r>
                            <w:rPr>
                              <w:szCs w:val="24"/>
                            </w:rPr>
                            <w:t>9.2</w:t>
                          </w:r>
                        </w:sdtContent>
                      </w:sdt>
                      <w:r>
                        <w:rPr>
                          <w:szCs w:val="24"/>
                        </w:rPr>
                        <w:t>. Komisija su pareiškėju suderintu laiku nuvyksta į skunde nurodytą gyvenamąją aplinką ir ūkinės veiklos, su kurios vykdymu gali būti siejamas kvapas, vykdymo vietą, ar, kai pareiškėjas nenurodė konkrečios ūkinės veiklos ir jos vykdymo adreso, į vietovę, iš kurios galimai sklinda kvapas, ir įvertina, ar pareiškėjo gyvenamosios aplinkos ore bei ūkinės veiklos vykdymo vietoje (vietovėje) yra jaučiamas kvapas, ar šis kvapas gali būti siejamas su skunde nurodyta ar kita ūkine veikla;</w:t>
                      </w:r>
                    </w:p>
                  </w:sdtContent>
                </w:sdt>
                <w:sdt>
                  <w:sdtPr>
                    <w:alias w:val="9.3 pp."/>
                    <w:tag w:val="part_71f694410a17429baf26567dd043ba7f"/>
                    <w:lock w:val="sdtLocked"/>
                    <w:richText/>
                  </w:sdtPr>
                  <w:sdtContent>
                    <w:p>
                      <w:pPr>
                        <w:widowControl w:val="0"/>
                        <w:suppressAutoHyphens/>
                        <w:ind w:firstLine="567"/>
                        <w:jc w:val="both"/>
                      </w:pPr>
                      <w:sdt>
                        <w:sdtPr>
                          <w:alias w:val="Numeris"/>
                          <w:tag w:val="nr_71f694410a17429baf26567dd043ba7f"/>
                          <w:lock w:val="sdtLocked"/>
                          <w:richText/>
                        </w:sdtPr>
                        <w:sdtContent>
                          <w:r>
                            <w:t>9.3</w:t>
                          </w:r>
                        </w:sdtContent>
                      </w:sdt>
                      <w:r>
                        <w:t>. jei pareiškėjas Komisijai nesudaro galimybių įvertinti kvapo gyvenamosios aplinkos ore, Komisija šį faktą užfiksuoja užpildydama laisvos formos pažymą, kurią ne vėliau kaip kitą darbo dieną perduoda Centrui. Centras, gavęs tokią Komisijos pažymą, ne vėliau kaip per 3 darbo dienas raštu informuoja pareiškėją, kad jo skundas nebus nagrinėjamas;</w:t>
                      </w:r>
                    </w:p>
                  </w:sdtContent>
                </w:sdt>
                <w:sdt>
                  <w:sdtPr>
                    <w:alias w:val="9.4 pp."/>
                    <w:tag w:val="part_f1bc277b4e434b6cb1dc7e8cc6ba8c51"/>
                    <w:lock w:val="sdtLocked"/>
                    <w:richText/>
                  </w:sdtPr>
                  <w:sdtContent>
                    <w:p>
                      <w:pPr>
                        <w:tabs>
                          <w:tab w:val="left" w:pos="851"/>
                          <w:tab w:val="left" w:pos="993"/>
                          <w:tab w:val="left" w:pos="1134"/>
                          <w:tab w:val="left" w:pos="1418"/>
                        </w:tabs>
                        <w:suppressAutoHyphens/>
                        <w:ind w:firstLine="567"/>
                        <w:jc w:val="both"/>
                        <w:textAlignment w:val="center"/>
                      </w:pPr>
                      <w:sdt>
                        <w:sdtPr>
                          <w:alias w:val="Numeris"/>
                          <w:tag w:val="nr_f1bc277b4e434b6cb1dc7e8cc6ba8c51"/>
                          <w:lock w:val="sdtLocked"/>
                          <w:richText/>
                        </w:sdtPr>
                        <w:sdtContent>
                          <w:r>
                            <w:rPr>
                              <w:szCs w:val="24"/>
                            </w:rPr>
                            <w:t>9.4</w:t>
                          </w:r>
                        </w:sdtContent>
                      </w:sdt>
                      <w:r>
                        <w:rPr>
                          <w:szCs w:val="24"/>
                        </w:rPr>
                        <w:t xml:space="preserve">. Komisija, atlikusi galimo kvapo vietoje patikrinimą, užpildo pažymą apie kvapą (Taisyklių 1 priedas). Kiekvienas Komisijos narys pildo kvapo vertinimo lentelę (Taisyklių 2 priedas), kuri yra pažymos apie kvapą priedas. Komisijos išvados formuluojamos pagal Komisijos narių daugumos kvapo įvertinimus. Komisijos narių įvertinimams pasiskirsčius po lygiai išvadą lemia Komisijos pirmininko įvertinimas. Komisija užpildytą pažymą apie kvapą </w:t>
                      </w:r>
                      <w:r>
                        <w:rPr>
                          <w:szCs w:val="24"/>
                          <w:lang w:eastAsia="lt-LT"/>
                        </w:rPr>
                        <w:t>ne vėliau kaip kitą darbo dieną perduoda Centrui;</w:t>
                      </w:r>
                    </w:p>
                  </w:sdtContent>
                </w:sdt>
                <w:sdt>
                  <w:sdtPr>
                    <w:alias w:val="9.5 pp."/>
                    <w:tag w:val="part_10c2e12fe75243ff90e620abc2fbaf46"/>
                    <w:lock w:val="sdtLocked"/>
                    <w:richText/>
                  </w:sdtPr>
                  <w:sdtContent>
                    <w:p>
                      <w:pPr>
                        <w:ind w:firstLine="567"/>
                        <w:jc w:val="both"/>
                        <w:rPr>
                          <w:szCs w:val="24"/>
                        </w:rPr>
                      </w:pPr>
                      <w:sdt>
                        <w:sdtPr>
                          <w:alias w:val="Numeris"/>
                          <w:tag w:val="nr_10c2e12fe75243ff90e620abc2fbaf46"/>
                          <w:lock w:val="sdtLocked"/>
                          <w:richText/>
                        </w:sdtPr>
                        <w:sdtContent>
                          <w:r>
                            <w:rPr>
                              <w:szCs w:val="24"/>
                              <w:lang w:eastAsia="lt-LT"/>
                            </w:rPr>
                            <w:t>9.5</w:t>
                          </w:r>
                        </w:sdtContent>
                      </w:sdt>
                      <w:r>
                        <w:rPr>
                          <w:szCs w:val="24"/>
                          <w:lang w:eastAsia="lt-LT"/>
                        </w:rPr>
                        <w:t xml:space="preserve">. Komisijai nustačius, kad gyvenamosios aplinkos ore kvapas nėra jaučiamas arba jaučiamas kvapas negali būti siejamas su skunde nurodyta ūkine veikla ar kita ūkine veikla, kai </w:t>
                      </w:r>
                      <w:r>
                        <w:rPr>
                          <w:szCs w:val="24"/>
                        </w:rPr>
                        <w:t>pareiškėjas nenurodė konkrečios ūkinės veiklos</w:t>
                      </w:r>
                      <w:r>
                        <w:rPr>
                          <w:szCs w:val="24"/>
                          <w:lang w:eastAsia="lt-LT"/>
                        </w:rPr>
                        <w:t xml:space="preserve">, pažymos apie kvapą išvadose nurodoma, kad kvapas nėra jaučiamas arba negali būti siejamas su ūkine veikla. </w:t>
                      </w:r>
                      <w:r>
                        <w:t xml:space="preserve">Centras, gavęs </w:t>
                      </w:r>
                      <w:r>
                        <w:rPr>
                          <w:szCs w:val="24"/>
                          <w:lang w:eastAsia="lt-LT"/>
                        </w:rPr>
                        <w:t>tokią Komisijos pažymą, ne vėliau kaip per 3 darbo dienas raštu informuoja pareiškėją, kad jo skundas laikomas nepagrįstu;</w:t>
                      </w:r>
                    </w:p>
                  </w:sdtContent>
                </w:sdt>
                <w:sdt>
                  <w:sdtPr>
                    <w:alias w:val="9.6 pp."/>
                    <w:tag w:val="part_185e0542a7654ef3970de701845cd275"/>
                    <w:lock w:val="sdtLocked"/>
                    <w:richText/>
                  </w:sdtPr>
                  <w:sdtContent>
                    <w:p>
                      <w:pPr>
                        <w:ind w:firstLine="567"/>
                        <w:jc w:val="both"/>
                        <w:rPr>
                          <w:color w:val="000000"/>
                        </w:rPr>
                      </w:pPr>
                      <w:sdt>
                        <w:sdtPr>
                          <w:alias w:val="Numeris"/>
                          <w:tag w:val="nr_185e0542a7654ef3970de701845cd275"/>
                          <w:lock w:val="sdtLocked"/>
                          <w:richText/>
                        </w:sdtPr>
                        <w:sdtContent>
                          <w:r>
                            <w:rPr>
                              <w:szCs w:val="24"/>
                              <w:lang w:eastAsia="lt-LT"/>
                            </w:rPr>
                            <w:t>9.6</w:t>
                          </w:r>
                        </w:sdtContent>
                      </w:sdt>
                      <w:r>
                        <w:rPr>
                          <w:szCs w:val="24"/>
                          <w:lang w:eastAsia="lt-LT"/>
                        </w:rPr>
                        <w:t xml:space="preserve">. Komisijai nustačius, kad gyvenamosios aplinkos ore kvapas nėra jaučiamas, tačiau remiantis Komisijos turima informacija (pavyzdžiui, apie </w:t>
                      </w:r>
                      <w:r>
                        <w:rPr>
                          <w:szCs w:val="24"/>
                        </w:rPr>
                        <w:t>vietovėje esamus kvapų šaltinius, išduotus leidimus (licencijas) ūkinei veiklai, galimai susijusiai su kvapų skleidimu, vietovės gyventojų apklausos dėl kvapų rezultatus) bei kitais duomenimis, susijusiais su kvapo pasireiškimu (pavyzdžiui, kvapas nepastovus, trumpalaikis, greitai kintantis, priklausantis nuo meteorologinių sąlygų), galimas kvapas gali būti siejamas su ūkine veikla,</w:t>
                      </w:r>
                      <w:r>
                        <w:rPr>
                          <w:szCs w:val="24"/>
                          <w:lang w:eastAsia="lt-LT"/>
                        </w:rPr>
                        <w:t xml:space="preserve"> pažymos apie kvapą išvadose nurodoma, kad nors kvapas gyvenamosios aplinkos ore patikrinimo metu ir nėra jaučiamas, tačiau remiantis papildoma informacija gali būti siejamas su skunde nurodyta ar kita nustatyta ūkine veikla;</w:t>
                      </w:r>
                    </w:p>
                  </w:sdtContent>
                </w:sdt>
                <w:sdt>
                  <w:sdtPr>
                    <w:alias w:val="9.7 pp."/>
                    <w:tag w:val="part_a767bc9229b24d5fbcec3a74fbe88f44"/>
                    <w:lock w:val="sdtLocked"/>
                    <w:richText/>
                  </w:sdtPr>
                  <w:sdtContent>
                    <w:p>
                      <w:pPr>
                        <w:widowControl w:val="0"/>
                        <w:suppressAutoHyphens/>
                        <w:ind w:firstLine="567"/>
                        <w:jc w:val="both"/>
                      </w:pPr>
                      <w:sdt>
                        <w:sdtPr>
                          <w:alias w:val="Numeris"/>
                          <w:tag w:val="nr_a767bc9229b24d5fbcec3a74fbe88f44"/>
                          <w:lock w:val="sdtLocked"/>
                          <w:richText/>
                        </w:sdtPr>
                        <w:sdtContent>
                          <w:r>
                            <w:rPr>
                              <w:color w:val="000000"/>
                            </w:rPr>
                            <w:t>9.7</w:t>
                          </w:r>
                        </w:sdtContent>
                      </w:sdt>
                      <w:r>
                        <w:rPr>
                          <w:color w:val="000000"/>
                        </w:rPr>
                        <w:t>. Komisijai nustačius, kad gyvenamosios aplinkos ore</w:t>
                      </w:r>
                      <w:r>
                        <w:rPr>
                          <w:szCs w:val="24"/>
                          <w:lang w:eastAsia="lt-LT"/>
                        </w:rPr>
                        <w:t xml:space="preserve"> kvapas yra jaučiamas</w:t>
                      </w:r>
                      <w:r>
                        <w:rPr>
                          <w:color w:val="000000"/>
                        </w:rPr>
                        <w:t xml:space="preserve"> ir gali būti siejamas su skunde nurodyta </w:t>
                      </w:r>
                      <w:r>
                        <w:rPr>
                          <w:szCs w:val="24"/>
                          <w:lang w:eastAsia="lt-LT"/>
                        </w:rPr>
                        <w:t xml:space="preserve">ar kita nustatyta </w:t>
                      </w:r>
                      <w:r>
                        <w:rPr>
                          <w:color w:val="000000"/>
                        </w:rPr>
                        <w:t>ūkine veikla, pažymos apie kvapą išvadose nurodoma, kad kvapas yra jaučiamas ir gali būti siejamas su ūkine veikla.</w:t>
                      </w:r>
                    </w:p>
                  </w:sdtContent>
                </w:sdt>
              </w:sdtContent>
            </w:sdt>
            <w:sdt>
              <w:sdtPr>
                <w:alias w:val="10 p."/>
                <w:tag w:val="part_63675efd7b7541d1a6731c78673040f5"/>
                <w:lock w:val="sdtLocked"/>
                <w:richText/>
              </w:sdtPr>
              <w:sdtContent>
                <w:p>
                  <w:pPr>
                    <w:widowControl w:val="0"/>
                    <w:suppressAutoHyphens/>
                    <w:ind w:firstLine="567"/>
                    <w:jc w:val="both"/>
                  </w:pPr>
                  <w:sdt>
                    <w:sdtPr>
                      <w:alias w:val="Numeris"/>
                      <w:tag w:val="nr_63675efd7b7541d1a6731c78673040f5"/>
                      <w:lock w:val="sdtLocked"/>
                      <w:richText/>
                    </w:sdtPr>
                    <w:sdtContent>
                      <w:r>
                        <w:rPr>
                          <w:color w:val="000000"/>
                          <w:szCs w:val="24"/>
                        </w:rPr>
                        <w:t>10</w:t>
                      </w:r>
                    </w:sdtContent>
                  </w:sdt>
                  <w:r>
                    <w:rPr>
                      <w:color w:val="000000"/>
                      <w:szCs w:val="24"/>
                    </w:rPr>
                    <w:t xml:space="preserve">. Ūkinės veiklos vykdymo sąlygų vertinimas (Komisijai nustačius, kad gyvenamosios aplinkos ore jaučiamas kvapas gali būti siejamas su skunde nurodyta </w:t>
                  </w:r>
                  <w:r>
                    <w:rPr>
                      <w:szCs w:val="24"/>
                      <w:lang w:eastAsia="lt-LT"/>
                    </w:rPr>
                    <w:t xml:space="preserve">ar kita nustatyta </w:t>
                  </w:r>
                  <w:r>
                    <w:rPr>
                      <w:color w:val="000000"/>
                      <w:szCs w:val="24"/>
                    </w:rPr>
                    <w:t xml:space="preserve">ūkine veikla </w:t>
                  </w:r>
                  <w:r>
                    <w:rPr>
                      <w:szCs w:val="24"/>
                    </w:rPr>
                    <w:t xml:space="preserve">arba Komisijai nustačius, </w:t>
                  </w:r>
                  <w:r>
                    <w:rPr>
                      <w:szCs w:val="24"/>
                      <w:lang w:eastAsia="lt-LT"/>
                    </w:rPr>
                    <w:t>kad nors kvapas gyvenamosios aplinkos ore patikrinimo metu ir nėra jaučiamas, tačiau remiantis papildoma informacija gali būti siejamas su skunde nurodyta ar kita nustatyta ūkine veikla</w:t>
                  </w:r>
                  <w:r>
                    <w:rPr>
                      <w:szCs w:val="24"/>
                    </w:rPr>
                    <w:t>),</w:t>
                  </w:r>
                  <w:r>
                    <w:rPr>
                      <w:color w:val="000000"/>
                      <w:szCs w:val="24"/>
                    </w:rPr>
                    <w:t xml:space="preserve"> k</w:t>
                  </w:r>
                  <w:r>
                    <w:t>ai ūkinei veiklai vykdyti nereikalingas taršos integruotos prevencijos ir kontrolės leidimas ar taršos leidimas arba kai taršos integruotos prevencijos ir kontrolės leidimas ar taršos leidimas yra reikalingas, tačiau Centras jame nėra nustatęs kvapų valdymo sąlygų:</w:t>
                  </w:r>
                </w:p>
                <w:sdt>
                  <w:sdtPr>
                    <w:alias w:val="10.1 pp."/>
                    <w:tag w:val="part_13958e525eeb4e4e86e6ab2da2331b22"/>
                    <w:lock w:val="sdtLocked"/>
                    <w:richText/>
                  </w:sdtPr>
                  <w:sdtContent>
                    <w:p>
                      <w:pPr>
                        <w:widowControl w:val="0"/>
                        <w:suppressAutoHyphens/>
                        <w:ind w:firstLine="567"/>
                        <w:jc w:val="both"/>
                        <w:rPr>
                          <w:szCs w:val="24"/>
                        </w:rPr>
                      </w:pPr>
                      <w:sdt>
                        <w:sdtPr>
                          <w:alias w:val="Numeris"/>
                          <w:tag w:val="nr_13958e525eeb4e4e86e6ab2da2331b22"/>
                          <w:lock w:val="sdtLocked"/>
                          <w:richText/>
                        </w:sdtPr>
                        <w:sdtContent>
                          <w:r>
                            <w:rPr>
                              <w:color w:val="000000"/>
                            </w:rPr>
                            <w:t>10.1</w:t>
                          </w:r>
                        </w:sdtContent>
                      </w:sdt>
                      <w:r>
                        <w:t>. </w:t>
                      </w:r>
                      <w:r>
                        <w:rPr>
                          <w:szCs w:val="24"/>
                        </w:rPr>
                        <w:t xml:space="preserve">Centras ne vėliau kaip per 3 darbo dienas nuo Komisijos išvados, nurodytos Taisyklių 9.6 ar 9.7 papunktyje, gavimo dienos kreipiasi į kompetentingas institucijas, prašydamas ne vėliau kaip per 10 darbo dienų pagal kompetenciją įvertinti, ar statiniai (patalpos), kuriuose vykdoma atitinkama ūkinė veikla, naudojami pagal paskirtį, ar </w:t>
                      </w:r>
                      <w:r>
                        <w:t xml:space="preserve">statiniai (patalpos) atitinka nustatytus esminius statinio saugos ir paskirties reikalavimus, ar nėra technologinio proceso pažeidimų, ar ūkinė veikla nepažeidžia atitinkamai ūkinei veiklai leidime (licencijoje) nustatytų ūkinės veiklos vykdymo sąlygų, ar laikomasi tokiems objektams bei ūkinei veiklai nustatytų aplinkos apsaugos normatyvų ir standartų, bei </w:t>
                      </w:r>
                      <w:r>
                        <w:rPr>
                          <w:szCs w:val="24"/>
                        </w:rPr>
                        <w:t>pateikti informaciją apie vertinimo rezultatus, priimtus sprendimus ar numatomus veiksmus, jų atlikimo terminus;</w:t>
                      </w:r>
                    </w:p>
                  </w:sdtContent>
                </w:sdt>
                <w:sdt>
                  <w:sdtPr>
                    <w:alias w:val="10.2 pp."/>
                    <w:tag w:val="part_26fc0183d4a743e1b1f32a9618db8d27"/>
                    <w:lock w:val="sdtLocked"/>
                    <w:richText/>
                  </w:sdtPr>
                  <w:sdtContent>
                    <w:p>
                      <w:pPr>
                        <w:ind w:firstLine="567"/>
                        <w:jc w:val="both"/>
                        <w:rPr>
                          <w:szCs w:val="24"/>
                        </w:rPr>
                      </w:pPr>
                      <w:sdt>
                        <w:sdtPr>
                          <w:alias w:val="Numeris"/>
                          <w:tag w:val="nr_26fc0183d4a743e1b1f32a9618db8d27"/>
                          <w:lock w:val="sdtLocked"/>
                          <w:richText/>
                        </w:sdtPr>
                        <w:sdtContent>
                          <w:r>
                            <w:rPr>
                              <w:szCs w:val="24"/>
                            </w:rPr>
                            <w:t>10.2</w:t>
                          </w:r>
                        </w:sdtContent>
                      </w:sdt>
                      <w:r>
                        <w:rPr>
                          <w:szCs w:val="24"/>
                        </w:rPr>
                        <w:t>. Centras, gavęs kompetentingų institucijų informaciją apie nustatytus pažeidimus, priimtus sprendimus ar numatomus veiksmus, jų atlikimo terminus, ne vėliau kaip per 3 darbo dienas nuo informacijos gavimo dienos, praneša pareiškėjui apie skundo nagrinėjimo rezultatus. Šiuo raštu pareiškėjas taip pat informuojamas apie tai, kad Centras, gavęs iš kompetentingų institucijų papildomą informaciją apie nustatytų pažeidimų pašalinimą, priimtų sprendimų įgyvendinimą ar numatytų veiksmų atlikimą, į jį kreipsis siekdamas išsiaiškinti Taisyklių 10.3 papunktyje nurodytą informaciją;</w:t>
                      </w:r>
                    </w:p>
                  </w:sdtContent>
                </w:sdt>
                <w:sdt>
                  <w:sdtPr>
                    <w:alias w:val="10.3 pp."/>
                    <w:tag w:val="part_a1210dbfc993455e94c3ac4fe7161f45"/>
                    <w:lock w:val="sdtLocked"/>
                    <w:richText/>
                  </w:sdtPr>
                  <w:sdtContent>
                    <w:p>
                      <w:pPr>
                        <w:ind w:firstLine="567"/>
                        <w:jc w:val="both"/>
                        <w:rPr>
                          <w:szCs w:val="24"/>
                        </w:rPr>
                      </w:pPr>
                      <w:sdt>
                        <w:sdtPr>
                          <w:alias w:val="Numeris"/>
                          <w:tag w:val="nr_a1210dbfc993455e94c3ac4fe7161f45"/>
                          <w:lock w:val="sdtLocked"/>
                          <w:richText/>
                        </w:sdtPr>
                        <w:sdtContent>
                          <w:r>
                            <w:rPr>
                              <w:szCs w:val="24"/>
                            </w:rPr>
                            <w:t>10.3</w:t>
                          </w:r>
                        </w:sdtContent>
                      </w:sdt>
                      <w:r>
                        <w:rPr>
                          <w:szCs w:val="24"/>
                        </w:rPr>
                        <w:t>. Centras, gavęs iš kompetentingų institucijų papildomą informaciją apie nustatytų pažeidimų pašalinimą, priimtų sprendimų įgyvendinimą ar numatytų veiksmų atlikimą, ne vėliau kaip per 3 darbo dienas nuo informacijos gavimo dienos raštu kreipiasi į pareiškėją, siekdamas išsiaiškinti: ar kvapo pobūdis, intensyvumas pakito; jei kvapas vis dar jaučiamas, kokiu laiku ir kada jis intensyviausias; ar, pareiškėjo nuomone, tikslinga atlikti kvapo koncentracijos vertinimą, išskyrus atvejus, kai kvapas sklinda pastatų vidaus patalpose (iš patalpos į patalpą);</w:t>
                      </w:r>
                    </w:p>
                  </w:sdtContent>
                </w:sdt>
                <w:sdt>
                  <w:sdtPr>
                    <w:alias w:val="10.4 pp."/>
                    <w:tag w:val="part_3942e775021b47708e92001881bdbe62"/>
                    <w:lock w:val="sdtLocked"/>
                    <w:richText/>
                  </w:sdtPr>
                  <w:sdtContent>
                    <w:p>
                      <w:pPr>
                        <w:ind w:firstLine="567"/>
                        <w:jc w:val="both"/>
                        <w:rPr>
                          <w:szCs w:val="24"/>
                        </w:rPr>
                      </w:pPr>
                      <w:sdt>
                        <w:sdtPr>
                          <w:alias w:val="Numeris"/>
                          <w:tag w:val="nr_3942e775021b47708e92001881bdbe62"/>
                          <w:lock w:val="sdtLocked"/>
                          <w:richText/>
                        </w:sdtPr>
                        <w:sdtContent>
                          <w:r>
                            <w:rPr>
                              <w:szCs w:val="24"/>
                            </w:rPr>
                            <w:t>10.4</w:t>
                          </w:r>
                        </w:sdtContent>
                      </w:sdt>
                      <w:r>
                        <w:rPr>
                          <w:szCs w:val="24"/>
                        </w:rPr>
                        <w:t>. Centras, gavęs iš pareiškėjo informaciją, kad kvapo pobūdis, intensyvumas nepakito, kvapas vis dar jaučiamas, tuo atveju, kai kvapas sklinda pastatų vidaus patalpose (iš patalpos į patalpą), ne vėliau kaip per 5 darbo dienas informuoja kompetentingas institucijas, kad po jų nustatytų pažeidimų pašalinimo, priimtų sprendimų įgyvendinimo ar numatytų veiksmų atlikimo, pareiškėjo situacija iš esmės nepasikeitė, todėl šių institucijų prašoma pagal kompetenciją imtis papildomų veiksmų, priemonių ar sprendimų ir apie tai informuoti pareiškėją ir Centrą.</w:t>
                      </w:r>
                    </w:p>
                  </w:sdtContent>
                </w:sdt>
              </w:sdtContent>
            </w:sdt>
            <w:sdt>
              <w:sdtPr>
                <w:alias w:val="11 p."/>
                <w:tag w:val="part_28beab32573e4a4e9927dce82c53f5e9"/>
                <w:lock w:val="sdtLocked"/>
                <w:richText/>
              </w:sdtPr>
              <w:sdtContent>
                <w:p>
                  <w:pPr>
                    <w:ind w:firstLine="567"/>
                    <w:jc w:val="both"/>
                  </w:pPr>
                  <w:sdt>
                    <w:sdtPr>
                      <w:alias w:val="Numeris"/>
                      <w:tag w:val="nr_28beab32573e4a4e9927dce82c53f5e9"/>
                      <w:lock w:val="sdtLocked"/>
                      <w:richText/>
                    </w:sdtPr>
                    <w:sdtContent>
                      <w:r>
                        <w:rPr>
                          <w:szCs w:val="24"/>
                        </w:rPr>
                        <w:t>11</w:t>
                      </w:r>
                    </w:sdtContent>
                  </w:sdt>
                  <w:r>
                    <w:rPr>
                      <w:szCs w:val="24"/>
                    </w:rPr>
                    <w:t>. </w:t>
                  </w:r>
                  <w:r>
                    <w:rPr>
                      <w:color w:val="000000"/>
                      <w:szCs w:val="24"/>
                    </w:rPr>
                    <w:t xml:space="preserve">Ūkinės veiklos vykdymo sąlygų vertinimas (Komisijai nustačius, kad gyvenamosios aplinkos ore jaučiamas kvapas gali būti siejamas su skunde nurodyta </w:t>
                  </w:r>
                  <w:r>
                    <w:rPr>
                      <w:szCs w:val="24"/>
                      <w:lang w:eastAsia="lt-LT"/>
                    </w:rPr>
                    <w:t xml:space="preserve">ar kita nustatyta </w:t>
                  </w:r>
                  <w:r>
                    <w:rPr>
                      <w:color w:val="000000"/>
                      <w:szCs w:val="24"/>
                    </w:rPr>
                    <w:t xml:space="preserve">ūkine veikla arba </w:t>
                  </w:r>
                  <w:r>
                    <w:rPr>
                      <w:szCs w:val="24"/>
                    </w:rPr>
                    <w:t xml:space="preserve">Komisijai nustačius, </w:t>
                  </w:r>
                  <w:r>
                    <w:rPr>
                      <w:szCs w:val="24"/>
                      <w:lang w:eastAsia="lt-LT"/>
                    </w:rPr>
                    <w:t xml:space="preserve">kad nors kvapas gyvenamosios aplinkos ore patikrinimo metu ir nėra jaučiamas, tačiau remiantis papildoma informacija gali būti siejamas su skunde nurodyta </w:t>
                  </w:r>
                  <w:r>
                    <w:rPr>
                      <w:color w:val="000000"/>
                      <w:szCs w:val="24"/>
                    </w:rPr>
                    <w:t xml:space="preserve">ar kita nustatyta </w:t>
                  </w:r>
                  <w:r>
                    <w:rPr>
                      <w:szCs w:val="24"/>
                      <w:lang w:eastAsia="lt-LT"/>
                    </w:rPr>
                    <w:t>ūkine veikla),</w:t>
                  </w:r>
                  <w:r>
                    <w:rPr>
                      <w:color w:val="000000"/>
                      <w:szCs w:val="24"/>
                    </w:rPr>
                    <w:t xml:space="preserve"> k</w:t>
                  </w:r>
                  <w:r>
                    <w:t>ai Centras taršos integruotos prevencijos ir kontrolės leidime ar taršos leidime yra nustatęs kvapų valdymo sąlygas:</w:t>
                  </w:r>
                </w:p>
                <w:sdt>
                  <w:sdtPr>
                    <w:alias w:val="11.1 pp."/>
                    <w:tag w:val="part_66d6c66e3b1a4b98b535fcf4c058b53f"/>
                    <w:lock w:val="sdtLocked"/>
                    <w:richText/>
                  </w:sdtPr>
                  <w:sdtContent>
                    <w:p>
                      <w:pPr>
                        <w:widowControl w:val="0"/>
                        <w:suppressAutoHyphens/>
                        <w:ind w:firstLine="567"/>
                        <w:jc w:val="both"/>
                        <w:rPr>
                          <w:szCs w:val="24"/>
                        </w:rPr>
                      </w:pPr>
                      <w:sdt>
                        <w:sdtPr>
                          <w:alias w:val="Numeris"/>
                          <w:tag w:val="nr_66d6c66e3b1a4b98b535fcf4c058b53f"/>
                          <w:lock w:val="sdtLocked"/>
                          <w:richText/>
                        </w:sdtPr>
                        <w:sdtContent>
                          <w:r>
                            <w:t>11.1</w:t>
                          </w:r>
                        </w:sdtContent>
                      </w:sdt>
                      <w:r>
                        <w:t xml:space="preserve">. Centras ne vėliau kaip per 5 darbo dienas priima sprendimą dėl operatyviosios valstybinės visuomenės sveikatos saugos kontrolės, kurios metu vertinama, ar ūkio subjektas laikosi nustatytų kvapų valdymo sąlygų (ar yra inventorizuoti visi taršos kvapais šaltiniai, ar neviršijami nustatyti leidžiami kvapo emisijos rodikliai šiuose taršos šaltiniuose) ir </w:t>
                      </w:r>
                      <w:r>
                        <w:rPr>
                          <w:szCs w:val="24"/>
                        </w:rPr>
                        <w:t>Nacionalinei visuomenės sveikatos priežiūros laboratorijai (toliau – Laboratorija) pateikia Taisyklių 3 priede pateiktos formos oro mėginių kvapo koncentracijai / emisijos rodikliui nustatyti paėmimo planą (toliau – Planas);</w:t>
                      </w:r>
                    </w:p>
                  </w:sdtContent>
                </w:sdt>
                <w:sdt>
                  <w:sdtPr>
                    <w:alias w:val="11.2 pp."/>
                    <w:tag w:val="part_fba86b790d684ec88c9d2d1815ba714f"/>
                    <w:lock w:val="sdtLocked"/>
                    <w:richText/>
                  </w:sdtPr>
                  <w:sdtContent>
                    <w:p>
                      <w:pPr>
                        <w:ind w:firstLine="567"/>
                        <w:jc w:val="both"/>
                        <w:rPr>
                          <w:color w:val="000000"/>
                          <w:szCs w:val="24"/>
                        </w:rPr>
                      </w:pPr>
                      <w:sdt>
                        <w:sdtPr>
                          <w:alias w:val="Numeris"/>
                          <w:tag w:val="nr_fba86b790d684ec88c9d2d1815ba714f"/>
                          <w:lock w:val="sdtLocked"/>
                          <w:richText/>
                        </w:sdtPr>
                        <w:sdtContent>
                          <w:r>
                            <w:rPr>
                              <w:szCs w:val="24"/>
                            </w:rPr>
                            <w:t>11.2</w:t>
                          </w:r>
                        </w:sdtContent>
                      </w:sdt>
                      <w:r>
                        <w:rPr>
                          <w:szCs w:val="24"/>
                        </w:rPr>
                        <w:t xml:space="preserve">. Laboratorija ūkinės veiklos taršos šaltiniuose oro mėginius kvapo emisijos rodikliams nustatyti paima </w:t>
                      </w:r>
                      <w:r>
                        <w:rPr>
                          <w:color w:val="000000"/>
                          <w:szCs w:val="24"/>
                        </w:rPr>
                        <w:t>tiksliniame taršos šaltinyje arba, jeigu tiksliniame taršos šaltinyje oro mėginio paimti neįmanoma, ir netikslinio taršos šaltinio atveju – intensyviausios taršos kvapais vietoje;</w:t>
                      </w:r>
                    </w:p>
                  </w:sdtContent>
                </w:sdt>
                <w:sdt>
                  <w:sdtPr>
                    <w:alias w:val="11.3 pp."/>
                    <w:tag w:val="part_5fe833abea834d5b89aafc013cd7cf1c"/>
                    <w:lock w:val="sdtLocked"/>
                    <w:richText/>
                  </w:sdtPr>
                  <w:sdtContent>
                    <w:p>
                      <w:pPr>
                        <w:suppressAutoHyphens/>
                        <w:spacing w:line="264" w:lineRule="auto"/>
                        <w:ind w:firstLine="567"/>
                        <w:jc w:val="both"/>
                        <w:textAlignment w:val="center"/>
                        <w:rPr>
                          <w:color w:val="000000"/>
                          <w:szCs w:val="24"/>
                        </w:rPr>
                      </w:pPr>
                      <w:sdt>
                        <w:sdtPr>
                          <w:alias w:val="Numeris"/>
                          <w:tag w:val="nr_5fe833abea834d5b89aafc013cd7cf1c"/>
                          <w:lock w:val="sdtLocked"/>
                          <w:richText/>
                        </w:sdtPr>
                        <w:sdtContent>
                          <w:r>
                            <w:rPr>
                              <w:szCs w:val="24"/>
                              <w:lang w:eastAsia="lt-LT"/>
                            </w:rPr>
                            <w:t>11.3</w:t>
                          </w:r>
                        </w:sdtContent>
                      </w:sdt>
                      <w:r>
                        <w:rPr>
                          <w:szCs w:val="24"/>
                          <w:lang w:eastAsia="lt-LT"/>
                        </w:rPr>
                        <w:t>. Laboratorija oro mėginius kvapo emisijos rodikliams nustatyti paima ir kvapo emisijos rodiklių matavimams ar skaičiavimams reikalingus kvapo koncentracijos laboratorinius tyrimus atlieka Lietuvos standarto LST EN 13725 „</w:t>
                      </w:r>
                      <w:r>
                        <w:rPr>
                          <w:szCs w:val="24"/>
                        </w:rPr>
                        <w:t>Stacionariųjų šaltinių išmetamieji teršalai. Stacionariųjų šaltinių skleidžiamo kvapo koncentracijos nustatymas dinamine olfaktometrija ir kvapo sklidimo spartos nustatymas“</w:t>
                      </w:r>
                      <w:r>
                        <w:rPr>
                          <w:szCs w:val="24"/>
                          <w:lang w:eastAsia="lt-LT"/>
                        </w:rPr>
                        <w:t xml:space="preserve"> (toliau – LST EN 13725) numatytu metodu.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9ab1f0e5cd11ed9978886e85107ab2">
                        <w:r w:rsidRPr="00532B9F">
                          <w:rPr>
                            <w:rFonts w:ascii="Times New Roman" w:eastAsia="MS Mincho" w:hAnsi="Times New Roman"/>
                            <w:sz w:val="20"/>
                            <w:i/>
                            <w:iCs/>
                            <w:color w:val="0000FF" w:themeColor="hyperlink"/>
                            <w:u w:val="single"/>
                          </w:rPr>
                          <w:t>V-523</w:t>
                        </w:r>
                      </w:fldSimple>
                      <w:r>
                        <w:rPr>
                          <w:rFonts w:ascii="Times New Roman" w:eastAsia="MS Mincho" w:hAnsi="Times New Roman"/>
                          <w:sz w:val="20"/>
                          <w:i/>
                          <w:iCs/>
                        </w:rPr>
                        <w:t>,
2023-04-28,
paskelbta TAR 2023-04-28, i. k. 2023-08208            </w:t>
                      </w:r>
                    </w:p>
                    <w:p/>
                  </w:sdtContent>
                </w:sdt>
              </w:sdtContent>
            </w:sdt>
            <w:sdt>
              <w:sdtPr>
                <w:alias w:val="12 p."/>
                <w:tag w:val="part_d6331232ef914699bec225b20f8c26f4"/>
                <w:lock w:val="sdtLocked"/>
                <w:richText/>
              </w:sdtPr>
              <w:sdtContent>
                <w:p>
                  <w:pPr>
                    <w:ind w:firstLine="567"/>
                    <w:jc w:val="both"/>
                    <w:rPr>
                      <w:szCs w:val="24"/>
                      <w:lang w:eastAsia="lt-LT"/>
                    </w:rPr>
                  </w:pPr>
                  <w:sdt>
                    <w:sdtPr>
                      <w:alias w:val="Numeris"/>
                      <w:tag w:val="nr_d6331232ef914699bec225b20f8c26f4"/>
                      <w:lock w:val="sdtLocked"/>
                      <w:richText/>
                    </w:sdtPr>
                    <w:sdtContent>
                      <w:r>
                        <w:rPr>
                          <w:color w:val="000000"/>
                          <w:szCs w:val="24"/>
                          <w:lang w:eastAsia="lt-LT"/>
                        </w:rPr>
                        <w:t>12</w:t>
                      </w:r>
                    </w:sdtContent>
                  </w:sdt>
                  <w:r>
                    <w:rPr>
                      <w:color w:val="000000"/>
                      <w:szCs w:val="24"/>
                      <w:lang w:eastAsia="lt-LT"/>
                    </w:rPr>
                    <w:t xml:space="preserve">. Kvapo koncentracijos vertinimas </w:t>
                  </w:r>
                  <w:r>
                    <w:rPr>
                      <w:szCs w:val="24"/>
                      <w:lang w:eastAsia="lt-LT"/>
                    </w:rPr>
                    <w:t>(k</w:t>
                  </w:r>
                  <w:r>
                    <w:t>ompetentingoms institucijoms nenustačius Taisyklių 10.1 papunktyje nurodytų pažeidimų arba pareiškėjui po kompetentingų institucijų nustatytų pažeidimų pašalinimo,</w:t>
                  </w:r>
                  <w:r>
                    <w:rPr>
                      <w:szCs w:val="24"/>
                    </w:rPr>
                    <w:t xml:space="preserve"> priimtų sprendimų įgyvendinimo ar numatytų veiksmų atlikimo</w:t>
                  </w:r>
                  <w:r>
                    <w:t xml:space="preserve"> informavus Centrą, kad kvapo pobūdis, intensyvumas nepakito, kvapas vis dar jaučiamas ir tikslinga atlikti kvapo koncentracijos vertinimą), išskyrus</w:t>
                  </w:r>
                  <w:r>
                    <w:rPr>
                      <w:szCs w:val="24"/>
                    </w:rPr>
                    <w:t xml:space="preserve"> atvejus, kai kvapas sklinda pastatų vidaus patalpose (iš patalpos į patalpą)</w:t>
                  </w:r>
                  <w:r>
                    <w:t>:</w:t>
                  </w:r>
                </w:p>
                <w:sdt>
                  <w:sdtPr>
                    <w:alias w:val="12.1 pp."/>
                    <w:tag w:val="part_f2fc20e6646649df8fced236cafd5ae3"/>
                    <w:lock w:val="sdtLocked"/>
                    <w:richText/>
                  </w:sdtPr>
                  <w:sdtContent>
                    <w:p>
                      <w:pPr>
                        <w:ind w:firstLine="567"/>
                        <w:jc w:val="both"/>
                        <w:rPr>
                          <w:szCs w:val="24"/>
                        </w:rPr>
                      </w:pPr>
                      <w:sdt>
                        <w:sdtPr>
                          <w:alias w:val="Numeris"/>
                          <w:tag w:val="nr_f2fc20e6646649df8fced236cafd5ae3"/>
                          <w:lock w:val="sdtLocked"/>
                          <w:richText/>
                        </w:sdtPr>
                        <w:sdtContent>
                          <w:r>
                            <w:rPr>
                              <w:szCs w:val="24"/>
                            </w:rPr>
                            <w:t>12.1</w:t>
                          </w:r>
                        </w:sdtContent>
                      </w:sdt>
                      <w:r>
                        <w:rPr>
                          <w:szCs w:val="24"/>
                        </w:rPr>
                        <w:t xml:space="preserve">. Centras ne vėliau kaip per 5 darbo dienas nuo Taisyklių 12 punkte nurodytos informacijos gavimo dienos kreipiasi į kompetentingas institucijas dėl duomenų </w:t>
                      </w:r>
                      <w:r>
                        <w:rPr>
                          <w:color w:val="000000"/>
                          <w:szCs w:val="24"/>
                        </w:rPr>
                        <w:t>(informacijos apie taršos šaltinius, gamybos technologijas, apimtis ir pan.)</w:t>
                      </w:r>
                      <w:r>
                        <w:rPr>
                          <w:szCs w:val="24"/>
                        </w:rPr>
                        <w:t>, būtinų Planui parengti, pateikimo. Jei kompetentingoms institucijoms pateikus jų turimus duomenis, tam tikrų duomenų, būtinų Planui parengti, trūksta, Centras dėl jų pateikimo gali kreiptis į ūkio subjektą;</w:t>
                      </w:r>
                    </w:p>
                  </w:sdtContent>
                </w:sdt>
                <w:sdt>
                  <w:sdtPr>
                    <w:alias w:val="12.2 pp."/>
                    <w:tag w:val="part_89f406e2d39b4af683282071345c43a9"/>
                    <w:lock w:val="sdtLocked"/>
                    <w:richText/>
                  </w:sdtPr>
                  <w:sdtContent>
                    <w:p>
                      <w:pPr>
                        <w:ind w:firstLine="567"/>
                        <w:jc w:val="both"/>
                        <w:rPr>
                          <w:szCs w:val="24"/>
                        </w:rPr>
                      </w:pPr>
                      <w:sdt>
                        <w:sdtPr>
                          <w:alias w:val="Numeris"/>
                          <w:tag w:val="nr_89f406e2d39b4af683282071345c43a9"/>
                          <w:lock w:val="sdtLocked"/>
                          <w:richText/>
                        </w:sdtPr>
                        <w:sdtContent>
                          <w:r>
                            <w:rPr>
                              <w:szCs w:val="24"/>
                            </w:rPr>
                            <w:t>12.2</w:t>
                          </w:r>
                        </w:sdtContent>
                      </w:sdt>
                      <w:r>
                        <w:rPr>
                          <w:szCs w:val="24"/>
                        </w:rPr>
                        <w:t>. </w:t>
                      </w:r>
                      <w:r>
                        <w:rPr>
                          <w:color w:val="000000"/>
                          <w:szCs w:val="24"/>
                        </w:rPr>
                        <w:t xml:space="preserve">Centras ne vėliau kaip per 5 darbo dienas </w:t>
                      </w:r>
                      <w:r>
                        <w:rPr>
                          <w:szCs w:val="24"/>
                        </w:rPr>
                        <w:t xml:space="preserve">nuo Taisyklių 12.1 papunktyje nurodytų duomenų gavimo </w:t>
                      </w:r>
                      <w:r>
                        <w:rPr>
                          <w:color w:val="000000"/>
                          <w:szCs w:val="24"/>
                        </w:rPr>
                        <w:t xml:space="preserve">dienos pateikia </w:t>
                      </w:r>
                      <w:r>
                        <w:rPr>
                          <w:szCs w:val="24"/>
                        </w:rPr>
                        <w:t>Planą Laboratorijai;</w:t>
                      </w:r>
                    </w:p>
                  </w:sdtContent>
                </w:sdt>
                <w:sdt>
                  <w:sdtPr>
                    <w:alias w:val="12.3 pp."/>
                    <w:tag w:val="part_0dd9a79ef11d4fc895f4af4eec7b9695"/>
                    <w:lock w:val="sdtLocked"/>
                    <w:richText/>
                  </w:sdtPr>
                  <w:sdtContent>
                    <w:p>
                      <w:pPr>
                        <w:ind w:firstLine="567"/>
                        <w:jc w:val="both"/>
                        <w:rPr>
                          <w:color w:val="000000"/>
                          <w:szCs w:val="24"/>
                        </w:rPr>
                      </w:pPr>
                      <w:sdt>
                        <w:sdtPr>
                          <w:alias w:val="Numeris"/>
                          <w:tag w:val="nr_0dd9a79ef11d4fc895f4af4eec7b9695"/>
                          <w:lock w:val="sdtLocked"/>
                          <w:richText/>
                        </w:sdtPr>
                        <w:sdtContent>
                          <w:r>
                            <w:rPr>
                              <w:color w:val="000000"/>
                              <w:szCs w:val="24"/>
                            </w:rPr>
                            <w:t>12.3</w:t>
                          </w:r>
                        </w:sdtContent>
                      </w:sdt>
                      <w:r>
                        <w:rPr>
                          <w:color w:val="000000"/>
                          <w:szCs w:val="24"/>
                        </w:rPr>
                        <w:t xml:space="preserve">. Laboratorija ūkinės veiklos taršos šaltiniuose oro </w:t>
                      </w:r>
                      <w:r>
                        <w:rPr>
                          <w:szCs w:val="24"/>
                        </w:rPr>
                        <w:t xml:space="preserve">mėginius </w:t>
                      </w:r>
                      <w:r>
                        <w:rPr>
                          <w:color w:val="000000"/>
                          <w:szCs w:val="24"/>
                        </w:rPr>
                        <w:t xml:space="preserve">kvapo koncentracijai nustatyti </w:t>
                      </w:r>
                      <w:r>
                        <w:rPr>
                          <w:szCs w:val="24"/>
                        </w:rPr>
                        <w:t xml:space="preserve">paima </w:t>
                      </w:r>
                      <w:r>
                        <w:rPr>
                          <w:color w:val="000000"/>
                          <w:szCs w:val="24"/>
                        </w:rPr>
                        <w:t>tiksliniame taršos šaltinyje arba, jeigu tiksliniame taršos šaltinyje oro mėginio paimti neįmanoma, ir netikslinio taršos šaltinio atveju – intensyviausios taršos kvapais vietoje;</w:t>
                      </w:r>
                    </w:p>
                  </w:sdtContent>
                </w:sdt>
                <w:sdt>
                  <w:sdtPr>
                    <w:alias w:val="12.4 pp."/>
                    <w:tag w:val="part_7279b7cc7f064777a2f3391e5aef7332"/>
                    <w:lock w:val="sdtLocked"/>
                    <w:richText/>
                  </w:sdtPr>
                  <w:sdtContent>
                    <w:p>
                      <w:pPr>
                        <w:suppressAutoHyphens/>
                        <w:spacing w:line="264" w:lineRule="auto"/>
                        <w:ind w:firstLine="567"/>
                        <w:jc w:val="both"/>
                        <w:textAlignment w:val="center"/>
                        <w:rPr>
                          <w:color w:val="000000"/>
                          <w:szCs w:val="24"/>
                        </w:rPr>
                      </w:pPr>
                      <w:sdt>
                        <w:sdtPr>
                          <w:alias w:val="Numeris"/>
                          <w:tag w:val="nr_7279b7cc7f064777a2f3391e5aef7332"/>
                          <w:lock w:val="sdtLocked"/>
                          <w:richText/>
                        </w:sdtPr>
                        <w:sdtContent>
                          <w:r>
                            <w:rPr>
                              <w:color w:val="000000"/>
                            </w:rPr>
                            <w:t>12.4</w:t>
                          </w:r>
                        </w:sdtContent>
                      </w:sdt>
                      <w:r>
                        <w:rPr>
                          <w:color w:val="000000"/>
                        </w:rPr>
                        <w:t>. Laboratorija oro mėginius kvapo koncentracijai nustatyti paima ir kvapo koncentracijos laboratorinius tyrimus atlieka LST EN 13725 numatytu metodu;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9ab1f0e5cd11ed9978886e85107ab2">
                        <w:r w:rsidRPr="00532B9F">
                          <w:rPr>
                            <w:rFonts w:ascii="Times New Roman" w:eastAsia="MS Mincho" w:hAnsi="Times New Roman"/>
                            <w:sz w:val="20"/>
                            <w:i/>
                            <w:iCs/>
                            <w:color w:val="0000FF" w:themeColor="hyperlink"/>
                            <w:u w:val="single"/>
                          </w:rPr>
                          <w:t>V-523</w:t>
                        </w:r>
                      </w:fldSimple>
                      <w:r>
                        <w:rPr>
                          <w:rFonts w:ascii="Times New Roman" w:eastAsia="MS Mincho" w:hAnsi="Times New Roman"/>
                          <w:sz w:val="20"/>
                          <w:i/>
                          <w:iCs/>
                        </w:rPr>
                        <w:t>,
2023-04-28,
paskelbta TAR 2023-04-28, i. k. 2023-08208            </w:t>
                      </w:r>
                    </w:p>
                    <w:p/>
                  </w:sdtContent>
                </w:sdt>
                <w:sdt>
                  <w:sdtPr>
                    <w:alias w:val="12.5 pp."/>
                    <w:tag w:val="part_c0351b0871fd445494c878902bd1158a"/>
                    <w:lock w:val="sdtLocked"/>
                    <w:richText/>
                  </w:sdtPr>
                  <w:sdtContent>
                    <w:p>
                      <w:pPr>
                        <w:ind w:firstLine="567"/>
                        <w:jc w:val="both"/>
                        <w:rPr>
                          <w:szCs w:val="24"/>
                        </w:rPr>
                      </w:pPr>
                      <w:sdt>
                        <w:sdtPr>
                          <w:alias w:val="Numeris"/>
                          <w:tag w:val="nr_c0351b0871fd445494c878902bd1158a"/>
                          <w:lock w:val="sdtLocked"/>
                          <w:richText/>
                        </w:sdtPr>
                        <w:sdtContent>
                          <w:r>
                            <w:rPr>
                              <w:color w:val="000000"/>
                              <w:szCs w:val="24"/>
                            </w:rPr>
                            <w:t>12.5</w:t>
                          </w:r>
                        </w:sdtContent>
                      </w:sdt>
                      <w:r>
                        <w:rPr>
                          <w:color w:val="000000"/>
                          <w:szCs w:val="24"/>
                        </w:rPr>
                        <w:t xml:space="preserve">. Laboratorija, atlikusi kvapo koncentracijos taršos šaltinyje laboratorinius tyrimus, nedelsdama atlieka kvapo sklaidos modeliavimą. Jeigu būtinus kvapo sklaidai modeliuoti duomenis turi kitos institucijos, šiems duomenims gauti Laboratorija kreipiasi į </w:t>
                      </w:r>
                      <w:r>
                        <w:rPr>
                          <w:szCs w:val="24"/>
                        </w:rPr>
                        <w:t>šias institucijas;</w:t>
                      </w:r>
                    </w:p>
                  </w:sdtContent>
                </w:sdt>
                <w:sdt>
                  <w:sdtPr>
                    <w:alias w:val="12.6 pp."/>
                    <w:tag w:val="part_9b7b1818c17f4e8caa08c1664066fd37"/>
                    <w:lock w:val="sdtLocked"/>
                    <w:richText/>
                  </w:sdtPr>
                  <w:sdtContent>
                    <w:p>
                      <w:pPr>
                        <w:ind w:firstLine="567"/>
                        <w:jc w:val="both"/>
                        <w:rPr>
                          <w:color w:val="000000"/>
                        </w:rPr>
                      </w:pPr>
                      <w:sdt>
                        <w:sdtPr>
                          <w:alias w:val="Numeris"/>
                          <w:tag w:val="nr_9b7b1818c17f4e8caa08c1664066fd37"/>
                          <w:lock w:val="sdtLocked"/>
                          <w:richText/>
                        </w:sdtPr>
                        <w:sdtContent>
                          <w:r>
                            <w:rPr>
                              <w:color w:val="000000"/>
                              <w:szCs w:val="24"/>
                            </w:rPr>
                            <w:t>12.6</w:t>
                          </w:r>
                        </w:sdtContent>
                      </w:sdt>
                      <w:r>
                        <w:rPr>
                          <w:color w:val="000000"/>
                          <w:szCs w:val="24"/>
                        </w:rPr>
                        <w:t xml:space="preserve">. kvapo koncentracijos gyvenamosios aplinkos ore apskaičiuojamos modeliavimo būdu pagal kvapo koncentracijos, nustatytos taršos šaltinyje, laboratorinių tyrimų rezultatus. Kvapo sklaidos modeliavimas atliekamas pasirenkant skaičiavimo modelį pagal Ūkinės veiklos poveikiui aplinkos orui vertinti teršalų sklaidos skaičiavimo modelių pasirinkimo rekomendacijas, patvirtintas Aplinkos apsaugos agentūros direktoriaus 2008 m. gruodžio 9 d. įsakymu Nr. AV-200 „Dėl Ūkinės veiklos poveikiui aplinkos orui vertinti teršalų sklaidos skaičiavimo modelių pasirinkimo rekomendacijų patvirtinimo“. </w:t>
                      </w:r>
                    </w:p>
                    <w:p/>
                  </w:sdtContent>
                </w:sdt>
              </w:sdtContent>
            </w:sdt>
          </w:sdtContent>
        </w:sdt>
        <w:sdt>
          <w:sdtPr>
            <w:alias w:val="skyrius"/>
            <w:tag w:val="part_0fe45105eaef4708a3f6c5e21395a7eb"/>
            <w:lock w:val="sdtLocked"/>
            <w:richText/>
          </w:sdtPr>
          <w:sdtContent>
            <w:p>
              <w:pPr>
                <w:keepLines/>
                <w:widowControl w:val="0"/>
                <w:suppressAutoHyphens/>
                <w:jc w:val="center"/>
                <w:rPr>
                  <w:b/>
                  <w:bCs/>
                  <w:caps/>
                  <w:color w:val="000000"/>
                </w:rPr>
              </w:pPr>
              <w:sdt>
                <w:sdtPr>
                  <w:alias w:val="Numeris"/>
                  <w:tag w:val="nr_0fe45105eaef4708a3f6c5e21395a7eb"/>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strike/>
                  <w:color w:val="000000"/>
                </w:rPr>
              </w:pPr>
              <w:sdt>
                <w:sdtPr>
                  <w:alias w:val="Pavadinimas"/>
                  <w:tag w:val="title_0fe45105eaef4708a3f6c5e21395a7eb"/>
                  <w:lock w:val="sdtLocked"/>
                  <w:richText/>
                </w:sdtPr>
                <w:sdtContent>
                  <w:r>
                    <w:rPr>
                      <w:b/>
                      <w:bCs/>
                      <w:caps/>
                      <w:color w:val="000000"/>
                    </w:rPr>
                    <w:t>SPRENDIMŲ PRIĖMIMAS, įgyvendinimas</w:t>
                  </w:r>
                </w:sdtContent>
              </w:sdt>
            </w:p>
            <w:p/>
            <w:sdt>
              <w:sdtPr>
                <w:alias w:val="13 p."/>
                <w:tag w:val="part_5842f0345b334f67937878019e2d910b"/>
                <w:lock w:val="sdtLocked"/>
                <w:richText/>
              </w:sdtPr>
              <w:sdtContent>
                <w:p>
                  <w:pPr>
                    <w:suppressAutoHyphens/>
                    <w:ind w:firstLine="567"/>
                    <w:jc w:val="both"/>
                    <w:textAlignment w:val="center"/>
                  </w:pPr>
                  <w:sdt>
                    <w:sdtPr>
                      <w:alias w:val="Numeris"/>
                      <w:tag w:val="nr_5842f0345b334f67937878019e2d910b"/>
                      <w:lock w:val="sdtLocked"/>
                      <w:richText/>
                    </w:sdtPr>
                    <w:sdtContent>
                      <w:r>
                        <w:rPr>
                          <w:szCs w:val="24"/>
                        </w:rPr>
                        <w:t>13</w:t>
                      </w:r>
                    </w:sdtContent>
                  </w:sdt>
                  <w:r>
                    <w:rPr>
                      <w:szCs w:val="24"/>
                    </w:rPr>
                    <w:t xml:space="preserve">. Centrui, gavus iš Laboratorijos </w:t>
                  </w:r>
                  <w:r>
                    <w:t>kvapo emisijos rodiklių taršos šaltiniuose rezultatus</w:t>
                  </w:r>
                  <w:r>
                    <w:rPr>
                      <w:szCs w:val="24"/>
                    </w:rPr>
                    <w:t xml:space="preserve"> ar kvapo koncentracijos gyvenamosios aplinkos ore skaičiavimo modeliavimo būdu gautus rezultatus, ne vėliau kaip per 5 darbo dienas nuo šių rezultatų gavimo dienos turi būti surašomas patikrinimo aktas ir raštu informuojamas pareiškėjas apie kvapų kontrolės rezultatus,</w:t>
                  </w:r>
                  <w:r>
                    <w:t xml:space="preserve"> priimtus sprendimus.</w:t>
                  </w:r>
                </w:p>
              </w:sdtContent>
            </w:sdt>
            <w:sdt>
              <w:sdtPr>
                <w:alias w:val="14 p."/>
                <w:tag w:val="part_bcbd23dbe94549a292bbc6fbdf2e0f6d"/>
                <w:lock w:val="sdtLocked"/>
                <w:richText/>
              </w:sdtPr>
              <w:sdtContent>
                <w:p>
                  <w:pPr>
                    <w:suppressAutoHyphens/>
                    <w:ind w:firstLine="567"/>
                    <w:jc w:val="both"/>
                    <w:textAlignment w:val="center"/>
                  </w:pPr>
                  <w:sdt>
                    <w:sdtPr>
                      <w:alias w:val="Numeris"/>
                      <w:tag w:val="nr_bcbd23dbe94549a292bbc6fbdf2e0f6d"/>
                      <w:lock w:val="sdtLocked"/>
                      <w:richText/>
                    </w:sdtPr>
                    <w:sdtContent>
                      <w:r>
                        <w:t>14</w:t>
                      </w:r>
                    </w:sdtContent>
                  </w:sdt>
                  <w:r>
                    <w:t>. Centras, nustatęs, kad ūkinės veiklos vykdytojas pažeidžia taršos integruotos prevencijos ir kontrolės leidime ar taršos leidime jo nustatytas kvapų valdymo sąlygas, priima sprendimus vadovaudamasis Lietuvos Respublikos aplinkos apsaugos įstatymo 19</w:t>
                  </w:r>
                  <w:r>
                    <w:rPr>
                      <w:vertAlign w:val="superscript"/>
                    </w:rPr>
                    <w:t>1</w:t>
                  </w:r>
                  <w:r>
                    <w:t xml:space="preserve"> straipsnio 4, 12 ir 14 dalių bei 19</w:t>
                  </w:r>
                  <w:r>
                    <w:rPr>
                      <w:vertAlign w:val="superscript"/>
                    </w:rPr>
                    <w:t>2</w:t>
                  </w:r>
                  <w:r>
                    <w:t xml:space="preserve"> straipsnio 3, 9 ir 11 dalių nuostatomis.</w:t>
                  </w:r>
                </w:p>
              </w:sdtContent>
            </w:sdt>
            <w:sdt>
              <w:sdtPr>
                <w:alias w:val="15 p."/>
                <w:tag w:val="part_84c1f950949644978cdfaaae7ddf2538"/>
                <w:lock w:val="sdtLocked"/>
                <w:richText/>
              </w:sdtPr>
              <w:sdtContent>
                <w:p>
                  <w:pPr>
                    <w:suppressAutoHyphens/>
                    <w:ind w:firstLine="567"/>
                    <w:jc w:val="both"/>
                    <w:textAlignment w:val="center"/>
                    <w:rPr>
                      <w:szCs w:val="24"/>
                      <w:lang w:eastAsia="lt-LT"/>
                    </w:rPr>
                  </w:pPr>
                  <w:sdt>
                    <w:sdtPr>
                      <w:alias w:val="Numeris"/>
                      <w:tag w:val="nr_84c1f950949644978cdfaaae7ddf2538"/>
                      <w:lock w:val="sdtLocked"/>
                      <w:richText/>
                    </w:sdtPr>
                    <w:sdtContent>
                      <w:r>
                        <w:rPr>
                          <w:color w:val="000000"/>
                          <w:szCs w:val="24"/>
                          <w:lang w:eastAsia="lt-LT"/>
                        </w:rPr>
                        <w:t>15</w:t>
                      </w:r>
                    </w:sdtContent>
                  </w:sdt>
                  <w:r>
                    <w:rPr>
                      <w:szCs w:val="24"/>
                      <w:lang w:eastAsia="lt-LT"/>
                    </w:rPr>
                    <w:t>. Centrui nustačius d</w:t>
                  </w:r>
                  <w:r>
                    <w:rPr>
                      <w:color w:val="000000"/>
                    </w:rPr>
                    <w:t xml:space="preserve">idžiausiosios leidžiamosios kvapo koncentracijos ribinės vertės gyvenamosios aplinkos ore viršijimą </w:t>
                  </w:r>
                  <w:r>
                    <w:rPr>
                      <w:szCs w:val="24"/>
                    </w:rPr>
                    <w:t xml:space="preserve">(atvejais, kai </w:t>
                  </w:r>
                  <w:r>
                    <w:t>ūkinei veiklai vykdyti nereikalingas taršos integruotos prevencijos ir kontrolės leidimas ar taršos leidimas arba, kai taršos integruotos prevencijos ir kontrolės leidimas ar taršos leidimas yra reikalingas, tačiau Centras jame nėra nustatęs kvapų valdymo sąlygų)</w:t>
                  </w:r>
                  <w:r>
                    <w:rPr>
                      <w:szCs w:val="24"/>
                      <w:lang w:eastAsia="lt-LT"/>
                    </w:rPr>
                    <w:t>, ūkinės veiklos vykdytojui patikrinimo akte nurodoma ne vėliau kaip per 90 kalendorinių dienų nuo patikrinimo akto surašymo dienos pateikti Centrui kvapų skleidimo sumažinimo veiksmų planą, kuriame turi būti nurodyta:</w:t>
                  </w:r>
                </w:p>
                <w:sdt>
                  <w:sdtPr>
                    <w:alias w:val="15.1 pp."/>
                    <w:tag w:val="part_80f9c78f7d1a45e395c010bce68878e9"/>
                    <w:lock w:val="sdtLocked"/>
                    <w:richText/>
                  </w:sdtPr>
                  <w:sdtContent>
                    <w:p>
                      <w:pPr>
                        <w:ind w:firstLine="567"/>
                        <w:jc w:val="both"/>
                        <w:rPr>
                          <w:rFonts w:eastAsia="Calibri"/>
                          <w:szCs w:val="24"/>
                        </w:rPr>
                      </w:pPr>
                      <w:sdt>
                        <w:sdtPr>
                          <w:alias w:val="Numeris"/>
                          <w:tag w:val="nr_80f9c78f7d1a45e395c010bce68878e9"/>
                          <w:lock w:val="sdtLocked"/>
                          <w:richText/>
                        </w:sdtPr>
                        <w:sdtContent>
                          <w:r>
                            <w:rPr>
                              <w:color w:val="000000"/>
                              <w:szCs w:val="24"/>
                              <w:lang w:eastAsia="lt-LT"/>
                            </w:rPr>
                            <w:t>15.1</w:t>
                          </w:r>
                        </w:sdtContent>
                      </w:sdt>
                      <w:r>
                        <w:rPr>
                          <w:color w:val="000000"/>
                          <w:szCs w:val="24"/>
                          <w:lang w:eastAsia="lt-LT"/>
                        </w:rPr>
                        <w:t>. b</w:t>
                      </w:r>
                      <w:r>
                        <w:rPr>
                          <w:rFonts w:eastAsia="Calibri"/>
                          <w:szCs w:val="24"/>
                        </w:rPr>
                        <w:t>endroji informacija (už veiksmų plano parengimą, įgyvendinimą ir informacijos pateikimą atsakingų darbuotojų vardai, pavardės, pareigos ir kontaktinė informacija; kita su veiksmų plano vykdymu susijusi informacija);</w:t>
                      </w:r>
                    </w:p>
                  </w:sdtContent>
                </w:sdt>
                <w:sdt>
                  <w:sdtPr>
                    <w:alias w:val="15.2 pp."/>
                    <w:tag w:val="part_7ae6f3ecc4ba457b96ccbae1f3955d42"/>
                    <w:lock w:val="sdtLocked"/>
                    <w:richText/>
                  </w:sdtPr>
                  <w:sdtContent>
                    <w:p>
                      <w:pPr>
                        <w:ind w:firstLine="567"/>
                        <w:jc w:val="both"/>
                        <w:rPr>
                          <w:rFonts w:eastAsia="Calibri"/>
                          <w:szCs w:val="24"/>
                        </w:rPr>
                      </w:pPr>
                      <w:sdt>
                        <w:sdtPr>
                          <w:alias w:val="Numeris"/>
                          <w:tag w:val="nr_7ae6f3ecc4ba457b96ccbae1f3955d42"/>
                          <w:lock w:val="sdtLocked"/>
                          <w:richText/>
                        </w:sdtPr>
                        <w:sdtContent>
                          <w:r>
                            <w:rPr>
                              <w:rFonts w:eastAsia="Calibri"/>
                              <w:szCs w:val="24"/>
                            </w:rPr>
                            <w:t>15.2</w:t>
                          </w:r>
                        </w:sdtContent>
                      </w:sdt>
                      <w:r>
                        <w:rPr>
                          <w:rFonts w:eastAsia="Calibri"/>
                          <w:szCs w:val="24"/>
                        </w:rPr>
                        <w:t>. informacija apie kvapų skleidimo šaltinius: taršos šaltinių planas (topografinis planas, brėžinys ar žemėlapis, kuriame pažymėtos taršos šaltinių ribos); taršos šaltinių duomenys (technologinis procesas, taršos šaltinio aukštis, plotas, kvapo ir cheminių medžiagų emisijos ir kita aplinkos oro taršos šaltinio informacija, naudojama kvapo koncentracijai įvertinti);</w:t>
                      </w:r>
                    </w:p>
                  </w:sdtContent>
                </w:sdt>
                <w:sdt>
                  <w:sdtPr>
                    <w:alias w:val="15.3 pp."/>
                    <w:tag w:val="part_54cbd1379bc14c1498e776ba4cb128df"/>
                    <w:lock w:val="sdtLocked"/>
                    <w:richText/>
                  </w:sdtPr>
                  <w:sdtContent>
                    <w:p>
                      <w:pPr>
                        <w:ind w:firstLine="567"/>
                        <w:jc w:val="both"/>
                        <w:rPr>
                          <w:rFonts w:eastAsia="Calibri"/>
                          <w:szCs w:val="24"/>
                        </w:rPr>
                      </w:pPr>
                      <w:sdt>
                        <w:sdtPr>
                          <w:alias w:val="Numeris"/>
                          <w:tag w:val="nr_54cbd1379bc14c1498e776ba4cb128df"/>
                          <w:lock w:val="sdtLocked"/>
                          <w:richText/>
                        </w:sdtPr>
                        <w:sdtContent>
                          <w:r>
                            <w:rPr>
                              <w:rFonts w:eastAsia="Calibri"/>
                              <w:szCs w:val="24"/>
                            </w:rPr>
                            <w:t>15.3</w:t>
                          </w:r>
                        </w:sdtContent>
                      </w:sdt>
                      <w:r>
                        <w:rPr>
                          <w:rFonts w:eastAsia="Calibri"/>
                          <w:szCs w:val="24"/>
                        </w:rPr>
                        <w:t>. informacija apie kvapų skleidimo sumažinimo veiksmus (kvapo koncentracijų ribinių verčių viršijimo priežastys ir jų pašalinimo priemonės / veiksmai, nurodant prognozuojamą efektyvumą; priemonių / veiksmų įvykdymo terminai).</w:t>
                      </w:r>
                    </w:p>
                  </w:sdtContent>
                </w:sdt>
              </w:sdtContent>
            </w:sdt>
            <w:sdt>
              <w:sdtPr>
                <w:alias w:val="16 p."/>
                <w:tag w:val="part_9c6b7994cde645b2af8e308935835db2"/>
                <w:lock w:val="sdtLocked"/>
                <w:richText/>
              </w:sdtPr>
              <w:sdtContent>
                <w:p>
                  <w:pPr>
                    <w:ind w:firstLine="567"/>
                    <w:jc w:val="both"/>
                  </w:pPr>
                  <w:sdt>
                    <w:sdtPr>
                      <w:alias w:val="Numeris"/>
                      <w:tag w:val="nr_9c6b7994cde645b2af8e308935835db2"/>
                      <w:lock w:val="sdtLocked"/>
                      <w:richText/>
                    </w:sdtPr>
                    <w:sdtContent>
                      <w:r>
                        <w:rPr>
                          <w:szCs w:val="24"/>
                        </w:rPr>
                        <w:t>16</w:t>
                      </w:r>
                    </w:sdtContent>
                  </w:sdt>
                  <w:r>
                    <w:rPr>
                      <w:szCs w:val="24"/>
                    </w:rPr>
                    <w:t>. Ūkinės veiklos vykdytojas kvapų skleidimą mažinančias priemones turi įvykdyti ne vėliau kaip per 90 kalendorinių dienų nuo kvapų skleidimo sumažinimo veiksmų plano pateikimo Centrui dienos, išskyrus atvejus, kai pateikiami dokumentai, pagrindžiantys, kad kvapų skleidimą mažinančioms priemonėms įgyvendinti reikia daugiau laiko dėl didelių kapitalinių sąnaudų ir (ar) kitų objektyvių aplinkybių.</w:t>
                  </w:r>
                </w:p>
              </w:sdtContent>
            </w:sdt>
            <w:sdt>
              <w:sdtPr>
                <w:alias w:val="17 p."/>
                <w:tag w:val="part_f80e808d27d44a70be5d653cc0aa74e7"/>
                <w:lock w:val="sdtLocked"/>
                <w:richText/>
              </w:sdtPr>
              <w:sdtContent>
                <w:p>
                  <w:pPr>
                    <w:widowControl w:val="0"/>
                    <w:suppressAutoHyphens/>
                    <w:ind w:firstLine="567"/>
                    <w:jc w:val="both"/>
                  </w:pPr>
                  <w:sdt>
                    <w:sdtPr>
                      <w:alias w:val="Numeris"/>
                      <w:tag w:val="nr_f80e808d27d44a70be5d653cc0aa74e7"/>
                      <w:lock w:val="sdtLocked"/>
                      <w:richText/>
                    </w:sdtPr>
                    <w:sdtContent>
                      <w:r>
                        <w:t>17</w:t>
                      </w:r>
                    </w:sdtContent>
                  </w:sdt>
                  <w:r>
                    <w:t>. Įvykdęs kvapų skleidimo sumažinimo veiksmų plano priemones, ūkinės veiklos vykdytojas privalo pateikti Centrui kvapo koncentracijos laboratorinių tyrimų ir kvapo sklaidos modeliavimo rezultatus, patvirtinančius kvapo koncentraciją gyvenamosios aplinkos ore po plane numatytų priemonių įdiegimo.</w:t>
                  </w:r>
                </w:p>
              </w:sdtContent>
            </w:sdt>
            <w:sdt>
              <w:sdtPr>
                <w:alias w:val="18 p."/>
                <w:tag w:val="part_a8b039760dcd4a80b47c1862ffa8c173"/>
                <w:lock w:val="sdtLocked"/>
                <w:richText/>
              </w:sdtPr>
              <w:sdtContent>
                <w:p>
                  <w:pPr>
                    <w:widowControl w:val="0"/>
                    <w:suppressAutoHyphens/>
                    <w:ind w:firstLine="567"/>
                    <w:jc w:val="both"/>
                  </w:pPr>
                  <w:sdt>
                    <w:sdtPr>
                      <w:alias w:val="Numeris"/>
                      <w:tag w:val="nr_a8b039760dcd4a80b47c1862ffa8c173"/>
                      <w:lock w:val="sdtLocked"/>
                      <w:richText/>
                    </w:sdtPr>
                    <w:sdtContent>
                      <w:r>
                        <w:t>18</w:t>
                      </w:r>
                    </w:sdtContent>
                  </w:sdt>
                  <w:r>
                    <w:t>. Ūkinės veiklos vykdytojui per Taisyklių 15 punkte nustatytą terminą nepateikus kvapų skleidimo sumažinimo veiksmų plano, neįvykdžius plane numatytų priemonių, nepateikus kvapo koncentracijos laboratorinių tyrimų rezultatų arba pateikus kvapo koncentracijos ribines vertes viršijančius laboratorinių tyrimų rezultatus, Centras kreipiasi į leidimą (licenciją) ūkinei veiklai išdavusią instituciją dėl išduoto leidimo (licencijos) sustabdymo, pakeitimo ar panaikinimo.</w:t>
                  </w:r>
                </w:p>
                <w:p>
                  <w:pPr>
                    <w:widowControl w:val="0"/>
                    <w:suppressAutoHyphens/>
                    <w:ind w:firstLine="567"/>
                    <w:jc w:val="both"/>
                  </w:pPr>
                </w:p>
              </w:sdtContent>
            </w:sdt>
          </w:sdtContent>
        </w:sdt>
        <w:sdt>
          <w:sdtPr>
            <w:alias w:val="pabaiga"/>
            <w:tag w:val="part_7fe1d8403d3a44fdab89bc8b01151fc9"/>
            <w:lock w:val="sdtLocked"/>
            <w:richText/>
          </w:sdtPr>
          <w:sdtContent>
            <w:p>
              <w:pPr>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6160b05e11eab9d9cd0c85e0b745">
            <w:r w:rsidRPr="00532B9F">
              <w:rPr>
                <w:rFonts w:ascii="Times New Roman" w:eastAsia="MS Mincho" w:hAnsi="Times New Roman"/>
                <w:sz w:val="20"/>
                <w:i/>
                <w:iCs/>
                <w:color w:val="0000FF" w:themeColor="hyperlink"/>
                <w:u w:val="single"/>
              </w:rPr>
              <w:t>V-1481</w:t>
            </w:r>
          </w:fldSimple>
          <w:r>
            <w:rPr>
              <w:rFonts w:ascii="Times New Roman" w:eastAsia="MS Mincho" w:hAnsi="Times New Roman"/>
              <w:sz w:val="20"/>
              <w:i/>
              <w:iCs/>
            </w:rPr>
            <w:t>,
2020-06-16,
paskelbta TAR 2020-06-17, i. k. 2020-13195            </w:t>
          </w:r>
        </w:p>
        <w:p/>
      </w:sdtContent>
    </w:sdt>
    <w:sdt>
      <w:sdtPr>
        <w:alias w:val="1 pr."/>
        <w:tag w:val="part_09c9ab38aae7495db6aa4e08e2aa1d36"/>
        <w:lock w:val="sdtLocked"/>
        <w:richText/>
      </w:sdtPr>
      <w:sdtContent>
        <w:p>
          <w:pPr>
            <w:ind w:firstLine="6485"/>
            <w:sectPr>
              <w:pgSz w:w="11907" w:h="16840" w:code="9"/>
              <w:pgMar w:top="1134" w:right="567" w:bottom="1134" w:left="1701" w:header="567" w:footer="284" w:gutter="0"/>
              <w:pgNumType w:start="1"/>
              <w:cols w:space="1296"/>
              <w:titlePg/>
              <w:docGrid w:linePitch="360"/>
            </w:sectPr>
          </w:pPr>
        </w:p>
        <w:p>
          <w:pPr>
            <w:ind w:firstLine="6485"/>
            <w:rPr>
              <w:rFonts w:eastAsia="Calibri"/>
              <w:szCs w:val="24"/>
            </w:rPr>
          </w:pPr>
          <w:r>
            <w:rPr>
              <w:rFonts w:eastAsia="Calibri"/>
              <w:szCs w:val="24"/>
            </w:rPr>
            <w:t xml:space="preserve">Kvapų kontrolės gyvenamosios </w:t>
          </w:r>
        </w:p>
        <w:p>
          <w:pPr>
            <w:ind w:left="3894" w:firstLine="2600"/>
            <w:rPr>
              <w:rFonts w:eastAsia="Calibri"/>
              <w:szCs w:val="24"/>
            </w:rPr>
          </w:pPr>
          <w:r>
            <w:rPr>
              <w:rFonts w:eastAsia="Calibri"/>
              <w:szCs w:val="24"/>
            </w:rPr>
            <w:t>aplinkos ore taisyklių</w:t>
          </w:r>
        </w:p>
        <w:p>
          <w:pPr>
            <w:ind w:left="3894" w:firstLine="2600"/>
            <w:rPr>
              <w:rFonts w:eastAsia="Calibri"/>
              <w:szCs w:val="24"/>
            </w:rPr>
          </w:pPr>
          <w:sdt>
            <w:sdtPr>
              <w:alias w:val="Numeris"/>
              <w:tag w:val="nr_09c9ab38aae7495db6aa4e08e2aa1d36"/>
              <w:lock w:val="sdtLocked"/>
              <w:richText/>
            </w:sdtPr>
            <w:sdtContent>
              <w:r>
                <w:rPr>
                  <w:rFonts w:eastAsia="Calibri"/>
                  <w:szCs w:val="24"/>
                </w:rPr>
                <w:t>1</w:t>
              </w:r>
            </w:sdtContent>
          </w:sdt>
          <w:r>
            <w:rPr>
              <w:rFonts w:eastAsia="Calibri"/>
              <w:szCs w:val="24"/>
            </w:rPr>
            <w:t xml:space="preserve"> priedas</w:t>
          </w:r>
        </w:p>
        <w:p>
          <w:pPr>
            <w:ind w:firstLine="6480"/>
            <w:rPr>
              <w:rFonts w:eastAsia="Calibri"/>
              <w:b/>
              <w:szCs w:val="24"/>
            </w:rPr>
          </w:pPr>
        </w:p>
        <w:p>
          <w:pPr>
            <w:ind w:firstLine="6480"/>
            <w:rPr>
              <w:rFonts w:eastAsia="Calibri"/>
              <w:b/>
              <w:szCs w:val="24"/>
            </w:rPr>
          </w:pPr>
        </w:p>
        <w:p>
          <w:pPr>
            <w:rPr>
              <w:rFonts w:eastAsia="Calibri"/>
              <w:b/>
              <w:szCs w:val="24"/>
            </w:rPr>
          </w:pPr>
        </w:p>
        <w:p>
          <w:pPr>
            <w:jc w:val="center"/>
            <w:rPr>
              <w:rFonts w:eastAsia="Calibri"/>
              <w:b/>
              <w:szCs w:val="24"/>
            </w:rPr>
          </w:pPr>
          <w:sdt>
            <w:sdtPr>
              <w:alias w:val="Pavadinimas"/>
              <w:tag w:val="title_09c9ab38aae7495db6aa4e08e2aa1d36"/>
              <w:lock w:val="sdtLocked"/>
              <w:richText/>
            </w:sdtPr>
            <w:sdtContent>
              <w:r>
                <w:rPr>
                  <w:rFonts w:eastAsia="Calibri"/>
                  <w:b/>
                  <w:szCs w:val="24"/>
                </w:rPr>
                <w:t>(Pažymos apie kvapą forma)</w:t>
              </w:r>
            </w:sdtContent>
          </w:sdt>
        </w:p>
        <w:p>
          <w:pPr>
            <w:jc w:val="center"/>
            <w:rPr>
              <w:rFonts w:eastAsia="Calibri"/>
              <w:b/>
              <w:szCs w:val="24"/>
            </w:rPr>
          </w:pPr>
        </w:p>
        <w:p>
          <w:pPr>
            <w:rPr>
              <w:rFonts w:eastAsia="Calibri"/>
              <w:b/>
              <w:caps/>
              <w:szCs w:val="24"/>
            </w:rPr>
          </w:pPr>
        </w:p>
        <w:p>
          <w:pPr>
            <w:jc w:val="center"/>
            <w:rPr>
              <w:rFonts w:eastAsia="Calibri"/>
              <w:b/>
              <w:caps/>
              <w:szCs w:val="24"/>
            </w:rPr>
          </w:pPr>
          <w:r>
            <w:rPr>
              <w:rFonts w:eastAsia="Calibri"/>
              <w:b/>
              <w:caps/>
              <w:szCs w:val="24"/>
            </w:rPr>
            <w:t>Pažyma apie kvapą</w:t>
          </w:r>
        </w:p>
        <w:p>
          <w:pPr>
            <w:rPr>
              <w:rFonts w:eastAsia="Calibri"/>
              <w:szCs w:val="24"/>
            </w:rPr>
          </w:pPr>
        </w:p>
        <w:p>
          <w:pPr>
            <w:jc w:val="center"/>
            <w:rPr>
              <w:rFonts w:eastAsia="Calibri"/>
              <w:szCs w:val="24"/>
            </w:rPr>
          </w:pPr>
          <w:r>
            <w:rPr>
              <w:rFonts w:eastAsia="Calibri"/>
              <w:szCs w:val="24"/>
            </w:rPr>
            <w:t xml:space="preserve">_________________ Nr. </w:t>
          </w:r>
        </w:p>
        <w:p>
          <w:pPr>
            <w:jc w:val="center"/>
            <w:rPr>
              <w:rFonts w:eastAsia="Calibri"/>
              <w:szCs w:val="24"/>
            </w:rPr>
          </w:pPr>
          <w:r>
            <w:rPr>
              <w:rFonts w:eastAsia="Calibri"/>
              <w:sz w:val="20"/>
            </w:rPr>
            <w:t>(data)</w:t>
          </w:r>
        </w:p>
        <w:p>
          <w:pPr>
            <w:tabs>
              <w:tab w:val="left" w:leader="underscore" w:pos="3420"/>
              <w:tab w:val="left" w:pos="6120"/>
              <w:tab w:val="right" w:leader="underscore" w:pos="9696"/>
            </w:tabs>
            <w:jc w:val="center"/>
            <w:rPr>
              <w:rFonts w:eastAsia="Calibri"/>
              <w:szCs w:val="24"/>
            </w:rPr>
          </w:pPr>
          <w:r>
            <w:rPr>
              <w:rFonts w:eastAsia="Calibri"/>
              <w:szCs w:val="24"/>
            </w:rPr>
            <w:t>______________________</w:t>
          </w:r>
        </w:p>
        <w:p>
          <w:pPr>
            <w:tabs>
              <w:tab w:val="center" w:pos="1701"/>
              <w:tab w:val="center" w:pos="7920"/>
            </w:tabs>
            <w:jc w:val="center"/>
            <w:rPr>
              <w:rFonts w:eastAsia="Calibri"/>
              <w:szCs w:val="24"/>
            </w:rPr>
          </w:pPr>
          <w:r>
            <w:rPr>
              <w:rFonts w:eastAsia="Calibri"/>
              <w:sz w:val="20"/>
            </w:rPr>
            <w:t>(sudarymo vieta)</w:t>
          </w:r>
        </w:p>
        <w:p>
          <w:pPr>
            <w:rPr>
              <w:rFonts w:eastAsia="Calibri"/>
              <w:szCs w:val="24"/>
            </w:rPr>
          </w:pPr>
        </w:p>
        <w:p>
          <w:pPr>
            <w:rPr>
              <w:rFonts w:eastAsia="Calibri"/>
              <w:szCs w:val="24"/>
            </w:rPr>
          </w:pPr>
        </w:p>
        <w:p>
          <w:pPr>
            <w:tabs>
              <w:tab w:val="right" w:leader="underscore" w:pos="9696"/>
            </w:tabs>
            <w:ind w:firstLine="720"/>
            <w:rPr>
              <w:rFonts w:eastAsia="Calibri"/>
              <w:szCs w:val="24"/>
            </w:rPr>
          </w:pPr>
          <w:r>
            <w:rPr>
              <w:rFonts w:eastAsia="Calibri"/>
              <w:szCs w:val="24"/>
            </w:rPr>
            <w:t xml:space="preserve">Kvapų kontrolės komisija, sudaryta </w:t>
            <w:tab/>
          </w:r>
        </w:p>
        <w:p>
          <w:pPr>
            <w:tabs>
              <w:tab w:val="center" w:pos="6120"/>
            </w:tabs>
            <w:rPr>
              <w:rFonts w:eastAsia="Calibri"/>
              <w:sz w:val="20"/>
            </w:rPr>
          </w:pPr>
          <w:r>
            <w:rPr>
              <w:rFonts w:eastAsia="Calibri"/>
              <w:szCs w:val="24"/>
              <w:vertAlign w:val="superscript"/>
            </w:rPr>
            <w:tab/>
            <w:t xml:space="preserve">                                                     </w:t>
          </w:r>
          <w:r>
            <w:rPr>
              <w:rFonts w:eastAsia="Calibri"/>
              <w:sz w:val="20"/>
            </w:rPr>
            <w:t xml:space="preserve">(įsakymo, kuriuo sudaryta kvapų kontrolės  komisija, data, numeris)</w:t>
          </w:r>
        </w:p>
        <w:p>
          <w:pPr>
            <w:tabs>
              <w:tab w:val="right" w:leader="underscore" w:pos="9696"/>
            </w:tabs>
            <w:spacing w:line="360" w:lineRule="auto"/>
            <w:rPr>
              <w:rFonts w:eastAsia="Calibri"/>
              <w:szCs w:val="24"/>
            </w:rPr>
          </w:pPr>
          <w:r>
            <w:rPr>
              <w:rFonts w:eastAsia="Calibri"/>
              <w:szCs w:val="24"/>
            </w:rPr>
            <w:tab/>
            <w:t>:</w:t>
          </w:r>
        </w:p>
        <w:p>
          <w:pPr>
            <w:tabs>
              <w:tab w:val="right" w:leader="underscore" w:pos="9696"/>
            </w:tabs>
            <w:ind w:firstLine="720"/>
            <w:rPr>
              <w:rFonts w:eastAsia="Calibri"/>
              <w:szCs w:val="24"/>
            </w:rPr>
          </w:pPr>
          <w:r>
            <w:rPr>
              <w:rFonts w:eastAsia="Calibri"/>
              <w:szCs w:val="24"/>
            </w:rPr>
            <w:t xml:space="preserve">Kvapų kontrolės komisijos pirmininkas </w:t>
            <w:tab/>
          </w:r>
        </w:p>
        <w:p>
          <w:pPr>
            <w:tabs>
              <w:tab w:val="center" w:pos="6120"/>
            </w:tabs>
            <w:rPr>
              <w:rFonts w:eastAsia="Calibri"/>
              <w:sz w:val="20"/>
            </w:rPr>
          </w:pPr>
          <w:r>
            <w:rPr>
              <w:rFonts w:eastAsia="Calibri"/>
              <w:sz w:val="20"/>
            </w:rPr>
            <w:tab/>
            <w:t xml:space="preserve">                                                (vardas, pavardė,  institucijos pavadinimas, pareigos)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________________________________________________________________________________</w:t>
          </w:r>
        </w:p>
        <w:p>
          <w:pPr>
            <w:tabs>
              <w:tab w:val="right" w:leader="underscore" w:pos="9696"/>
            </w:tabs>
            <w:spacing w:line="360" w:lineRule="auto"/>
            <w:ind w:firstLine="720"/>
            <w:rPr>
              <w:rFonts w:eastAsia="Calibri"/>
              <w:szCs w:val="24"/>
            </w:rPr>
          </w:pPr>
          <w:r>
            <w:rPr>
              <w:rFonts w:eastAsia="Calibri"/>
              <w:szCs w:val="24"/>
            </w:rPr>
            <w:t xml:space="preserve">Kvapų kontrolės komisijos nariai: </w:t>
            <w:tab/>
          </w:r>
        </w:p>
        <w:p>
          <w:pPr>
            <w:tabs>
              <w:tab w:val="center" w:pos="6120"/>
            </w:tabs>
            <w:rPr>
              <w:rFonts w:eastAsia="Calibri"/>
              <w:sz w:val="20"/>
            </w:rPr>
          </w:pPr>
          <w:r>
            <w:rPr>
              <w:rFonts w:ascii="Calibri" w:eastAsia="Calibri" w:hAnsi="Calibri"/>
              <w:sz w:val="22"/>
              <w:szCs w:val="22"/>
            </w:rPr>
            <w:tab/>
            <w:t xml:space="preserve">                                 </w:t>
          </w:r>
          <w:r>
            <w:rPr>
              <w:rFonts w:eastAsia="Calibri"/>
              <w:sz w:val="20"/>
            </w:rPr>
            <w:t>(vardas, pavardė, institucijos pavadinimas, pareigos)</w:t>
          </w:r>
        </w:p>
        <w:p>
          <w:pPr>
            <w:tabs>
              <w:tab w:val="right" w:leader="underscore" w:pos="9696"/>
            </w:tabs>
            <w:spacing w:line="360" w:lineRule="auto"/>
            <w:rPr>
              <w:rFonts w:eastAsia="Calibri"/>
              <w:szCs w:val="24"/>
            </w:rPr>
          </w:pPr>
          <w:r>
            <w:rPr>
              <w:rFonts w:eastAsia="Calibri"/>
              <w:szCs w:val="24"/>
            </w:rPr>
            <w:t>________________________________________________________________________________</w:t>
          </w:r>
        </w:p>
        <w:p>
          <w:pPr>
            <w:tabs>
              <w:tab w:val="right" w:leader="underscore" w:pos="9696"/>
            </w:tabs>
            <w:spacing w:line="360" w:lineRule="auto"/>
            <w:rPr>
              <w:rFonts w:eastAsia="Calibri"/>
              <w:szCs w:val="24"/>
            </w:rPr>
          </w:pPr>
          <w:r>
            <w:rPr>
              <w:rFonts w:eastAsia="Calibri"/>
              <w:szCs w:val="24"/>
            </w:rPr>
            <w:t>_______________________________________________________________________________,</w:t>
          </w:r>
        </w:p>
        <w:p>
          <w:pPr>
            <w:tabs>
              <w:tab w:val="right" w:leader="underscore" w:pos="9696"/>
            </w:tabs>
            <w:rPr>
              <w:rFonts w:eastAsia="Calibri"/>
              <w:szCs w:val="24"/>
            </w:rPr>
          </w:pPr>
        </w:p>
        <w:p>
          <w:pPr>
            <w:tabs>
              <w:tab w:val="right" w:leader="underscore" w:pos="9696"/>
            </w:tabs>
            <w:rPr>
              <w:szCs w:val="24"/>
            </w:rPr>
          </w:pPr>
          <w:r>
            <w:rPr>
              <w:szCs w:val="24"/>
            </w:rPr>
            <w:t>nagrinėjanti asmens skundą dėl ūkinės veiklos (kai skunde nurodyta)</w:t>
            <w:tab/>
          </w:r>
        </w:p>
        <w:p>
          <w:pPr>
            <w:tabs>
              <w:tab w:val="right" w:leader="underscore" w:pos="9696"/>
            </w:tabs>
            <w:rPr>
              <w:szCs w:val="24"/>
            </w:rPr>
          </w:pPr>
        </w:p>
        <w:p>
          <w:pPr>
            <w:tabs>
              <w:tab w:val="center" w:pos="8100"/>
            </w:tabs>
            <w:rPr>
              <w:sz w:val="20"/>
            </w:rPr>
          </w:pPr>
          <w:r>
            <w:rPr>
              <w:szCs w:val="24"/>
              <w:vertAlign w:val="superscript"/>
            </w:rPr>
            <w:tab/>
          </w:r>
          <w:r>
            <w:rPr>
              <w:sz w:val="20"/>
            </w:rPr>
            <w:t>(nurodytos ūkinės veiklos pavadinimas)</w:t>
          </w:r>
        </w:p>
        <w:p>
          <w:pPr>
            <w:tabs>
              <w:tab w:val="center" w:pos="8100"/>
            </w:tabs>
            <w:rPr>
              <w:sz w:val="20"/>
            </w:rPr>
          </w:pPr>
        </w:p>
        <w:p>
          <w:pPr>
            <w:tabs>
              <w:tab w:val="right" w:leader="underscore" w:pos="9696"/>
            </w:tabs>
            <w:spacing w:line="360" w:lineRule="auto"/>
            <w:rPr>
              <w:szCs w:val="24"/>
            </w:rPr>
          </w:pPr>
          <w:r>
            <w:rPr>
              <w:szCs w:val="24"/>
            </w:rPr>
            <w:tab/>
            <w:t>,</w:t>
          </w:r>
        </w:p>
        <w:p>
          <w:pPr>
            <w:tabs>
              <w:tab w:val="right" w:leader="underscore" w:pos="9696"/>
            </w:tabs>
            <w:rPr>
              <w:szCs w:val="24"/>
            </w:rPr>
          </w:pPr>
          <w:r>
            <w:rPr>
              <w:szCs w:val="24"/>
            </w:rPr>
            <w:t>ar kitos ūkinės veiklos (kai skunde nenurodyta)</w:t>
            <w:tab/>
          </w:r>
        </w:p>
        <w:p>
          <w:pPr>
            <w:tabs>
              <w:tab w:val="center" w:pos="8100"/>
            </w:tabs>
            <w:rPr>
              <w:rFonts w:eastAsia="Calibri"/>
              <w:b/>
              <w:bCs/>
              <w:szCs w:val="24"/>
            </w:rPr>
          </w:pPr>
          <w:r>
            <w:rPr>
              <w:szCs w:val="24"/>
              <w:vertAlign w:val="superscript"/>
            </w:rPr>
            <w:tab/>
          </w:r>
          <w:r>
            <w:rPr>
              <w:sz w:val="20"/>
            </w:rPr>
            <w:t>(nustatytos ūkinės veiklos pavadinimas</w:t>
          </w:r>
          <w:r>
            <w:rPr>
              <w:b/>
              <w:bCs/>
              <w:sz w:val="20"/>
            </w:rPr>
            <w:t>)</w:t>
          </w:r>
        </w:p>
        <w:p>
          <w:pPr>
            <w:tabs>
              <w:tab w:val="right" w:leader="underscore" w:pos="9696"/>
            </w:tabs>
            <w:rPr>
              <w:rFonts w:eastAsia="Calibri"/>
              <w:szCs w:val="24"/>
            </w:rPr>
          </w:pPr>
          <w:r>
            <w:rPr>
              <w:rFonts w:eastAsia="Calibri"/>
              <w:szCs w:val="24"/>
            </w:rPr>
            <w:t xml:space="preserve">vykdomos </w:t>
            <w:tab/>
            <w:t>,</w:t>
          </w:r>
        </w:p>
        <w:p>
          <w:pPr>
            <w:tabs>
              <w:tab w:val="center" w:pos="5580"/>
            </w:tabs>
            <w:rPr>
              <w:rFonts w:eastAsia="Calibri"/>
              <w:sz w:val="20"/>
            </w:rPr>
          </w:pPr>
          <w:r>
            <w:rPr>
              <w:rFonts w:eastAsia="Calibri"/>
              <w:szCs w:val="24"/>
              <w:vertAlign w:val="superscript"/>
            </w:rPr>
            <w:tab/>
          </w:r>
          <w:r>
            <w:rPr>
              <w:rFonts w:eastAsia="Calibri"/>
              <w:sz w:val="20"/>
            </w:rPr>
            <w:t>(adresas)</w:t>
          </w:r>
        </w:p>
        <w:p>
          <w:pPr>
            <w:tabs>
              <w:tab w:val="right" w:leader="underscore" w:pos="9696"/>
            </w:tabs>
            <w:rPr>
              <w:rFonts w:eastAsia="Calibri"/>
              <w:szCs w:val="24"/>
            </w:rPr>
          </w:pPr>
          <w:r>
            <w:rPr>
              <w:rFonts w:eastAsia="Calibri"/>
              <w:szCs w:val="24"/>
            </w:rPr>
            <w:t xml:space="preserve">skleidžiamo kvapo gyvenamosios aplinkos ore </w:t>
            <w:tab/>
            <w:t>,</w:t>
          </w:r>
        </w:p>
        <w:p>
          <w:pPr>
            <w:tabs>
              <w:tab w:val="center" w:pos="7200"/>
            </w:tabs>
            <w:rPr>
              <w:rFonts w:eastAsia="Calibri"/>
              <w:sz w:val="20"/>
            </w:rPr>
          </w:pPr>
          <w:r>
            <w:rPr>
              <w:rFonts w:eastAsia="Calibri"/>
              <w:szCs w:val="24"/>
              <w:vertAlign w:val="superscript"/>
            </w:rPr>
            <w:tab/>
          </w:r>
          <w:r>
            <w:rPr>
              <w:rFonts w:eastAsia="Calibri"/>
              <w:sz w:val="20"/>
            </w:rPr>
            <w:t>(adresas)</w:t>
          </w:r>
        </w:p>
        <w:p>
          <w:pPr>
            <w:jc w:val="both"/>
            <w:rPr>
              <w:rFonts w:eastAsia="Calibri"/>
              <w:szCs w:val="24"/>
            </w:rPr>
          </w:pPr>
          <w:r>
            <w:rPr>
              <w:rFonts w:eastAsia="Calibri"/>
              <w:szCs w:val="24"/>
            </w:rPr>
            <w:t>įvertino kvapą bei jo pobūdį (pridedamos kvapų kontrolės komisijos narių užpildytos individualaus kvapo vertinimo lentelės).</w:t>
          </w:r>
        </w:p>
        <w:p>
          <w:pPr>
            <w:jc w:val="both"/>
            <w:rPr>
              <w:rFonts w:eastAsia="Calibri"/>
              <w:szCs w:val="24"/>
            </w:rPr>
          </w:pPr>
        </w:p>
        <w:p>
          <w:pPr>
            <w:jc w:val="both"/>
            <w:rPr>
              <w:rFonts w:eastAsia="Calibri"/>
              <w:szCs w:val="24"/>
            </w:rPr>
          </w:pPr>
        </w:p>
        <w:p>
          <w:pPr>
            <w:tabs>
              <w:tab w:val="right" w:leader="underscore" w:pos="9696"/>
            </w:tabs>
            <w:spacing w:line="360" w:lineRule="auto"/>
            <w:ind w:firstLine="720"/>
            <w:rPr>
              <w:rFonts w:eastAsia="Calibri"/>
              <w:b/>
              <w:szCs w:val="24"/>
            </w:rPr>
          </w:pPr>
          <w:r>
            <w:rPr>
              <w:rFonts w:eastAsia="Calibri"/>
              <w:b/>
              <w:szCs w:val="24"/>
            </w:rPr>
            <w:t>Kvapų kontrolės komisijos išvados:</w:t>
          </w:r>
        </w:p>
        <w:p>
          <w:pPr>
            <w:jc w:val="both"/>
            <w:rPr>
              <w:rFonts w:ascii="Calibri" w:eastAsia="Calibri" w:hAnsi="Calibri"/>
              <w:sz w:val="22"/>
              <w:szCs w:val="22"/>
            </w:rPr>
          </w:pPr>
          <w:r>
            <w:rPr>
              <w:rFonts w:eastAsia="Calibri"/>
              <w:szCs w:val="24"/>
            </w:rPr>
            <w:t>Gyvenamosios aplinkos ore kvapas yra jaučiamas / nėra jaučiamas</w:t>
          </w:r>
          <w:r>
            <w:rPr>
              <w:rFonts w:ascii="Calibri" w:eastAsia="Calibri" w:hAnsi="Calibri"/>
              <w:strike/>
              <w:sz w:val="22"/>
              <w:szCs w:val="22"/>
            </w:rPr>
            <w:t xml:space="preserve"> </w:t>
          </w:r>
        </w:p>
        <w:p>
          <w:pPr>
            <w:ind w:left="2596" w:firstLine="1298"/>
            <w:jc w:val="both"/>
            <w:rPr>
              <w:rFonts w:eastAsia="Calibri"/>
              <w:sz w:val="18"/>
              <w:szCs w:val="16"/>
            </w:rPr>
          </w:pPr>
          <w:r>
            <w:rPr>
              <w:rFonts w:eastAsia="Calibri"/>
              <w:sz w:val="18"/>
              <w:szCs w:val="16"/>
            </w:rPr>
            <w:t>(tai, kas nereikalinga, išbraukti)</w:t>
          </w:r>
        </w:p>
        <w:p>
          <w:pPr>
            <w:ind w:left="2596" w:firstLine="1298"/>
            <w:rPr>
              <w:rFonts w:eastAsia="Calibri"/>
              <w:sz w:val="18"/>
              <w:szCs w:val="16"/>
            </w:rPr>
          </w:pPr>
        </w:p>
        <w:p>
          <w:pPr>
            <w:jc w:val="both"/>
            <w:rPr>
              <w:rFonts w:eastAsia="Calibri"/>
              <w:sz w:val="18"/>
              <w:szCs w:val="16"/>
            </w:rPr>
          </w:pPr>
          <w:r>
            <w:rPr>
              <w:rFonts w:eastAsia="Calibri"/>
              <w:szCs w:val="24"/>
            </w:rPr>
            <w:t>Gyvenamosios aplinkos ore jaučiamo kvapo pobūdis:_____________________________________</w:t>
          </w:r>
        </w:p>
        <w:p>
          <w:pPr>
            <w:tabs>
              <w:tab w:val="right" w:leader="underscore" w:pos="9696"/>
            </w:tabs>
            <w:jc w:val="both"/>
            <w:rPr>
              <w:rFonts w:eastAsia="Calibri"/>
              <w:szCs w:val="24"/>
            </w:rPr>
          </w:pPr>
        </w:p>
        <w:p>
          <w:pPr>
            <w:jc w:val="both"/>
            <w:rPr>
              <w:rFonts w:ascii="Calibri" w:eastAsia="Calibri" w:hAnsi="Calibri"/>
              <w:sz w:val="22"/>
              <w:szCs w:val="22"/>
            </w:rPr>
          </w:pPr>
          <w:r>
            <w:rPr>
              <w:rFonts w:eastAsia="Calibri"/>
              <w:szCs w:val="24"/>
            </w:rPr>
            <w:t>Ūkinės veiklos vykdymo vietoje kvapas yra jaučiamas / nėra jaučiamas.</w:t>
          </w:r>
        </w:p>
        <w:p>
          <w:pPr>
            <w:ind w:left="3894" w:firstLine="1298"/>
            <w:jc w:val="both"/>
            <w:rPr>
              <w:rFonts w:eastAsia="Calibri"/>
              <w:sz w:val="18"/>
              <w:szCs w:val="16"/>
            </w:rPr>
          </w:pPr>
          <w:r>
            <w:rPr>
              <w:rFonts w:eastAsia="Calibri"/>
              <w:sz w:val="18"/>
              <w:szCs w:val="16"/>
            </w:rPr>
            <w:t>(tai, kas nereikalinga, išbraukti)</w:t>
          </w:r>
        </w:p>
        <w:p>
          <w:pPr>
            <w:jc w:val="both"/>
            <w:rPr>
              <w:rFonts w:eastAsia="Calibri"/>
              <w:sz w:val="18"/>
              <w:szCs w:val="16"/>
            </w:rPr>
          </w:pPr>
          <w:r>
            <w:rPr>
              <w:rFonts w:eastAsia="Calibri"/>
              <w:szCs w:val="24"/>
            </w:rPr>
            <w:t>Ūkinės veiklos vykdymo vietoje jaučiamo kvapo pobūdis:________________________</w:t>
          </w:r>
        </w:p>
        <w:p>
          <w:pPr>
            <w:tabs>
              <w:tab w:val="right" w:leader="underscore" w:pos="9696"/>
            </w:tabs>
            <w:jc w:val="both"/>
            <w:rPr>
              <w:rFonts w:eastAsia="Calibri"/>
              <w:szCs w:val="24"/>
            </w:rPr>
          </w:pPr>
        </w:p>
        <w:p>
          <w:pPr>
            <w:tabs>
              <w:tab w:val="right" w:leader="underscore" w:pos="9696"/>
            </w:tabs>
            <w:jc w:val="both"/>
            <w:rPr>
              <w:rFonts w:eastAsia="Calibri"/>
              <w:szCs w:val="24"/>
            </w:rPr>
          </w:pPr>
          <w:r>
            <w:rPr>
              <w:rFonts w:eastAsia="Calibri"/>
              <w:szCs w:val="24"/>
            </w:rPr>
            <w:t xml:space="preserve">Gyvenamosios aplinkos ore jaučiamas kvapas gali būti / negali būti siejamas su nurodyta </w:t>
          </w:r>
          <w:r>
            <w:rPr>
              <w:szCs w:val="24"/>
            </w:rPr>
            <w:t xml:space="preserve">ar nustatyta </w:t>
          </w:r>
          <w:r>
            <w:rPr>
              <w:rFonts w:eastAsia="Calibri"/>
              <w:szCs w:val="24"/>
            </w:rPr>
            <w:t xml:space="preserve">ūkine veikla.                                    </w:t>
          </w:r>
          <w:r>
            <w:rPr>
              <w:rFonts w:eastAsia="Calibri"/>
              <w:sz w:val="18"/>
              <w:szCs w:val="16"/>
            </w:rPr>
            <w:t>(tai, kas nereikalinga, išbraukti)</w:t>
          </w:r>
        </w:p>
        <w:p>
          <w:pPr>
            <w:tabs>
              <w:tab w:val="right" w:leader="underscore" w:pos="9696"/>
            </w:tabs>
            <w:spacing w:line="360" w:lineRule="auto"/>
            <w:rPr>
              <w:rFonts w:eastAsia="Calibri"/>
              <w:szCs w:val="24"/>
            </w:rPr>
          </w:pPr>
          <w:r>
            <w:rPr>
              <w:rFonts w:eastAsia="Calibri"/>
              <w:szCs w:val="24"/>
            </w:rPr>
            <w:tab/>
          </w:r>
        </w:p>
        <w:p>
          <w:pPr>
            <w:tabs>
              <w:tab w:val="right" w:leader="underscore" w:pos="9696"/>
            </w:tabs>
            <w:spacing w:line="360" w:lineRule="auto"/>
            <w:rPr>
              <w:rFonts w:eastAsia="Calibri"/>
              <w:szCs w:val="24"/>
            </w:rPr>
          </w:pPr>
          <w:r>
            <w:rPr>
              <w:rFonts w:eastAsia="Calibri"/>
              <w:szCs w:val="24"/>
            </w:rPr>
            <w:tab/>
          </w:r>
        </w:p>
        <w:p>
          <w:pPr>
            <w:tabs>
              <w:tab w:val="left" w:pos="720"/>
              <w:tab w:val="left" w:leader="underscore" w:pos="5220"/>
              <w:tab w:val="left" w:pos="6300"/>
              <w:tab w:val="right" w:leader="underscore" w:pos="9696"/>
            </w:tabs>
            <w:spacing w:line="276" w:lineRule="auto"/>
            <w:ind w:firstLine="720"/>
            <w:rPr>
              <w:rFonts w:eastAsia="Calibri"/>
              <w:szCs w:val="24"/>
            </w:rPr>
          </w:pPr>
          <w:r>
            <w:rPr>
              <w:rFonts w:eastAsia="Calibri"/>
              <w:szCs w:val="24"/>
            </w:rPr>
            <w:t xml:space="preserve">PRIDEDAMA.           lapai (-ų).</w:t>
          </w:r>
        </w:p>
        <w:p>
          <w:pPr>
            <w:tabs>
              <w:tab w:val="left" w:pos="720"/>
              <w:tab w:val="left" w:leader="underscore" w:pos="5220"/>
              <w:tab w:val="left" w:pos="6300"/>
              <w:tab w:val="right" w:leader="underscore" w:pos="9696"/>
            </w:tabs>
            <w:spacing w:line="276" w:lineRule="auto"/>
            <w:rPr>
              <w:rFonts w:eastAsia="Calibri"/>
              <w:szCs w:val="24"/>
            </w:rPr>
          </w:pPr>
        </w:p>
        <w:p>
          <w:pPr>
            <w:tabs>
              <w:tab w:val="left" w:pos="2520"/>
              <w:tab w:val="left" w:leader="underscore" w:pos="5220"/>
              <w:tab w:val="left" w:pos="6300"/>
              <w:tab w:val="right" w:leader="underscore" w:pos="9696"/>
            </w:tabs>
            <w:spacing w:line="276" w:lineRule="auto"/>
            <w:rPr>
              <w:rFonts w:eastAsia="Calibri"/>
              <w:szCs w:val="24"/>
            </w:rPr>
          </w:pPr>
          <w:r>
            <w:rPr>
              <w:rFonts w:eastAsia="Calibri"/>
              <w:szCs w:val="24"/>
            </w:rPr>
            <w:t>Kvapų kontrolės komisijos pirmininkas</w:t>
          </w:r>
        </w:p>
        <w:p>
          <w:pPr>
            <w:spacing w:line="360" w:lineRule="auto"/>
            <w:jc w:val="both"/>
            <w:rPr>
              <w:sz w:val="20"/>
            </w:rPr>
          </w:pPr>
          <w:r>
            <w:rPr>
              <w:szCs w:val="24"/>
            </w:rPr>
            <w:t>________________________________</w:t>
            <w:tab/>
            <w:t xml:space="preserve">        _____________</w:t>
            <w:tab/>
            <w:t>_______________________</w:t>
          </w:r>
        </w:p>
        <w:p>
          <w:pPr>
            <w:ind w:firstLine="1298"/>
            <w:jc w:val="both"/>
            <w:rPr>
              <w:sz w:val="18"/>
            </w:rPr>
          </w:pPr>
          <w:r>
            <w:rPr>
              <w:sz w:val="18"/>
            </w:rPr>
            <w:t>(pareigų pavadinimas)</w:t>
            <w:tab/>
            <w:t xml:space="preserve">                       (parašas)</w:t>
            <w:tab/>
            <w:t xml:space="preserve">                (vardas ir pavardė)</w:t>
          </w:r>
        </w:p>
        <w:p>
          <w:pPr>
            <w:tabs>
              <w:tab w:val="center" w:pos="3960"/>
              <w:tab w:val="left" w:pos="5220"/>
              <w:tab w:val="left" w:pos="5760"/>
              <w:tab w:val="center" w:pos="8100"/>
            </w:tabs>
            <w:spacing w:line="276" w:lineRule="auto"/>
            <w:rPr>
              <w:rFonts w:eastAsia="Calibri"/>
              <w:szCs w:val="24"/>
              <w:vertAlign w:val="superscript"/>
            </w:rPr>
          </w:pPr>
        </w:p>
        <w:p>
          <w:pPr>
            <w:tabs>
              <w:tab w:val="center" w:pos="3960"/>
              <w:tab w:val="left" w:pos="5220"/>
              <w:tab w:val="left" w:pos="5760"/>
              <w:tab w:val="center" w:pos="8100"/>
            </w:tabs>
            <w:spacing w:line="276" w:lineRule="auto"/>
            <w:rPr>
              <w:rFonts w:eastAsia="Calibri"/>
              <w:szCs w:val="24"/>
              <w:vertAlign w:val="superscript"/>
            </w:rPr>
          </w:pPr>
        </w:p>
        <w:p>
          <w:pPr>
            <w:tabs>
              <w:tab w:val="left" w:pos="2520"/>
              <w:tab w:val="left" w:leader="underscore" w:pos="5220"/>
              <w:tab w:val="left" w:pos="6300"/>
              <w:tab w:val="right" w:leader="underscore" w:pos="9696"/>
            </w:tabs>
            <w:spacing w:line="276" w:lineRule="auto"/>
            <w:rPr>
              <w:rFonts w:eastAsia="Calibri"/>
              <w:szCs w:val="24"/>
            </w:rPr>
          </w:pPr>
          <w:r>
            <w:rPr>
              <w:rFonts w:eastAsia="Calibri"/>
              <w:szCs w:val="24"/>
            </w:rPr>
            <w:t>Kvapų kontrolės komisijos nariai:</w:t>
          </w:r>
        </w:p>
        <w:p>
          <w:pPr>
            <w:spacing w:line="360" w:lineRule="auto"/>
            <w:jc w:val="both"/>
            <w:rPr>
              <w:sz w:val="20"/>
            </w:rPr>
          </w:pPr>
          <w:r>
            <w:rPr>
              <w:szCs w:val="24"/>
            </w:rPr>
            <w:t>________________________________</w:t>
            <w:tab/>
            <w:t xml:space="preserve">        _____________</w:t>
            <w:tab/>
            <w:t>_______________________</w:t>
          </w:r>
        </w:p>
        <w:p>
          <w:pPr>
            <w:ind w:firstLine="1298"/>
            <w:jc w:val="both"/>
            <w:rPr>
              <w:sz w:val="18"/>
            </w:rPr>
          </w:pPr>
          <w:r>
            <w:rPr>
              <w:sz w:val="18"/>
            </w:rPr>
            <w:t>(pareigų pavadinimas)</w:t>
            <w:tab/>
            <w:t xml:space="preserve">                       (parašas)</w:t>
            <w:tab/>
            <w:t xml:space="preserve">                (vardas ir pavardė)</w:t>
          </w:r>
        </w:p>
        <w:p>
          <w:pPr>
            <w:tabs>
              <w:tab w:val="left" w:pos="2520"/>
              <w:tab w:val="left" w:leader="underscore" w:pos="5220"/>
              <w:tab w:val="left" w:pos="6300"/>
              <w:tab w:val="right" w:leader="underscore" w:pos="9696"/>
            </w:tabs>
            <w:spacing w:line="276" w:lineRule="auto"/>
            <w:ind w:firstLine="2520"/>
            <w:rPr>
              <w:rFonts w:eastAsia="Calibri"/>
              <w:szCs w:val="24"/>
            </w:rPr>
          </w:pPr>
        </w:p>
        <w:p>
          <w:pPr>
            <w:spacing w:line="360" w:lineRule="auto"/>
            <w:jc w:val="both"/>
            <w:rPr>
              <w:sz w:val="20"/>
            </w:rPr>
          </w:pPr>
          <w:r>
            <w:rPr>
              <w:szCs w:val="24"/>
            </w:rPr>
            <w:t>________________________________</w:t>
            <w:tab/>
            <w:t xml:space="preserve">        _____________</w:t>
            <w:tab/>
            <w:t>_______________________</w:t>
          </w:r>
        </w:p>
        <w:p>
          <w:pPr>
            <w:ind w:firstLine="1298"/>
            <w:jc w:val="both"/>
            <w:rPr>
              <w:sz w:val="18"/>
            </w:rPr>
          </w:pPr>
          <w:r>
            <w:rPr>
              <w:sz w:val="18"/>
            </w:rPr>
            <w:t>(pareigų pavadinimas)</w:t>
            <w:tab/>
            <w:t xml:space="preserve">                       (parašas)</w:t>
            <w:tab/>
            <w:t xml:space="preserve">                (vardas ir pavardė)</w:t>
          </w:r>
        </w:p>
        <w:p>
          <w:pPr>
            <w:tabs>
              <w:tab w:val="left" w:pos="2520"/>
              <w:tab w:val="left" w:leader="underscore" w:pos="5220"/>
              <w:tab w:val="left" w:pos="6300"/>
              <w:tab w:val="right" w:leader="underscore" w:pos="9696"/>
            </w:tabs>
            <w:spacing w:line="276" w:lineRule="auto"/>
            <w:rPr>
              <w:rFonts w:eastAsia="Calibri"/>
              <w:szCs w:val="24"/>
            </w:rPr>
          </w:pPr>
        </w:p>
        <w:p>
          <w:pPr>
            <w:spacing w:line="360" w:lineRule="auto"/>
            <w:jc w:val="both"/>
            <w:rPr>
              <w:sz w:val="20"/>
            </w:rPr>
          </w:pPr>
          <w:r>
            <w:rPr>
              <w:szCs w:val="24"/>
            </w:rPr>
            <w:t>________________________________</w:t>
            <w:tab/>
            <w:t xml:space="preserve">        _____________</w:t>
            <w:tab/>
            <w:t>_______________________</w:t>
          </w:r>
        </w:p>
        <w:p>
          <w:pPr>
            <w:ind w:firstLine="1298"/>
            <w:jc w:val="both"/>
            <w:rPr>
              <w:sz w:val="18"/>
            </w:rPr>
          </w:pPr>
          <w:r>
            <w:rPr>
              <w:sz w:val="18"/>
            </w:rPr>
            <w:t>(pareigų pavadinimas)</w:t>
            <w:tab/>
            <w:t xml:space="preserve">                       (parašas)</w:t>
            <w:tab/>
            <w:t xml:space="preserve">                (vardas ir pavardė)</w:t>
          </w:r>
        </w:p>
        <w:p>
          <w:pPr>
            <w:tabs>
              <w:tab w:val="left" w:pos="2520"/>
              <w:tab w:val="left" w:leader="underscore" w:pos="5220"/>
              <w:tab w:val="left" w:pos="6300"/>
              <w:tab w:val="right" w:leader="underscore" w:pos="9696"/>
            </w:tabs>
            <w:spacing w:line="276" w:lineRule="auto"/>
            <w:rPr>
              <w:rFonts w:eastAsia="Calibri"/>
              <w:szCs w:val="24"/>
            </w:rPr>
          </w:pPr>
        </w:p>
        <w:p>
          <w:pPr>
            <w:spacing w:line="360" w:lineRule="auto"/>
            <w:jc w:val="both"/>
            <w:rPr>
              <w:sz w:val="20"/>
            </w:rPr>
          </w:pPr>
          <w:r>
            <w:rPr>
              <w:szCs w:val="24"/>
            </w:rPr>
            <w:t>________________________________</w:t>
            <w:tab/>
            <w:t xml:space="preserve">        _____________</w:t>
            <w:tab/>
            <w:t>_______________________</w:t>
          </w:r>
        </w:p>
        <w:p>
          <w:pPr>
            <w:ind w:firstLine="1298"/>
            <w:jc w:val="both"/>
            <w:rPr>
              <w:sz w:val="18"/>
            </w:rPr>
          </w:pPr>
          <w:r>
            <w:rPr>
              <w:sz w:val="18"/>
            </w:rPr>
            <w:t>(pareigų pavadinimas)</w:t>
            <w:tab/>
            <w:t xml:space="preserve">                       (parašas)</w:t>
            <w:tab/>
            <w:t xml:space="preserve">                (vardas ir pavardė)</w:t>
          </w:r>
        </w:p>
        <w:p>
          <w:pPr>
            <w:tabs>
              <w:tab w:val="left" w:pos="2520"/>
              <w:tab w:val="left" w:leader="underscore" w:pos="5220"/>
              <w:tab w:val="left" w:pos="6300"/>
              <w:tab w:val="right" w:leader="underscore" w:pos="9696"/>
            </w:tabs>
            <w:spacing w:line="276" w:lineRule="auto"/>
            <w:rPr>
              <w:rFonts w:eastAsia="Calibri"/>
              <w:szCs w:val="24"/>
            </w:rPr>
          </w:pPr>
        </w:p>
        <w:p>
          <w:pPr>
            <w:tabs>
              <w:tab w:val="left" w:pos="2520"/>
              <w:tab w:val="left" w:leader="underscore" w:pos="5220"/>
              <w:tab w:val="left" w:pos="6300"/>
              <w:tab w:val="right" w:leader="underscore" w:pos="9696"/>
            </w:tabs>
            <w:spacing w:line="276" w:lineRule="auto"/>
            <w:rPr>
              <w:rFonts w:eastAsia="Calibri"/>
              <w:szCs w:val="24"/>
            </w:rPr>
          </w:pPr>
        </w:p>
        <w:p>
          <w:pPr>
            <w:tabs>
              <w:tab w:val="left" w:pos="2520"/>
              <w:tab w:val="left" w:leader="underscore" w:pos="5220"/>
              <w:tab w:val="left" w:pos="6300"/>
              <w:tab w:val="right" w:leader="underscore" w:pos="9696"/>
            </w:tabs>
            <w:spacing w:line="360" w:lineRule="auto"/>
            <w:rPr>
              <w:rFonts w:eastAsia="Calibri"/>
              <w:szCs w:val="24"/>
            </w:rPr>
          </w:pPr>
        </w:p>
        <w:p>
          <w:pPr>
            <w:spacing w:line="276" w:lineRule="auto"/>
            <w:jc w:val="center"/>
          </w:pPr>
          <w:r>
            <w:rPr>
              <w:rFonts w:eastAsia="Calibri"/>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3467f0f0d811e5989ee743dd0efbb0">
            <w:r w:rsidRPr="00532B9F">
              <w:rPr>
                <w:rFonts w:ascii="Times New Roman" w:eastAsia="MS Mincho" w:hAnsi="Times New Roman"/>
                <w:sz w:val="20"/>
                <w:i/>
                <w:iCs/>
                <w:color w:val="0000FF" w:themeColor="hyperlink"/>
                <w:u w:val="single"/>
              </w:rPr>
              <w:t>V-373</w:t>
            </w:r>
          </w:fldSimple>
          <w:r>
            <w:rPr>
              <w:rFonts w:ascii="Times New Roman" w:eastAsia="MS Mincho" w:hAnsi="Times New Roman"/>
              <w:sz w:val="20"/>
              <w:i/>
              <w:iCs/>
            </w:rPr>
            <w:t>,
2016-03-22,
paskelbta TAR 2016-03-23, i. k. 2016-05756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6160b05e11eab9d9cd0c85e0b745">
            <w:r w:rsidRPr="00532B9F">
              <w:rPr>
                <w:rFonts w:ascii="Times New Roman" w:eastAsia="MS Mincho" w:hAnsi="Times New Roman"/>
                <w:sz w:val="20"/>
                <w:i/>
                <w:iCs/>
                <w:color w:val="0000FF" w:themeColor="hyperlink"/>
                <w:u w:val="single"/>
              </w:rPr>
              <w:t>V-1481</w:t>
            </w:r>
          </w:fldSimple>
          <w:r>
            <w:rPr>
              <w:rFonts w:ascii="Times New Roman" w:eastAsia="MS Mincho" w:hAnsi="Times New Roman"/>
              <w:sz w:val="20"/>
              <w:i/>
              <w:iCs/>
            </w:rPr>
            <w:t>,
2020-06-16,
paskelbta TAR 2020-06-17, i. k. 2020-13195            </w:t>
          </w:r>
        </w:p>
        <w:p/>
      </w:sdtContent>
    </w:sdt>
    <w:sdt>
      <w:sdtPr>
        <w:alias w:val="2 pr."/>
        <w:tag w:val="part_b91d41850a61495296347a634f3080fd"/>
        <w:lock w:val="sdtLocked"/>
        <w:richText/>
      </w:sdtPr>
      <w:sdtContent>
        <w:p/>
        <w:p>
          <w:pPr>
            <w:sectPr>
              <w:pgSz w:w="11907" w:h="16840" w:code="9"/>
              <w:pgMar w:top="1134" w:right="567" w:bottom="1134" w:left="1701" w:header="567" w:footer="284" w:gutter="0"/>
              <w:pgNumType w:start="1"/>
              <w:cols w:space="1296"/>
              <w:titlePg/>
              <w:docGrid w:linePitch="360"/>
            </w:sectPr>
          </w:pPr>
        </w:p>
        <w:p>
          <w:pPr>
            <w:ind w:firstLine="10490"/>
            <w:rPr>
              <w:rFonts w:eastAsia="Calibri"/>
              <w:szCs w:val="24"/>
            </w:rPr>
          </w:pPr>
          <w:r>
            <w:rPr>
              <w:rFonts w:eastAsia="Calibri"/>
              <w:szCs w:val="24"/>
            </w:rPr>
            <w:t xml:space="preserve">Kvapų kontrolės gyvenamosios </w:t>
          </w:r>
        </w:p>
        <w:p>
          <w:pPr>
            <w:ind w:left="9086" w:firstLine="1422"/>
            <w:rPr>
              <w:rFonts w:eastAsia="Calibri"/>
              <w:szCs w:val="24"/>
            </w:rPr>
          </w:pPr>
          <w:r>
            <w:rPr>
              <w:rFonts w:eastAsia="Calibri"/>
              <w:szCs w:val="24"/>
            </w:rPr>
            <w:t>aplinkos ore taisyklių</w:t>
          </w:r>
        </w:p>
        <w:p>
          <w:pPr>
            <w:ind w:left="9086" w:firstLine="1422"/>
            <w:rPr>
              <w:rFonts w:eastAsia="Calibri"/>
              <w:szCs w:val="24"/>
            </w:rPr>
          </w:pPr>
          <w:r>
            <w:rPr>
              <w:rFonts w:eastAsia="Calibri"/>
              <w:szCs w:val="24"/>
            </w:rPr>
            <w:t>2 priedas</w:t>
          </w:r>
        </w:p>
        <w:p>
          <w:pPr>
            <w:jc w:val="both"/>
            <w:rPr>
              <w:b/>
              <w:bCs/>
              <w:szCs w:val="24"/>
            </w:rPr>
          </w:pPr>
        </w:p>
        <w:p>
          <w:pPr>
            <w:jc w:val="center"/>
            <w:rPr>
              <w:b/>
              <w:bCs/>
              <w:szCs w:val="24"/>
            </w:rPr>
          </w:pPr>
          <w:r>
            <w:rPr>
              <w:b/>
              <w:bCs/>
              <w:szCs w:val="24"/>
            </w:rPr>
            <w:t>(Kvapo vertinimo lentelės forma)</w:t>
          </w:r>
        </w:p>
        <w:p>
          <w:pPr>
            <w:jc w:val="center"/>
            <w:rPr>
              <w:b/>
              <w:bCs/>
              <w:szCs w:val="24"/>
            </w:rPr>
          </w:pPr>
        </w:p>
        <w:p>
          <w:pPr>
            <w:jc w:val="center"/>
            <w:rPr>
              <w:b/>
              <w:bCs/>
              <w:szCs w:val="24"/>
            </w:rPr>
          </w:pPr>
          <w:r>
            <w:rPr>
              <w:b/>
              <w:bCs/>
              <w:szCs w:val="24"/>
            </w:rPr>
            <w:t>KVAPO VERTINIMO LENTELĖ</w:t>
          </w:r>
        </w:p>
        <w:p>
          <w:pPr>
            <w:jc w:val="both"/>
            <w:rPr>
              <w:rFonts w:eastAsia="Calibri"/>
              <w:sz w:val="22"/>
              <w:szCs w:val="22"/>
            </w:rPr>
          </w:pPr>
        </w:p>
        <w:p>
          <w:pPr>
            <w:jc w:val="both"/>
            <w:rPr>
              <w:rFonts w:eastAsia="Calibri"/>
              <w:sz w:val="22"/>
              <w:szCs w:val="22"/>
            </w:rPr>
          </w:pPr>
          <w:r>
            <w:rPr>
              <w:rFonts w:eastAsia="Calibri"/>
              <w:sz w:val="22"/>
              <w:szCs w:val="22"/>
            </w:rPr>
            <w:t>_________________________________________________________________________________________________</w:t>
          </w:r>
        </w:p>
        <w:p>
          <w:pPr>
            <w:jc w:val="both"/>
            <w:rPr>
              <w:rFonts w:eastAsia="Calibri"/>
              <w:sz w:val="22"/>
              <w:szCs w:val="22"/>
            </w:rPr>
          </w:pPr>
          <w:r>
            <w:rPr>
              <w:rFonts w:eastAsia="Calibri"/>
              <w:sz w:val="22"/>
              <w:szCs w:val="22"/>
            </w:rPr>
            <w:t>(Kvapų kontrolės komisijos nario vardas, pavardė, institucijos pavadinimas, pareigos)</w:t>
          </w:r>
        </w:p>
        <w:p>
          <w:pPr>
            <w:spacing w:line="276" w:lineRule="auto"/>
            <w:jc w:val="both"/>
            <w:rPr>
              <w:rFonts w:ascii="Calibri" w:eastAsia="Calibri" w:hAnsi="Calibri"/>
              <w:sz w:val="22"/>
              <w:szCs w:val="22"/>
            </w:rPr>
          </w:pPr>
        </w:p>
        <w:p>
          <w:pPr>
            <w:rPr>
              <w:sz w:val="18"/>
              <w:szCs w:val="18"/>
            </w:rPr>
          </w:pPr>
        </w:p>
        <w:tbl>
          <w:tblPr>
            <w:tblW w:w="1434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1980"/>
            <w:gridCol w:w="1365"/>
            <w:gridCol w:w="1515"/>
            <w:gridCol w:w="1080"/>
            <w:gridCol w:w="2160"/>
            <w:gridCol w:w="900"/>
            <w:gridCol w:w="1440"/>
            <w:gridCol w:w="1080"/>
            <w:gridCol w:w="2172"/>
          </w:tblGrid>
          <w:tr>
            <w:tc>
              <w:tcPr>
                <w:tcW w:w="648" w:type="dxa"/>
              </w:tcPr>
              <w:p>
                <w:pPr>
                  <w:spacing w:line="276" w:lineRule="auto"/>
                  <w:jc w:val="center"/>
                  <w:rPr>
                    <w:rFonts w:ascii="Calibri" w:eastAsia="Calibri" w:hAnsi="Calibri"/>
                    <w:sz w:val="22"/>
                    <w:szCs w:val="22"/>
                  </w:rPr>
                </w:pPr>
                <w:r>
                  <w:rPr>
                    <w:rFonts w:eastAsia="Calibri"/>
                    <w:sz w:val="22"/>
                    <w:szCs w:val="22"/>
                  </w:rPr>
                  <w:t>Eil.Nr.</w:t>
                </w:r>
              </w:p>
            </w:tc>
            <w:tc>
              <w:tcPr>
                <w:tcW w:w="1980" w:type="dxa"/>
              </w:tcPr>
              <w:p>
                <w:pPr>
                  <w:spacing w:line="276" w:lineRule="auto"/>
                  <w:jc w:val="center"/>
                  <w:rPr>
                    <w:rFonts w:ascii="Calibri" w:eastAsia="Calibri" w:hAnsi="Calibri"/>
                    <w:sz w:val="22"/>
                    <w:szCs w:val="22"/>
                  </w:rPr>
                </w:pPr>
                <w:r>
                  <w:rPr>
                    <w:rFonts w:eastAsia="Calibri"/>
                    <w:sz w:val="22"/>
                    <w:szCs w:val="22"/>
                  </w:rPr>
                  <w:t>Gyvenamosios aplinkos adresas, vieta</w:t>
                </w:r>
              </w:p>
            </w:tc>
            <w:tc>
              <w:tcPr>
                <w:tcW w:w="1365" w:type="dxa"/>
              </w:tcPr>
              <w:p>
                <w:pPr>
                  <w:spacing w:line="276" w:lineRule="auto"/>
                  <w:jc w:val="center"/>
                  <w:rPr>
                    <w:rFonts w:ascii="Calibri" w:eastAsia="Calibri" w:hAnsi="Calibri"/>
                    <w:sz w:val="22"/>
                    <w:szCs w:val="22"/>
                  </w:rPr>
                </w:pPr>
                <w:r>
                  <w:rPr>
                    <w:rFonts w:eastAsia="Calibri"/>
                    <w:sz w:val="22"/>
                    <w:szCs w:val="22"/>
                  </w:rPr>
                  <w:t>Data, laikas</w:t>
                </w:r>
              </w:p>
            </w:tc>
            <w:tc>
              <w:tcPr>
                <w:tcW w:w="1515" w:type="dxa"/>
              </w:tcPr>
              <w:p>
                <w:pPr>
                  <w:spacing w:line="276" w:lineRule="auto"/>
                  <w:jc w:val="center"/>
                  <w:rPr>
                    <w:rFonts w:eastAsia="Calibri"/>
                    <w:sz w:val="22"/>
                    <w:szCs w:val="22"/>
                  </w:rPr>
                </w:pPr>
                <w:r>
                  <w:rPr>
                    <w:rFonts w:eastAsia="Calibri"/>
                    <w:sz w:val="22"/>
                    <w:szCs w:val="22"/>
                  </w:rPr>
                  <w:t>Kvapas</w:t>
                </w:r>
              </w:p>
              <w:p>
                <w:pPr>
                  <w:rPr>
                    <w:sz w:val="18"/>
                    <w:szCs w:val="18"/>
                  </w:rPr>
                </w:pPr>
              </w:p>
              <w:p>
                <w:pPr>
                  <w:spacing w:line="276" w:lineRule="auto"/>
                  <w:jc w:val="center"/>
                  <w:rPr>
                    <w:rFonts w:ascii="Calibri" w:eastAsia="Calibri" w:hAnsi="Calibri"/>
                    <w:sz w:val="22"/>
                    <w:szCs w:val="22"/>
                  </w:rPr>
                </w:pPr>
                <w:r>
                  <w:rPr>
                    <w:rFonts w:eastAsia="Calibri"/>
                    <w:sz w:val="22"/>
                    <w:szCs w:val="22"/>
                  </w:rPr>
                  <w:t>jaučiamas / nejaučiamas</w:t>
                </w:r>
              </w:p>
            </w:tc>
            <w:tc>
              <w:tcPr>
                <w:tcW w:w="1080" w:type="dxa"/>
              </w:tcPr>
              <w:p>
                <w:pPr>
                  <w:spacing w:line="276" w:lineRule="auto"/>
                  <w:jc w:val="center"/>
                  <w:rPr>
                    <w:rFonts w:ascii="Calibri" w:eastAsia="Calibri" w:hAnsi="Calibri"/>
                    <w:sz w:val="22"/>
                    <w:szCs w:val="22"/>
                  </w:rPr>
                </w:pPr>
                <w:r>
                  <w:rPr>
                    <w:rFonts w:eastAsia="Calibri"/>
                    <w:sz w:val="22"/>
                    <w:szCs w:val="22"/>
                  </w:rPr>
                  <w:t>Kvapo pobūdis</w:t>
                </w:r>
              </w:p>
            </w:tc>
            <w:tc>
              <w:tcPr>
                <w:tcW w:w="2160" w:type="dxa"/>
              </w:tcPr>
              <w:p>
                <w:pPr>
                  <w:spacing w:line="276" w:lineRule="auto"/>
                  <w:jc w:val="center"/>
                  <w:rPr>
                    <w:rFonts w:ascii="Calibri" w:eastAsia="Calibri" w:hAnsi="Calibri"/>
                    <w:sz w:val="22"/>
                    <w:szCs w:val="22"/>
                  </w:rPr>
                </w:pPr>
                <w:r>
                  <w:rPr>
                    <w:rFonts w:eastAsia="Calibri"/>
                    <w:sz w:val="22"/>
                    <w:szCs w:val="22"/>
                  </w:rPr>
                  <w:t>Ūkinės veiklos adresas, vieta</w:t>
                </w:r>
              </w:p>
            </w:tc>
            <w:tc>
              <w:tcPr>
                <w:tcW w:w="900" w:type="dxa"/>
              </w:tcPr>
              <w:p>
                <w:pPr>
                  <w:spacing w:line="276" w:lineRule="auto"/>
                  <w:jc w:val="center"/>
                  <w:rPr>
                    <w:rFonts w:ascii="Calibri" w:eastAsia="Calibri" w:hAnsi="Calibri"/>
                    <w:sz w:val="22"/>
                    <w:szCs w:val="22"/>
                  </w:rPr>
                </w:pPr>
                <w:r>
                  <w:rPr>
                    <w:rFonts w:eastAsia="Calibri"/>
                    <w:sz w:val="22"/>
                    <w:szCs w:val="22"/>
                  </w:rPr>
                  <w:t>Data, laikas</w:t>
                </w:r>
              </w:p>
            </w:tc>
            <w:tc>
              <w:tcPr>
                <w:tcW w:w="1440" w:type="dxa"/>
              </w:tcPr>
              <w:p>
                <w:pPr>
                  <w:spacing w:line="276" w:lineRule="auto"/>
                  <w:jc w:val="center"/>
                  <w:rPr>
                    <w:rFonts w:eastAsia="Calibri"/>
                    <w:sz w:val="22"/>
                    <w:szCs w:val="22"/>
                  </w:rPr>
                </w:pPr>
                <w:r>
                  <w:rPr>
                    <w:rFonts w:eastAsia="Calibri"/>
                    <w:sz w:val="22"/>
                    <w:szCs w:val="22"/>
                  </w:rPr>
                  <w:t>Kvapas</w:t>
                </w:r>
              </w:p>
              <w:p>
                <w:pPr>
                  <w:rPr>
                    <w:sz w:val="18"/>
                    <w:szCs w:val="18"/>
                  </w:rPr>
                </w:pPr>
              </w:p>
              <w:p>
                <w:pPr>
                  <w:spacing w:line="276" w:lineRule="auto"/>
                  <w:jc w:val="center"/>
                  <w:rPr>
                    <w:rFonts w:ascii="Calibri" w:eastAsia="Calibri" w:hAnsi="Calibri"/>
                    <w:sz w:val="22"/>
                    <w:szCs w:val="22"/>
                  </w:rPr>
                </w:pPr>
                <w:r>
                  <w:rPr>
                    <w:rFonts w:eastAsia="Calibri"/>
                    <w:sz w:val="22"/>
                    <w:szCs w:val="22"/>
                  </w:rPr>
                  <w:t>jaučiamas / nejaučiamas</w:t>
                </w:r>
              </w:p>
            </w:tc>
            <w:tc>
              <w:tcPr>
                <w:tcW w:w="1080" w:type="dxa"/>
              </w:tcPr>
              <w:p>
                <w:pPr>
                  <w:spacing w:line="276" w:lineRule="auto"/>
                  <w:jc w:val="center"/>
                  <w:rPr>
                    <w:rFonts w:ascii="Calibri" w:eastAsia="Calibri" w:hAnsi="Calibri"/>
                    <w:sz w:val="22"/>
                    <w:szCs w:val="22"/>
                  </w:rPr>
                </w:pPr>
                <w:r>
                  <w:rPr>
                    <w:rFonts w:eastAsia="Calibri"/>
                    <w:sz w:val="22"/>
                    <w:szCs w:val="22"/>
                  </w:rPr>
                  <w:t>Kvapo pobūdis</w:t>
                </w:r>
              </w:p>
            </w:tc>
            <w:tc>
              <w:tcPr>
                <w:tcW w:w="2172" w:type="dxa"/>
              </w:tcPr>
              <w:p>
                <w:pPr>
                  <w:spacing w:line="276" w:lineRule="auto"/>
                  <w:jc w:val="center"/>
                  <w:rPr>
                    <w:rFonts w:ascii="Calibri" w:eastAsia="Calibri" w:hAnsi="Calibri"/>
                    <w:sz w:val="22"/>
                    <w:szCs w:val="22"/>
                  </w:rPr>
                </w:pPr>
                <w:r>
                  <w:rPr>
                    <w:rFonts w:eastAsia="Calibri"/>
                    <w:sz w:val="22"/>
                    <w:szCs w:val="22"/>
                  </w:rPr>
                  <w:t>Gyvenamosios aplinkos ore jaučiamas kvapas gali / negali būti siejamas su ūkine veikla</w:t>
                </w:r>
              </w:p>
            </w:tc>
          </w:tr>
          <w:tr>
            <w:tc>
              <w:tcPr>
                <w:tcW w:w="648" w:type="dxa"/>
              </w:tcPr>
              <w:p>
                <w:pPr>
                  <w:spacing w:line="276" w:lineRule="auto"/>
                  <w:jc w:val="both"/>
                  <w:rPr>
                    <w:rFonts w:eastAsia="Calibri"/>
                    <w:sz w:val="22"/>
                    <w:szCs w:val="22"/>
                  </w:rPr>
                </w:pPr>
                <w:r>
                  <w:rPr>
                    <w:rFonts w:eastAsia="Calibri"/>
                    <w:sz w:val="22"/>
                    <w:szCs w:val="22"/>
                  </w:rPr>
                  <w:t>1.</w:t>
                </w:r>
              </w:p>
            </w:tc>
            <w:tc>
              <w:tcPr>
                <w:tcW w:w="1980" w:type="dxa"/>
              </w:tcPr>
              <w:p>
                <w:pPr>
                  <w:spacing w:line="276" w:lineRule="auto"/>
                  <w:jc w:val="both"/>
                  <w:rPr>
                    <w:rFonts w:ascii="Calibri" w:eastAsia="Calibri" w:hAnsi="Calibri"/>
                    <w:sz w:val="22"/>
                    <w:szCs w:val="22"/>
                  </w:rPr>
                </w:pPr>
              </w:p>
            </w:tc>
            <w:tc>
              <w:tcPr>
                <w:tcW w:w="1365" w:type="dxa"/>
              </w:tcPr>
              <w:p>
                <w:pPr>
                  <w:spacing w:line="276" w:lineRule="auto"/>
                  <w:jc w:val="both"/>
                  <w:rPr>
                    <w:rFonts w:ascii="Calibri" w:eastAsia="Calibri" w:hAnsi="Calibri"/>
                    <w:sz w:val="22"/>
                    <w:szCs w:val="22"/>
                  </w:rPr>
                </w:pPr>
              </w:p>
            </w:tc>
            <w:tc>
              <w:tcPr>
                <w:tcW w:w="1515"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60" w:type="dxa"/>
              </w:tcPr>
              <w:p>
                <w:pPr>
                  <w:spacing w:line="276" w:lineRule="auto"/>
                  <w:jc w:val="both"/>
                  <w:rPr>
                    <w:rFonts w:ascii="Calibri" w:eastAsia="Calibri" w:hAnsi="Calibri"/>
                    <w:sz w:val="22"/>
                    <w:szCs w:val="22"/>
                  </w:rPr>
                </w:pPr>
              </w:p>
            </w:tc>
            <w:tc>
              <w:tcPr>
                <w:tcW w:w="900" w:type="dxa"/>
              </w:tcPr>
              <w:p>
                <w:pPr>
                  <w:spacing w:line="276" w:lineRule="auto"/>
                  <w:jc w:val="both"/>
                  <w:rPr>
                    <w:rFonts w:ascii="Calibri" w:eastAsia="Calibri" w:hAnsi="Calibri"/>
                    <w:sz w:val="22"/>
                    <w:szCs w:val="22"/>
                  </w:rPr>
                </w:pPr>
              </w:p>
            </w:tc>
            <w:tc>
              <w:tcPr>
                <w:tcW w:w="1440"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72" w:type="dxa"/>
              </w:tcPr>
              <w:p>
                <w:pPr>
                  <w:spacing w:line="276" w:lineRule="auto"/>
                  <w:jc w:val="both"/>
                  <w:rPr>
                    <w:rFonts w:ascii="Calibri" w:eastAsia="Calibri" w:hAnsi="Calibri"/>
                    <w:sz w:val="22"/>
                    <w:szCs w:val="22"/>
                  </w:rPr>
                </w:pPr>
              </w:p>
            </w:tc>
          </w:tr>
          <w:tr>
            <w:tc>
              <w:tcPr>
                <w:tcW w:w="648" w:type="dxa"/>
              </w:tcPr>
              <w:p>
                <w:pPr>
                  <w:spacing w:line="276" w:lineRule="auto"/>
                  <w:jc w:val="both"/>
                  <w:rPr>
                    <w:rFonts w:eastAsia="Calibri"/>
                    <w:sz w:val="22"/>
                    <w:szCs w:val="22"/>
                  </w:rPr>
                </w:pPr>
                <w:r>
                  <w:rPr>
                    <w:rFonts w:eastAsia="Calibri"/>
                    <w:sz w:val="22"/>
                    <w:szCs w:val="22"/>
                  </w:rPr>
                  <w:t>2.</w:t>
                </w:r>
              </w:p>
            </w:tc>
            <w:tc>
              <w:tcPr>
                <w:tcW w:w="1980" w:type="dxa"/>
              </w:tcPr>
              <w:p>
                <w:pPr>
                  <w:spacing w:line="276" w:lineRule="auto"/>
                  <w:jc w:val="both"/>
                  <w:rPr>
                    <w:rFonts w:ascii="Calibri" w:eastAsia="Calibri" w:hAnsi="Calibri"/>
                    <w:sz w:val="22"/>
                    <w:szCs w:val="22"/>
                  </w:rPr>
                </w:pPr>
              </w:p>
            </w:tc>
            <w:tc>
              <w:tcPr>
                <w:tcW w:w="1365" w:type="dxa"/>
              </w:tcPr>
              <w:p>
                <w:pPr>
                  <w:spacing w:line="276" w:lineRule="auto"/>
                  <w:jc w:val="both"/>
                  <w:rPr>
                    <w:rFonts w:ascii="Calibri" w:eastAsia="Calibri" w:hAnsi="Calibri"/>
                    <w:sz w:val="22"/>
                    <w:szCs w:val="22"/>
                  </w:rPr>
                </w:pPr>
              </w:p>
            </w:tc>
            <w:tc>
              <w:tcPr>
                <w:tcW w:w="1515"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60" w:type="dxa"/>
              </w:tcPr>
              <w:p>
                <w:pPr>
                  <w:spacing w:line="276" w:lineRule="auto"/>
                  <w:jc w:val="both"/>
                  <w:rPr>
                    <w:rFonts w:ascii="Calibri" w:eastAsia="Calibri" w:hAnsi="Calibri"/>
                    <w:sz w:val="22"/>
                    <w:szCs w:val="22"/>
                  </w:rPr>
                </w:pPr>
              </w:p>
            </w:tc>
            <w:tc>
              <w:tcPr>
                <w:tcW w:w="900" w:type="dxa"/>
              </w:tcPr>
              <w:p>
                <w:pPr>
                  <w:spacing w:line="276" w:lineRule="auto"/>
                  <w:jc w:val="both"/>
                  <w:rPr>
                    <w:rFonts w:ascii="Calibri" w:eastAsia="Calibri" w:hAnsi="Calibri"/>
                    <w:sz w:val="22"/>
                    <w:szCs w:val="22"/>
                  </w:rPr>
                </w:pPr>
              </w:p>
            </w:tc>
            <w:tc>
              <w:tcPr>
                <w:tcW w:w="1440"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72" w:type="dxa"/>
              </w:tcPr>
              <w:p>
                <w:pPr>
                  <w:spacing w:line="276" w:lineRule="auto"/>
                  <w:jc w:val="both"/>
                  <w:rPr>
                    <w:rFonts w:ascii="Calibri" w:eastAsia="Calibri" w:hAnsi="Calibri"/>
                    <w:sz w:val="22"/>
                    <w:szCs w:val="22"/>
                  </w:rPr>
                </w:pPr>
              </w:p>
            </w:tc>
          </w:tr>
          <w:tr>
            <w:tc>
              <w:tcPr>
                <w:tcW w:w="648" w:type="dxa"/>
              </w:tcPr>
              <w:p>
                <w:pPr>
                  <w:spacing w:line="276" w:lineRule="auto"/>
                  <w:jc w:val="both"/>
                  <w:rPr>
                    <w:rFonts w:eastAsia="Calibri"/>
                    <w:sz w:val="22"/>
                    <w:szCs w:val="22"/>
                  </w:rPr>
                </w:pPr>
                <w:r>
                  <w:rPr>
                    <w:rFonts w:eastAsia="Calibri"/>
                    <w:sz w:val="22"/>
                    <w:szCs w:val="22"/>
                  </w:rPr>
                  <w:t>3.</w:t>
                </w:r>
              </w:p>
            </w:tc>
            <w:tc>
              <w:tcPr>
                <w:tcW w:w="1980" w:type="dxa"/>
              </w:tcPr>
              <w:p>
                <w:pPr>
                  <w:spacing w:line="276" w:lineRule="auto"/>
                  <w:jc w:val="both"/>
                  <w:rPr>
                    <w:rFonts w:ascii="Calibri" w:eastAsia="Calibri" w:hAnsi="Calibri"/>
                    <w:sz w:val="22"/>
                    <w:szCs w:val="22"/>
                  </w:rPr>
                </w:pPr>
              </w:p>
            </w:tc>
            <w:tc>
              <w:tcPr>
                <w:tcW w:w="1365" w:type="dxa"/>
              </w:tcPr>
              <w:p>
                <w:pPr>
                  <w:spacing w:line="276" w:lineRule="auto"/>
                  <w:jc w:val="both"/>
                  <w:rPr>
                    <w:rFonts w:ascii="Calibri" w:eastAsia="Calibri" w:hAnsi="Calibri"/>
                    <w:sz w:val="22"/>
                    <w:szCs w:val="22"/>
                  </w:rPr>
                </w:pPr>
              </w:p>
            </w:tc>
            <w:tc>
              <w:tcPr>
                <w:tcW w:w="1515"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60" w:type="dxa"/>
              </w:tcPr>
              <w:p>
                <w:pPr>
                  <w:spacing w:line="276" w:lineRule="auto"/>
                  <w:jc w:val="both"/>
                  <w:rPr>
                    <w:rFonts w:ascii="Calibri" w:eastAsia="Calibri" w:hAnsi="Calibri"/>
                    <w:sz w:val="22"/>
                    <w:szCs w:val="22"/>
                  </w:rPr>
                </w:pPr>
              </w:p>
            </w:tc>
            <w:tc>
              <w:tcPr>
                <w:tcW w:w="900" w:type="dxa"/>
              </w:tcPr>
              <w:p>
                <w:pPr>
                  <w:spacing w:line="276" w:lineRule="auto"/>
                  <w:jc w:val="both"/>
                  <w:rPr>
                    <w:rFonts w:ascii="Calibri" w:eastAsia="Calibri" w:hAnsi="Calibri"/>
                    <w:sz w:val="22"/>
                    <w:szCs w:val="22"/>
                  </w:rPr>
                </w:pPr>
              </w:p>
            </w:tc>
            <w:tc>
              <w:tcPr>
                <w:tcW w:w="1440"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72" w:type="dxa"/>
              </w:tcPr>
              <w:p>
                <w:pPr>
                  <w:spacing w:line="276" w:lineRule="auto"/>
                  <w:jc w:val="both"/>
                  <w:rPr>
                    <w:rFonts w:ascii="Calibri" w:eastAsia="Calibri" w:hAnsi="Calibri"/>
                    <w:sz w:val="22"/>
                    <w:szCs w:val="22"/>
                  </w:rPr>
                </w:pPr>
              </w:p>
            </w:tc>
          </w:tr>
          <w:tr>
            <w:tc>
              <w:tcPr>
                <w:tcW w:w="648" w:type="dxa"/>
              </w:tcPr>
              <w:p>
                <w:pPr>
                  <w:spacing w:line="276" w:lineRule="auto"/>
                  <w:jc w:val="both"/>
                  <w:rPr>
                    <w:rFonts w:eastAsia="Calibri"/>
                    <w:sz w:val="22"/>
                    <w:szCs w:val="22"/>
                  </w:rPr>
                </w:pPr>
                <w:r>
                  <w:rPr>
                    <w:rFonts w:eastAsia="Calibri"/>
                    <w:sz w:val="22"/>
                    <w:szCs w:val="22"/>
                  </w:rPr>
                  <w:t>4.</w:t>
                </w:r>
              </w:p>
            </w:tc>
            <w:tc>
              <w:tcPr>
                <w:tcW w:w="1980" w:type="dxa"/>
              </w:tcPr>
              <w:p>
                <w:pPr>
                  <w:spacing w:line="276" w:lineRule="auto"/>
                  <w:jc w:val="both"/>
                  <w:rPr>
                    <w:rFonts w:ascii="Calibri" w:eastAsia="Calibri" w:hAnsi="Calibri"/>
                    <w:sz w:val="22"/>
                    <w:szCs w:val="22"/>
                  </w:rPr>
                </w:pPr>
              </w:p>
            </w:tc>
            <w:tc>
              <w:tcPr>
                <w:tcW w:w="1365" w:type="dxa"/>
              </w:tcPr>
              <w:p>
                <w:pPr>
                  <w:spacing w:line="276" w:lineRule="auto"/>
                  <w:jc w:val="both"/>
                  <w:rPr>
                    <w:rFonts w:ascii="Calibri" w:eastAsia="Calibri" w:hAnsi="Calibri"/>
                    <w:sz w:val="22"/>
                    <w:szCs w:val="22"/>
                  </w:rPr>
                </w:pPr>
              </w:p>
            </w:tc>
            <w:tc>
              <w:tcPr>
                <w:tcW w:w="1515"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60" w:type="dxa"/>
              </w:tcPr>
              <w:p>
                <w:pPr>
                  <w:spacing w:line="276" w:lineRule="auto"/>
                  <w:jc w:val="both"/>
                  <w:rPr>
                    <w:rFonts w:ascii="Calibri" w:eastAsia="Calibri" w:hAnsi="Calibri"/>
                    <w:sz w:val="22"/>
                    <w:szCs w:val="22"/>
                  </w:rPr>
                </w:pPr>
              </w:p>
            </w:tc>
            <w:tc>
              <w:tcPr>
                <w:tcW w:w="900" w:type="dxa"/>
              </w:tcPr>
              <w:p>
                <w:pPr>
                  <w:spacing w:line="276" w:lineRule="auto"/>
                  <w:jc w:val="both"/>
                  <w:rPr>
                    <w:rFonts w:ascii="Calibri" w:eastAsia="Calibri" w:hAnsi="Calibri"/>
                    <w:sz w:val="22"/>
                    <w:szCs w:val="22"/>
                  </w:rPr>
                </w:pPr>
              </w:p>
            </w:tc>
            <w:tc>
              <w:tcPr>
                <w:tcW w:w="1440" w:type="dxa"/>
              </w:tcPr>
              <w:p>
                <w:pPr>
                  <w:spacing w:line="276" w:lineRule="auto"/>
                  <w:jc w:val="both"/>
                  <w:rPr>
                    <w:rFonts w:ascii="Calibri" w:eastAsia="Calibri" w:hAnsi="Calibri"/>
                    <w:sz w:val="22"/>
                    <w:szCs w:val="22"/>
                  </w:rPr>
                </w:pPr>
              </w:p>
            </w:tc>
            <w:tc>
              <w:tcPr>
                <w:tcW w:w="1080" w:type="dxa"/>
              </w:tcPr>
              <w:p>
                <w:pPr>
                  <w:spacing w:line="276" w:lineRule="auto"/>
                  <w:jc w:val="both"/>
                  <w:rPr>
                    <w:rFonts w:ascii="Calibri" w:eastAsia="Calibri" w:hAnsi="Calibri"/>
                    <w:sz w:val="22"/>
                    <w:szCs w:val="22"/>
                  </w:rPr>
                </w:pPr>
              </w:p>
            </w:tc>
            <w:tc>
              <w:tcPr>
                <w:tcW w:w="2172" w:type="dxa"/>
              </w:tcPr>
              <w:p>
                <w:pPr>
                  <w:spacing w:line="276" w:lineRule="auto"/>
                  <w:jc w:val="both"/>
                  <w:rPr>
                    <w:rFonts w:ascii="Calibri" w:eastAsia="Calibri" w:hAnsi="Calibri"/>
                    <w:sz w:val="22"/>
                    <w:szCs w:val="22"/>
                  </w:rPr>
                </w:pPr>
              </w:p>
            </w:tc>
          </w:tr>
        </w:tbl>
        <w:p>
          <w:pPr>
            <w:spacing w:line="276" w:lineRule="auto"/>
            <w:jc w:val="both"/>
            <w:rPr>
              <w:rFonts w:ascii="Calibri" w:eastAsia="Calibri" w:hAnsi="Calibri"/>
              <w:sz w:val="22"/>
              <w:szCs w:val="22"/>
            </w:rPr>
          </w:pPr>
        </w:p>
        <w:p>
          <w:pPr>
            <w:rPr>
              <w:sz w:val="18"/>
              <w:szCs w:val="18"/>
            </w:rPr>
          </w:pPr>
        </w:p>
        <w:p>
          <w:pPr>
            <w:spacing w:line="276" w:lineRule="auto"/>
            <w:jc w:val="both"/>
            <w:rPr>
              <w:sz w:val="18"/>
              <w:szCs w:val="18"/>
            </w:rPr>
          </w:pPr>
          <w:r>
            <w:rPr>
              <w:rFonts w:eastAsia="Calibri"/>
              <w:szCs w:val="24"/>
            </w:rPr>
            <w:t>Kvapų kontrolės komisijos nario parašas</w:t>
            <w:tab/>
          </w:r>
          <w:r>
            <w:rPr>
              <w:szCs w:val="24"/>
            </w:rPr>
            <w:t>__________________________________</w:t>
          </w:r>
        </w:p>
        <w:p>
          <w:pPr>
            <w:ind w:left="5760" w:firstLine="720"/>
          </w:pPr>
        </w:p>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3467f0f0d811e5989ee743dd0efbb0">
            <w:r w:rsidRPr="00532B9F">
              <w:rPr>
                <w:rFonts w:ascii="Times New Roman" w:eastAsia="MS Mincho" w:hAnsi="Times New Roman"/>
                <w:sz w:val="20"/>
                <w:i/>
                <w:iCs/>
                <w:color w:val="0000FF" w:themeColor="hyperlink"/>
                <w:u w:val="single"/>
              </w:rPr>
              <w:t>V-373</w:t>
            </w:r>
          </w:fldSimple>
          <w:r>
            <w:rPr>
              <w:rFonts w:ascii="Times New Roman" w:eastAsia="MS Mincho" w:hAnsi="Times New Roman"/>
              <w:sz w:val="20"/>
              <w:i/>
              <w:iCs/>
            </w:rPr>
            <w:t>,
2016-03-22,
paskelbta TAR 2016-03-23, i. k. 2016-05756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6160b05e11eab9d9cd0c85e0b745">
            <w:r w:rsidRPr="00532B9F">
              <w:rPr>
                <w:rFonts w:ascii="Times New Roman" w:eastAsia="MS Mincho" w:hAnsi="Times New Roman"/>
                <w:sz w:val="20"/>
                <w:i/>
                <w:iCs/>
                <w:color w:val="0000FF" w:themeColor="hyperlink"/>
                <w:u w:val="single"/>
              </w:rPr>
              <w:t>V-1481</w:t>
            </w:r>
          </w:fldSimple>
          <w:r>
            <w:rPr>
              <w:rFonts w:ascii="Times New Roman" w:eastAsia="MS Mincho" w:hAnsi="Times New Roman"/>
              <w:sz w:val="20"/>
              <w:i/>
              <w:iCs/>
            </w:rPr>
            <w:t>,
2020-06-16,
paskelbta TAR 2020-06-17, i. k. 2020-13195            </w:t>
          </w:r>
        </w:p>
        <w:p/>
      </w:sdtContent>
    </w:sdt>
    <w:sdt>
      <w:sdtPr>
        <w:alias w:val="3 pr."/>
        <w:tag w:val="part_7b5973c6468344c1a1e450be3cbe129e"/>
        <w:lock w:val="sdtLocked"/>
        <w:richText/>
      </w:sdtPr>
      <w:sdtContent>
        <w:p>
          <w:pPr>
            <w:ind w:left="4572" w:firstLine="1550"/>
            <w:sectPr>
              <w:pgSz w:w="16840" w:h="11907" w:orient="landscape" w:code="9"/>
              <w:pgMar w:top="1701" w:right="1134" w:bottom="567" w:left="1134" w:header="567" w:footer="284" w:gutter="0"/>
              <w:pgNumType w:start="1"/>
              <w:cols w:space="1296"/>
              <w:titlePg/>
              <w:docGrid w:linePitch="360"/>
            </w:sectPr>
          </w:pPr>
        </w:p>
        <w:p>
          <w:pPr>
            <w:ind w:left="4572" w:firstLine="1550"/>
            <w:rPr>
              <w:rFonts w:eastAsia="Calibri"/>
              <w:szCs w:val="24"/>
              <w:lang w:eastAsia="lt-LT"/>
            </w:rPr>
          </w:pPr>
          <w:r>
            <w:rPr>
              <w:rFonts w:eastAsia="Calibri"/>
              <w:szCs w:val="24"/>
              <w:lang w:eastAsia="lt-LT"/>
            </w:rPr>
            <w:t xml:space="preserve">Kvapų kontrolės gyvenamosios </w:t>
          </w:r>
        </w:p>
        <w:p>
          <w:pPr>
            <w:ind w:left="3894" w:firstLine="2228"/>
            <w:rPr>
              <w:rFonts w:eastAsia="Calibri"/>
              <w:szCs w:val="24"/>
              <w:lang w:eastAsia="lt-LT"/>
            </w:rPr>
          </w:pPr>
          <w:r>
            <w:rPr>
              <w:rFonts w:eastAsia="Calibri"/>
              <w:szCs w:val="24"/>
              <w:lang w:eastAsia="lt-LT"/>
            </w:rPr>
            <w:t>aplinkos ore taisyklių</w:t>
          </w:r>
        </w:p>
        <w:p>
          <w:pPr>
            <w:ind w:left="3894" w:firstLine="2228"/>
            <w:rPr>
              <w:rFonts w:eastAsia="Calibri"/>
              <w:szCs w:val="24"/>
              <w:lang w:eastAsia="lt-LT"/>
            </w:rPr>
          </w:pPr>
          <w:sdt>
            <w:sdtPr>
              <w:alias w:val="Numeris"/>
              <w:tag w:val="nr_7b5973c6468344c1a1e450be3cbe129e"/>
              <w:lock w:val="sdtLocked"/>
              <w:richText/>
            </w:sdtPr>
            <w:sdtContent>
              <w:r>
                <w:rPr>
                  <w:rFonts w:eastAsia="Calibri"/>
                  <w:szCs w:val="24"/>
                  <w:lang w:eastAsia="lt-LT"/>
                </w:rPr>
                <w:t>3</w:t>
              </w:r>
            </w:sdtContent>
          </w:sdt>
          <w:r>
            <w:rPr>
              <w:rFonts w:eastAsia="Calibri"/>
              <w:szCs w:val="24"/>
              <w:lang w:eastAsia="lt-LT"/>
            </w:rPr>
            <w:t xml:space="preserve"> priedas</w:t>
          </w:r>
        </w:p>
        <w:p>
          <w:pPr>
            <w:jc w:val="center"/>
            <w:rPr>
              <w:b/>
              <w:szCs w:val="24"/>
              <w:lang w:eastAsia="lt-LT"/>
            </w:rPr>
          </w:pPr>
        </w:p>
        <w:p>
          <w:pPr>
            <w:jc w:val="center"/>
            <w:rPr>
              <w:b/>
              <w:szCs w:val="24"/>
              <w:lang w:eastAsia="lt-LT"/>
            </w:rPr>
          </w:pPr>
        </w:p>
        <w:p>
          <w:pPr>
            <w:jc w:val="center"/>
            <w:rPr>
              <w:b/>
              <w:szCs w:val="24"/>
              <w:lang w:eastAsia="lt-LT"/>
            </w:rPr>
          </w:pPr>
          <w:sdt>
            <w:sdtPr>
              <w:alias w:val="Pavadinimas"/>
              <w:tag w:val="title_7b5973c6468344c1a1e450be3cbe129e"/>
              <w:lock w:val="sdtLocked"/>
              <w:richText/>
            </w:sdtPr>
            <w:sdtContent>
              <w:r>
                <w:rPr>
                  <w:b/>
                  <w:szCs w:val="24"/>
                  <w:lang w:eastAsia="lt-LT"/>
                </w:rPr>
                <w:t>(Oro mėginių kvapo koncentracijai / emisijos rodikliui nustatyti paėmimo plano forma)</w:t>
              </w:r>
            </w:sdtContent>
          </w:sdt>
        </w:p>
        <w:p>
          <w:pPr>
            <w:jc w:val="center"/>
            <w:rPr>
              <w:b/>
              <w:szCs w:val="24"/>
              <w:lang w:eastAsia="lt-LT"/>
            </w:rPr>
          </w:pPr>
        </w:p>
        <w:p>
          <w:pPr>
            <w:jc w:val="center"/>
            <w:rPr>
              <w:b/>
              <w:szCs w:val="24"/>
              <w:lang w:eastAsia="lt-LT"/>
            </w:rPr>
          </w:pPr>
        </w:p>
        <w:p>
          <w:pPr>
            <w:jc w:val="center"/>
            <w:rPr>
              <w:b/>
              <w:szCs w:val="24"/>
              <w:lang w:eastAsia="lt-LT"/>
            </w:rPr>
          </w:pPr>
          <w:r>
            <w:rPr>
              <w:b/>
              <w:szCs w:val="24"/>
              <w:lang w:eastAsia="lt-LT"/>
            </w:rPr>
            <w:t>NACIONALINIS VISUOMENĖS SVEIKATOS CENTRAS</w:t>
          </w:r>
        </w:p>
        <w:p>
          <w:pPr>
            <w:jc w:val="center"/>
            <w:rPr>
              <w:b/>
              <w:szCs w:val="24"/>
              <w:lang w:eastAsia="lt-LT"/>
            </w:rPr>
          </w:pPr>
          <w:r>
            <w:rPr>
              <w:b/>
              <w:szCs w:val="24"/>
              <w:lang w:eastAsia="lt-LT"/>
            </w:rPr>
            <w:t>PRIE SVEIKATOS APSAUGOS MINISTERIJOS</w:t>
          </w:r>
        </w:p>
        <w:p>
          <w:pPr>
            <w:jc w:val="center"/>
            <w:rPr>
              <w:b/>
              <w:szCs w:val="24"/>
              <w:lang w:eastAsia="lt-LT"/>
            </w:rPr>
          </w:pPr>
        </w:p>
        <w:p>
          <w:pPr>
            <w:jc w:val="center"/>
            <w:rPr>
              <w:b/>
              <w:caps/>
              <w:szCs w:val="24"/>
              <w:lang w:eastAsia="lt-LT"/>
            </w:rPr>
          </w:pPr>
          <w:r>
            <w:rPr>
              <w:b/>
              <w:caps/>
              <w:szCs w:val="24"/>
              <w:lang w:eastAsia="lt-LT"/>
            </w:rPr>
            <w:t xml:space="preserve">ORO Mėginių kvapo koncentracijai / EMISIJos rodikliui  nustatyti paėmimo planas </w:t>
          </w:r>
        </w:p>
        <w:p>
          <w:pPr>
            <w:jc w:val="center"/>
            <w:rPr>
              <w:szCs w:val="24"/>
              <w:lang w:eastAsia="lt-LT"/>
            </w:rPr>
          </w:pPr>
        </w:p>
        <w:p>
          <w:pPr>
            <w:jc w:val="center"/>
            <w:rPr>
              <w:szCs w:val="24"/>
              <w:lang w:eastAsia="lt-LT"/>
            </w:rPr>
          </w:pPr>
          <w:r>
            <w:rPr>
              <w:szCs w:val="24"/>
              <w:lang w:eastAsia="lt-LT"/>
            </w:rPr>
            <w:t xml:space="preserve">_________________ Nr. </w:t>
          </w:r>
        </w:p>
        <w:p>
          <w:pPr>
            <w:jc w:val="center"/>
            <w:rPr>
              <w:sz w:val="22"/>
              <w:szCs w:val="22"/>
              <w:lang w:eastAsia="lt-LT"/>
            </w:rPr>
          </w:pPr>
          <w:r>
            <w:rPr>
              <w:sz w:val="22"/>
              <w:szCs w:val="22"/>
              <w:lang w:eastAsia="lt-LT"/>
            </w:rPr>
            <w:t>(data)</w:t>
          </w:r>
        </w:p>
        <w:p>
          <w:pPr>
            <w:jc w:val="both"/>
            <w:rPr>
              <w:szCs w:val="24"/>
              <w:lang w:eastAsia="lt-LT"/>
            </w:rPr>
          </w:pPr>
        </w:p>
        <w:p>
          <w:pPr>
            <w:tabs>
              <w:tab w:val="right" w:pos="10773"/>
            </w:tabs>
            <w:jc w:val="both"/>
            <w:rPr>
              <w:szCs w:val="24"/>
              <w:lang w:eastAsia="lt-LT"/>
            </w:rPr>
          </w:pPr>
          <w:r>
            <w:rPr>
              <w:szCs w:val="24"/>
              <w:lang w:eastAsia="lt-LT"/>
            </w:rPr>
            <w:t xml:space="preserve">1. Oro mėginio (-ių) kvapo koncentracijai </w:t>
          </w:r>
          <w:r>
            <w:rPr>
              <w:b/>
              <w:bCs/>
              <w:szCs w:val="24"/>
              <w:lang w:eastAsia="lt-LT"/>
            </w:rPr>
            <w:t xml:space="preserve">/ </w:t>
          </w:r>
          <w:r>
            <w:rPr>
              <w:szCs w:val="24"/>
              <w:lang w:eastAsia="lt-LT"/>
            </w:rPr>
            <w:t>emisijos rodikliui nustatyti paėmimo planą (toliau – Planas) parengė</w:t>
          </w:r>
        </w:p>
        <w:p>
          <w:pPr>
            <w:tabs>
              <w:tab w:val="right" w:pos="10773"/>
            </w:tabs>
            <w:jc w:val="both"/>
            <w:rPr>
              <w:szCs w:val="24"/>
              <w:lang w:eastAsia="lt-LT"/>
            </w:rPr>
          </w:pPr>
          <w:r>
            <w:rPr>
              <w:szCs w:val="24"/>
              <w:lang w:eastAsia="lt-LT"/>
            </w:rPr>
            <w:t>________________________________________________________________________________</w:t>
          </w:r>
        </w:p>
        <w:p>
          <w:pPr>
            <w:jc w:val="center"/>
            <w:rPr>
              <w:sz w:val="22"/>
              <w:szCs w:val="22"/>
              <w:lang w:eastAsia="lt-LT"/>
            </w:rPr>
          </w:pPr>
          <w:r>
            <w:rPr>
              <w:sz w:val="22"/>
              <w:szCs w:val="22"/>
              <w:lang w:eastAsia="lt-LT"/>
            </w:rPr>
            <w:t>(asmens vardas, pavardė, pareigų pavadinimas, telefono Nr., el. pašto adresas)</w:t>
          </w:r>
        </w:p>
        <w:p>
          <w:pPr>
            <w:tabs>
              <w:tab w:val="right" w:pos="10773"/>
            </w:tabs>
            <w:jc w:val="both"/>
            <w:rPr>
              <w:szCs w:val="24"/>
              <w:lang w:eastAsia="lt-LT"/>
            </w:rPr>
          </w:pPr>
          <w:r>
            <w:rPr>
              <w:szCs w:val="24"/>
              <w:lang w:eastAsia="lt-LT"/>
            </w:rPr>
            <w:t>________________________________________________________________________________________________________________________________________________________________</w:t>
          </w:r>
        </w:p>
        <w:p>
          <w:pPr>
            <w:tabs>
              <w:tab w:val="right" w:pos="10773"/>
            </w:tabs>
            <w:jc w:val="both"/>
            <w:rPr>
              <w:szCs w:val="24"/>
              <w:lang w:eastAsia="lt-LT"/>
            </w:rPr>
          </w:pPr>
        </w:p>
        <w:p>
          <w:pPr>
            <w:tabs>
              <w:tab w:val="right" w:pos="10773"/>
            </w:tabs>
            <w:jc w:val="both"/>
            <w:rPr>
              <w:szCs w:val="24"/>
              <w:lang w:eastAsia="lt-LT"/>
            </w:rPr>
          </w:pPr>
          <w:r>
            <w:rPr>
              <w:szCs w:val="24"/>
              <w:lang w:eastAsia="lt-LT"/>
            </w:rPr>
            <w:t>2. Duomenys apie oro mėginio (-ių) kvapo koncentracijai / emisijos rodikliui nustatyti ėmimo vietą (-as) ir sąlygas: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268"/>
            <w:gridCol w:w="2410"/>
            <w:gridCol w:w="2126"/>
            <w:gridCol w:w="2126"/>
          </w:tblGrid>
          <w:tr>
            <w:tc>
              <w:tcPr>
                <w:tcW w:w="704" w:type="dxa"/>
              </w:tcPr>
              <w:p>
                <w:pPr>
                  <w:jc w:val="center"/>
                  <w:rPr>
                    <w:rFonts w:eastAsia="Calibri"/>
                    <w:b/>
                    <w:sz w:val="22"/>
                    <w:szCs w:val="22"/>
                    <w:lang w:eastAsia="lt-LT"/>
                  </w:rPr>
                </w:pPr>
                <w:r>
                  <w:rPr>
                    <w:rFonts w:eastAsia="Calibri"/>
                    <w:b/>
                    <w:sz w:val="22"/>
                    <w:szCs w:val="22"/>
                    <w:lang w:eastAsia="lt-LT"/>
                  </w:rPr>
                  <w:t>Eil.</w:t>
                </w:r>
              </w:p>
              <w:p>
                <w:pPr>
                  <w:jc w:val="center"/>
                  <w:rPr>
                    <w:rFonts w:eastAsia="Calibri"/>
                    <w:b/>
                    <w:sz w:val="22"/>
                    <w:szCs w:val="22"/>
                    <w:lang w:eastAsia="lt-LT"/>
                  </w:rPr>
                </w:pPr>
                <w:r>
                  <w:rPr>
                    <w:rFonts w:eastAsia="Calibri"/>
                    <w:b/>
                    <w:sz w:val="22"/>
                    <w:szCs w:val="22"/>
                    <w:lang w:eastAsia="lt-LT"/>
                  </w:rPr>
                  <w:t>Nr.</w:t>
                </w:r>
              </w:p>
            </w:tc>
            <w:tc>
              <w:tcPr>
                <w:tcW w:w="2268" w:type="dxa"/>
              </w:tcPr>
              <w:p>
                <w:pPr>
                  <w:jc w:val="center"/>
                  <w:rPr>
                    <w:rFonts w:eastAsia="Calibri"/>
                    <w:b/>
                    <w:sz w:val="22"/>
                    <w:szCs w:val="22"/>
                    <w:lang w:eastAsia="lt-LT"/>
                  </w:rPr>
                </w:pPr>
                <w:r>
                  <w:rPr>
                    <w:b/>
                    <w:sz w:val="22"/>
                    <w:szCs w:val="22"/>
                    <w:lang w:eastAsia="lt-LT"/>
                  </w:rPr>
                  <w:t>Ūkinės veiklos</w:t>
                </w:r>
                <w:r>
                  <w:rPr>
                    <w:rFonts w:eastAsia="Calibri"/>
                    <w:b/>
                    <w:sz w:val="22"/>
                    <w:szCs w:val="22"/>
                    <w:lang w:eastAsia="lt-LT"/>
                  </w:rPr>
                  <w:t xml:space="preserve"> pavadinimas </w:t>
                </w:r>
                <w:r>
                  <w:rPr>
                    <w:b/>
                    <w:sz w:val="22"/>
                    <w:szCs w:val="22"/>
                    <w:lang w:eastAsia="lt-LT"/>
                  </w:rPr>
                  <w:t>(padalinio, cecho pavadinimas ar pan.)</w:t>
                </w:r>
              </w:p>
            </w:tc>
            <w:tc>
              <w:tcPr>
                <w:tcW w:w="2410" w:type="dxa"/>
              </w:tcPr>
              <w:p>
                <w:pPr>
                  <w:jc w:val="center"/>
                  <w:rPr>
                    <w:b/>
                    <w:sz w:val="22"/>
                    <w:szCs w:val="22"/>
                    <w:lang w:eastAsia="lt-LT"/>
                  </w:rPr>
                </w:pPr>
                <w:r>
                  <w:rPr>
                    <w:b/>
                    <w:sz w:val="22"/>
                    <w:szCs w:val="22"/>
                    <w:lang w:eastAsia="lt-LT"/>
                  </w:rPr>
                  <w:t>Oro m</w:t>
                </w:r>
                <w:r>
                  <w:rPr>
                    <w:rFonts w:eastAsia="Calibri"/>
                    <w:b/>
                    <w:sz w:val="22"/>
                    <w:szCs w:val="22"/>
                    <w:lang w:eastAsia="lt-LT"/>
                  </w:rPr>
                  <w:t xml:space="preserve">ėginio (-ių) paėmimo </w:t>
                </w:r>
                <w:r>
                  <w:rPr>
                    <w:b/>
                    <w:sz w:val="22"/>
                    <w:szCs w:val="22"/>
                    <w:lang w:eastAsia="lt-LT"/>
                  </w:rPr>
                  <w:t xml:space="preserve">vieta </w:t>
                </w:r>
              </w:p>
              <w:p>
                <w:pPr>
                  <w:jc w:val="center"/>
                  <w:rPr>
                    <w:rFonts w:eastAsia="Calibri"/>
                    <w:b/>
                    <w:sz w:val="22"/>
                    <w:szCs w:val="22"/>
                    <w:lang w:eastAsia="lt-LT"/>
                  </w:rPr>
                </w:pPr>
                <w:r>
                  <w:rPr>
                    <w:b/>
                    <w:sz w:val="22"/>
                    <w:szCs w:val="22"/>
                    <w:lang w:eastAsia="lt-LT"/>
                  </w:rPr>
                  <w:t>(taršos šaltinis, vieta</w:t>
                </w:r>
                <w:r>
                  <w:rPr>
                    <w:rFonts w:eastAsia="Calibri"/>
                    <w:b/>
                    <w:sz w:val="22"/>
                    <w:szCs w:val="22"/>
                    <w:lang w:eastAsia="lt-LT"/>
                  </w:rPr>
                  <w:t xml:space="preserve"> objekte</w:t>
                </w:r>
                <w:r>
                  <w:rPr>
                    <w:b/>
                    <w:sz w:val="22"/>
                    <w:szCs w:val="22"/>
                    <w:lang w:eastAsia="lt-LT"/>
                  </w:rPr>
                  <w:t xml:space="preserve"> ir pan.)</w:t>
                </w:r>
              </w:p>
            </w:tc>
            <w:tc>
              <w:tcPr>
                <w:tcW w:w="2126" w:type="dxa"/>
              </w:tcPr>
              <w:p>
                <w:pPr>
                  <w:jc w:val="center"/>
                  <w:rPr>
                    <w:rFonts w:eastAsia="Calibri"/>
                    <w:b/>
                    <w:sz w:val="22"/>
                    <w:szCs w:val="22"/>
                    <w:lang w:eastAsia="lt-LT"/>
                  </w:rPr>
                </w:pPr>
                <w:r>
                  <w:rPr>
                    <w:rFonts w:eastAsia="Calibri"/>
                    <w:b/>
                    <w:sz w:val="22"/>
                    <w:szCs w:val="22"/>
                    <w:lang w:eastAsia="lt-LT"/>
                  </w:rPr>
                  <w:t>Oro mėginio (-ių) kiekis (vnt.)</w:t>
                </w:r>
              </w:p>
            </w:tc>
            <w:tc>
              <w:tcPr>
                <w:tcW w:w="2126" w:type="dxa"/>
              </w:tcPr>
              <w:p>
                <w:pPr>
                  <w:jc w:val="center"/>
                  <w:rPr>
                    <w:rFonts w:eastAsia="Calibri"/>
                    <w:b/>
                    <w:sz w:val="22"/>
                    <w:szCs w:val="22"/>
                    <w:lang w:eastAsia="lt-LT"/>
                  </w:rPr>
                </w:pPr>
                <w:r>
                  <w:rPr>
                    <w:b/>
                    <w:sz w:val="22"/>
                    <w:szCs w:val="22"/>
                    <w:lang w:eastAsia="lt-LT"/>
                  </w:rPr>
                  <w:t>Oro mėginio ėmimo sąlygos</w:t>
                </w:r>
              </w:p>
            </w:tc>
          </w:tr>
          <w:tr>
            <w:tc>
              <w:tcPr>
                <w:tcW w:w="704" w:type="dxa"/>
              </w:tcPr>
              <w:p>
                <w:pPr>
                  <w:jc w:val="center"/>
                  <w:rPr>
                    <w:rFonts w:eastAsia="Calibri"/>
                    <w:b/>
                    <w:sz w:val="22"/>
                    <w:szCs w:val="22"/>
                    <w:lang w:eastAsia="lt-LT"/>
                  </w:rPr>
                </w:pPr>
                <w:r>
                  <w:rPr>
                    <w:rFonts w:eastAsia="Calibri"/>
                    <w:b/>
                    <w:sz w:val="22"/>
                    <w:szCs w:val="22"/>
                    <w:lang w:eastAsia="lt-LT"/>
                  </w:rPr>
                  <w:t>1</w:t>
                </w:r>
              </w:p>
            </w:tc>
            <w:tc>
              <w:tcPr>
                <w:tcW w:w="2268" w:type="dxa"/>
              </w:tcPr>
              <w:p>
                <w:pPr>
                  <w:jc w:val="center"/>
                  <w:rPr>
                    <w:rFonts w:eastAsia="Calibri"/>
                    <w:b/>
                    <w:sz w:val="22"/>
                    <w:szCs w:val="22"/>
                    <w:lang w:eastAsia="lt-LT"/>
                  </w:rPr>
                </w:pPr>
                <w:r>
                  <w:rPr>
                    <w:rFonts w:eastAsia="Calibri"/>
                    <w:b/>
                    <w:sz w:val="22"/>
                    <w:szCs w:val="22"/>
                    <w:lang w:eastAsia="lt-LT"/>
                  </w:rPr>
                  <w:t>2</w:t>
                </w:r>
              </w:p>
            </w:tc>
            <w:tc>
              <w:tcPr>
                <w:tcW w:w="2410" w:type="dxa"/>
              </w:tcPr>
              <w:p>
                <w:pPr>
                  <w:jc w:val="center"/>
                  <w:rPr>
                    <w:rFonts w:eastAsia="Calibri"/>
                    <w:b/>
                    <w:sz w:val="22"/>
                    <w:szCs w:val="22"/>
                    <w:lang w:eastAsia="lt-LT"/>
                  </w:rPr>
                </w:pPr>
                <w:r>
                  <w:rPr>
                    <w:rFonts w:eastAsia="Calibri"/>
                    <w:b/>
                    <w:sz w:val="22"/>
                    <w:szCs w:val="22"/>
                    <w:lang w:eastAsia="lt-LT"/>
                  </w:rPr>
                  <w:t>3</w:t>
                </w:r>
              </w:p>
            </w:tc>
            <w:tc>
              <w:tcPr>
                <w:tcW w:w="2126" w:type="dxa"/>
              </w:tcPr>
              <w:p>
                <w:pPr>
                  <w:jc w:val="center"/>
                  <w:rPr>
                    <w:rFonts w:eastAsia="Calibri"/>
                    <w:b/>
                    <w:sz w:val="22"/>
                    <w:szCs w:val="22"/>
                    <w:lang w:eastAsia="lt-LT"/>
                  </w:rPr>
                </w:pPr>
                <w:r>
                  <w:rPr>
                    <w:rFonts w:eastAsia="Calibri"/>
                    <w:b/>
                    <w:sz w:val="22"/>
                    <w:szCs w:val="22"/>
                    <w:lang w:eastAsia="lt-LT"/>
                  </w:rPr>
                  <w:t>4</w:t>
                </w:r>
              </w:p>
            </w:tc>
            <w:tc>
              <w:tcPr>
                <w:tcW w:w="2126" w:type="dxa"/>
              </w:tcPr>
              <w:p>
                <w:pPr>
                  <w:jc w:val="center"/>
                  <w:rPr>
                    <w:rFonts w:eastAsia="Calibri"/>
                    <w:b/>
                    <w:sz w:val="22"/>
                    <w:szCs w:val="22"/>
                    <w:lang w:eastAsia="lt-LT"/>
                  </w:rPr>
                </w:pPr>
                <w:r>
                  <w:rPr>
                    <w:rFonts w:eastAsia="Calibri"/>
                    <w:b/>
                    <w:sz w:val="22"/>
                    <w:szCs w:val="22"/>
                    <w:lang w:eastAsia="lt-LT"/>
                  </w:rPr>
                  <w:t>5</w:t>
                </w:r>
              </w:p>
            </w:tc>
          </w:tr>
          <w:tr>
            <w:tc>
              <w:tcPr>
                <w:tcW w:w="704" w:type="dxa"/>
              </w:tcPr>
              <w:p>
                <w:pPr>
                  <w:tabs>
                    <w:tab w:val="right" w:pos="10773"/>
                  </w:tabs>
                  <w:jc w:val="both"/>
                  <w:rPr>
                    <w:szCs w:val="24"/>
                    <w:vertAlign w:val="superscript"/>
                    <w:lang w:eastAsia="lt-LT"/>
                  </w:rPr>
                </w:pPr>
              </w:p>
            </w:tc>
            <w:tc>
              <w:tcPr>
                <w:tcW w:w="2268" w:type="dxa"/>
              </w:tcPr>
              <w:p>
                <w:pPr>
                  <w:tabs>
                    <w:tab w:val="right" w:pos="10773"/>
                  </w:tabs>
                  <w:jc w:val="both"/>
                  <w:rPr>
                    <w:szCs w:val="24"/>
                    <w:vertAlign w:val="superscript"/>
                    <w:lang w:eastAsia="lt-LT"/>
                  </w:rPr>
                </w:pPr>
              </w:p>
            </w:tc>
            <w:tc>
              <w:tcPr>
                <w:tcW w:w="2410" w:type="dxa"/>
              </w:tcPr>
              <w:p>
                <w:pPr>
                  <w:tabs>
                    <w:tab w:val="right" w:pos="10773"/>
                  </w:tabs>
                  <w:jc w:val="both"/>
                  <w:rPr>
                    <w:szCs w:val="24"/>
                    <w:vertAlign w:val="superscript"/>
                    <w:lang w:eastAsia="lt-LT"/>
                  </w:rPr>
                </w:pPr>
              </w:p>
            </w:tc>
            <w:tc>
              <w:tcPr>
                <w:tcW w:w="2126" w:type="dxa"/>
              </w:tcPr>
              <w:p>
                <w:pPr>
                  <w:tabs>
                    <w:tab w:val="right" w:pos="10773"/>
                  </w:tabs>
                  <w:jc w:val="both"/>
                  <w:rPr>
                    <w:szCs w:val="24"/>
                    <w:vertAlign w:val="superscript"/>
                    <w:lang w:eastAsia="lt-LT"/>
                  </w:rPr>
                </w:pPr>
              </w:p>
            </w:tc>
            <w:tc>
              <w:tcPr>
                <w:tcW w:w="2126" w:type="dxa"/>
              </w:tcPr>
              <w:p>
                <w:pPr>
                  <w:tabs>
                    <w:tab w:val="right" w:pos="10773"/>
                  </w:tabs>
                  <w:jc w:val="both"/>
                  <w:rPr>
                    <w:szCs w:val="24"/>
                    <w:vertAlign w:val="superscript"/>
                    <w:lang w:eastAsia="lt-LT"/>
                  </w:rPr>
                </w:pPr>
              </w:p>
            </w:tc>
          </w:tr>
          <w:tr>
            <w:tc>
              <w:tcPr>
                <w:tcW w:w="704" w:type="dxa"/>
              </w:tcPr>
              <w:p>
                <w:pPr>
                  <w:tabs>
                    <w:tab w:val="right" w:pos="10773"/>
                  </w:tabs>
                  <w:jc w:val="both"/>
                  <w:rPr>
                    <w:szCs w:val="24"/>
                    <w:vertAlign w:val="superscript"/>
                    <w:lang w:eastAsia="lt-LT"/>
                  </w:rPr>
                </w:pPr>
              </w:p>
            </w:tc>
            <w:tc>
              <w:tcPr>
                <w:tcW w:w="2268" w:type="dxa"/>
              </w:tcPr>
              <w:p>
                <w:pPr>
                  <w:tabs>
                    <w:tab w:val="right" w:pos="10773"/>
                  </w:tabs>
                  <w:jc w:val="both"/>
                  <w:rPr>
                    <w:szCs w:val="24"/>
                    <w:vertAlign w:val="superscript"/>
                    <w:lang w:eastAsia="lt-LT"/>
                  </w:rPr>
                </w:pPr>
              </w:p>
            </w:tc>
            <w:tc>
              <w:tcPr>
                <w:tcW w:w="2410" w:type="dxa"/>
              </w:tcPr>
              <w:p>
                <w:pPr>
                  <w:tabs>
                    <w:tab w:val="right" w:pos="10773"/>
                  </w:tabs>
                  <w:jc w:val="both"/>
                  <w:rPr>
                    <w:szCs w:val="24"/>
                    <w:vertAlign w:val="superscript"/>
                    <w:lang w:eastAsia="lt-LT"/>
                  </w:rPr>
                </w:pPr>
              </w:p>
            </w:tc>
            <w:tc>
              <w:tcPr>
                <w:tcW w:w="2126" w:type="dxa"/>
              </w:tcPr>
              <w:p>
                <w:pPr>
                  <w:tabs>
                    <w:tab w:val="right" w:pos="10773"/>
                  </w:tabs>
                  <w:jc w:val="both"/>
                  <w:rPr>
                    <w:szCs w:val="24"/>
                    <w:vertAlign w:val="superscript"/>
                    <w:lang w:eastAsia="lt-LT"/>
                  </w:rPr>
                </w:pPr>
              </w:p>
            </w:tc>
            <w:tc>
              <w:tcPr>
                <w:tcW w:w="2126" w:type="dxa"/>
              </w:tcPr>
              <w:p>
                <w:pPr>
                  <w:tabs>
                    <w:tab w:val="right" w:pos="10773"/>
                  </w:tabs>
                  <w:jc w:val="both"/>
                  <w:rPr>
                    <w:szCs w:val="24"/>
                    <w:vertAlign w:val="superscript"/>
                    <w:lang w:eastAsia="lt-LT"/>
                  </w:rPr>
                </w:pPr>
              </w:p>
            </w:tc>
          </w:tr>
          <w:tr>
            <w:tc>
              <w:tcPr>
                <w:tcW w:w="704" w:type="dxa"/>
              </w:tcPr>
              <w:p>
                <w:pPr>
                  <w:tabs>
                    <w:tab w:val="right" w:pos="10773"/>
                  </w:tabs>
                  <w:jc w:val="both"/>
                  <w:rPr>
                    <w:szCs w:val="24"/>
                    <w:vertAlign w:val="superscript"/>
                    <w:lang w:eastAsia="lt-LT"/>
                  </w:rPr>
                </w:pPr>
              </w:p>
            </w:tc>
            <w:tc>
              <w:tcPr>
                <w:tcW w:w="2268" w:type="dxa"/>
              </w:tcPr>
              <w:p>
                <w:pPr>
                  <w:tabs>
                    <w:tab w:val="right" w:pos="10773"/>
                  </w:tabs>
                  <w:jc w:val="both"/>
                  <w:rPr>
                    <w:szCs w:val="24"/>
                    <w:vertAlign w:val="superscript"/>
                    <w:lang w:eastAsia="lt-LT"/>
                  </w:rPr>
                </w:pPr>
              </w:p>
            </w:tc>
            <w:tc>
              <w:tcPr>
                <w:tcW w:w="2410" w:type="dxa"/>
              </w:tcPr>
              <w:p>
                <w:pPr>
                  <w:tabs>
                    <w:tab w:val="right" w:pos="10773"/>
                  </w:tabs>
                  <w:jc w:val="both"/>
                  <w:rPr>
                    <w:szCs w:val="24"/>
                    <w:vertAlign w:val="superscript"/>
                    <w:lang w:eastAsia="lt-LT"/>
                  </w:rPr>
                </w:pPr>
              </w:p>
            </w:tc>
            <w:tc>
              <w:tcPr>
                <w:tcW w:w="2126" w:type="dxa"/>
              </w:tcPr>
              <w:p>
                <w:pPr>
                  <w:tabs>
                    <w:tab w:val="right" w:pos="10773"/>
                  </w:tabs>
                  <w:jc w:val="both"/>
                  <w:rPr>
                    <w:szCs w:val="24"/>
                    <w:vertAlign w:val="superscript"/>
                    <w:lang w:eastAsia="lt-LT"/>
                  </w:rPr>
                </w:pPr>
              </w:p>
            </w:tc>
            <w:tc>
              <w:tcPr>
                <w:tcW w:w="2126" w:type="dxa"/>
              </w:tcPr>
              <w:p>
                <w:pPr>
                  <w:tabs>
                    <w:tab w:val="right" w:pos="10773"/>
                  </w:tabs>
                  <w:jc w:val="both"/>
                  <w:rPr>
                    <w:szCs w:val="24"/>
                    <w:vertAlign w:val="superscript"/>
                    <w:lang w:eastAsia="lt-LT"/>
                  </w:rPr>
                </w:pPr>
              </w:p>
            </w:tc>
          </w:tr>
        </w:tbl>
        <w:p>
          <w:pPr>
            <w:tabs>
              <w:tab w:val="right" w:pos="10773"/>
            </w:tabs>
            <w:jc w:val="both"/>
            <w:rPr>
              <w:szCs w:val="24"/>
              <w:lang w:eastAsia="lt-LT"/>
            </w:rPr>
          </w:pPr>
        </w:p>
        <w:p>
          <w:pPr>
            <w:rPr>
              <w:szCs w:val="24"/>
              <w:lang w:eastAsia="lt-LT"/>
            </w:rPr>
          </w:pPr>
          <w:r>
            <w:rPr>
              <w:szCs w:val="24"/>
              <w:lang w:eastAsia="lt-LT"/>
            </w:rPr>
            <w:t>3. Numatoma oro mėginio (-ių) ėmimo data: ____________________________________________</w:t>
          </w:r>
        </w:p>
        <w:p>
          <w:pPr>
            <w:rPr>
              <w:szCs w:val="24"/>
            </w:rPr>
          </w:pPr>
        </w:p>
        <w:p>
          <w:pPr>
            <w:tabs>
              <w:tab w:val="right" w:pos="10773"/>
            </w:tabs>
            <w:jc w:val="both"/>
            <w:rPr>
              <w:szCs w:val="24"/>
              <w:lang w:eastAsia="lt-LT"/>
            </w:rPr>
          </w:pPr>
          <w:r>
            <w:rPr>
              <w:szCs w:val="24"/>
              <w:lang w:eastAsia="lt-LT"/>
            </w:rPr>
            <w:t xml:space="preserve">4. Ūkio subjekto atstovo kontaktiniai duomenys (vardas, pavardė, pareigų pavadinimas, telefono Nr., el. pašto adresas): _________________________________________________________________ </w:t>
          </w:r>
        </w:p>
        <w:p>
          <w:pPr>
            <w:tabs>
              <w:tab w:val="right" w:pos="10773"/>
            </w:tabs>
            <w:jc w:val="both"/>
            <w:rPr>
              <w:szCs w:val="24"/>
              <w:lang w:eastAsia="lt-LT"/>
            </w:rPr>
          </w:pPr>
          <w:r>
            <w:rPr>
              <w:szCs w:val="24"/>
              <w:lang w:eastAsia="lt-LT"/>
            </w:rPr>
            <w:t>________________________________________________________________________________________________________________________________________________________________</w:t>
          </w:r>
        </w:p>
        <w:p>
          <w:pPr>
            <w:tabs>
              <w:tab w:val="right" w:pos="10773"/>
            </w:tabs>
            <w:jc w:val="both"/>
            <w:rPr>
              <w:szCs w:val="24"/>
              <w:lang w:eastAsia="lt-LT"/>
            </w:rPr>
          </w:pPr>
        </w:p>
        <w:p>
          <w:pPr>
            <w:tabs>
              <w:tab w:val="right" w:pos="10773"/>
            </w:tabs>
            <w:jc w:val="both"/>
            <w:rPr>
              <w:szCs w:val="24"/>
              <w:lang w:eastAsia="lt-LT"/>
            </w:rPr>
          </w:pPr>
          <w:r>
            <w:rPr>
              <w:szCs w:val="24"/>
              <w:lang w:eastAsia="lt-LT"/>
            </w:rPr>
            <w:t>5. Ūkinės veiklos aprašymas :________________________________________________________</w:t>
          </w:r>
        </w:p>
        <w:p>
          <w:pPr>
            <w:tabs>
              <w:tab w:val="right" w:pos="10773"/>
            </w:tabs>
            <w:jc w:val="both"/>
            <w:rPr>
              <w:szCs w:val="24"/>
              <w:u w:val="single"/>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pPr>
            <w:tabs>
              <w:tab w:val="right" w:pos="10773"/>
            </w:tabs>
            <w:jc w:val="both"/>
            <w:rPr>
              <w:szCs w:val="24"/>
              <w:lang w:eastAsia="lt-LT"/>
            </w:rPr>
          </w:pPr>
        </w:p>
        <w:p>
          <w:pPr>
            <w:tabs>
              <w:tab w:val="right" w:pos="10773"/>
            </w:tabs>
            <w:jc w:val="both"/>
            <w:rPr>
              <w:szCs w:val="24"/>
              <w:lang w:eastAsia="lt-LT"/>
            </w:rPr>
          </w:pPr>
          <w:r>
            <w:rPr>
              <w:szCs w:val="24"/>
              <w:lang w:eastAsia="lt-LT"/>
            </w:rPr>
            <w:t>6. Ūkinėje veikloje naudojamos technologijos, technologinio (-ių) proceso (-ų), darbo režimo aprašymas: ______________________________________________________________________</w:t>
          </w:r>
        </w:p>
        <w:p>
          <w:pPr>
            <w:tabs>
              <w:tab w:val="right" w:pos="10773"/>
            </w:tabs>
            <w:jc w:val="both"/>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pPr>
            <w:tabs>
              <w:tab w:val="right" w:pos="10773"/>
            </w:tabs>
            <w:jc w:val="both"/>
            <w:rPr>
              <w:szCs w:val="24"/>
              <w:u w:val="single"/>
              <w:lang w:eastAsia="lt-LT"/>
            </w:rPr>
          </w:pPr>
        </w:p>
        <w:p>
          <w:pPr>
            <w:tabs>
              <w:tab w:val="right" w:pos="10773"/>
            </w:tabs>
            <w:jc w:val="both"/>
            <w:rPr>
              <w:szCs w:val="24"/>
              <w:lang w:eastAsia="lt-LT"/>
            </w:rPr>
          </w:pPr>
          <w:r>
            <w:rPr>
              <w:szCs w:val="24"/>
              <w:lang w:eastAsia="lt-LT"/>
            </w:rPr>
            <w:t>7. Papildomi duomenys, pastabos (pvz., laikas, kada labiausiai jaučiamas kvapas, kvapo pobūdis, kokiam darbo režimui ar technologiniam ciklui (procesui) esant reikėtų imti oro mėginius konkrečiuose taršos šaltiniuose (vietose): ______________________________________________</w:t>
          </w:r>
        </w:p>
        <w:p>
          <w:pPr>
            <w:tabs>
              <w:tab w:val="right" w:pos="10773"/>
            </w:tabs>
            <w:jc w:val="both"/>
            <w:rPr>
              <w:szCs w:val="24"/>
              <w:lang w:eastAsia="lt-LT"/>
            </w:rPr>
          </w:pPr>
          <w:r>
            <w:rPr>
              <w:szCs w:val="24"/>
              <w:lang w:eastAsia="lt-LT"/>
            </w:rPr>
            <w:t>________________________________________________________________________________________________________________________________________________________________</w:t>
          </w:r>
        </w:p>
        <w:p>
          <w:pPr>
            <w:tabs>
              <w:tab w:val="right" w:pos="10773"/>
            </w:tabs>
            <w:jc w:val="both"/>
            <w:rPr>
              <w:szCs w:val="24"/>
              <w:lang w:eastAsia="lt-LT"/>
            </w:rPr>
          </w:pPr>
        </w:p>
        <w:p>
          <w:pPr>
            <w:tabs>
              <w:tab w:val="right" w:pos="10773"/>
            </w:tabs>
            <w:jc w:val="both"/>
            <w:rPr>
              <w:szCs w:val="24"/>
              <w:lang w:eastAsia="lt-LT"/>
            </w:rPr>
          </w:pPr>
          <w:r>
            <w:rPr>
              <w:szCs w:val="24"/>
              <w:lang w:eastAsia="lt-LT"/>
            </w:rPr>
            <w:t>8. Taršos šaltinio (-ių) aprašymas: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567"/>
            <w:gridCol w:w="1418"/>
            <w:gridCol w:w="992"/>
            <w:gridCol w:w="1276"/>
            <w:gridCol w:w="992"/>
            <w:gridCol w:w="992"/>
            <w:gridCol w:w="992"/>
            <w:gridCol w:w="1134"/>
          </w:tblGrid>
          <w:tr>
            <w:trPr>
              <w:trHeight w:val="611"/>
            </w:trPr>
            <w:tc>
              <w:tcPr>
                <w:tcW w:w="5524" w:type="dxa"/>
                <w:gridSpan w:val="5"/>
                <w:vAlign w:val="center"/>
              </w:tcPr>
              <w:p>
                <w:pPr>
                  <w:snapToGrid w:val="0"/>
                  <w:jc w:val="center"/>
                  <w:rPr>
                    <w:rFonts w:eastAsia="Calibri"/>
                    <w:b/>
                    <w:sz w:val="22"/>
                    <w:szCs w:val="22"/>
                    <w:lang w:eastAsia="lt-LT"/>
                  </w:rPr>
                </w:pPr>
                <w:r>
                  <w:rPr>
                    <w:rFonts w:eastAsia="Calibri"/>
                    <w:b/>
                    <w:sz w:val="22"/>
                    <w:szCs w:val="22"/>
                    <w:lang w:eastAsia="lt-LT"/>
                  </w:rPr>
                  <w:t>Taršos šaltinio duomenys</w:t>
                </w:r>
              </w:p>
            </w:tc>
            <w:tc>
              <w:tcPr>
                <w:tcW w:w="2976" w:type="dxa"/>
                <w:gridSpan w:val="3"/>
                <w:vAlign w:val="center"/>
              </w:tcPr>
              <w:p>
                <w:pPr>
                  <w:snapToGrid w:val="0"/>
                  <w:jc w:val="center"/>
                  <w:rPr>
                    <w:rFonts w:eastAsia="Calibri"/>
                    <w:b/>
                    <w:sz w:val="22"/>
                    <w:szCs w:val="22"/>
                    <w:lang w:eastAsia="lt-LT"/>
                  </w:rPr>
                </w:pPr>
                <w:r>
                  <w:rPr>
                    <w:rFonts w:eastAsia="Calibri"/>
                    <w:b/>
                    <w:sz w:val="22"/>
                    <w:szCs w:val="22"/>
                    <w:lang w:eastAsia="lt-LT"/>
                  </w:rPr>
                  <w:t>Išmetamųjų dujų rodikliai</w:t>
                </w:r>
              </w:p>
            </w:tc>
            <w:tc>
              <w:tcPr>
                <w:tcW w:w="1134" w:type="dxa"/>
                <w:vMerge w:val="restart"/>
              </w:tcPr>
              <w:p>
                <w:pPr>
                  <w:snapToGrid w:val="0"/>
                  <w:jc w:val="center"/>
                  <w:rPr>
                    <w:b/>
                    <w:sz w:val="22"/>
                    <w:szCs w:val="22"/>
                    <w:lang w:eastAsia="lt-LT"/>
                  </w:rPr>
                </w:pPr>
                <w:r>
                  <w:rPr>
                    <w:rFonts w:eastAsia="Calibri"/>
                    <w:b/>
                    <w:sz w:val="22"/>
                    <w:szCs w:val="22"/>
                    <w:lang w:eastAsia="lt-LT"/>
                  </w:rPr>
                  <w:t>Aktualus taršos kvapais šaltinis (taip/ne)</w:t>
                </w:r>
              </w:p>
            </w:tc>
          </w:tr>
          <w:tr>
            <w:tc>
              <w:tcPr>
                <w:tcW w:w="1271" w:type="dxa"/>
                <w:vAlign w:val="center"/>
              </w:tcPr>
              <w:p>
                <w:pPr>
                  <w:snapToGrid w:val="0"/>
                  <w:jc w:val="center"/>
                  <w:rPr>
                    <w:rFonts w:eastAsia="Calibri"/>
                    <w:b/>
                    <w:sz w:val="22"/>
                    <w:szCs w:val="22"/>
                    <w:lang w:eastAsia="lt-LT"/>
                  </w:rPr>
                </w:pPr>
                <w:r>
                  <w:rPr>
                    <w:rFonts w:eastAsia="Calibri"/>
                    <w:b/>
                    <w:sz w:val="22"/>
                    <w:szCs w:val="22"/>
                    <w:lang w:eastAsia="lt-LT"/>
                  </w:rPr>
                  <w:t>Pavadi-nimas</w:t>
                </w:r>
              </w:p>
            </w:tc>
            <w:tc>
              <w:tcPr>
                <w:tcW w:w="567" w:type="dxa"/>
                <w:vAlign w:val="center"/>
              </w:tcPr>
              <w:p>
                <w:pPr>
                  <w:snapToGrid w:val="0"/>
                  <w:jc w:val="center"/>
                  <w:rPr>
                    <w:rFonts w:eastAsia="Calibri"/>
                    <w:b/>
                    <w:sz w:val="22"/>
                    <w:szCs w:val="22"/>
                    <w:lang w:eastAsia="lt-LT"/>
                  </w:rPr>
                </w:pPr>
                <w:r>
                  <w:rPr>
                    <w:rFonts w:eastAsia="Calibri"/>
                    <w:b/>
                    <w:sz w:val="22"/>
                    <w:szCs w:val="22"/>
                    <w:lang w:eastAsia="lt-LT"/>
                  </w:rPr>
                  <w:t>Nr.</w:t>
                </w:r>
              </w:p>
            </w:tc>
            <w:tc>
              <w:tcPr>
                <w:tcW w:w="1418" w:type="dxa"/>
                <w:vAlign w:val="center"/>
              </w:tcPr>
              <w:p>
                <w:pPr>
                  <w:snapToGrid w:val="0"/>
                  <w:jc w:val="center"/>
                  <w:rPr>
                    <w:rFonts w:eastAsia="Calibri"/>
                    <w:b/>
                    <w:sz w:val="22"/>
                    <w:szCs w:val="22"/>
                    <w:lang w:eastAsia="lt-LT"/>
                  </w:rPr>
                </w:pPr>
                <w:r>
                  <w:rPr>
                    <w:rFonts w:eastAsia="Calibri"/>
                    <w:b/>
                    <w:sz w:val="22"/>
                    <w:szCs w:val="22"/>
                    <w:lang w:eastAsia="lt-LT"/>
                  </w:rPr>
                  <w:t>Koordinatės</w:t>
                </w:r>
              </w:p>
            </w:tc>
            <w:tc>
              <w:tcPr>
                <w:tcW w:w="992" w:type="dxa"/>
                <w:vAlign w:val="center"/>
              </w:tcPr>
              <w:p>
                <w:pPr>
                  <w:snapToGrid w:val="0"/>
                  <w:jc w:val="center"/>
                  <w:rPr>
                    <w:rFonts w:eastAsia="Calibri"/>
                    <w:b/>
                    <w:sz w:val="22"/>
                    <w:szCs w:val="22"/>
                    <w:lang w:eastAsia="lt-LT"/>
                  </w:rPr>
                </w:pPr>
                <w:r>
                  <w:rPr>
                    <w:rFonts w:eastAsia="Calibri"/>
                    <w:b/>
                    <w:sz w:val="22"/>
                    <w:szCs w:val="22"/>
                    <w:lang w:eastAsia="lt-LT"/>
                  </w:rPr>
                  <w:t>Aukštis,m</w:t>
                </w:r>
              </w:p>
            </w:tc>
            <w:tc>
              <w:tcPr>
                <w:tcW w:w="1276" w:type="dxa"/>
                <w:vAlign w:val="center"/>
              </w:tcPr>
              <w:p>
                <w:pPr>
                  <w:snapToGrid w:val="0"/>
                  <w:jc w:val="center"/>
                  <w:rPr>
                    <w:rFonts w:eastAsia="Calibri"/>
                    <w:b/>
                    <w:sz w:val="22"/>
                    <w:szCs w:val="22"/>
                    <w:lang w:eastAsia="lt-LT"/>
                  </w:rPr>
                </w:pPr>
                <w:r>
                  <w:rPr>
                    <w:rFonts w:eastAsia="Calibri"/>
                    <w:b/>
                    <w:sz w:val="22"/>
                    <w:szCs w:val="22"/>
                    <w:lang w:eastAsia="lt-LT"/>
                  </w:rPr>
                  <w:t>Išmetimo angos matmenys (matmuo), m</w:t>
                </w:r>
              </w:p>
            </w:tc>
            <w:tc>
              <w:tcPr>
                <w:tcW w:w="992" w:type="dxa"/>
                <w:vAlign w:val="center"/>
              </w:tcPr>
              <w:p>
                <w:pPr>
                  <w:snapToGrid w:val="0"/>
                  <w:jc w:val="center"/>
                  <w:rPr>
                    <w:rFonts w:eastAsia="Calibri"/>
                    <w:b/>
                    <w:sz w:val="22"/>
                    <w:szCs w:val="22"/>
                    <w:lang w:eastAsia="lt-LT"/>
                  </w:rPr>
                </w:pPr>
                <w:r>
                  <w:rPr>
                    <w:rFonts w:eastAsia="Calibri"/>
                    <w:b/>
                    <w:sz w:val="22"/>
                    <w:szCs w:val="22"/>
                    <w:lang w:eastAsia="lt-LT"/>
                  </w:rPr>
                  <w:t>srauto greitis,</w:t>
                </w:r>
              </w:p>
              <w:p>
                <w:pPr>
                  <w:jc w:val="center"/>
                  <w:rPr>
                    <w:rFonts w:eastAsia="Calibri"/>
                    <w:b/>
                    <w:sz w:val="22"/>
                    <w:szCs w:val="22"/>
                    <w:lang w:eastAsia="lt-LT"/>
                  </w:rPr>
                </w:pPr>
                <w:r>
                  <w:rPr>
                    <w:rFonts w:eastAsia="Calibri"/>
                    <w:b/>
                    <w:sz w:val="22"/>
                    <w:szCs w:val="22"/>
                    <w:lang w:eastAsia="lt-LT"/>
                  </w:rPr>
                  <w:t>m/s</w:t>
                </w:r>
              </w:p>
            </w:tc>
            <w:tc>
              <w:tcPr>
                <w:tcW w:w="992" w:type="dxa"/>
                <w:vAlign w:val="center"/>
              </w:tcPr>
              <w:p>
                <w:pPr>
                  <w:snapToGrid w:val="0"/>
                  <w:jc w:val="center"/>
                  <w:rPr>
                    <w:rFonts w:eastAsia="Calibri"/>
                    <w:b/>
                    <w:sz w:val="22"/>
                    <w:szCs w:val="22"/>
                    <w:lang w:eastAsia="lt-LT"/>
                  </w:rPr>
                </w:pPr>
                <w:r>
                  <w:rPr>
                    <w:rFonts w:eastAsia="Calibri"/>
                    <w:b/>
                    <w:sz w:val="22"/>
                    <w:szCs w:val="22"/>
                    <w:lang w:eastAsia="lt-LT"/>
                  </w:rPr>
                  <w:t>tempe-ratūra,</w:t>
                </w:r>
              </w:p>
              <w:p>
                <w:pPr>
                  <w:jc w:val="center"/>
                  <w:rPr>
                    <w:rFonts w:eastAsia="Calibri"/>
                    <w:b/>
                    <w:sz w:val="22"/>
                    <w:szCs w:val="22"/>
                    <w:lang w:eastAsia="lt-LT"/>
                  </w:rPr>
                </w:pPr>
                <w:r>
                  <w:rPr>
                    <w:rFonts w:eastAsia="Calibri"/>
                    <w:b/>
                    <w:sz w:val="22"/>
                    <w:szCs w:val="22"/>
                    <w:lang w:eastAsia="lt-LT"/>
                  </w:rPr>
                  <w:t>º C</w:t>
                </w:r>
              </w:p>
            </w:tc>
            <w:tc>
              <w:tcPr>
                <w:tcW w:w="992" w:type="dxa"/>
                <w:vAlign w:val="center"/>
              </w:tcPr>
              <w:p>
                <w:pPr>
                  <w:snapToGrid w:val="0"/>
                  <w:jc w:val="center"/>
                  <w:rPr>
                    <w:rFonts w:eastAsia="Calibri"/>
                    <w:b/>
                    <w:sz w:val="22"/>
                    <w:szCs w:val="22"/>
                    <w:lang w:eastAsia="lt-LT"/>
                  </w:rPr>
                </w:pPr>
                <w:r>
                  <w:rPr>
                    <w:rFonts w:eastAsia="Calibri"/>
                    <w:b/>
                    <w:sz w:val="22"/>
                    <w:szCs w:val="22"/>
                    <w:lang w:eastAsia="lt-LT"/>
                  </w:rPr>
                  <w:t>tūrio debitas,</w:t>
                </w:r>
              </w:p>
              <w:p>
                <w:pPr>
                  <w:jc w:val="center"/>
                  <w:rPr>
                    <w:rFonts w:eastAsia="Calibri"/>
                    <w:b/>
                    <w:sz w:val="22"/>
                    <w:szCs w:val="22"/>
                    <w:lang w:eastAsia="lt-LT"/>
                  </w:rPr>
                </w:pPr>
                <w:r>
                  <w:rPr>
                    <w:rFonts w:eastAsia="Calibri"/>
                    <w:b/>
                    <w:sz w:val="22"/>
                    <w:szCs w:val="22"/>
                    <w:lang w:eastAsia="lt-LT"/>
                  </w:rPr>
                  <w:t>Nm</w:t>
                </w:r>
                <w:r>
                  <w:rPr>
                    <w:rFonts w:eastAsia="Calibri"/>
                    <w:b/>
                    <w:sz w:val="22"/>
                    <w:szCs w:val="22"/>
                    <w:vertAlign w:val="superscript"/>
                    <w:lang w:eastAsia="lt-LT"/>
                  </w:rPr>
                  <w:t>3</w:t>
                </w:r>
                <w:r>
                  <w:rPr>
                    <w:rFonts w:eastAsia="Calibri"/>
                    <w:b/>
                    <w:sz w:val="22"/>
                    <w:szCs w:val="22"/>
                    <w:lang w:eastAsia="lt-LT"/>
                  </w:rPr>
                  <w:t>/s</w:t>
                </w:r>
              </w:p>
            </w:tc>
            <w:tc>
              <w:tcPr>
                <w:tcW w:w="1134" w:type="dxa"/>
                <w:vMerge/>
                <w:vAlign w:val="center"/>
              </w:tcPr>
              <w:p>
                <w:pPr>
                  <w:snapToGrid w:val="0"/>
                  <w:jc w:val="both"/>
                  <w:rPr>
                    <w:rFonts w:eastAsia="Calibri"/>
                    <w:b/>
                    <w:sz w:val="22"/>
                    <w:szCs w:val="22"/>
                    <w:lang w:eastAsia="lt-LT"/>
                  </w:rPr>
                </w:pPr>
              </w:p>
            </w:tc>
          </w:tr>
          <w:tr>
            <w:tc>
              <w:tcPr>
                <w:tcW w:w="1271"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1</w:t>
                </w:r>
              </w:p>
            </w:tc>
            <w:tc>
              <w:tcPr>
                <w:tcW w:w="567"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2</w:t>
                </w:r>
              </w:p>
            </w:tc>
            <w:tc>
              <w:tcPr>
                <w:tcW w:w="1418"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3</w:t>
                </w:r>
              </w:p>
            </w:tc>
            <w:tc>
              <w:tcPr>
                <w:tcW w:w="992"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4</w:t>
                </w:r>
              </w:p>
            </w:tc>
            <w:tc>
              <w:tcPr>
                <w:tcW w:w="1276"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5</w:t>
                </w:r>
              </w:p>
            </w:tc>
            <w:tc>
              <w:tcPr>
                <w:tcW w:w="992"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6</w:t>
                </w:r>
              </w:p>
            </w:tc>
            <w:tc>
              <w:tcPr>
                <w:tcW w:w="992"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7</w:t>
                </w:r>
              </w:p>
            </w:tc>
            <w:tc>
              <w:tcPr>
                <w:tcW w:w="992"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8</w:t>
                </w:r>
              </w:p>
            </w:tc>
            <w:tc>
              <w:tcPr>
                <w:tcW w:w="1134" w:type="dxa"/>
              </w:tcPr>
              <w:p>
                <w:pPr>
                  <w:widowControl w:val="0"/>
                  <w:suppressLineNumbers/>
                  <w:suppressAutoHyphens/>
                  <w:snapToGrid w:val="0"/>
                  <w:jc w:val="center"/>
                  <w:rPr>
                    <w:rFonts w:eastAsia="Lucida Sans Unicode"/>
                    <w:bCs/>
                    <w:sz w:val="22"/>
                    <w:szCs w:val="22"/>
                    <w:lang w:eastAsia="lt-LT"/>
                  </w:rPr>
                </w:pPr>
                <w:r>
                  <w:rPr>
                    <w:rFonts w:eastAsia="Lucida Sans Unicode"/>
                    <w:bCs/>
                    <w:sz w:val="22"/>
                    <w:szCs w:val="22"/>
                    <w:lang w:eastAsia="lt-LT"/>
                  </w:rPr>
                  <w:t>9</w:t>
                </w:r>
              </w:p>
            </w:tc>
          </w:tr>
          <w:tr>
            <w:trPr>
              <w:trHeight w:val="255"/>
            </w:trPr>
            <w:tc>
              <w:tcPr>
                <w:tcW w:w="1271" w:type="dxa"/>
                <w:vMerge w:val="restart"/>
                <w:vAlign w:val="center"/>
              </w:tcPr>
              <w:p>
                <w:pPr>
                  <w:jc w:val="both"/>
                  <w:rPr>
                    <w:caps/>
                    <w:szCs w:val="24"/>
                    <w:lang w:eastAsia="lt-LT"/>
                  </w:rPr>
                </w:pPr>
              </w:p>
            </w:tc>
            <w:tc>
              <w:tcPr>
                <w:tcW w:w="567" w:type="dxa"/>
                <w:vMerge w:val="restart"/>
                <w:vAlign w:val="center"/>
              </w:tcPr>
              <w:p>
                <w:pPr>
                  <w:jc w:val="both"/>
                  <w:rPr>
                    <w:caps/>
                    <w:szCs w:val="24"/>
                    <w:lang w:eastAsia="lt-LT"/>
                  </w:rPr>
                </w:pPr>
              </w:p>
            </w:tc>
            <w:tc>
              <w:tcPr>
                <w:tcW w:w="1418" w:type="dxa"/>
              </w:tcPr>
              <w:p>
                <w:pPr>
                  <w:jc w:val="both"/>
                  <w:rPr>
                    <w:szCs w:val="24"/>
                    <w:lang w:eastAsia="lt-LT"/>
                  </w:rPr>
                </w:pPr>
                <w:r>
                  <w:rPr>
                    <w:szCs w:val="24"/>
                    <w:lang w:eastAsia="lt-LT"/>
                  </w:rPr>
                  <w:t>x:</w:t>
                </w:r>
              </w:p>
            </w:tc>
            <w:tc>
              <w:tcPr>
                <w:tcW w:w="992" w:type="dxa"/>
                <w:vMerge w:val="restart"/>
              </w:tcPr>
              <w:p>
                <w:pPr>
                  <w:jc w:val="both"/>
                  <w:rPr>
                    <w:szCs w:val="24"/>
                    <w:lang w:eastAsia="lt-LT"/>
                  </w:rPr>
                </w:pPr>
              </w:p>
            </w:tc>
            <w:tc>
              <w:tcPr>
                <w:tcW w:w="1276" w:type="dxa"/>
                <w:vMerge w:val="restart"/>
              </w:tcPr>
              <w:p>
                <w:pPr>
                  <w:jc w:val="both"/>
                  <w:rPr>
                    <w:szCs w:val="24"/>
                    <w:lang w:eastAsia="lt-LT"/>
                  </w:rPr>
                </w:pPr>
              </w:p>
            </w:tc>
            <w:tc>
              <w:tcPr>
                <w:tcW w:w="992" w:type="dxa"/>
                <w:vMerge w:val="restart"/>
              </w:tcPr>
              <w:p>
                <w:pPr>
                  <w:jc w:val="both"/>
                  <w:rPr>
                    <w:sz w:val="22"/>
                    <w:szCs w:val="22"/>
                    <w:lang w:eastAsia="lt-LT"/>
                  </w:rPr>
                </w:pPr>
              </w:p>
            </w:tc>
            <w:tc>
              <w:tcPr>
                <w:tcW w:w="992" w:type="dxa"/>
                <w:vMerge w:val="restart"/>
              </w:tcPr>
              <w:p>
                <w:pPr>
                  <w:jc w:val="both"/>
                  <w:rPr>
                    <w:szCs w:val="24"/>
                    <w:lang w:eastAsia="lt-LT"/>
                  </w:rPr>
                </w:pPr>
              </w:p>
            </w:tc>
            <w:tc>
              <w:tcPr>
                <w:tcW w:w="992" w:type="dxa"/>
                <w:vMerge w:val="restart"/>
              </w:tcPr>
              <w:p>
                <w:pPr>
                  <w:jc w:val="both"/>
                  <w:rPr>
                    <w:szCs w:val="24"/>
                    <w:lang w:eastAsia="lt-LT"/>
                  </w:rPr>
                </w:pPr>
              </w:p>
            </w:tc>
            <w:tc>
              <w:tcPr>
                <w:tcW w:w="1134" w:type="dxa"/>
                <w:vMerge w:val="restart"/>
              </w:tcPr>
              <w:p>
                <w:pPr>
                  <w:jc w:val="both"/>
                  <w:rPr>
                    <w:caps/>
                    <w:szCs w:val="24"/>
                    <w:lang w:eastAsia="lt-LT"/>
                  </w:rPr>
                </w:pPr>
              </w:p>
            </w:tc>
          </w:tr>
          <w:tr>
            <w:trPr>
              <w:trHeight w:val="255"/>
            </w:trPr>
            <w:tc>
              <w:tcPr>
                <w:tcW w:w="1271" w:type="dxa"/>
                <w:vMerge/>
                <w:vAlign w:val="center"/>
              </w:tcPr>
              <w:p>
                <w:pPr>
                  <w:jc w:val="both"/>
                  <w:rPr>
                    <w:szCs w:val="24"/>
                    <w:lang w:eastAsia="lt-LT"/>
                  </w:rPr>
                </w:pPr>
              </w:p>
            </w:tc>
            <w:tc>
              <w:tcPr>
                <w:tcW w:w="567" w:type="dxa"/>
                <w:vMerge/>
                <w:vAlign w:val="center"/>
              </w:tcPr>
              <w:p>
                <w:pPr>
                  <w:jc w:val="both"/>
                  <w:rPr>
                    <w:caps/>
                    <w:szCs w:val="24"/>
                    <w:lang w:eastAsia="lt-LT"/>
                  </w:rPr>
                </w:pPr>
              </w:p>
            </w:tc>
            <w:tc>
              <w:tcPr>
                <w:tcW w:w="1418" w:type="dxa"/>
              </w:tcPr>
              <w:p>
                <w:pPr>
                  <w:jc w:val="both"/>
                  <w:rPr>
                    <w:szCs w:val="24"/>
                    <w:lang w:eastAsia="lt-LT"/>
                  </w:rPr>
                </w:pPr>
                <w:r>
                  <w:rPr>
                    <w:szCs w:val="24"/>
                    <w:lang w:eastAsia="lt-LT"/>
                  </w:rPr>
                  <w:t>y:</w:t>
                </w:r>
              </w:p>
            </w:tc>
            <w:tc>
              <w:tcPr>
                <w:tcW w:w="992" w:type="dxa"/>
                <w:vMerge/>
              </w:tcPr>
              <w:p>
                <w:pPr>
                  <w:jc w:val="both"/>
                  <w:rPr>
                    <w:szCs w:val="24"/>
                    <w:lang w:eastAsia="lt-LT"/>
                  </w:rPr>
                </w:pPr>
              </w:p>
            </w:tc>
            <w:tc>
              <w:tcPr>
                <w:tcW w:w="1276" w:type="dxa"/>
                <w:vMerge/>
              </w:tcPr>
              <w:p>
                <w:pPr>
                  <w:jc w:val="both"/>
                  <w:rPr>
                    <w:szCs w:val="24"/>
                    <w:lang w:eastAsia="lt-LT"/>
                  </w:rPr>
                </w:pPr>
              </w:p>
            </w:tc>
            <w:tc>
              <w:tcPr>
                <w:tcW w:w="992" w:type="dxa"/>
                <w:vMerge/>
              </w:tcPr>
              <w:p>
                <w:pPr>
                  <w:jc w:val="both"/>
                  <w:rPr>
                    <w:szCs w:val="24"/>
                    <w:lang w:eastAsia="lt-LT"/>
                  </w:rPr>
                </w:pPr>
              </w:p>
            </w:tc>
            <w:tc>
              <w:tcPr>
                <w:tcW w:w="992" w:type="dxa"/>
                <w:vMerge/>
              </w:tcPr>
              <w:p>
                <w:pPr>
                  <w:jc w:val="both"/>
                  <w:rPr>
                    <w:szCs w:val="24"/>
                    <w:lang w:eastAsia="lt-LT"/>
                  </w:rPr>
                </w:pPr>
              </w:p>
            </w:tc>
            <w:tc>
              <w:tcPr>
                <w:tcW w:w="992" w:type="dxa"/>
                <w:vMerge/>
              </w:tcPr>
              <w:p>
                <w:pPr>
                  <w:jc w:val="both"/>
                  <w:rPr>
                    <w:szCs w:val="24"/>
                    <w:lang w:eastAsia="lt-LT"/>
                  </w:rPr>
                </w:pPr>
              </w:p>
            </w:tc>
            <w:tc>
              <w:tcPr>
                <w:tcW w:w="1134" w:type="dxa"/>
                <w:vMerge/>
                <w:vAlign w:val="center"/>
              </w:tcPr>
              <w:p>
                <w:pPr>
                  <w:jc w:val="both"/>
                  <w:rPr>
                    <w:szCs w:val="24"/>
                    <w:lang w:eastAsia="lt-LT"/>
                  </w:rPr>
                </w:pPr>
              </w:p>
            </w:tc>
          </w:tr>
          <w:tr>
            <w:trPr>
              <w:trHeight w:val="255"/>
            </w:trPr>
            <w:tc>
              <w:tcPr>
                <w:tcW w:w="1271" w:type="dxa"/>
                <w:vMerge w:val="restart"/>
                <w:vAlign w:val="center"/>
              </w:tcPr>
              <w:p>
                <w:pPr>
                  <w:jc w:val="both"/>
                  <w:rPr>
                    <w:caps/>
                    <w:szCs w:val="24"/>
                    <w:lang w:eastAsia="lt-LT"/>
                  </w:rPr>
                </w:pPr>
              </w:p>
            </w:tc>
            <w:tc>
              <w:tcPr>
                <w:tcW w:w="567" w:type="dxa"/>
                <w:vMerge w:val="restart"/>
                <w:vAlign w:val="center"/>
              </w:tcPr>
              <w:p>
                <w:pPr>
                  <w:jc w:val="both"/>
                  <w:rPr>
                    <w:caps/>
                    <w:szCs w:val="24"/>
                    <w:lang w:eastAsia="lt-LT"/>
                  </w:rPr>
                </w:pPr>
              </w:p>
            </w:tc>
            <w:tc>
              <w:tcPr>
                <w:tcW w:w="1418" w:type="dxa"/>
              </w:tcPr>
              <w:p>
                <w:pPr>
                  <w:jc w:val="both"/>
                  <w:rPr>
                    <w:szCs w:val="24"/>
                    <w:lang w:eastAsia="lt-LT"/>
                  </w:rPr>
                </w:pPr>
                <w:r>
                  <w:rPr>
                    <w:szCs w:val="24"/>
                    <w:lang w:eastAsia="lt-LT"/>
                  </w:rPr>
                  <w:t>x:</w:t>
                </w:r>
              </w:p>
            </w:tc>
            <w:tc>
              <w:tcPr>
                <w:tcW w:w="992" w:type="dxa"/>
                <w:vMerge w:val="restart"/>
              </w:tcPr>
              <w:p>
                <w:pPr>
                  <w:jc w:val="both"/>
                  <w:rPr>
                    <w:szCs w:val="24"/>
                    <w:lang w:eastAsia="lt-LT"/>
                  </w:rPr>
                </w:pPr>
              </w:p>
            </w:tc>
            <w:tc>
              <w:tcPr>
                <w:tcW w:w="1276" w:type="dxa"/>
                <w:vMerge w:val="restart"/>
              </w:tcPr>
              <w:p>
                <w:pPr>
                  <w:jc w:val="both"/>
                  <w:rPr>
                    <w:szCs w:val="24"/>
                    <w:lang w:eastAsia="lt-LT"/>
                  </w:rPr>
                </w:pPr>
              </w:p>
            </w:tc>
            <w:tc>
              <w:tcPr>
                <w:tcW w:w="992" w:type="dxa"/>
                <w:vMerge w:val="restart"/>
              </w:tcPr>
              <w:p>
                <w:pPr>
                  <w:jc w:val="both"/>
                  <w:rPr>
                    <w:szCs w:val="24"/>
                    <w:lang w:eastAsia="lt-LT"/>
                  </w:rPr>
                </w:pPr>
              </w:p>
            </w:tc>
            <w:tc>
              <w:tcPr>
                <w:tcW w:w="992" w:type="dxa"/>
                <w:vMerge w:val="restart"/>
              </w:tcPr>
              <w:p>
                <w:pPr>
                  <w:jc w:val="both"/>
                  <w:rPr>
                    <w:szCs w:val="24"/>
                    <w:lang w:eastAsia="lt-LT"/>
                  </w:rPr>
                </w:pPr>
              </w:p>
            </w:tc>
            <w:tc>
              <w:tcPr>
                <w:tcW w:w="992" w:type="dxa"/>
                <w:vMerge w:val="restart"/>
              </w:tcPr>
              <w:p>
                <w:pPr>
                  <w:jc w:val="both"/>
                  <w:rPr>
                    <w:szCs w:val="24"/>
                    <w:lang w:eastAsia="lt-LT"/>
                  </w:rPr>
                </w:pPr>
              </w:p>
            </w:tc>
            <w:tc>
              <w:tcPr>
                <w:tcW w:w="1134" w:type="dxa"/>
                <w:vMerge w:val="restart"/>
              </w:tcPr>
              <w:p>
                <w:pPr>
                  <w:jc w:val="both"/>
                  <w:rPr>
                    <w:szCs w:val="24"/>
                    <w:lang w:eastAsia="lt-LT"/>
                  </w:rPr>
                </w:pPr>
              </w:p>
            </w:tc>
          </w:tr>
          <w:tr>
            <w:trPr>
              <w:trHeight w:val="255"/>
            </w:trPr>
            <w:tc>
              <w:tcPr>
                <w:tcW w:w="1271" w:type="dxa"/>
                <w:vMerge/>
                <w:vAlign w:val="center"/>
              </w:tcPr>
              <w:p>
                <w:pPr>
                  <w:jc w:val="both"/>
                  <w:rPr>
                    <w:szCs w:val="24"/>
                    <w:lang w:eastAsia="lt-LT"/>
                  </w:rPr>
                </w:pPr>
              </w:p>
            </w:tc>
            <w:tc>
              <w:tcPr>
                <w:tcW w:w="567" w:type="dxa"/>
                <w:vMerge/>
                <w:vAlign w:val="center"/>
              </w:tcPr>
              <w:p>
                <w:pPr>
                  <w:jc w:val="both"/>
                  <w:rPr>
                    <w:caps/>
                    <w:szCs w:val="24"/>
                    <w:lang w:eastAsia="lt-LT"/>
                  </w:rPr>
                </w:pPr>
              </w:p>
            </w:tc>
            <w:tc>
              <w:tcPr>
                <w:tcW w:w="1418" w:type="dxa"/>
              </w:tcPr>
              <w:p>
                <w:pPr>
                  <w:jc w:val="both"/>
                  <w:rPr>
                    <w:szCs w:val="24"/>
                    <w:lang w:eastAsia="lt-LT"/>
                  </w:rPr>
                </w:pPr>
                <w:r>
                  <w:rPr>
                    <w:szCs w:val="24"/>
                    <w:lang w:eastAsia="lt-LT"/>
                  </w:rPr>
                  <w:t>y:</w:t>
                </w:r>
              </w:p>
            </w:tc>
            <w:tc>
              <w:tcPr>
                <w:tcW w:w="992" w:type="dxa"/>
                <w:vMerge/>
              </w:tcPr>
              <w:p>
                <w:pPr>
                  <w:jc w:val="both"/>
                  <w:rPr>
                    <w:szCs w:val="24"/>
                    <w:lang w:eastAsia="lt-LT"/>
                  </w:rPr>
                </w:pPr>
              </w:p>
            </w:tc>
            <w:tc>
              <w:tcPr>
                <w:tcW w:w="1276" w:type="dxa"/>
                <w:vMerge/>
              </w:tcPr>
              <w:p>
                <w:pPr>
                  <w:jc w:val="both"/>
                  <w:rPr>
                    <w:szCs w:val="24"/>
                    <w:lang w:eastAsia="lt-LT"/>
                  </w:rPr>
                </w:pPr>
              </w:p>
            </w:tc>
            <w:tc>
              <w:tcPr>
                <w:tcW w:w="992" w:type="dxa"/>
                <w:vMerge/>
              </w:tcPr>
              <w:p>
                <w:pPr>
                  <w:jc w:val="both"/>
                  <w:rPr>
                    <w:szCs w:val="24"/>
                    <w:lang w:eastAsia="lt-LT"/>
                  </w:rPr>
                </w:pPr>
              </w:p>
            </w:tc>
            <w:tc>
              <w:tcPr>
                <w:tcW w:w="992" w:type="dxa"/>
                <w:vMerge/>
              </w:tcPr>
              <w:p>
                <w:pPr>
                  <w:jc w:val="both"/>
                  <w:rPr>
                    <w:szCs w:val="24"/>
                    <w:lang w:eastAsia="lt-LT"/>
                  </w:rPr>
                </w:pPr>
              </w:p>
            </w:tc>
            <w:tc>
              <w:tcPr>
                <w:tcW w:w="992" w:type="dxa"/>
                <w:vMerge/>
              </w:tcPr>
              <w:p>
                <w:pPr>
                  <w:jc w:val="both"/>
                  <w:rPr>
                    <w:szCs w:val="24"/>
                    <w:lang w:eastAsia="lt-LT"/>
                  </w:rPr>
                </w:pPr>
              </w:p>
            </w:tc>
            <w:tc>
              <w:tcPr>
                <w:tcW w:w="1134" w:type="dxa"/>
                <w:vMerge/>
              </w:tcPr>
              <w:p>
                <w:pPr>
                  <w:jc w:val="both"/>
                  <w:rPr>
                    <w:caps/>
                    <w:szCs w:val="24"/>
                    <w:lang w:eastAsia="lt-LT"/>
                  </w:rPr>
                </w:pPr>
              </w:p>
            </w:tc>
          </w:tr>
        </w:tbl>
        <w:p>
          <w:pPr>
            <w:tabs>
              <w:tab w:val="right" w:pos="10773"/>
            </w:tabs>
            <w:jc w:val="both"/>
            <w:rPr>
              <w:szCs w:val="24"/>
              <w:lang w:eastAsia="lt-LT"/>
            </w:rPr>
          </w:pPr>
        </w:p>
        <w:p>
          <w:pPr>
            <w:tabs>
              <w:tab w:val="right" w:pos="10773"/>
            </w:tabs>
            <w:jc w:val="both"/>
            <w:rPr>
              <w:szCs w:val="24"/>
              <w:lang w:eastAsia="lt-LT"/>
            </w:rPr>
          </w:pPr>
          <w:r>
            <w:rPr>
              <w:szCs w:val="24"/>
              <w:lang w:eastAsia="lt-LT"/>
            </w:rPr>
            <w:t>9. Duomenys, apie taršos šaltinių kvapų išmetimus: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524"/>
            <w:gridCol w:w="2164"/>
            <w:gridCol w:w="2268"/>
            <w:gridCol w:w="2835"/>
          </w:tblGrid>
          <w:tr>
            <w:tc>
              <w:tcPr>
                <w:tcW w:w="2367" w:type="dxa"/>
                <w:gridSpan w:val="2"/>
                <w:vAlign w:val="center"/>
              </w:tcPr>
              <w:p>
                <w:pPr>
                  <w:jc w:val="center"/>
                  <w:rPr>
                    <w:b/>
                    <w:sz w:val="22"/>
                    <w:szCs w:val="22"/>
                    <w:lang w:eastAsia="lt-LT"/>
                  </w:rPr>
                </w:pPr>
                <w:r>
                  <w:rPr>
                    <w:b/>
                    <w:sz w:val="22"/>
                    <w:szCs w:val="22"/>
                    <w:lang w:eastAsia="lt-LT"/>
                  </w:rPr>
                  <w:t>Taršos šaltinis</w:t>
                </w:r>
              </w:p>
            </w:tc>
            <w:tc>
              <w:tcPr>
                <w:tcW w:w="7267" w:type="dxa"/>
                <w:gridSpan w:val="3"/>
                <w:vAlign w:val="center"/>
              </w:tcPr>
              <w:p>
                <w:pPr>
                  <w:jc w:val="center"/>
                  <w:rPr>
                    <w:sz w:val="22"/>
                    <w:szCs w:val="22"/>
                  </w:rPr>
                </w:pPr>
                <w:r>
                  <w:rPr>
                    <w:b/>
                    <w:sz w:val="22"/>
                    <w:szCs w:val="22"/>
                    <w:lang w:eastAsia="lt-LT"/>
                  </w:rPr>
                  <w:t>Kvapų išmetimo trukmė,</w:t>
                </w:r>
              </w:p>
              <w:p>
                <w:pPr>
                  <w:jc w:val="center"/>
                  <w:rPr>
                    <w:b/>
                    <w:sz w:val="22"/>
                    <w:szCs w:val="22"/>
                    <w:lang w:eastAsia="lt-LT"/>
                  </w:rPr>
                </w:pPr>
                <w:r>
                  <w:rPr>
                    <w:b/>
                    <w:sz w:val="22"/>
                    <w:szCs w:val="22"/>
                    <w:lang w:eastAsia="lt-LT"/>
                  </w:rPr>
                  <w:t>val./m</w:t>
                </w:r>
              </w:p>
            </w:tc>
          </w:tr>
          <w:tr>
            <w:tc>
              <w:tcPr>
                <w:tcW w:w="843" w:type="dxa"/>
              </w:tcPr>
              <w:p>
                <w:pPr>
                  <w:jc w:val="center"/>
                  <w:rPr>
                    <w:b/>
                    <w:sz w:val="22"/>
                    <w:szCs w:val="22"/>
                    <w:lang w:eastAsia="lt-LT"/>
                  </w:rPr>
                </w:pPr>
                <w:r>
                  <w:rPr>
                    <w:b/>
                    <w:sz w:val="22"/>
                    <w:szCs w:val="22"/>
                    <w:lang w:eastAsia="lt-LT"/>
                  </w:rPr>
                  <w:t>Nr.</w:t>
                </w:r>
              </w:p>
            </w:tc>
            <w:tc>
              <w:tcPr>
                <w:tcW w:w="1524" w:type="dxa"/>
              </w:tcPr>
              <w:p>
                <w:pPr>
                  <w:jc w:val="center"/>
                  <w:rPr>
                    <w:b/>
                    <w:sz w:val="22"/>
                    <w:szCs w:val="22"/>
                    <w:lang w:eastAsia="lt-LT"/>
                  </w:rPr>
                </w:pPr>
                <w:r>
                  <w:rPr>
                    <w:b/>
                    <w:sz w:val="22"/>
                    <w:szCs w:val="22"/>
                    <w:lang w:eastAsia="lt-LT"/>
                  </w:rPr>
                  <w:t>Pavadinimas</w:t>
                </w:r>
              </w:p>
            </w:tc>
            <w:tc>
              <w:tcPr>
                <w:tcW w:w="2164" w:type="dxa"/>
              </w:tcPr>
              <w:p>
                <w:pPr>
                  <w:jc w:val="center"/>
                  <w:rPr>
                    <w:sz w:val="22"/>
                    <w:szCs w:val="22"/>
                  </w:rPr>
                </w:pPr>
                <w:r>
                  <w:rPr>
                    <w:b/>
                    <w:sz w:val="22"/>
                    <w:szCs w:val="22"/>
                    <w:lang w:eastAsia="lt-LT"/>
                  </w:rPr>
                  <w:t xml:space="preserve">per parą, val. </w:t>
                </w:r>
              </w:p>
              <w:p>
                <w:pPr>
                  <w:jc w:val="center"/>
                  <w:rPr>
                    <w:b/>
                    <w:i/>
                    <w:iCs/>
                    <w:sz w:val="22"/>
                    <w:szCs w:val="22"/>
                    <w:lang w:eastAsia="lt-LT"/>
                  </w:rPr>
                </w:pPr>
                <w:r>
                  <w:rPr>
                    <w:b/>
                    <w:i/>
                    <w:iCs/>
                    <w:sz w:val="22"/>
                    <w:szCs w:val="22"/>
                    <w:lang w:eastAsia="lt-LT"/>
                  </w:rPr>
                  <w:t>(nurodant konkrečias valandas)</w:t>
                </w:r>
              </w:p>
            </w:tc>
            <w:tc>
              <w:tcPr>
                <w:tcW w:w="2268" w:type="dxa"/>
              </w:tcPr>
              <w:p>
                <w:pPr>
                  <w:jc w:val="center"/>
                  <w:rPr>
                    <w:sz w:val="22"/>
                    <w:szCs w:val="22"/>
                  </w:rPr>
                </w:pPr>
                <w:r>
                  <w:rPr>
                    <w:b/>
                    <w:sz w:val="22"/>
                    <w:szCs w:val="22"/>
                    <w:lang w:eastAsia="lt-LT"/>
                  </w:rPr>
                  <w:t>per savaitę, val.</w:t>
                </w:r>
              </w:p>
              <w:p>
                <w:pPr>
                  <w:jc w:val="center"/>
                  <w:rPr>
                    <w:b/>
                    <w:i/>
                    <w:iCs/>
                    <w:sz w:val="22"/>
                    <w:szCs w:val="22"/>
                    <w:lang w:eastAsia="lt-LT"/>
                  </w:rPr>
                </w:pPr>
                <w:r>
                  <w:rPr>
                    <w:b/>
                    <w:i/>
                    <w:iCs/>
                    <w:sz w:val="22"/>
                    <w:szCs w:val="22"/>
                    <w:lang w:eastAsia="lt-LT"/>
                  </w:rPr>
                  <w:t>(nurodant konkrečias dienas)</w:t>
                </w:r>
              </w:p>
            </w:tc>
            <w:tc>
              <w:tcPr>
                <w:tcW w:w="2835" w:type="dxa"/>
              </w:tcPr>
              <w:p>
                <w:pPr>
                  <w:jc w:val="center"/>
                  <w:rPr>
                    <w:sz w:val="22"/>
                    <w:szCs w:val="22"/>
                  </w:rPr>
                </w:pPr>
                <w:r>
                  <w:rPr>
                    <w:b/>
                    <w:sz w:val="22"/>
                    <w:szCs w:val="22"/>
                    <w:lang w:eastAsia="lt-LT"/>
                  </w:rPr>
                  <w:t>per metus, val.</w:t>
                </w:r>
              </w:p>
              <w:p>
                <w:pPr>
                  <w:jc w:val="center"/>
                  <w:rPr>
                    <w:b/>
                    <w:i/>
                    <w:iCs/>
                    <w:sz w:val="22"/>
                    <w:szCs w:val="22"/>
                    <w:lang w:eastAsia="lt-LT"/>
                  </w:rPr>
                </w:pPr>
                <w:r>
                  <w:rPr>
                    <w:b/>
                    <w:i/>
                    <w:iCs/>
                    <w:sz w:val="22"/>
                    <w:szCs w:val="22"/>
                    <w:lang w:eastAsia="lt-LT"/>
                  </w:rPr>
                  <w:t>(nurodant mėnesius, sezoniškumą)</w:t>
                </w:r>
              </w:p>
            </w:tc>
          </w:tr>
          <w:tr>
            <w:tc>
              <w:tcPr>
                <w:tcW w:w="843" w:type="dxa"/>
              </w:tcPr>
              <w:p>
                <w:pPr>
                  <w:widowControl w:val="0"/>
                  <w:suppressLineNumbers/>
                  <w:suppressAutoHyphens/>
                  <w:snapToGrid w:val="0"/>
                  <w:jc w:val="center"/>
                  <w:rPr>
                    <w:rFonts w:eastAsia="Lucida Sans Unicode"/>
                    <w:sz w:val="22"/>
                    <w:szCs w:val="22"/>
                    <w:lang w:eastAsia="lt-LT"/>
                  </w:rPr>
                </w:pPr>
                <w:r>
                  <w:rPr>
                    <w:rFonts w:eastAsia="Lucida Sans Unicode"/>
                    <w:sz w:val="22"/>
                    <w:szCs w:val="22"/>
                    <w:lang w:eastAsia="lt-LT"/>
                  </w:rPr>
                  <w:t>1</w:t>
                </w:r>
              </w:p>
            </w:tc>
            <w:tc>
              <w:tcPr>
                <w:tcW w:w="1524" w:type="dxa"/>
              </w:tcPr>
              <w:p>
                <w:pPr>
                  <w:widowControl w:val="0"/>
                  <w:suppressLineNumbers/>
                  <w:suppressAutoHyphens/>
                  <w:snapToGrid w:val="0"/>
                  <w:jc w:val="center"/>
                  <w:rPr>
                    <w:rFonts w:eastAsia="Lucida Sans Unicode"/>
                    <w:sz w:val="22"/>
                    <w:szCs w:val="22"/>
                    <w:lang w:eastAsia="lt-LT"/>
                  </w:rPr>
                </w:pPr>
                <w:r>
                  <w:rPr>
                    <w:rFonts w:eastAsia="Lucida Sans Unicode"/>
                    <w:sz w:val="22"/>
                    <w:szCs w:val="22"/>
                    <w:lang w:eastAsia="lt-LT"/>
                  </w:rPr>
                  <w:t>2</w:t>
                </w:r>
              </w:p>
            </w:tc>
            <w:tc>
              <w:tcPr>
                <w:tcW w:w="2164" w:type="dxa"/>
              </w:tcPr>
              <w:p>
                <w:pPr>
                  <w:widowControl w:val="0"/>
                  <w:suppressLineNumbers/>
                  <w:suppressAutoHyphens/>
                  <w:snapToGrid w:val="0"/>
                  <w:jc w:val="center"/>
                  <w:rPr>
                    <w:rFonts w:eastAsia="Lucida Sans Unicode"/>
                    <w:sz w:val="22"/>
                    <w:szCs w:val="22"/>
                    <w:lang w:eastAsia="lt-LT"/>
                  </w:rPr>
                </w:pPr>
                <w:r>
                  <w:rPr>
                    <w:rFonts w:eastAsia="Lucida Sans Unicode"/>
                    <w:sz w:val="22"/>
                    <w:szCs w:val="22"/>
                    <w:lang w:eastAsia="lt-LT"/>
                  </w:rPr>
                  <w:t>3</w:t>
                </w:r>
              </w:p>
            </w:tc>
            <w:tc>
              <w:tcPr>
                <w:tcW w:w="2268" w:type="dxa"/>
              </w:tcPr>
              <w:p>
                <w:pPr>
                  <w:widowControl w:val="0"/>
                  <w:suppressLineNumbers/>
                  <w:suppressAutoHyphens/>
                  <w:snapToGrid w:val="0"/>
                  <w:jc w:val="center"/>
                  <w:rPr>
                    <w:rFonts w:eastAsia="Lucida Sans Unicode"/>
                    <w:sz w:val="22"/>
                    <w:szCs w:val="22"/>
                    <w:lang w:eastAsia="lt-LT"/>
                  </w:rPr>
                </w:pPr>
                <w:r>
                  <w:rPr>
                    <w:rFonts w:eastAsia="Lucida Sans Unicode"/>
                    <w:sz w:val="22"/>
                    <w:szCs w:val="22"/>
                    <w:lang w:eastAsia="lt-LT"/>
                  </w:rPr>
                  <w:t>4</w:t>
                </w:r>
              </w:p>
            </w:tc>
            <w:tc>
              <w:tcPr>
                <w:tcW w:w="2835" w:type="dxa"/>
              </w:tcPr>
              <w:p>
                <w:pPr>
                  <w:widowControl w:val="0"/>
                  <w:suppressLineNumbers/>
                  <w:suppressAutoHyphens/>
                  <w:snapToGrid w:val="0"/>
                  <w:jc w:val="center"/>
                  <w:rPr>
                    <w:rFonts w:eastAsia="Lucida Sans Unicode"/>
                    <w:sz w:val="22"/>
                    <w:szCs w:val="22"/>
                    <w:lang w:eastAsia="lt-LT"/>
                  </w:rPr>
                </w:pPr>
                <w:r>
                  <w:rPr>
                    <w:rFonts w:eastAsia="Lucida Sans Unicode"/>
                    <w:sz w:val="22"/>
                    <w:szCs w:val="22"/>
                    <w:lang w:eastAsia="lt-LT"/>
                  </w:rPr>
                  <w:t>5</w:t>
                </w:r>
              </w:p>
            </w:tc>
          </w:tr>
          <w:tr>
            <w:tc>
              <w:tcPr>
                <w:tcW w:w="843" w:type="dxa"/>
                <w:vAlign w:val="center"/>
              </w:tcPr>
              <w:p>
                <w:pPr>
                  <w:jc w:val="center"/>
                  <w:rPr>
                    <w:szCs w:val="24"/>
                    <w:lang w:eastAsia="lt-LT"/>
                  </w:rPr>
                </w:pPr>
              </w:p>
            </w:tc>
            <w:tc>
              <w:tcPr>
                <w:tcW w:w="1524" w:type="dxa"/>
              </w:tcPr>
              <w:p>
                <w:pPr>
                  <w:rPr>
                    <w:szCs w:val="24"/>
                    <w:lang w:eastAsia="lt-LT"/>
                  </w:rPr>
                </w:pPr>
              </w:p>
            </w:tc>
            <w:tc>
              <w:tcPr>
                <w:tcW w:w="2164" w:type="dxa"/>
                <w:vAlign w:val="center"/>
              </w:tcPr>
              <w:p>
                <w:pPr>
                  <w:jc w:val="center"/>
                  <w:rPr>
                    <w:szCs w:val="24"/>
                    <w:lang w:eastAsia="lt-LT"/>
                  </w:rPr>
                </w:pPr>
              </w:p>
            </w:tc>
            <w:tc>
              <w:tcPr>
                <w:tcW w:w="2268" w:type="dxa"/>
                <w:vAlign w:val="center"/>
              </w:tcPr>
              <w:p>
                <w:pPr>
                  <w:jc w:val="center"/>
                  <w:rPr>
                    <w:szCs w:val="24"/>
                    <w:lang w:eastAsia="lt-LT"/>
                  </w:rPr>
                </w:pPr>
              </w:p>
            </w:tc>
            <w:tc>
              <w:tcPr>
                <w:tcW w:w="2835" w:type="dxa"/>
                <w:vAlign w:val="center"/>
              </w:tcPr>
              <w:p>
                <w:pPr>
                  <w:jc w:val="center"/>
                  <w:rPr>
                    <w:b/>
                    <w:sz w:val="22"/>
                    <w:szCs w:val="22"/>
                    <w:lang w:eastAsia="lt-LT"/>
                  </w:rPr>
                </w:pPr>
              </w:p>
            </w:tc>
          </w:tr>
          <w:tr>
            <w:tc>
              <w:tcPr>
                <w:tcW w:w="843" w:type="dxa"/>
                <w:vAlign w:val="center"/>
              </w:tcPr>
              <w:p>
                <w:pPr>
                  <w:jc w:val="center"/>
                  <w:rPr>
                    <w:szCs w:val="24"/>
                    <w:lang w:eastAsia="lt-LT"/>
                  </w:rPr>
                </w:pPr>
              </w:p>
            </w:tc>
            <w:tc>
              <w:tcPr>
                <w:tcW w:w="1524" w:type="dxa"/>
              </w:tcPr>
              <w:p>
                <w:pPr>
                  <w:rPr>
                    <w:szCs w:val="24"/>
                    <w:lang w:eastAsia="lt-LT"/>
                  </w:rPr>
                </w:pPr>
              </w:p>
            </w:tc>
            <w:tc>
              <w:tcPr>
                <w:tcW w:w="2164" w:type="dxa"/>
                <w:vAlign w:val="center"/>
              </w:tcPr>
              <w:p>
                <w:pPr>
                  <w:jc w:val="center"/>
                  <w:rPr>
                    <w:szCs w:val="24"/>
                    <w:lang w:eastAsia="lt-LT"/>
                  </w:rPr>
                </w:pPr>
              </w:p>
            </w:tc>
            <w:tc>
              <w:tcPr>
                <w:tcW w:w="2268" w:type="dxa"/>
                <w:vAlign w:val="center"/>
              </w:tcPr>
              <w:p>
                <w:pPr>
                  <w:jc w:val="center"/>
                  <w:rPr>
                    <w:szCs w:val="24"/>
                    <w:lang w:eastAsia="lt-LT"/>
                  </w:rPr>
                </w:pPr>
              </w:p>
            </w:tc>
            <w:tc>
              <w:tcPr>
                <w:tcW w:w="2835" w:type="dxa"/>
                <w:vAlign w:val="center"/>
              </w:tcPr>
              <w:p>
                <w:pPr>
                  <w:jc w:val="center"/>
                  <w:rPr>
                    <w:sz w:val="22"/>
                    <w:szCs w:val="22"/>
                    <w:lang w:eastAsia="lt-LT"/>
                  </w:rPr>
                </w:pPr>
              </w:p>
            </w:tc>
          </w:tr>
          <w:tr>
            <w:tc>
              <w:tcPr>
                <w:tcW w:w="843" w:type="dxa"/>
                <w:vAlign w:val="center"/>
              </w:tcPr>
              <w:p>
                <w:pPr>
                  <w:jc w:val="center"/>
                  <w:rPr>
                    <w:szCs w:val="24"/>
                    <w:lang w:eastAsia="lt-LT"/>
                  </w:rPr>
                </w:pPr>
              </w:p>
            </w:tc>
            <w:tc>
              <w:tcPr>
                <w:tcW w:w="1524" w:type="dxa"/>
              </w:tcPr>
              <w:p>
                <w:pPr>
                  <w:rPr>
                    <w:szCs w:val="24"/>
                    <w:lang w:eastAsia="lt-LT"/>
                  </w:rPr>
                </w:pPr>
              </w:p>
            </w:tc>
            <w:tc>
              <w:tcPr>
                <w:tcW w:w="2164" w:type="dxa"/>
                <w:vAlign w:val="center"/>
              </w:tcPr>
              <w:p>
                <w:pPr>
                  <w:jc w:val="center"/>
                  <w:rPr>
                    <w:szCs w:val="24"/>
                    <w:lang w:eastAsia="lt-LT"/>
                  </w:rPr>
                </w:pPr>
              </w:p>
            </w:tc>
            <w:tc>
              <w:tcPr>
                <w:tcW w:w="2268" w:type="dxa"/>
                <w:vAlign w:val="center"/>
              </w:tcPr>
              <w:p>
                <w:pPr>
                  <w:jc w:val="center"/>
                  <w:rPr>
                    <w:szCs w:val="24"/>
                    <w:lang w:eastAsia="lt-LT"/>
                  </w:rPr>
                </w:pPr>
              </w:p>
            </w:tc>
            <w:tc>
              <w:tcPr>
                <w:tcW w:w="2835" w:type="dxa"/>
                <w:vAlign w:val="center"/>
              </w:tcPr>
              <w:p>
                <w:pPr>
                  <w:jc w:val="center"/>
                  <w:rPr>
                    <w:sz w:val="22"/>
                    <w:szCs w:val="22"/>
                    <w:lang w:eastAsia="lt-LT"/>
                  </w:rPr>
                </w:pPr>
              </w:p>
            </w:tc>
          </w:tr>
        </w:tbl>
        <w:p>
          <w:pPr>
            <w:tabs>
              <w:tab w:val="right" w:pos="10773"/>
            </w:tabs>
            <w:jc w:val="both"/>
            <w:rPr>
              <w:szCs w:val="24"/>
              <w:lang w:eastAsia="lt-LT"/>
            </w:rPr>
          </w:pPr>
        </w:p>
        <w:p>
          <w:pPr>
            <w:tabs>
              <w:tab w:val="right" w:pos="10773"/>
            </w:tabs>
            <w:jc w:val="both"/>
            <w:rPr>
              <w:szCs w:val="24"/>
              <w:u w:val="single"/>
              <w:lang w:eastAsia="lt-LT"/>
            </w:rPr>
          </w:pPr>
          <w:r>
            <w:rPr>
              <w:szCs w:val="24"/>
              <w:lang w:eastAsia="lt-LT"/>
            </w:rPr>
            <w:t>10.</w:t>
          </w:r>
          <w:r>
            <w:rPr>
              <w:b/>
              <w:bCs/>
              <w:szCs w:val="24"/>
              <w:lang w:eastAsia="lt-LT"/>
            </w:rPr>
            <w:t>*</w:t>
          </w:r>
          <w:r>
            <w:rPr>
              <w:szCs w:val="24"/>
              <w:lang w:eastAsia="lt-LT"/>
            </w:rPr>
            <w:t> Duomenys apie šalia kvapą skleidžiančio (galimai skleidžiančio) ūkio subjekto esančius pastatus (pavadinimas, aukštų skaičius, aukštis, plotis, ilgis, adresas):_________________________________________________________________________</w:t>
          </w:r>
        </w:p>
        <w:p>
          <w:pPr>
            <w:tabs>
              <w:tab w:val="right" w:pos="10773"/>
            </w:tabs>
            <w:jc w:val="both"/>
            <w:rPr>
              <w:szCs w:val="24"/>
              <w:lang w:eastAsia="lt-LT"/>
            </w:rPr>
          </w:pPr>
          <w:r>
            <w:rPr>
              <w:szCs w:val="24"/>
              <w:lang w:eastAsia="lt-LT"/>
            </w:rPr>
            <w:t>________________________________________________________________________________________________________________________________________________________________</w:t>
          </w:r>
        </w:p>
        <w:p>
          <w:pPr>
            <w:tabs>
              <w:tab w:val="right" w:pos="10773"/>
            </w:tabs>
            <w:jc w:val="both"/>
            <w:rPr>
              <w:szCs w:val="24"/>
              <w:lang w:eastAsia="lt-LT"/>
            </w:rPr>
          </w:pPr>
        </w:p>
        <w:p>
          <w:pPr>
            <w:tabs>
              <w:tab w:val="right" w:pos="10773"/>
            </w:tabs>
            <w:jc w:val="both"/>
            <w:rPr>
              <w:szCs w:val="24"/>
              <w:u w:val="single"/>
              <w:lang w:eastAsia="lt-LT"/>
            </w:rPr>
          </w:pPr>
          <w:r>
            <w:rPr>
              <w:szCs w:val="24"/>
              <w:lang w:eastAsia="lt-LT"/>
            </w:rPr>
            <w:t>11.</w:t>
          </w:r>
          <w:r>
            <w:rPr>
              <w:b/>
              <w:bCs/>
              <w:szCs w:val="24"/>
              <w:lang w:eastAsia="lt-LT"/>
            </w:rPr>
            <w:t>*</w:t>
          </w:r>
          <w:r>
            <w:rPr>
              <w:szCs w:val="24"/>
              <w:lang w:eastAsia="lt-LT"/>
            </w:rPr>
            <w:t> Artimiausia gyvenamoji aplinka (visomis pasaulio kryptimis) (pavadinimas, adresas):</w:t>
          </w:r>
        </w:p>
        <w:p>
          <w:pPr>
            <w:tabs>
              <w:tab w:val="right" w:pos="10773"/>
            </w:tabs>
            <w:jc w:val="both"/>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pPr>
            <w:tabs>
              <w:tab w:val="right" w:pos="10773"/>
            </w:tabs>
            <w:jc w:val="both"/>
            <w:rPr>
              <w:szCs w:val="24"/>
              <w:lang w:eastAsia="lt-LT"/>
            </w:rPr>
          </w:pPr>
        </w:p>
        <w:p>
          <w:pPr>
            <w:tabs>
              <w:tab w:val="right" w:pos="10773"/>
            </w:tabs>
            <w:jc w:val="both"/>
            <w:rPr>
              <w:szCs w:val="24"/>
              <w:lang w:eastAsia="lt-LT"/>
            </w:rPr>
          </w:pPr>
          <w:r>
            <w:rPr>
              <w:szCs w:val="24"/>
              <w:lang w:eastAsia="lt-LT"/>
            </w:rPr>
            <w:t>12. Pastabos (pvz., ar yra galimybė patekti prie taršos šaltinio):</w:t>
          </w:r>
        </w:p>
        <w:p>
          <w:pPr>
            <w:tabs>
              <w:tab w:val="right" w:pos="10773"/>
            </w:tabs>
            <w:jc w:val="both"/>
            <w:rPr>
              <w:szCs w:val="24"/>
              <w:u w:val="single"/>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pPr>
            <w:tabs>
              <w:tab w:val="right" w:pos="10773"/>
            </w:tabs>
            <w:jc w:val="both"/>
            <w:rPr>
              <w:szCs w:val="24"/>
              <w:lang w:eastAsia="lt-LT"/>
            </w:rPr>
          </w:pPr>
          <w:r>
            <w:rPr>
              <w:szCs w:val="24"/>
              <w:lang w:eastAsia="lt-LT"/>
            </w:rPr>
            <w:t>* Šie punktai nepildomi, jei</w:t>
          </w:r>
          <w:r>
            <w:t xml:space="preserve"> Centras taršos integruotos prevencijos ir kontrolės leidime ar taršos leidime yra nustatęs kvapų valdymo sąlygas, kai Planas teikiamas vadovaujantis </w:t>
          </w:r>
          <w:r>
            <w:rPr>
              <w:szCs w:val="24"/>
              <w:lang w:eastAsia="lt-LT"/>
            </w:rPr>
            <w:t>Taisyklių 11 punkto nuostatomis).</w:t>
          </w:r>
        </w:p>
        <w:p>
          <w:pPr>
            <w:tabs>
              <w:tab w:val="right" w:pos="10773"/>
            </w:tabs>
            <w:jc w:val="both"/>
            <w:rPr>
              <w:szCs w:val="24"/>
              <w:u w:val="single"/>
              <w:lang w:eastAsia="lt-LT"/>
            </w:rPr>
          </w:pPr>
        </w:p>
        <w:p>
          <w:pPr>
            <w:tabs>
              <w:tab w:val="right" w:pos="10773"/>
            </w:tabs>
            <w:jc w:val="both"/>
            <w:rPr>
              <w:szCs w:val="24"/>
              <w:lang w:eastAsia="lt-LT"/>
            </w:rPr>
          </w:pPr>
          <w:r>
            <w:rPr>
              <w:szCs w:val="24"/>
              <w:lang w:eastAsia="lt-LT"/>
            </w:rPr>
            <w:t>13. PRIDEDAMA:</w:t>
          </w:r>
        </w:p>
        <w:p>
          <w:pPr>
            <w:tabs>
              <w:tab w:val="right" w:pos="10773"/>
            </w:tabs>
            <w:jc w:val="both"/>
            <w:rPr>
              <w:szCs w:val="24"/>
              <w:lang w:eastAsia="lt-LT"/>
            </w:rPr>
          </w:pPr>
          <w:r>
            <w:rPr>
              <w:szCs w:val="24"/>
              <w:lang w:eastAsia="lt-LT"/>
            </w:rPr>
            <w:t>13.1. Taršos šaltinių išsidėstymo schema su pažymėtomis kvapo mėginių ėmimo vietomis.</w:t>
          </w:r>
        </w:p>
        <w:p>
          <w:pPr>
            <w:tabs>
              <w:tab w:val="right" w:pos="10773"/>
            </w:tabs>
            <w:jc w:val="both"/>
            <w:rPr>
              <w:szCs w:val="24"/>
              <w:lang w:eastAsia="lt-LT"/>
            </w:rPr>
          </w:pPr>
          <w:r>
            <w:rPr>
              <w:szCs w:val="24"/>
              <w:lang w:eastAsia="lt-LT"/>
            </w:rPr>
            <w:t>13.2. Papildomi dokumentai, kuriuose gali būti kvapo sklaidos modeliavimui reikalinga informacija (pvz., taršos integruotos prevencijos ir kontrolės leidimai, taršos leidimai, aplinkos oro taršos šaltinių ir iš jų išmetamų teršalų inventorizacijos ataskaitos, poveikio visuomenės sveikatai vertinimo ataskaitos, poveikio aplinkai vertinimo ataskaitos, techniniai projektai ir t. t.)</w:t>
          </w:r>
        </w:p>
        <w:p>
          <w:pPr>
            <w:tabs>
              <w:tab w:val="right" w:pos="10773"/>
            </w:tabs>
            <w:jc w:val="both"/>
            <w:rPr>
              <w:szCs w:val="24"/>
              <w:u w:val="single"/>
              <w:lang w:eastAsia="lt-LT"/>
            </w:rPr>
          </w:pPr>
          <w:r>
            <w:rPr>
              <w:szCs w:val="24"/>
              <w:lang w:eastAsia="lt-LT"/>
            </w:rPr>
            <w:t>13.3. Kita.</w:t>
          </w:r>
        </w:p>
        <w:p>
          <w:pPr>
            <w:jc w:val="both"/>
            <w:rPr>
              <w:szCs w:val="24"/>
            </w:rPr>
          </w:pPr>
        </w:p>
        <w:p>
          <w:pPr>
            <w:jc w:val="both"/>
            <w:rPr>
              <w:sz w:val="20"/>
            </w:rPr>
          </w:pPr>
          <w:r>
            <w:rPr>
              <w:szCs w:val="24"/>
            </w:rPr>
            <w:t>______________________________</w:t>
          </w:r>
        </w:p>
        <w:p>
          <w:pPr>
            <w:jc w:val="both"/>
            <w:rPr>
              <w:sz w:val="18"/>
            </w:rPr>
          </w:pPr>
          <w:r>
            <w:rPr>
              <w:sz w:val="18"/>
            </w:rPr>
            <w:t>(asmens pareigų pavadinimas)</w:t>
          </w:r>
        </w:p>
        <w:p>
          <w:pPr>
            <w:jc w:val="both"/>
            <w:rPr>
              <w:sz w:val="20"/>
            </w:rPr>
          </w:pPr>
          <w:r>
            <w:rPr>
              <w:szCs w:val="24"/>
            </w:rPr>
            <w:t>_____________</w:t>
          </w:r>
        </w:p>
        <w:p>
          <w:pPr>
            <w:jc w:val="both"/>
            <w:rPr>
              <w:sz w:val="18"/>
            </w:rPr>
          </w:pPr>
          <w:r>
            <w:rPr>
              <w:sz w:val="18"/>
            </w:rPr>
            <w:t>(parašas)</w:t>
          </w:r>
        </w:p>
        <w:p>
          <w:pPr>
            <w:jc w:val="both"/>
            <w:rPr>
              <w:sz w:val="20"/>
            </w:rPr>
          </w:pPr>
          <w:r>
            <w:rPr>
              <w:szCs w:val="24"/>
            </w:rPr>
            <w:t>____________</w:t>
          </w:r>
        </w:p>
        <w:p>
          <w:pPr>
            <w:tabs>
              <w:tab w:val="right" w:pos="10773"/>
            </w:tabs>
            <w:jc w:val="both"/>
            <w:rPr>
              <w:szCs w:val="24"/>
              <w:lang w:eastAsia="lt-LT"/>
            </w:rPr>
          </w:pPr>
          <w:r>
            <w:rPr>
              <w:sz w:val="18"/>
            </w:rPr>
            <w:t>(vardas ir pavardė)</w:t>
          </w:r>
        </w:p>
        <w:p>
          <w:pPr>
            <w:jc w:val="both"/>
            <w:rPr>
              <w:sz w:val="18"/>
              <w:lang w:eastAsia="lt-LT"/>
            </w:rPr>
          </w:pPr>
        </w:p>
        <w:p>
          <w:pPr>
            <w:ind w:left="4320" w:firstLine="720"/>
            <w:jc w:val="both"/>
          </w:pPr>
        </w:p>
        <w:p>
          <w:pPr>
            <w:widowControl w:val="0"/>
            <w:jc w:val="center"/>
          </w:pPr>
          <w: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6160b05e11eab9d9cd0c85e0b745">
            <w:r w:rsidRPr="00532B9F">
              <w:rPr>
                <w:rFonts w:ascii="Times New Roman" w:eastAsia="MS Mincho" w:hAnsi="Times New Roman"/>
                <w:sz w:val="20"/>
                <w:i/>
                <w:iCs/>
                <w:color w:val="0000FF" w:themeColor="hyperlink"/>
                <w:u w:val="single"/>
              </w:rPr>
              <w:t>V-1481</w:t>
            </w:r>
          </w:fldSimple>
          <w:r>
            <w:rPr>
              <w:rFonts w:ascii="Times New Roman" w:eastAsia="MS Mincho" w:hAnsi="Times New Roman"/>
              <w:sz w:val="20"/>
              <w:i/>
              <w:iCs/>
            </w:rPr>
            <w:t>,
2020-06-16,
paskelbta TAR 2020-06-17, i. k. 2020-13195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3467f0f0d811e5989ee743dd0efbb0">
            <w:r w:rsidRPr="00532B9F">
              <w:rPr>
                <w:rFonts w:ascii="Times New Roman" w:eastAsia="MS Mincho" w:hAnsi="Times New Roman"/>
                <w:sz w:val="20"/>
                <w:iCs/>
                <w:color w:val="0000FF" w:themeColor="hyperlink"/>
                <w:u w:val="single"/>
              </w:rPr>
              <w:t>V-373</w:t>
            </w:r>
          </w:fldSimple>
          <w:r>
            <w:rPr>
              <w:rFonts w:ascii="Times New Roman" w:eastAsia="MS Mincho" w:hAnsi="Times New Roman"/>
              <w:sz w:val="20"/>
              <w:iCs/>
            </w:rPr>
            <w:t>,
2016-03-22,
paskelbta TAR 2016-03-23, i. k. 2016-05756                </w:t>
          </w:r>
        </w:p>
        <w:p>
          <w:pPr>
            <w:jc w:val="both"/>
            <w:rPr>
              <w:rFonts w:ascii="Times New Roman" w:hAnsi="Times New Roman"/>
            </w:rPr>
          </w:pPr>
          <w:r>
            <w:rPr>
              <w:rFonts w:ascii="Times New Roman" w:hAnsi="Times New Roman"/>
              <w:sz w:val="20"/>
            </w:rPr>
            <w:t>Dėl Lietuvos Respublikos sveikatos apsaugos ministro 2010 m. spalio 4 d. įsakymo Nr. V-885 „Dėl Lietuvos higienos normos HN 121:2010 „Kvapo koncentracijos ribinė vertė gyvenamosios aplinkos ore“ ir Kvapų kontrolės gyvenamosios aplinkos ore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cc50d0b44711e98451fa7b5933515d">
            <w:r w:rsidRPr="00532B9F">
              <w:rPr>
                <w:rFonts w:ascii="Times New Roman" w:eastAsia="MS Mincho" w:hAnsi="Times New Roman"/>
                <w:sz w:val="20"/>
                <w:iCs/>
                <w:color w:val="0000FF" w:themeColor="hyperlink"/>
                <w:u w:val="single"/>
              </w:rPr>
              <w:t>V-959</w:t>
            </w:r>
          </w:fldSimple>
          <w:r>
            <w:rPr>
              <w:rFonts w:ascii="Times New Roman" w:eastAsia="MS Mincho" w:hAnsi="Times New Roman"/>
              <w:sz w:val="20"/>
              <w:iCs/>
            </w:rPr>
            <w:t>,
2019-08-01,
paskelbta TAR 2019-08-01, i. k. 2019-12683                </w:t>
          </w:r>
        </w:p>
        <w:p>
          <w:pPr>
            <w:jc w:val="both"/>
            <w:rPr>
              <w:rFonts w:ascii="Times New Roman" w:hAnsi="Times New Roman"/>
            </w:rPr>
          </w:pPr>
          <w:r>
            <w:rPr>
              <w:rFonts w:ascii="Times New Roman" w:hAnsi="Times New Roman"/>
              <w:sz w:val="20"/>
            </w:rPr>
            <w:t>Dėl Lietuvos Respublikos sveikatos apsaugos ministro 2010 m. spalio 4 d. įsakymo Nr. V-885 „Dėl Lietuvos higienos normos HN 121:2010 „Kvapo koncentracijos ribinė vertė gyvenamosios aplinkos ore“ ir Kvapų kontrolės gyvenamosios aplinkos ore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906160b05e11eab9d9cd0c85e0b745">
            <w:r w:rsidRPr="00532B9F">
              <w:rPr>
                <w:rFonts w:ascii="Times New Roman" w:eastAsia="MS Mincho" w:hAnsi="Times New Roman"/>
                <w:sz w:val="20"/>
                <w:iCs/>
                <w:color w:val="0000FF" w:themeColor="hyperlink"/>
                <w:u w:val="single"/>
              </w:rPr>
              <w:t>V-1481</w:t>
            </w:r>
          </w:fldSimple>
          <w:r>
            <w:rPr>
              <w:rFonts w:ascii="Times New Roman" w:eastAsia="MS Mincho" w:hAnsi="Times New Roman"/>
              <w:sz w:val="20"/>
              <w:iCs/>
            </w:rPr>
            <w:t>,
2020-06-16,
paskelbta TAR 2020-06-17, i. k. 2020-13195                </w:t>
          </w:r>
        </w:p>
        <w:p>
          <w:pPr>
            <w:jc w:val="both"/>
            <w:rPr>
              <w:rFonts w:ascii="Times New Roman" w:hAnsi="Times New Roman"/>
            </w:rPr>
          </w:pPr>
          <w:r>
            <w:rPr>
              <w:rFonts w:ascii="Times New Roman" w:hAnsi="Times New Roman"/>
              <w:sz w:val="20"/>
            </w:rPr>
            <w:t>Dėl Lietuvos Respublikos sveikatos apsaugos ministro 2010 m. spalio 4 d. įsakymo Nr. V-885 „Dėl Lietuvos higienos normos HN 121:2010 „Kvapo koncentracijos ribinė vertė gyvenamosios aplinkos ore“ ir Kvapų kontrolės gyvenamosios aplinkos ore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9ab1f0e5cd11ed9978886e85107ab2">
            <w:r w:rsidRPr="00532B9F">
              <w:rPr>
                <w:rFonts w:ascii="Times New Roman" w:eastAsia="MS Mincho" w:hAnsi="Times New Roman"/>
                <w:sz w:val="20"/>
                <w:iCs/>
                <w:color w:val="0000FF" w:themeColor="hyperlink"/>
                <w:u w:val="single"/>
              </w:rPr>
              <w:t>V-523</w:t>
            </w:r>
          </w:fldSimple>
          <w:r>
            <w:rPr>
              <w:rFonts w:ascii="Times New Roman" w:eastAsia="MS Mincho" w:hAnsi="Times New Roman"/>
              <w:sz w:val="20"/>
              <w:iCs/>
            </w:rPr>
            <w:t>,
2023-04-28,
paskelbta TAR 2023-04-28, i. k. 2023-08208                </w:t>
          </w:r>
        </w:p>
        <w:p>
          <w:pPr>
            <w:jc w:val="both"/>
            <w:rPr>
              <w:rFonts w:ascii="Times New Roman" w:hAnsi="Times New Roman"/>
            </w:rPr>
          </w:pPr>
          <w:r>
            <w:rPr>
              <w:rFonts w:ascii="Times New Roman" w:hAnsi="Times New Roman"/>
              <w:sz w:val="20"/>
            </w:rPr>
            <w:t>Dėl Lietuvos Respublikos sveikatos apsaugos ministro 2010 m. spalio 4 d. įsakymo Nr. V-885 „Dėl Lietuvos higienos normos HN 121:2010 „Kvapo koncentracijos ribinė vertė gyvenamosios aplinkos ore“ ir Kvapų kontrolės gyvenamosios aplinkos ore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0bb6e0594c11ee81b8b446907f594f">
            <w:r w:rsidRPr="00532B9F">
              <w:rPr>
                <w:rFonts w:ascii="Times New Roman" w:eastAsia="MS Mincho" w:hAnsi="Times New Roman"/>
                <w:sz w:val="20"/>
                <w:iCs/>
                <w:color w:val="0000FF" w:themeColor="hyperlink"/>
                <w:u w:val="single"/>
              </w:rPr>
              <w:t>V-1024</w:t>
            </w:r>
          </w:fldSimple>
          <w:r>
            <w:rPr>
              <w:rFonts w:ascii="Times New Roman" w:eastAsia="MS Mincho" w:hAnsi="Times New Roman"/>
              <w:sz w:val="20"/>
              <w:iCs/>
            </w:rPr>
            <w:t>,
2023-09-22,
paskelbta TAR 2023-09-22, i. k. 2023-18601                </w:t>
          </w:r>
        </w:p>
        <w:p>
          <w:pPr>
            <w:jc w:val="both"/>
            <w:rPr>
              <w:rFonts w:ascii="Times New Roman" w:hAnsi="Times New Roman"/>
            </w:rPr>
          </w:pPr>
          <w:r>
            <w:rPr>
              <w:rFonts w:ascii="Times New Roman" w:hAnsi="Times New Roman"/>
              <w:sz w:val="20"/>
            </w:rPr>
            <w:t>Dėl Lietuvos Respublikos sveikatos apsaugos ministro 2019 m. rugpjūčio 1 d. įsakymo Nr. V-959 „Dėl Lietuvos Respublikos sveikatos apsaugos ministro 2010 m. spalio 4 d. įsakymo Nr. V-885 „Dėl Lietuvos higienos normos HN 121:2010 „Kvapo koncentracijos ribinė vertė gyvenamosios aplinkos ore“ ir Kvapų kontrolės gyvenamosios aplinkos ore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80"/>
        <w:tab w:val="right" w:pos="9360"/>
      </w:tabs>
      <w:jc w:val="center"/>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jc w:val="center"/>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14</w:t>
    </w:r>
    <w:r>
      <w:rPr>
        <w:sz w:val="22"/>
        <w:szCs w:val="22"/>
        <w:lang w:eastAsia="lt-LT"/>
      </w:rPr>
      <w:fldChar w:fldCharType="end"/>
    </w:r>
  </w:p>
  <w:p>
    <w:pPr>
      <w:tabs>
        <w:tab w:val="center" w:pos="4819"/>
        <w:tab w:val="right" w:pos="9638"/>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80"/>
        <w:tab w:val="right" w:pos="9360"/>
      </w:tabs>
      <w:jc w:val="center"/>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jc w:val="center"/>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8C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16EF9"/>
  <w15:docId w15:val="{BE0BDA4D-6674-4DD0-AE15-A2C123DA6A5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header" Target="header22.xml"/>
  <Relationship Id="rId15" Type="http://schemas.openxmlformats.org/officeDocument/2006/relationships/header" Target="header23.xml"/>
  <Relationship Id="rId16" Type="http://schemas.openxmlformats.org/officeDocument/2006/relationships/footer" Target="footer22.xml"/>
  <Relationship Id="rId17" Type="http://schemas.openxmlformats.org/officeDocument/2006/relationships/footer" Target="footer23.xml"/>
  <Relationship Id="rId18" Type="http://schemas.openxmlformats.org/officeDocument/2006/relationships/header" Target="header24.xml"/>
  <Relationship Id="rId19" Type="http://schemas.openxmlformats.org/officeDocument/2006/relationships/footer" Target="footer24.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132e5e76574afb958c27c66387f542" PartId="f9f40189dc5444f18e76a18b441ca306">
    <Part Type="preambule" DocPartId="f1a68f6b323c44f8aa3c28f1d3ca1ef6" PartId="baaa579508534fae9ba6f0ddee4a078a"/>
    <Part Type="punktas" Nr="1" Abbr="1 p." DocPartId="59ce104315924e0a906160223719bf8d" PartId="af908c6ebd614a5ca1ad0050f81647d7">
      <Part Type="punktas" Nr="1.1" Abbr="1.1 p." DocPartId="197e1fec33dc431a8efd8fb6a47c2f01" PartId="be5469efdfba42b0bb759d3cd96c1a73"/>
      <Part Type="punktas" Nr="1.2" Abbr="1.2 p." DocPartId="5ece8cb8738744baa79a12cc57377abc" PartId="bf75ec11ae184d45b52efa8eb011020c"/>
    </Part>
    <Part Type="punktas" Nr="2" Abbr="2 p." DocPartId="ddf1f6f2ae4d49b18a8a73e5fb34d77c" PartId="140211a68fc2420da77fb42b1378ac97"/>
    <Part Type="signatura" DocPartId="81562b14c37b489da1fb7c5c2b2c6e9d" PartId="60a51a633e2c4319a00f756fb6d62267"/>
  </Part>
  <Part Type="patvirtinta" Title="LIETUVOS HIGIENOS NORMA HN 121:2010 „KVAPO KONCENTRACIJOS RIBINĖ VERTĖ GYVENAMOSIOS APLINKOS ORE“" DocPartId="a31a4ac7a12e4c50a989ef932f678c22" PartId="7542c4db0e0f47e5a88da42c9b3c8749">
    <Part Type="punktas" Nr="1" Abbr="1 p." DocPartId="a3a65a1330b84d599accf9ef3876afc8" PartId="3b6971a34d53431f825c8e782121dfe0"/>
    <Part Type="punktas" Nr="2" Abbr="2 p." DocPartId="ffb56875ed7d4a6da7ec85bd5f81c529" PartId="7c9e47874d664a06a8530b8d3ea0c29c"/>
    <Part Type="punktas" Nr="3" Abbr="3 p." DocPartId="a3f1bd3c3e39437d9051a835eab51843" PartId="6c87d9d57d304163abb7b409f29c4094">
      <Part Type="punktas" Nr="3.1" Abbr="3.1 p." DocPartId="69bbf9880c8b4ff0b932907277b3f214" PartId="dba77b1b925e43deb735010e50d32daf"/>
      <Part Type="punktas" Nr="3.2" Abbr="3.2 p." DocPartId="6e8f2766a6c84a00849360a491757dbf" PartId="17f82cf81fde454583d6004e7ce25ea6"/>
      <Part Type="punktas" Nr="3.3" Abbr="3.3 p." DocPartId="25790b0f900540418b06cec4ea694dd9" PartId="a35aecaf237c4ff6be6fd07111323a2f"/>
    </Part>
    <Part Type="punktas" Nr="4" Abbr="4 p." DocPartId="10d84d60a31c4e8eab4fc92b127e2c9b" PartId="c2bddfc0ce104ab9a3a999c86607c3d2">
      <Part Type="papunktis" Nr="4.1" Abbr="4.1 pp." DocPartId="ae7366d5f07c4d1aaae7db851277c9de" PartId="921552c430b142a1bd164ffb24018e2d"/>
      <Part Type="papunktis" Nr="4.2" Abbr="4.2 pp." DocPartId="6a7b05003bfb4c1fb787ca7b7eed3286" PartId="7c90e5a3f8314f57946ddc8a488af658"/>
      <Part Type="papunktis" Nr="4.3" Abbr="4.3 pp." DocPartId="30da1899a5744ecb8c0c427598bed3f2" PartId="5f8cd6c4ccd64df686dc5b52ad7339e8"/>
      <Part Type="papunktis" Nr="4.4" Abbr="4.4 pp." DocPartId="ab88b336687842e5bd77639ef86e5ccc" PartId="f9f1e8c7301f4b159c7f1406d0141fbd"/>
      <Part Type="papunktis" Nr="4.5" Abbr="4.5 pp." DocPartId="093ded03a8ba437c96bb3c8e833b2b80" PartId="72c4e6a06ff441628fefca256a7d99d6"/>
    </Part>
    <Part Type="punktas" Nr="5" Abbr="5 p." DocPartId="3e34ead268054fcd86069a06893a2599" PartId="d8cae68de5104054a5dd5eb2210197f3"/>
    <Part Type="punktas" Nr="6" Abbr="6 p." DocPartId="d4c5052776214bf189aee0adf2072311" PartId="82ab9a98a1b843e6897d0528f6cacb15"/>
    <Part Type="punktas" Nr="7" Abbr="7 p." DocPartId="53b66222eab4410e945b3f204c545610" PartId="0fa3796efc6f4f45bca3a592c4137342"/>
    <Part Type="pabaiga" DocPartId="c0890188bd0f40b0aaa2e17dcd491b17" PartId="927d21f663594502a9f96567fd5c070a"/>
  </Part>
  <Part Type="patvirtinta" Title="KVAPŲ KONTROLĖS GYVENAMOSIOS APLINKOS ORE TAISYKLĖS" DocPartId="515d0da7607543678e8038cf8d8d33aa" PartId="cb77aa02bf8d464c9a2dae5d16e5ca2b">
    <Part Type="skyrius" Nr="1" Title="BENDROSIOS NUOSTATOS" DocPartId="f2548232b27446a6a4582b689f70a9e5" PartId="78546dd6fd174577a283e39d07db9b1b">
      <Part Type="punktas" Nr="1" Abbr="1 p." DocPartId="c5c26ddf360f47c497184023d128be5c" PartId="2af08b843cb54102a73542f7d2cae35a"/>
      <Part Type="punktas" Nr="2" Abbr="2 p." DocPartId="34f0f5e8559846c9a41a793bac02c183" PartId="aa7d845df7ec484985a4bb2759a6aa35">
        <Part Type="papunktis" Nr="2.1" Abbr="2.1 pp." DocPartId="fd3434bbdc5443e1b0b3efec9e68976c" PartId="7f51fd33e3fb479bae58494cedc086b4"/>
        <Part Type="papunktis" Nr="2.2" Abbr="2.2 pp." DocPartId="4e0fa0ea93ec4c739c3e31b074365e67" PartId="1aaa129e1878442aaccb6595ed325ddf"/>
        <Part Type="papunktis" Nr="2.3" Abbr="2.3 pp." DocPartId="a3394aaa77d34094bbe8d2d68325caf7" PartId="076ccbd664fe47e8bd559df19cce5f68"/>
        <Part Type="papunktis" Nr="2.4" Abbr="2.4 pp." DocPartId="4db33040436244afb91aff48b2ba73ea" PartId="1acd4e4560804d68b32868bd456f2238"/>
      </Part>
      <Part Type="punktas" Nr="3" Abbr="3 p." DocPartId="5ba813b09b0c44199b070774067a7ce2" PartId="eaa07a40b6034fc5b5bc4ce81346619f"/>
      <Part Type="punktas" Nr="4" Abbr="4 p." DocPartId="531ea1bfa1f74018807a71806d0fe4b4" PartId="9e5ceb0712664586b10607e699dff6d3"/>
      <Part Type="punktas" Nr="5" Abbr="5 p." DocPartId="0d4f6156c8354f39b889f4534498c0af" PartId="9bb826fc1e154cf2ad7c0ec0cecfdc15"/>
      <Part Type="punktas" Nr="6" Abbr="6 p." DocPartId="90f9f1246757429f9b6f2e11e198a065" PartId="4eadb42f13c9435094ef4e13ddc4070f">
        <Part Type="papunktis" Nr="6.1" Abbr="6.1 pp." DocPartId="f93f0e55ee2b48c1b3caf88e437e4b9e" PartId="e98c4111bfdd4b5693ac919ceede3af6"/>
        <Part Type="papunktis" Nr="6.2" Abbr="6.2 pp." DocPartId="9c0f92bae0e04d22b2eadb17b3a5887d" PartId="47bda1f656b240d6a17990db256d55d6"/>
        <Part Type="papunktis" Nr="6.3" Abbr="6.3 pp." DocPartId="e65b125f0cd347d8ae57c453638eee3f" PartId="5ddbdb320fe94958b1c814df78c78f40"/>
      </Part>
      <Part Type="punktas" Nr="7" Abbr="7 p." DocPartId="7e314978f17949938a0076ccc5779dc0" PartId="db1f664799a94e00872e972b7c56ee64"/>
    </Part>
    <Part Type="skyrius" Nr="2" Title="KVAPŲ KONTROLĖS ATLIKIMO TVARKA" DocPartId="a16952f8a3fb4677b40d98bf3adbc415" PartId="ae5cda48562a4ed0ad39a8e57a79fef2">
      <Part Type="punktas" Nr="8" Abbr="8 p." DocPartId="75fe2beb21e24b42960bf6a8c1e88e9b" PartId="6c1151542b2f43e09685a4adf99016a5">
        <Part Type="papunktis" Nr="8.1" Abbr="8.1 pp." DocPartId="1ded9dc3964241568ce4e4c0f3940768" PartId="17eb1291ed434763a194031ccf8f0ccd"/>
        <Part Type="papunktis" Nr="8.2" Abbr="8.2 pp." DocPartId="94ccef9fcfcf4c79a0f0efbbf08d4321" PartId="8617bcbe4c804daba887644690142539"/>
        <Part Type="papunktis" Nr="8.3" Abbr="8.3 pp." DocPartId="cf71d651d54e459e95eeedae67261336" PartId="ea3db5c3ffe64719bd241ee3958cd3e0"/>
      </Part>
      <Part Type="punktas" Nr="9" Abbr="9 p." DocPartId="9d7f0c2818884b52bd5bbd72475fa748" PartId="8165965f439c4571928f5704e454f459">
        <Part Type="papunktis" Nr="9.1" Abbr="9.1 pp." DocPartId="7e4f8d43c3124a6b873a40ea9643f3ea" PartId="be4e5b37e1ee4126b3023f2336d1269a"/>
        <Part Type="papunktis" Nr="9.2" Abbr="9.2 pp." DocPartId="ca20cdccbd1e43b8b4057be101d0ac8a" PartId="1d85793c53234610a29bbc8ff8118969"/>
        <Part Type="papunktis" Nr="9.3" Abbr="9.3 pp." DocPartId="b4e488e0d10045048ea13d290a067fec" PartId="71f694410a17429baf26567dd043ba7f"/>
        <Part Type="papunktis" Nr="9.4" Abbr="9.4 pp." DocPartId="187abe7b13ce45ceac86b0b9f3e653ad" PartId="f1bc277b4e434b6cb1dc7e8cc6ba8c51"/>
        <Part Type="papunktis" Nr="9.5" Abbr="9.5 pp." DocPartId="f7788b0d58be4f38a8624e6d83bcebec" PartId="10c2e12fe75243ff90e620abc2fbaf46"/>
        <Part Type="papunktis" Nr="9.6" Abbr="9.6 pp." DocPartId="3fa83eae009a4dbfb8a0ea3091586a2b" PartId="185e0542a7654ef3970de701845cd275"/>
        <Part Type="papunktis" Nr="9.7" Abbr="9.7 pp." DocPartId="c3fb22d40ac14cbdb3efb45399b01979" PartId="a767bc9229b24d5fbcec3a74fbe88f44"/>
      </Part>
      <Part Type="punktas" Nr="10" Abbr="10 p." DocPartId="be9ffaedb76042568378e1874c2212da" PartId="63675efd7b7541d1a6731c78673040f5">
        <Part Type="papunktis" Nr="10.1" Abbr="10.1 pp." DocPartId="2856eeec2fc14e1cbb5694bcfd098a98" PartId="13958e525eeb4e4e86e6ab2da2331b22"/>
        <Part Type="papunktis" Nr="10.2" Abbr="10.2 pp." DocPartId="7827a379fb9f496b8137fc034400079f" PartId="26fc0183d4a743e1b1f32a9618db8d27"/>
        <Part Type="papunktis" Nr="10.3" Abbr="10.3 pp." DocPartId="3fe3b2d2d6ca45498b43e05b89ea1b9e" PartId="a1210dbfc993455e94c3ac4fe7161f45"/>
        <Part Type="papunktis" Nr="10.4" Abbr="10.4 pp." DocPartId="d4e754ab2da24b79b7239f4ca1beba2e" PartId="3942e775021b47708e92001881bdbe62"/>
      </Part>
      <Part Type="punktas" Nr="11" Abbr="11 p." DocPartId="51cff71e490d49fa8271a79858184f6a" PartId="28beab32573e4a4e9927dce82c53f5e9">
        <Part Type="papunktis" Nr="11.1" Abbr="11.1 pp." DocPartId="b2f2493d98fa49438537db6081003049" PartId="66d6c66e3b1a4b98b535fcf4c058b53f"/>
        <Part Type="papunktis" Nr="11.2" Abbr="11.2 pp." DocPartId="b26ef088770a45bf8798356581bd9062" PartId="fba86b790d684ec88c9d2d1815ba714f"/>
        <Part Type="papunktis" Nr="11.3" Abbr="11.3 pp." DocPartId="17f95d84874f48fc988d3ae9ad30d086" PartId="5fe833abea834d5b89aafc013cd7cf1c"/>
      </Part>
      <Part Type="punktas" Nr="12" Abbr="12 p." DocPartId="fba686f4969c4dcdb2c559cf745b5248" PartId="d6331232ef914699bec225b20f8c26f4">
        <Part Type="papunktis" Nr="12.1" Abbr="12.1 pp." DocPartId="a3b1cfea15a8444992055a0899ece1e8" PartId="f2fc20e6646649df8fced236cafd5ae3"/>
        <Part Type="papunktis" Nr="12.2" Abbr="12.2 pp." DocPartId="9cbdf6e6223d4b9ab61d21e396c824e5" PartId="89f406e2d39b4af683282071345c43a9"/>
        <Part Type="papunktis" Nr="12.3" Abbr="12.3 pp." DocPartId="414a25cd1de74cc4b5618fb06528a22c" PartId="0dd9a79ef11d4fc895f4af4eec7b9695"/>
        <Part Type="papunktis" Nr="12.4" Abbr="12.4 pp." DocPartId="d2fcc1fed2c448e083dfe2d4a30515fb" PartId="7279b7cc7f064777a2f3391e5aef7332"/>
        <Part Type="papunktis" Nr="12.5" Abbr="12.5 pp." DocPartId="af2fab6a58dc4acc86f8dbe74c338219" PartId="c0351b0871fd445494c878902bd1158a"/>
        <Part Type="papunktis" Nr="12.6" Abbr="12.6 pp." DocPartId="ff2c9b9991154e0f8a0b6f1c4b0719cf" PartId="9b7b1818c17f4e8caa08c1664066fd37"/>
      </Part>
    </Part>
    <Part Type="skyrius" Nr="3" Title="SPRENDIMŲ PRIĖMIMAS, ĮGYVENDINIMAS" DocPartId="44773239755b47d98da228971c491236" PartId="0fe45105eaef4708a3f6c5e21395a7eb">
      <Part Type="punktas" Nr="13" Abbr="13 p." DocPartId="b8c257fc7dad4a8aaea288e7bfae025a" PartId="5842f0345b334f67937878019e2d910b"/>
      <Part Type="punktas" Nr="14" Abbr="14 p." DocPartId="426e1dba784a413fb41d78721669bcac" PartId="bcbd23dbe94549a292bbc6fbdf2e0f6d"/>
      <Part Type="punktas" Nr="15" Abbr="15 p." DocPartId="f2722e9641794c8d80d872484b098be1" PartId="84c1f950949644978cdfaaae7ddf2538">
        <Part Type="papunktis" Nr="15.1" Abbr="15.1 pp." DocPartId="ca69cceeb837442f88bd760657159871" PartId="80f9c78f7d1a45e395c010bce68878e9"/>
        <Part Type="papunktis" Nr="15.2" Abbr="15.2 pp." DocPartId="e738b7c2632f41938d4d57515cdbbe43" PartId="7ae6f3ecc4ba457b96ccbae1f3955d42"/>
        <Part Type="papunktis" Nr="15.3" Abbr="15.3 pp." DocPartId="b6525e7046ac4f78bcfc8ca0b04d3f54" PartId="54cbd1379bc14c1498e776ba4cb128df"/>
      </Part>
      <Part Type="punktas" Nr="16" Abbr="16 p." DocPartId="ed4d3c91e6c9472bbdbec0590ff7dc0e" PartId="9c6b7994cde645b2af8e308935835db2"/>
      <Part Type="punktas" Nr="17" Abbr="17 p." DocPartId="306a39538b6942fd807dfe54a7960df5" PartId="f80e808d27d44a70be5d653cc0aa74e7"/>
      <Part Type="punktas" Nr="18" Abbr="18 p." DocPartId="6b3e3732a0e04b84b7b5d96cea32b016" PartId="a8b039760dcd4a80b47c1862ffa8c173"/>
    </Part>
    <Part Type="pabaiga" DocPartId="fba7820874ee4af5a9932dfd381aaf16" PartId="7fe1d8403d3a44fdab89bc8b01151fc9"/>
  </Part>
  <Part Type="priedas" Nr="1" Abbr="1 pr." Title="(Pažymos apie kvapą forma)" DocPartId="765947fd4d4144ee813addea58d245c2" PartId="09c9ab38aae7495db6aa4e08e2aa1d36"/>
  <Part Type="priedas" Nr="2" Abbr="2 pr." Title="KVAPO VERTINIMO LENTELĖ" DocPartId="85f239815cea4255a92b8f2c7d1b0e76" PartId="b91d41850a61495296347a634f3080fd"/>
  <Part Type="priedas" Nr="3" Abbr="3 pr." Title="(Oro mėginių kvapo koncentracijai / emisijos rodikliui nustatyti paėmimo plano forma)" DocPartId="72844945a21d4749a143427beb8bf2f3" PartId="7b5973c6468344c1a1e450be3cbe129e"/>
</Parts>
</file>

<file path=customXml/itemProps1.xml><?xml version="1.0" encoding="utf-8"?>
<ds:datastoreItem xmlns:ds="http://schemas.openxmlformats.org/officeDocument/2006/customXml" ds:itemID="{2F2F7A41-B847-4E81-9731-4ED84076C606}">
  <ds:schemaRefs>
    <ds:schemaRef ds:uri="http://lrs.lt/TAIS/DocParts"/>
  </ds:schemaRefs>
</ds:datastoreItem>
</file>

<file path=docProps/app.xml><?xml version="1.0" encoding="utf-8"?>
<Properties xmlns="http://schemas.openxmlformats.org/officeDocument/2006/extended-properties">
  <Template>Normal.dotm</Template>
  <TotalTime>16</TotalTime>
  <Pages>14</Pages>
  <Words>20282</Words>
  <Characters>11562</Characters>
  <Application>Microsoft Office Word</Application>
  <DocSecurity>0</DocSecurity>
  <Lines>96</Lines>
  <Paragraphs>63</Paragraphs>
  <ScaleCrop>false</ScaleCrop>
  <Company/>
  <LinksUpToDate>false</LinksUpToDate>
  <CharactersWithSpaces>31781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2015-06-29T15:27:00Z</dcterms:created>
  <dc:creator>Rima</dc:creator>
  <lastModifiedBy>TAMALIŪNIENĖ Vilija</lastModifiedBy>
  <dcterms:modified xsi:type="dcterms:W3CDTF">2023-09-26T05:23:00Z</dcterms:modified>
  <revision>13</revision>
  <dc:title>LIETUVOS RESPUBLIKOS SVEIKATOS APSAUGOS MINISTRO</dc:title>
</coreProperties>
</file>