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60cbf4cc35d4743a237b527de0a2c73"/>
        <w:lock w:val="sdtLocked"/>
        <w:richText/>
      </w:sdtPr>
      <w:sdtContent>
        <w:p>
          <w:pPr>
            <w:jc w:val="both"/>
            <w:rPr>
              <w:rFonts w:ascii="Times New Roman" w:hAnsi="Times New Roman"/>
            </w:rPr>
          </w:pPr>
          <w:r>
            <w:rPr>
              <w:rFonts w:ascii="Times New Roman" w:hAnsi="Times New Roman"/>
              <w:b/>
              <w:i/>
            </w:rPr>
            <w:t>Suvestinė redakcija nuo 2026-06-10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6729CB8B96E5">
            <w:r w:rsidRPr="00532B9F">
              <w:rPr>
                <w:rFonts w:ascii="Times New Roman" w:eastAsia="MS Mincho" w:hAnsi="Times New Roman"/>
                <w:sz w:val="20"/>
                <w:i/>
                <w:iCs/>
                <w:color w:val="0000FF" w:themeColor="hyperlink"/>
                <w:u w:val="single"/>
              </w:rPr>
              <w:t>99-5162</w:t>
            </w:r>
          </w:fldSimple>
          <w:r>
            <w:rPr>
              <w:rFonts w:ascii="Times New Roman" w:eastAsia="MS Mincho" w:hAnsi="Times New Roman"/>
              <w:sz w:val="20"/>
              <w:i/>
              <w:iCs/>
            </w:rPr>
            <w:t>, i. k. 1102250ISAK000V-729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2022-07-01:</w:t>
          </w:r>
        </w:p>
        <w:p>
          <w:pPr>
            <w:rPr>
              <w:rFonts w:ascii="Times New Roman" w:hAnsi="Times New Roman"/>
              <w:sz w:val="20"/>
              <w:i/>
            </w:rPr>
          </w:pPr>
          <w:r>
            <w:rPr>
              <w:rFonts w:ascii="Times New Roman" w:hAnsi="Times New Roman"/>
              <w:sz w:val="20"/>
              <w:i/>
            </w:rPr>
            <w:t xml:space="preserve">Nr. </w:t>
          </w:r>
          <w:fldSimple w:instr="HYPERLINK https://www.e-tar.lt/portal/legalAct.html?documentId=1c8cb470ca1511ec8d9390588bf2de65">
            <w:r w:rsidRPr="00532B9F">
              <w:rPr>
                <w:rFonts w:ascii="Times New Roman" w:eastAsia="MS Mincho" w:hAnsi="Times New Roman"/>
                <w:sz w:val="20"/>
                <w:i/>
                <w:iCs/>
                <w:color w:val="0000FF" w:themeColor="hyperlink"/>
                <w:u w:val="single"/>
              </w:rPr>
              <w:t>V-887</w:t>
            </w:r>
          </w:fldSimple>
          <w:r>
            <w:rPr>
              <w:rFonts w:ascii="Times New Roman" w:eastAsia="MS Mincho" w:hAnsi="Times New Roman"/>
              <w:sz w:val="20"/>
              <w:i/>
              <w:iCs/>
            </w:rPr>
            <w:t>,
2022-05-02,
paskelbta TAR 2022-05-02, i. k. 2022-09155                </w:t>
          </w:r>
        </w:p>
        <w:p>
          <w:pPr>
            <w:rPr>
              <w:rFonts w:ascii="Times New Roman" w:hAnsi="Times New Roman"/>
              <w:sz w:val="22"/>
            </w:rPr>
          </w:pPr>
        </w:p>
        <w:p>
          <w:pPr>
            <w:jc w:val="center"/>
            <w:rPr>
              <w:b/>
              <w:bCs/>
              <w:szCs w:val="24"/>
              <w:lang w:eastAsia="lt-LT"/>
            </w:rPr>
          </w:pPr>
          <w:r>
            <w:rPr>
              <w:b/>
              <w:bCs/>
              <w:szCs w:val="24"/>
              <w:lang w:eastAsia="lt-LT"/>
            </w:rPr>
            <w:t>LIETUVOS RESPUBLIKOS SVEIKATOS APSAUGOS MINISTRAS</w:t>
          </w:r>
        </w:p>
        <w:p>
          <w:pPr>
            <w:jc w:val="center"/>
            <w:rPr>
              <w:b/>
              <w:bCs/>
              <w:szCs w:val="24"/>
              <w:lang w:eastAsia="lt-LT"/>
            </w:rPr>
          </w:pPr>
        </w:p>
        <w:p>
          <w:pPr>
            <w:jc w:val="center"/>
            <w:rPr>
              <w:b/>
              <w:bCs/>
              <w:szCs w:val="24"/>
              <w:lang w:eastAsia="lt-LT"/>
            </w:rPr>
          </w:pPr>
          <w:r>
            <w:rPr>
              <w:b/>
              <w:bCs/>
              <w:szCs w:val="24"/>
              <w:lang w:eastAsia="lt-LT"/>
            </w:rPr>
            <w:t>ĮSAKYMAS</w:t>
          </w:r>
        </w:p>
        <w:p>
          <w:pPr>
            <w:jc w:val="center"/>
            <w:rPr>
              <w:szCs w:val="24"/>
              <w:lang w:eastAsia="lt-LT"/>
            </w:rPr>
          </w:pPr>
          <w:r>
            <w:rPr>
              <w:b/>
              <w:bCs/>
              <w:szCs w:val="24"/>
              <w:lang w:eastAsia="lt-LT"/>
            </w:rPr>
            <w:t xml:space="preserve">DĖL PACIENTŲ SIUNTIMO Į </w:t>
          </w:r>
          <w:r>
            <w:rPr>
              <w:b/>
              <w:bCs/>
              <w:caps/>
              <w:szCs w:val="24"/>
              <w:lang w:eastAsia="lt-LT"/>
            </w:rPr>
            <w:t>Užsienį KONSULTUOTI</w:t>
          </w:r>
          <w:r>
            <w:rPr>
              <w:b/>
              <w:bCs/>
              <w:szCs w:val="24"/>
              <w:lang w:eastAsia="lt-LT"/>
            </w:rPr>
            <w:t>, TIRTI IR (AR) GYDYTI TVARKOS APRAŠO PATVIRTINIMO</w:t>
          </w:r>
        </w:p>
        <w:p>
          <w:pPr>
            <w:jc w:val="center"/>
            <w:rPr>
              <w:szCs w:val="24"/>
              <w:lang w:eastAsia="lt-LT"/>
            </w:rPr>
          </w:pPr>
        </w:p>
        <w:p>
          <w:pPr>
            <w:jc w:val="center"/>
            <w:rPr>
              <w:szCs w:val="24"/>
              <w:lang w:eastAsia="lt-LT"/>
            </w:rPr>
          </w:pPr>
          <w:r>
            <w:rPr>
              <w:color w:val="000000"/>
            </w:rPr>
            <w:t>2010 m. rugpjūčio 16 d. Nr. V-729</w:t>
            <w:br/>
            <w:t>Vilnius</w:t>
          </w:r>
        </w:p>
        <w:p>
          <w:pPr>
            <w:jc w:val="center"/>
            <w:rPr>
              <w:szCs w:val="24"/>
              <w:lang w:eastAsia="lt-LT"/>
            </w:rPr>
          </w:pPr>
        </w:p>
        <w:sdt>
          <w:sdtPr>
            <w:alias w:val="preambule"/>
            <w:tag w:val="part_1e1228a50f1f48a2974fab753eba64ce"/>
            <w:lock w:val="sdtLocked"/>
            <w:richText/>
          </w:sdtPr>
          <w:sdtContent>
            <w:p>
              <w:pPr>
                <w:widowControl w:val="0"/>
                <w:ind w:firstLine="720"/>
                <w:jc w:val="both"/>
                <w:rPr>
                  <w:szCs w:val="24"/>
                  <w:lang w:eastAsia="lt-LT"/>
                </w:rPr>
              </w:pPr>
              <w:r>
                <w:rPr>
                  <w:szCs w:val="24"/>
                  <w:lang w:eastAsia="lt-LT"/>
                </w:rPr>
                <w:t>Vadovaudamasis Pacientų teisių ir žalos sveikatai atlyginimo įstatymo 4 straipsnio 5 dalimi ir įgyvendindamas 2004 m. balandžio 29 d. Europos Parlamento ir Tarybos reglamento (EB) Nr. 883/2004 dėl socialinės apsaugos sistemų koordinavimo nuostatas bei siekdamas užtikrinti racionalų Privalomojo sveikatos draudimo fondo biudžeto lėšų panaudojimą ir tikslingą pacientų siuntimą konsultuoti, tirti ir (ar) gydyti užsienyje:</w:t>
              </w:r>
            </w:p>
          </w:sdtContent>
        </w:sdt>
        <w:sdt>
          <w:sdtPr>
            <w:alias w:val="1 p."/>
            <w:tag w:val="part_3fc9524882244004a922f0115ea36ea7"/>
            <w:lock w:val="sdtLocked"/>
            <w:richText/>
          </w:sdtPr>
          <w:sdtContent>
            <w:p>
              <w:pPr>
                <w:widowControl w:val="0"/>
                <w:suppressAutoHyphens/>
                <w:ind w:firstLine="720"/>
                <w:jc w:val="both"/>
                <w:rPr>
                  <w:szCs w:val="24"/>
                  <w:lang w:eastAsia="lt-LT"/>
                </w:rPr>
              </w:pPr>
              <w:sdt>
                <w:sdtPr>
                  <w:alias w:val="Numeris"/>
                  <w:tag w:val="nr_3fc9524882244004a922f0115ea36ea7"/>
                  <w:lock w:val="sdtLocked"/>
                  <w:richText/>
                </w:sdtPr>
                <w:sdtContent>
                  <w:r>
                    <w:rPr>
                      <w:szCs w:val="24"/>
                      <w:lang w:eastAsia="lt-LT"/>
                    </w:rPr>
                    <w:t>1</w:t>
                  </w:r>
                </w:sdtContent>
              </w:sdt>
              <w:r>
                <w:rPr>
                  <w:szCs w:val="24"/>
                  <w:lang w:eastAsia="lt-LT"/>
                </w:rPr>
                <w:t xml:space="preserve">. </w:t>
              </w:r>
              <w:r>
                <w:rPr>
                  <w:spacing w:val="60"/>
                  <w:szCs w:val="24"/>
                  <w:lang w:eastAsia="lt-LT"/>
                </w:rPr>
                <w:t>Tvirtinu</w:t>
              </w:r>
              <w:r>
                <w:rPr>
                  <w:szCs w:val="24"/>
                  <w:lang w:eastAsia="lt-LT"/>
                </w:rPr>
                <w:t xml:space="preserve"> Pacientų siuntimo į užsienį konsultuoti, tirti ir (ar) gydyti tvarkos aprašą (pridedama).</w:t>
              </w:r>
            </w:p>
          </w:sdtContent>
        </w:sdt>
        <w:sdt>
          <w:sdtPr>
            <w:alias w:val="2 p."/>
            <w:tag w:val="part_a29b1a3a7fb14ccd8ad7b6adf7ccb6ea"/>
            <w:lock w:val="sdtLocked"/>
            <w:richText/>
          </w:sdtPr>
          <w:sdtContent>
            <w:p>
              <w:pPr>
                <w:widowControl w:val="0"/>
                <w:suppressAutoHyphens/>
                <w:ind w:firstLine="720"/>
                <w:jc w:val="both"/>
              </w:pPr>
              <w:sdt>
                <w:sdtPr>
                  <w:alias w:val="Numeris"/>
                  <w:tag w:val="nr_a29b1a3a7fb14ccd8ad7b6adf7ccb6ea"/>
                  <w:lock w:val="sdtLocked"/>
                  <w:richText/>
                </w:sdtPr>
                <w:sdtContent>
                  <w:r>
                    <w:rPr>
                      <w:szCs w:val="24"/>
                      <w:lang w:eastAsia="lt-LT"/>
                    </w:rPr>
                    <w:t>2</w:t>
                  </w:r>
                </w:sdtContent>
              </w:sdt>
              <w:r>
                <w:rPr>
                  <w:szCs w:val="24"/>
                  <w:lang w:eastAsia="lt-LT"/>
                </w:rPr>
                <w:t xml:space="preserve">. </w:t>
              </w:r>
              <w:r>
                <w:rPr>
                  <w:spacing w:val="60"/>
                  <w:szCs w:val="24"/>
                  <w:lang w:eastAsia="lt-LT"/>
                </w:rPr>
                <w:t>Pavedu</w:t>
              </w:r>
              <w:r>
                <w:rPr>
                  <w:szCs w:val="24"/>
                  <w:lang w:eastAsia="lt-LT"/>
                </w:rPr>
                <w:t xml:space="preserve"> įsakymo vykdymo kontrolę viceministrui pagal veiklos sritį.</w:t>
              </w:r>
              <w:r>
                <w:t xml:space="preserve"> </w:t>
              </w:r>
            </w:p>
          </w:sdtContent>
        </w:sdt>
        <w:sdt>
          <w:sdtPr>
            <w:alias w:val="signatura"/>
            <w:tag w:val="part_aab23191a06c4362b061069fe7d4c3eb"/>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 xml:space="preserve">SVEIKATOS APSAUGOS MINISTRAS </w:t>
                <w:tab/>
                <w:t>RAIMONDAS ŠUKYS</w:t>
              </w:r>
            </w:p>
          </w:sdtContent>
        </w:sdt>
        <w:p/>
      </w:sdtContent>
    </w:sdt>
    <w:sdt>
      <w:sdtPr>
        <w:alias w:val="patvirtinta"/>
        <w:tag w:val="part_5ea9ef135e7a496c8bf196c20e531353"/>
        <w:lock w:val="sdtLocked"/>
        <w:richText/>
      </w:sdtPr>
      <w:sdtContent>
        <w:p>
          <w:pPr>
            <w:ind w:left="4678"/>
            <w:sectPr>
              <w:headerReference w:type="even" r:id="rId8"/>
              <w:headerReference w:type="default" r:id="rId9"/>
              <w:footerReference w:type="even" r:id="rId10"/>
              <w:footerReference w:type="default" r:id="rId11"/>
              <w:headerReference w:type="first" r:id="rId12"/>
              <w:footerReference w:type="first" r:id="rId13"/>
              <w:pgSz w:w="11906" w:h="16838"/>
              <w:pgMar w:top="1701" w:right="567" w:bottom="1134" w:left="1701" w:header="567" w:footer="567" w:gutter="0"/>
              <w:pgNumType w:start="1"/>
              <w:cols w:space="1296"/>
              <w:titlePg/>
              <w:docGrid w:linePitch="360"/>
            </w:sectPr>
          </w:pPr>
        </w:p>
        <w:p>
          <w:pPr>
            <w:ind w:left="4678"/>
            <w:rPr>
              <w:szCs w:val="24"/>
              <w:lang w:eastAsia="lt-LT"/>
            </w:rPr>
          </w:pPr>
          <w:r>
            <w:rPr>
              <w:szCs w:val="24"/>
              <w:lang w:eastAsia="lt-LT"/>
            </w:rPr>
            <w:t>PATVIRTINTA</w:t>
          </w:r>
        </w:p>
        <w:p>
          <w:pPr>
            <w:ind w:left="4678"/>
            <w:rPr>
              <w:szCs w:val="24"/>
              <w:lang w:eastAsia="lt-LT"/>
            </w:rPr>
          </w:pPr>
          <w:r>
            <w:rPr>
              <w:szCs w:val="24"/>
              <w:lang w:eastAsia="lt-LT"/>
            </w:rPr>
            <w:t xml:space="preserve">Lietuvos Respublikos sveikatos apsaugos ministro </w:t>
          </w:r>
        </w:p>
        <w:p>
          <w:pPr>
            <w:ind w:left="4678"/>
            <w:rPr>
              <w:szCs w:val="24"/>
              <w:lang w:eastAsia="lt-LT"/>
            </w:rPr>
          </w:pPr>
          <w:r>
            <w:rPr>
              <w:szCs w:val="24"/>
              <w:lang w:eastAsia="lt-LT"/>
            </w:rPr>
            <w:t>2010 m. rugpjūčio 16 d. įsakymu Nr. V-729</w:t>
          </w:r>
        </w:p>
        <w:p>
          <w:pPr>
            <w:ind w:left="4678"/>
            <w:rPr>
              <w:szCs w:val="24"/>
              <w:lang w:eastAsia="lt-LT"/>
            </w:rPr>
          </w:pPr>
          <w:r>
            <w:rPr>
              <w:szCs w:val="24"/>
              <w:lang w:eastAsia="lt-LT"/>
            </w:rPr>
            <w:t xml:space="preserve">(Lietuvos Respublikos sveikatos apsaugos ministro </w:t>
          </w:r>
        </w:p>
        <w:p>
          <w:pPr>
            <w:ind w:left="4678"/>
            <w:rPr>
              <w:szCs w:val="24"/>
              <w:lang w:eastAsia="lt-LT"/>
            </w:rPr>
          </w:pPr>
          <w:r>
            <w:rPr>
              <w:szCs w:val="24"/>
              <w:lang w:eastAsia="lt-LT"/>
            </w:rPr>
            <w:t xml:space="preserve">2022 m. gegužės 2 d. įsakymo Nr. V-887 </w:t>
          </w:r>
        </w:p>
        <w:p>
          <w:pPr>
            <w:ind w:left="4678"/>
            <w:rPr>
              <w:szCs w:val="24"/>
              <w:lang w:eastAsia="lt-LT"/>
            </w:rPr>
          </w:pPr>
          <w:r>
            <w:rPr>
              <w:szCs w:val="24"/>
              <w:lang w:eastAsia="lt-LT"/>
            </w:rPr>
            <w:t>redakcija)</w:t>
          </w:r>
        </w:p>
        <w:p>
          <w:pPr>
            <w:jc w:val="both"/>
            <w:rPr>
              <w:szCs w:val="24"/>
              <w:lang w:eastAsia="lt-LT"/>
            </w:rPr>
          </w:pPr>
        </w:p>
        <w:p>
          <w:pPr>
            <w:widowControl w:val="0"/>
            <w:suppressAutoHyphens/>
            <w:jc w:val="center"/>
            <w:rPr>
              <w:b/>
              <w:bCs/>
              <w:caps/>
              <w:szCs w:val="24"/>
              <w:lang w:eastAsia="lt-LT"/>
            </w:rPr>
          </w:pPr>
          <w:sdt>
            <w:sdtPr>
              <w:alias w:val="Pavadinimas"/>
              <w:tag w:val="title_5ea9ef135e7a496c8bf196c20e531353"/>
              <w:lock w:val="sdtLocked"/>
              <w:richText/>
            </w:sdtPr>
            <w:sdtContent>
              <w:r>
                <w:rPr>
                  <w:b/>
                  <w:szCs w:val="24"/>
                  <w:lang w:eastAsia="lt-LT"/>
                </w:rPr>
                <w:t>PACIENTŲ SIUNTIMO Į UŽSIENĮ KONSULTUOTI, TIRTI IR (AR) GYDYTI TVARKOS APRAŠAS</w:t>
              </w:r>
            </w:sdtContent>
          </w:sdt>
        </w:p>
        <w:p>
          <w:pPr>
            <w:widowControl w:val="0"/>
            <w:suppressAutoHyphens/>
            <w:rPr>
              <w:bCs/>
              <w:caps/>
              <w:szCs w:val="24"/>
              <w:lang w:eastAsia="lt-LT"/>
            </w:rPr>
          </w:pPr>
        </w:p>
        <w:sdt>
          <w:sdtPr>
            <w:alias w:val="skyrius"/>
            <w:tag w:val="part_3b9d6b31f9ad4daa82a940780483f351"/>
            <w:lock w:val="sdtLocked"/>
            <w:richText/>
          </w:sdtPr>
          <w:sdtContent>
            <w:p>
              <w:pPr>
                <w:widowControl w:val="0"/>
                <w:suppressAutoHyphens/>
                <w:jc w:val="center"/>
                <w:rPr>
                  <w:b/>
                  <w:bCs/>
                  <w:caps/>
                  <w:szCs w:val="24"/>
                  <w:lang w:eastAsia="lt-LT"/>
                </w:rPr>
              </w:pPr>
              <w:sdt>
                <w:sdtPr>
                  <w:alias w:val="Numeris"/>
                  <w:tag w:val="nr_3b9d6b31f9ad4daa82a940780483f351"/>
                  <w:lock w:val="sdtLocked"/>
                  <w:richText/>
                </w:sdtPr>
                <w:sdtContent>
                  <w:r>
                    <w:rPr>
                      <w:b/>
                      <w:bCs/>
                      <w:caps/>
                      <w:szCs w:val="24"/>
                      <w:lang w:eastAsia="lt-LT"/>
                    </w:rPr>
                    <w:t>I</w:t>
                  </w:r>
                </w:sdtContent>
              </w:sdt>
              <w:r>
                <w:rPr>
                  <w:b/>
                  <w:bCs/>
                  <w:caps/>
                  <w:szCs w:val="24"/>
                  <w:lang w:eastAsia="lt-LT"/>
                </w:rPr>
                <w:t xml:space="preserve"> SKYRIUS</w:t>
              </w:r>
            </w:p>
            <w:p>
              <w:pPr>
                <w:widowControl w:val="0"/>
                <w:suppressAutoHyphens/>
                <w:jc w:val="center"/>
                <w:rPr>
                  <w:b/>
                  <w:bCs/>
                  <w:caps/>
                  <w:szCs w:val="24"/>
                  <w:lang w:eastAsia="lt-LT"/>
                </w:rPr>
              </w:pPr>
              <w:sdt>
                <w:sdtPr>
                  <w:alias w:val="Pavadinimas"/>
                  <w:tag w:val="title_3b9d6b31f9ad4daa82a940780483f351"/>
                  <w:lock w:val="sdtLocked"/>
                  <w:richText/>
                </w:sdtPr>
                <w:sdtContent>
                  <w:r>
                    <w:rPr>
                      <w:b/>
                      <w:bCs/>
                      <w:caps/>
                      <w:szCs w:val="24"/>
                      <w:lang w:eastAsia="lt-LT"/>
                    </w:rPr>
                    <w:t>BENDROSIOS NUOSTATOS</w:t>
                  </w:r>
                </w:sdtContent>
              </w:sdt>
            </w:p>
            <w:p>
              <w:pPr>
                <w:widowControl w:val="0"/>
                <w:suppressAutoHyphens/>
                <w:jc w:val="both"/>
                <w:rPr>
                  <w:szCs w:val="24"/>
                  <w:lang w:eastAsia="lt-LT"/>
                </w:rPr>
              </w:pPr>
            </w:p>
            <w:sdt>
              <w:sdtPr>
                <w:alias w:val="1 p."/>
                <w:tag w:val="part_402c671061014983a350462c2d55916d"/>
                <w:lock w:val="sdtLocked"/>
                <w:richText/>
              </w:sdtPr>
              <w:sdtContent>
                <w:p>
                  <w:pPr>
                    <w:widowControl w:val="0"/>
                    <w:suppressAutoHyphens/>
                    <w:ind w:firstLine="360"/>
                    <w:jc w:val="both"/>
                    <w:rPr>
                      <w:szCs w:val="24"/>
                      <w:lang w:eastAsia="lt-LT"/>
                    </w:rPr>
                  </w:pPr>
                  <w:sdt>
                    <w:sdtPr>
                      <w:alias w:val="Numeris"/>
                      <w:tag w:val="nr_402c671061014983a350462c2d55916d"/>
                      <w:lock w:val="sdtLocked"/>
                      <w:richText/>
                    </w:sdtPr>
                    <w:sdtContent>
                      <w:r>
                        <w:rPr>
                          <w:szCs w:val="24"/>
                          <w:lang w:eastAsia="lt-LT"/>
                        </w:rPr>
                        <w:t>1</w:t>
                      </w:r>
                    </w:sdtContent>
                  </w:sdt>
                  <w:r>
                    <w:rPr>
                      <w:szCs w:val="24"/>
                      <w:lang w:eastAsia="lt-LT"/>
                    </w:rPr>
                    <w:t>. Pacientų siuntimo į užsienį konsultuoti, tirti ir (ar) gydyti tvarkos aprašas (toliau – Aprašas) reglamentuoja dokumentų pateikimo, jų nagrinėjimo ir sprendimo priėmimo dėl Lietuvoje apdraustų privalomuoju sveikatos draudimu pacientų siuntimo konsultuoti, tirti ir (ar) gydyti (toliau – gydyti) Europos ekonominei erdvei priklausančiose valstybėse, Jungtinėje Didžiosios Britanijos ir Šiaurės Airijos Karalystėje bei Šveicarijos Konfederacijoje (toliau – užsienis, užsienio valstybė) tvarką bei išlaidų apmokėjimo sąlygas.</w:t>
                  </w:r>
                </w:p>
              </w:sdtContent>
            </w:sdt>
            <w:sdt>
              <w:sdtPr>
                <w:alias w:val="2 p."/>
                <w:tag w:val="part_327545e220174698b6a2612860998b10"/>
                <w:lock w:val="sdtLocked"/>
                <w:richText/>
              </w:sdtPr>
              <w:sdtContent>
                <w:p>
                  <w:pPr>
                    <w:widowControl w:val="0"/>
                    <w:suppressAutoHyphens/>
                    <w:ind w:firstLine="360"/>
                    <w:jc w:val="both"/>
                    <w:rPr>
                      <w:szCs w:val="24"/>
                      <w:lang w:eastAsia="lt-LT"/>
                    </w:rPr>
                  </w:pPr>
                  <w:sdt>
                    <w:sdtPr>
                      <w:alias w:val="Numeris"/>
                      <w:tag w:val="nr_327545e220174698b6a2612860998b10"/>
                      <w:lock w:val="sdtLocked"/>
                      <w:richText/>
                    </w:sdtPr>
                    <w:sdtContent>
                      <w:r>
                        <w:rPr>
                          <w:szCs w:val="24"/>
                          <w:lang w:eastAsia="lt-LT"/>
                        </w:rPr>
                        <w:t>2</w:t>
                      </w:r>
                    </w:sdtContent>
                  </w:sdt>
                  <w:r>
                    <w:rPr>
                      <w:szCs w:val="24"/>
                      <w:lang w:eastAsia="lt-LT"/>
                    </w:rPr>
                    <w:t>. Pagrindinės Apraše vartojamos sąvokos:</w:t>
                  </w:r>
                </w:p>
                <w:sdt>
                  <w:sdtPr>
                    <w:alias w:val="2.1 pp."/>
                    <w:tag w:val="part_f745a76640e0451aa542db589cb73b69"/>
                    <w:lock w:val="sdtLocked"/>
                    <w:richText/>
                  </w:sdtPr>
                  <w:sdtContent>
                    <w:p>
                      <w:pPr>
                        <w:widowControl w:val="0"/>
                        <w:suppressAutoHyphens/>
                        <w:ind w:firstLine="360"/>
                        <w:jc w:val="both"/>
                        <w:rPr>
                          <w:szCs w:val="24"/>
                          <w:lang w:eastAsia="lt-LT"/>
                        </w:rPr>
                      </w:pPr>
                      <w:sdt>
                        <w:sdtPr>
                          <w:alias w:val="Numeris"/>
                          <w:tag w:val="nr_f745a76640e0451aa542db589cb73b69"/>
                          <w:lock w:val="sdtLocked"/>
                          <w:richText/>
                        </w:sdtPr>
                        <w:sdtContent>
                          <w:r>
                            <w:rPr>
                              <w:szCs w:val="24"/>
                              <w:lang w:eastAsia="lt-LT"/>
                            </w:rPr>
                            <w:t>2.1</w:t>
                          </w:r>
                        </w:sdtContent>
                      </w:sdt>
                      <w:r>
                        <w:rPr>
                          <w:szCs w:val="24"/>
                          <w:lang w:eastAsia="lt-LT"/>
                        </w:rPr>
                        <w:t>.</w:t>
                      </w:r>
                      <w:r>
                        <w:rPr>
                          <w:b/>
                          <w:bCs/>
                          <w:szCs w:val="24"/>
                          <w:lang w:eastAsia="lt-LT"/>
                        </w:rPr>
                        <w:t xml:space="preserve"> Dokumentas S2 </w:t>
                      </w:r>
                      <w:r>
                        <w:rPr>
                          <w:szCs w:val="24"/>
                          <w:lang w:eastAsia="lt-LT"/>
                        </w:rPr>
                        <w:t xml:space="preserve">– dokumentas, patvirtinantis, kad asmuo turi teisę gauti socialinio sveikatos draudimo lėšomis apmokamas asmens sveikatos priežiūros paslaugas užsienio valstybėje. Įgyvendindama Europos Parlamento ir Tarybos reglamentą (EB) Nr. 883/2004 dėl socialinės apsaugos sistemų koordinavimo (toliau – Reglamentas Nr. 883/2004), Socialinės apsaugos sistemų koordinavimo administracinė komisija patvirtino dokumento S2 formą; </w:t>
                      </w:r>
                    </w:p>
                  </w:sdtContent>
                </w:sdt>
                <w:sdt>
                  <w:sdtPr>
                    <w:alias w:val="2.2 pp."/>
                    <w:tag w:val="part_1e79ceda12ae461392371dcac2332bf2"/>
                    <w:lock w:val="sdtLocked"/>
                    <w:richText/>
                  </w:sdtPr>
                  <w:sdtContent>
                    <w:p>
                      <w:pPr>
                        <w:widowControl w:val="0"/>
                        <w:suppressAutoHyphens/>
                        <w:ind w:firstLine="360"/>
                        <w:jc w:val="both"/>
                        <w:rPr>
                          <w:szCs w:val="24"/>
                          <w:lang w:eastAsia="lt-LT"/>
                        </w:rPr>
                      </w:pPr>
                      <w:sdt>
                        <w:sdtPr>
                          <w:alias w:val="Numeris"/>
                          <w:tag w:val="nr_1e79ceda12ae461392371dcac2332bf2"/>
                          <w:lock w:val="sdtLocked"/>
                          <w:richText/>
                        </w:sdtPr>
                        <w:sdtContent>
                          <w:r>
                            <w:rPr>
                              <w:szCs w:val="24"/>
                              <w:lang w:eastAsia="lt-LT"/>
                            </w:rPr>
                            <w:t>2.2</w:t>
                          </w:r>
                        </w:sdtContent>
                      </w:sdt>
                      <w:r>
                        <w:rPr>
                          <w:b/>
                          <w:bCs/>
                          <w:szCs w:val="24"/>
                          <w:lang w:eastAsia="lt-LT"/>
                        </w:rPr>
                        <w:t xml:space="preserve">. EDMIS </w:t>
                      </w:r>
                      <w:r>
                        <w:rPr>
                          <w:bCs/>
                          <w:szCs w:val="24"/>
                          <w:lang w:eastAsia="lt-LT"/>
                        </w:rPr>
                        <w:t>–</w:t>
                      </w:r>
                      <w:r>
                        <w:rPr>
                          <w:szCs w:val="24"/>
                          <w:lang w:eastAsia="lt-LT"/>
                        </w:rPr>
                        <w:t xml:space="preserve"> Europos Sąjungos socialinės apsaugos duomenų mainų informacinė sistema;</w:t>
                      </w:r>
                    </w:p>
                  </w:sdtContent>
                </w:sdt>
                <w:sdt>
                  <w:sdtPr>
                    <w:alias w:val="2.3 pp."/>
                    <w:tag w:val="part_ed99978eaebc430d9f139adeb5816fbe"/>
                    <w:lock w:val="sdtLocked"/>
                    <w:richText/>
                  </w:sdtPr>
                  <w:sdtContent>
                    <w:p>
                      <w:pPr>
                        <w:widowControl w:val="0"/>
                        <w:suppressAutoHyphens/>
                        <w:ind w:firstLine="360"/>
                        <w:jc w:val="both"/>
                        <w:rPr>
                          <w:szCs w:val="24"/>
                          <w:lang w:eastAsia="lt-LT"/>
                        </w:rPr>
                      </w:pPr>
                      <w:sdt>
                        <w:sdtPr>
                          <w:alias w:val="Numeris"/>
                          <w:tag w:val="nr_ed99978eaebc430d9f139adeb5816fbe"/>
                          <w:lock w:val="sdtLocked"/>
                          <w:richText/>
                        </w:sdtPr>
                        <w:sdtContent>
                          <w:r>
                            <w:rPr>
                              <w:szCs w:val="24"/>
                              <w:lang w:eastAsia="lt-LT"/>
                            </w:rPr>
                            <w:t>2.3</w:t>
                          </w:r>
                        </w:sdtContent>
                      </w:sdt>
                      <w:r>
                        <w:rPr>
                          <w:szCs w:val="24"/>
                          <w:lang w:eastAsia="lt-LT"/>
                        </w:rPr>
                        <w:t xml:space="preserve">. </w:t>
                      </w:r>
                      <w:r>
                        <w:rPr>
                          <w:b/>
                          <w:bCs/>
                          <w:szCs w:val="24"/>
                          <w:lang w:eastAsia="lt-LT"/>
                        </w:rPr>
                        <w:t xml:space="preserve">Užsienio asmens sveikatos priežiūros paslaugų teikėjas </w:t>
                      </w:r>
                      <w:r>
                        <w:rPr>
                          <w:szCs w:val="24"/>
                          <w:lang w:eastAsia="lt-LT"/>
                        </w:rPr>
                        <w:t>(toliau – užsienio ASPĮ) – fizinis arba juridinis asmuo, arba kitas subjektas, teisėtai teikiantis sveikatos priežiūros paslaugas užsienio valstybėje.</w:t>
                      </w:r>
                    </w:p>
                  </w:sdtContent>
                </w:sdt>
              </w:sdtContent>
            </w:sdt>
            <w:sdt>
              <w:sdtPr>
                <w:alias w:val="3 p."/>
                <w:tag w:val="part_e046538647d044baa61bb5a74adad843"/>
                <w:lock w:val="sdtLocked"/>
                <w:richText/>
              </w:sdtPr>
              <w:sdtContent>
                <w:p>
                  <w:pPr>
                    <w:widowControl w:val="0"/>
                    <w:suppressAutoHyphens/>
                    <w:ind w:firstLine="360"/>
                    <w:jc w:val="both"/>
                    <w:rPr>
                      <w:szCs w:val="24"/>
                      <w:lang w:eastAsia="lt-LT"/>
                    </w:rPr>
                  </w:pPr>
                  <w:sdt>
                    <w:sdtPr>
                      <w:alias w:val="Numeris"/>
                      <w:tag w:val="nr_e046538647d044baa61bb5a74adad843"/>
                      <w:lock w:val="sdtLocked"/>
                      <w:richText/>
                    </w:sdtPr>
                    <w:sdtContent>
                      <w:r>
                        <w:rPr>
                          <w:szCs w:val="24"/>
                          <w:lang w:eastAsia="lt-LT"/>
                        </w:rPr>
                        <w:t>3</w:t>
                      </w:r>
                    </w:sdtContent>
                  </w:sdt>
                  <w:r>
                    <w:rPr>
                      <w:szCs w:val="24"/>
                      <w:lang w:eastAsia="lt-LT"/>
                    </w:rPr>
                    <w:t xml:space="preserve">. Kitos Apraše vartojamos sąvokos suprantamos taip, kaip jos apibrėžiamos Lietuvos Respublikos pacientų teisių ir žalos sveikatai atlyginimo įstatyme, Lietuvos Respublikos sveikatos draudimo įstatyme </w:t>
                  </w:r>
                  <w:r>
                    <w:rPr>
                      <w:bCs/>
                      <w:kern w:val="2"/>
                      <w:szCs w:val="24"/>
                      <w:lang w:eastAsia="lt-LT"/>
                    </w:rPr>
                    <w:t xml:space="preserve">ir </w:t>
                  </w:r>
                  <w:r>
                    <w:rPr>
                      <w:szCs w:val="24"/>
                      <w:lang w:eastAsia="lt-LT"/>
                    </w:rPr>
                    <w:t>kituose teisės aktuose.</w:t>
                  </w:r>
                </w:p>
                <w:p>
                  <w:pPr>
                    <w:widowControl w:val="0"/>
                    <w:suppressAutoHyphens/>
                    <w:jc w:val="both"/>
                    <w:rPr>
                      <w:szCs w:val="24"/>
                      <w:lang w:eastAsia="lt-LT"/>
                    </w:rPr>
                  </w:pPr>
                </w:p>
              </w:sdtContent>
            </w:sdt>
          </w:sdtContent>
        </w:sdt>
        <w:sdt>
          <w:sdtPr>
            <w:alias w:val="skyrius"/>
            <w:tag w:val="part_0ad086aa037642f0af7bf9b5416a3adc"/>
            <w:lock w:val="sdtLocked"/>
            <w:richText/>
          </w:sdtPr>
          <w:sdtContent>
            <w:p>
              <w:pPr>
                <w:widowControl w:val="0"/>
                <w:jc w:val="center"/>
                <w:rPr>
                  <w:b/>
                  <w:szCs w:val="24"/>
                  <w:lang w:eastAsia="lt-LT"/>
                </w:rPr>
              </w:pPr>
              <w:sdt>
                <w:sdtPr>
                  <w:alias w:val="Numeris"/>
                  <w:tag w:val="nr_0ad086aa037642f0af7bf9b5416a3adc"/>
                  <w:lock w:val="sdtLocked"/>
                  <w:richText/>
                </w:sdtPr>
                <w:sdtContent>
                  <w:r>
                    <w:rPr>
                      <w:b/>
                      <w:szCs w:val="24"/>
                      <w:lang w:eastAsia="lt-LT"/>
                    </w:rPr>
                    <w:t>II</w:t>
                  </w:r>
                </w:sdtContent>
              </w:sdt>
              <w:r>
                <w:rPr>
                  <w:b/>
                  <w:szCs w:val="24"/>
                  <w:lang w:eastAsia="lt-LT"/>
                </w:rPr>
                <w:t xml:space="preserve"> SKYRIUS </w:t>
              </w:r>
            </w:p>
            <w:p>
              <w:pPr>
                <w:widowControl w:val="0"/>
                <w:jc w:val="center"/>
                <w:rPr>
                  <w:b/>
                  <w:caps/>
                  <w:szCs w:val="24"/>
                  <w:lang w:eastAsia="lt-LT"/>
                </w:rPr>
              </w:pPr>
              <w:sdt>
                <w:sdtPr>
                  <w:alias w:val="Pavadinimas"/>
                  <w:tag w:val="title_0ad086aa037642f0af7bf9b5416a3adc"/>
                  <w:lock w:val="sdtLocked"/>
                  <w:richText/>
                </w:sdtPr>
                <w:sdtContent>
                  <w:r>
                    <w:rPr>
                      <w:b/>
                      <w:caps/>
                      <w:szCs w:val="24"/>
                      <w:lang w:eastAsia="lt-LT"/>
                    </w:rPr>
                    <w:t>Gydymo užsienio valstybėje organizavimo PRINCIPAI</w:t>
                  </w:r>
                </w:sdtContent>
              </w:sdt>
            </w:p>
            <w:p>
              <w:pPr>
                <w:widowControl w:val="0"/>
                <w:suppressAutoHyphens/>
                <w:jc w:val="both"/>
                <w:rPr>
                  <w:caps/>
                  <w:szCs w:val="24"/>
                  <w:lang w:eastAsia="lt-LT"/>
                </w:rPr>
              </w:pPr>
            </w:p>
            <w:sdt>
              <w:sdtPr>
                <w:alias w:val="4 p."/>
                <w:tag w:val="part_51266ad3dfa9429b996c80fbd5ebfdcf"/>
                <w:lock w:val="sdtLocked"/>
                <w:richText/>
              </w:sdtPr>
              <w:sdtContent>
                <w:p>
                  <w:pPr>
                    <w:widowControl w:val="0"/>
                    <w:ind w:firstLine="284"/>
                    <w:jc w:val="both"/>
                    <w:rPr>
                      <w:szCs w:val="24"/>
                      <w:lang w:eastAsia="lt-LT"/>
                    </w:rPr>
                  </w:pPr>
                  <w:sdt>
                    <w:sdtPr>
                      <w:alias w:val="Numeris"/>
                      <w:tag w:val="nr_51266ad3dfa9429b996c80fbd5ebfdcf"/>
                      <w:lock w:val="sdtLocked"/>
                      <w:richText/>
                    </w:sdtPr>
                    <w:sdtContent>
                      <w:r>
                        <w:rPr>
                          <w:szCs w:val="24"/>
                          <w:lang w:eastAsia="lt-LT"/>
                        </w:rPr>
                        <w:t>4</w:t>
                      </w:r>
                    </w:sdtContent>
                  </w:sdt>
                  <w:r>
                    <w:rPr>
                      <w:szCs w:val="24"/>
                      <w:lang w:eastAsia="lt-LT"/>
                    </w:rPr>
                    <w:t>. Privalomojo sveikatos draudimo fondo (toliau – PSDF) biudžeto lėšomis</w:t>
                  </w:r>
                  <w:r>
                    <w:rPr>
                      <w:rFonts w:ascii="Arial" w:hAnsi="Arial" w:cs="Arial"/>
                      <w:sz w:val="20"/>
                      <w:szCs w:val="24"/>
                      <w:lang w:eastAsia="lt-LT"/>
                    </w:rPr>
                    <w:t xml:space="preserve"> </w:t>
                  </w:r>
                  <w:r>
                    <w:rPr>
                      <w:szCs w:val="24"/>
                      <w:lang w:eastAsia="lt-LT"/>
                    </w:rPr>
                    <w:t>Lietuvos Respublikoje privalomuoju sveikatos draudimu apdraustų pacientų (toliau –</w:t>
                  </w:r>
                  <w:r>
                    <w:rPr>
                      <w:rFonts w:ascii="Arial" w:hAnsi="Arial" w:cs="Arial"/>
                      <w:sz w:val="20"/>
                      <w:szCs w:val="24"/>
                      <w:lang w:eastAsia="lt-LT"/>
                    </w:rPr>
                    <w:t xml:space="preserve"> </w:t>
                  </w:r>
                  <w:r>
                    <w:rPr>
                      <w:szCs w:val="24"/>
                      <w:lang w:eastAsia="lt-LT"/>
                    </w:rPr>
                    <w:t>Lietuvos Respublikos apdraustieji, pacientai) planinis gydymas gali būti organizuojamas užsienyje, jei pacientas siunčiamas į užsienį gauti tokių asmens sveikatos priežiūros paslaugų, kurios toje užsienio valstybėje yra įtrauktos į socialinio sveikatos draudimo lėšomis apmokamų asmens sveikatos priežiūros paslaugų sąrašą (t. y. gali būti teikiamos ir apmokamos dokumento S2 pagrindu), ir jei yra bent viena iš šių sąlygų:</w:t>
                  </w:r>
                </w:p>
                <w:sdt>
                  <w:sdtPr>
                    <w:alias w:val="4.1 pp."/>
                    <w:tag w:val="part_48e6278dbab84b38ae1f76e63efd7f5e"/>
                    <w:lock w:val="sdtLocked"/>
                    <w:richText/>
                  </w:sdtPr>
                  <w:sdtContent>
                    <w:p>
                      <w:pPr>
                        <w:widowControl w:val="0"/>
                        <w:ind w:firstLine="284"/>
                        <w:jc w:val="both"/>
                        <w:rPr>
                          <w:szCs w:val="24"/>
                          <w:lang w:eastAsia="lt-LT"/>
                        </w:rPr>
                      </w:pPr>
                      <w:sdt>
                        <w:sdtPr>
                          <w:alias w:val="Numeris"/>
                          <w:tag w:val="nr_48e6278dbab84b38ae1f76e63efd7f5e"/>
                          <w:lock w:val="sdtLocked"/>
                          <w:richText/>
                        </w:sdtPr>
                        <w:sdtContent>
                          <w:r>
                            <w:rPr>
                              <w:szCs w:val="24"/>
                              <w:lang w:eastAsia="lt-LT"/>
                            </w:rPr>
                            <w:t>4.1</w:t>
                          </w:r>
                        </w:sdtContent>
                      </w:sdt>
                      <w:r>
                        <w:rPr>
                          <w:szCs w:val="24"/>
                          <w:lang w:eastAsia="lt-LT"/>
                        </w:rPr>
                        <w:t>. Lietuvoje atitinkamos ar tokios pat veiksmingos asmens sveikatos priežiūros paslaugos yra apmokamos PSDF biudžeto lėšomis, tačiau dėl paciento sveikatos būklės ir (ar) ligos eigos negali jam būti suteiktos Lietuvoje laiku;</w:t>
                      </w:r>
                    </w:p>
                  </w:sdtContent>
                </w:sdt>
                <w:sdt>
                  <w:sdtPr>
                    <w:alias w:val="4.2 pp."/>
                    <w:tag w:val="part_d7f777ce1e3a41de8dbb116aba0e071b"/>
                    <w:lock w:val="sdtLocked"/>
                    <w:richText/>
                  </w:sdtPr>
                  <w:sdtContent>
                    <w:p>
                      <w:pPr>
                        <w:widowControl w:val="0"/>
                        <w:ind w:firstLine="284"/>
                        <w:jc w:val="both"/>
                        <w:rPr>
                          <w:szCs w:val="24"/>
                          <w:lang w:eastAsia="lt-LT"/>
                        </w:rPr>
                      </w:pPr>
                      <w:sdt>
                        <w:sdtPr>
                          <w:alias w:val="Numeris"/>
                          <w:tag w:val="nr_d7f777ce1e3a41de8dbb116aba0e071b"/>
                          <w:lock w:val="sdtLocked"/>
                          <w:richText/>
                        </w:sdtPr>
                        <w:sdtContent>
                          <w:r>
                            <w:rPr>
                              <w:szCs w:val="24"/>
                              <w:lang w:eastAsia="lt-LT"/>
                            </w:rPr>
                            <w:t>4.2</w:t>
                          </w:r>
                        </w:sdtContent>
                      </w:sdt>
                      <w:r>
                        <w:rPr>
                          <w:szCs w:val="24"/>
                          <w:lang w:eastAsia="lt-LT"/>
                        </w:rPr>
                        <w:t>. Lietuvoje visos ištyrimo ir gydymo galimybės yra išnaudotos, o užsienyje taikomas gydymo metodas efektyviai paveiktų paciento sveikatos būklę sukeliančius patogenezinius veiksnius (lemiančius klinikinę ligos eigą) ir pailgintų paciento gyvenimą ir (ar) sumažintų neįgalumą (ar neleistų neįgalumui atsirasti ar didėti).</w:t>
                      </w:r>
                    </w:p>
                  </w:sdtContent>
                </w:sdt>
              </w:sdtContent>
            </w:sdt>
            <w:sdt>
              <w:sdtPr>
                <w:alias w:val="5 p."/>
                <w:tag w:val="part_a4316bc2fb904faaac4cfcc77ca2fd14"/>
                <w:lock w:val="sdtLocked"/>
                <w:richText/>
              </w:sdtPr>
              <w:sdtContent>
                <w:p>
                  <w:pPr>
                    <w:widowControl w:val="0"/>
                    <w:suppressAutoHyphens/>
                    <w:ind w:firstLine="284"/>
                    <w:jc w:val="both"/>
                    <w:rPr>
                      <w:szCs w:val="24"/>
                      <w:lang w:eastAsia="lt-LT"/>
                    </w:rPr>
                  </w:pPr>
                  <w:sdt>
                    <w:sdtPr>
                      <w:alias w:val="Numeris"/>
                      <w:tag w:val="nr_a4316bc2fb904faaac4cfcc77ca2fd14"/>
                      <w:lock w:val="sdtLocked"/>
                      <w:richText/>
                    </w:sdtPr>
                    <w:sdtContent>
                      <w:r>
                        <w:rPr>
                          <w:szCs w:val="24"/>
                          <w:lang w:eastAsia="lt-LT"/>
                        </w:rPr>
                        <w:t>5</w:t>
                      </w:r>
                    </w:sdtContent>
                  </w:sdt>
                  <w:r>
                    <w:rPr>
                      <w:szCs w:val="24"/>
                      <w:lang w:eastAsia="lt-LT"/>
                    </w:rPr>
                    <w:t>. Sprendimus dėl pacientų siuntimo gydyti į užsienį priima Valstybinės ligonių kasos prie Sveikatos apsaugos ministerijos (toliau – VLK) direktoriaus įsakymu sudaryta Sprendimų dėl pacientų gydymo užsienyje priėmimo komisija (toliau – Komisija), vadovaudamasi Aprašu ir Komisijos darbo reglamentu. Komisijos darbo reglamentas tvirtinamas VLK direktoriaus įsakymu.</w:t>
                  </w:r>
                </w:p>
              </w:sdtContent>
            </w:sdt>
            <w:sdt>
              <w:sdtPr>
                <w:alias w:val="6 p."/>
                <w:tag w:val="part_6c60683ced9c4f06bb377caa21894d37"/>
                <w:lock w:val="sdtLocked"/>
                <w:richText/>
              </w:sdtPr>
              <w:sdtContent>
                <w:p>
                  <w:pPr>
                    <w:widowControl w:val="0"/>
                    <w:suppressAutoHyphens/>
                    <w:ind w:firstLine="284"/>
                    <w:jc w:val="both"/>
                    <w:rPr>
                      <w:szCs w:val="24"/>
                      <w:lang w:eastAsia="lt-LT"/>
                    </w:rPr>
                  </w:pPr>
                  <w:sdt>
                    <w:sdtPr>
                      <w:alias w:val="Numeris"/>
                      <w:tag w:val="nr_6c60683ced9c4f06bb377caa21894d37"/>
                      <w:lock w:val="sdtLocked"/>
                      <w:richText/>
                    </w:sdtPr>
                    <w:sdtContent>
                      <w:r>
                        <w:rPr>
                          <w:szCs w:val="24"/>
                          <w:lang w:eastAsia="lt-LT"/>
                        </w:rPr>
                        <w:t>6</w:t>
                      </w:r>
                    </w:sdtContent>
                  </w:sdt>
                  <w:r>
                    <w:rPr>
                      <w:szCs w:val="24"/>
                      <w:lang w:eastAsia="lt-LT"/>
                    </w:rPr>
                    <w:t>. Komisijos funkcijos:</w:t>
                  </w:r>
                </w:p>
                <w:sdt>
                  <w:sdtPr>
                    <w:alias w:val="6.1 pp."/>
                    <w:tag w:val="part_d2d3bcb1c57d46aab73be1cc29cf0787"/>
                    <w:lock w:val="sdtLocked"/>
                    <w:richText/>
                  </w:sdtPr>
                  <w:sdtContent>
                    <w:p>
                      <w:pPr>
                        <w:widowControl w:val="0"/>
                        <w:suppressAutoHyphens/>
                        <w:ind w:firstLine="284"/>
                        <w:jc w:val="both"/>
                        <w:rPr>
                          <w:szCs w:val="24"/>
                          <w:lang w:eastAsia="lt-LT"/>
                        </w:rPr>
                      </w:pPr>
                      <w:sdt>
                        <w:sdtPr>
                          <w:alias w:val="Numeris"/>
                          <w:tag w:val="nr_d2d3bcb1c57d46aab73be1cc29cf0787"/>
                          <w:lock w:val="sdtLocked"/>
                          <w:richText/>
                        </w:sdtPr>
                        <w:sdtContent>
                          <w:r>
                            <w:rPr>
                              <w:szCs w:val="24"/>
                              <w:lang w:eastAsia="lt-LT"/>
                            </w:rPr>
                            <w:t>6.1</w:t>
                          </w:r>
                        </w:sdtContent>
                      </w:sdt>
                      <w:r>
                        <w:rPr>
                          <w:szCs w:val="24"/>
                          <w:lang w:eastAsia="lt-LT"/>
                        </w:rPr>
                        <w:t>. vertinti universitetų ar universitetinių ligoninių prašymus</w:t>
                      </w:r>
                      <w:r>
                        <w:rPr>
                          <w:rFonts w:ascii="Arial" w:hAnsi="Arial" w:cs="Arial"/>
                          <w:sz w:val="20"/>
                          <w:szCs w:val="24"/>
                          <w:lang w:eastAsia="lt-LT"/>
                        </w:rPr>
                        <w:t xml:space="preserve"> </w:t>
                      </w:r>
                      <w:r>
                        <w:rPr>
                          <w:szCs w:val="24"/>
                          <w:lang w:eastAsia="lt-LT"/>
                        </w:rPr>
                        <w:t>išduoti pacientams leidimą gydytis užsienio valstybėje;</w:t>
                      </w:r>
                    </w:p>
                  </w:sdtContent>
                </w:sdt>
                <w:sdt>
                  <w:sdtPr>
                    <w:alias w:val="6.2 pp."/>
                    <w:tag w:val="part_54fcf84c9fd24a949ad2cdd8cd066137"/>
                    <w:lock w:val="sdtLocked"/>
                    <w:richText/>
                  </w:sdtPr>
                  <w:sdtContent>
                    <w:p>
                      <w:pPr>
                        <w:widowControl w:val="0"/>
                        <w:suppressAutoHyphens/>
                        <w:ind w:firstLine="284"/>
                        <w:jc w:val="both"/>
                        <w:rPr>
                          <w:szCs w:val="24"/>
                          <w:lang w:eastAsia="lt-LT"/>
                        </w:rPr>
                      </w:pPr>
                      <w:sdt>
                        <w:sdtPr>
                          <w:alias w:val="Numeris"/>
                          <w:tag w:val="nr_54fcf84c9fd24a949ad2cdd8cd066137"/>
                          <w:lock w:val="sdtLocked"/>
                          <w:richText/>
                        </w:sdtPr>
                        <w:sdtContent>
                          <w:r>
                            <w:rPr>
                              <w:szCs w:val="24"/>
                              <w:lang w:eastAsia="lt-LT"/>
                            </w:rPr>
                            <w:t>6.2</w:t>
                          </w:r>
                        </w:sdtContent>
                      </w:sdt>
                      <w:r>
                        <w:rPr>
                          <w:szCs w:val="24"/>
                          <w:lang w:eastAsia="lt-LT"/>
                        </w:rPr>
                        <w:t>. nagrinėti užsienio valstybių kompetentingų sveikatos draudimo įstaigų prašymus išduoti užsienyje gyvenantiems Lietuvos Respublikos apdraustiesiems leidimą gauti planinį gydymą ne gyvenamojoje valstybėje;</w:t>
                      </w:r>
                    </w:p>
                  </w:sdtContent>
                </w:sdt>
                <w:sdt>
                  <w:sdtPr>
                    <w:alias w:val="6.3 pp."/>
                    <w:tag w:val="part_aea9289f482440ba992854d059f84b9e"/>
                    <w:lock w:val="sdtLocked"/>
                    <w:richText/>
                  </w:sdtPr>
                  <w:sdtContent>
                    <w:p>
                      <w:pPr>
                        <w:widowControl w:val="0"/>
                        <w:suppressAutoHyphens/>
                        <w:ind w:firstLine="284"/>
                        <w:jc w:val="both"/>
                        <w:rPr>
                          <w:szCs w:val="24"/>
                          <w:lang w:eastAsia="lt-LT"/>
                        </w:rPr>
                      </w:pPr>
                      <w:sdt>
                        <w:sdtPr>
                          <w:alias w:val="Numeris"/>
                          <w:tag w:val="nr_aea9289f482440ba992854d059f84b9e"/>
                          <w:lock w:val="sdtLocked"/>
                          <w:richText/>
                        </w:sdtPr>
                        <w:sdtContent>
                          <w:r>
                            <w:rPr>
                              <w:szCs w:val="24"/>
                              <w:lang w:eastAsia="lt-LT"/>
                            </w:rPr>
                            <w:t>6.3</w:t>
                          </w:r>
                        </w:sdtContent>
                      </w:sdt>
                      <w:r>
                        <w:rPr>
                          <w:szCs w:val="24"/>
                          <w:lang w:eastAsia="lt-LT"/>
                        </w:rPr>
                        <w:t xml:space="preserve">. vertinti užsienio ASPĮ prašymus išduoti Lietuvos Respublikos apdraustiesiems, kuriems užsienio valstybėje teikiama būtinoji medicinos pagalba, leidimą tęsti pradėtą gydymą, jei dėl medicininių priežasčių šie asmenys negali grįžti į Lietuvos Respubliką arba jiems reikalinga sveikatos priežiūra juos gydančioje užsienio valstybėje yra traktuojama kaip planinis gydymas; </w:t>
                      </w:r>
                    </w:p>
                  </w:sdtContent>
                </w:sdt>
                <w:sdt>
                  <w:sdtPr>
                    <w:alias w:val="6.4 pp."/>
                    <w:tag w:val="part_b7e47dd413694a149a503b36394a65e7"/>
                    <w:lock w:val="sdtLocked"/>
                    <w:richText/>
                  </w:sdtPr>
                  <w:sdtContent>
                    <w:p>
                      <w:pPr>
                        <w:widowControl w:val="0"/>
                        <w:suppressAutoHyphens/>
                        <w:ind w:firstLine="284"/>
                        <w:jc w:val="both"/>
                        <w:rPr>
                          <w:szCs w:val="24"/>
                          <w:lang w:eastAsia="lt-LT"/>
                        </w:rPr>
                      </w:pPr>
                      <w:sdt>
                        <w:sdtPr>
                          <w:alias w:val="Numeris"/>
                          <w:tag w:val="nr_b7e47dd413694a149a503b36394a65e7"/>
                          <w:lock w:val="sdtLocked"/>
                          <w:richText/>
                        </w:sdtPr>
                        <w:sdtContent>
                          <w:r>
                            <w:rPr>
                              <w:szCs w:val="24"/>
                              <w:lang w:eastAsia="lt-LT"/>
                            </w:rPr>
                            <w:t>6.4</w:t>
                          </w:r>
                        </w:sdtContent>
                      </w:sdt>
                      <w:r>
                        <w:rPr>
                          <w:szCs w:val="24"/>
                          <w:lang w:eastAsia="lt-LT"/>
                        </w:rPr>
                        <w:t xml:space="preserve">. nagrinėti Lietuvos Respublikos asmens sveikatos priežiūros įstaigų prašymus dėl gyvam donorui teikiamų sveikatos priežiūros paslaugų, susijusių su organų donoryste, išlaidų apmokėjimo, kai transplantacijos paslaugos teikiamos Lietuvos Respublikoje, tačiau organų donoras nėra apdraustas privalomuoju sveikatos draudimu Lietuvoje; </w:t>
                      </w:r>
                    </w:p>
                  </w:sdtContent>
                </w:sdt>
                <w:sdt>
                  <w:sdtPr>
                    <w:alias w:val="6.5 pp."/>
                    <w:tag w:val="part_6c95b0cb67244586854e604ce4bf03e0"/>
                    <w:lock w:val="sdtLocked"/>
                    <w:richText/>
                  </w:sdtPr>
                  <w:sdtContent>
                    <w:p>
                      <w:pPr>
                        <w:widowControl w:val="0"/>
                        <w:suppressAutoHyphens/>
                        <w:ind w:firstLine="284"/>
                        <w:jc w:val="both"/>
                        <w:rPr>
                          <w:szCs w:val="24"/>
                          <w:lang w:eastAsia="lt-LT"/>
                        </w:rPr>
                      </w:pPr>
                      <w:sdt>
                        <w:sdtPr>
                          <w:alias w:val="Numeris"/>
                          <w:tag w:val="nr_6c95b0cb67244586854e604ce4bf03e0"/>
                          <w:lock w:val="sdtLocked"/>
                          <w:richText/>
                        </w:sdtPr>
                        <w:sdtContent>
                          <w:r>
                            <w:rPr>
                              <w:szCs w:val="24"/>
                              <w:lang w:eastAsia="lt-LT"/>
                            </w:rPr>
                            <w:t>6.5</w:t>
                          </w:r>
                        </w:sdtContent>
                      </w:sdt>
                      <w:r>
                        <w:rPr>
                          <w:szCs w:val="24"/>
                          <w:lang w:eastAsia="lt-LT"/>
                        </w:rPr>
                        <w:t xml:space="preserve">. nagrinėti kitus klausimus, kurie yra pavesti spręsti sveikatos apsaugos ministro įsakymais ar kitais teisės aktais. </w:t>
                      </w:r>
                    </w:p>
                  </w:sdtContent>
                </w:sdt>
              </w:sdtContent>
            </w:sdt>
            <w:sdt>
              <w:sdtPr>
                <w:alias w:val="7 p."/>
                <w:tag w:val="part_fd8b67adc72145168ea2375a95bf8f00"/>
                <w:lock w:val="sdtLocked"/>
                <w:richText/>
              </w:sdtPr>
              <w:sdtContent>
                <w:p>
                  <w:pPr>
                    <w:widowControl w:val="0"/>
                    <w:suppressAutoHyphens/>
                    <w:ind w:firstLine="284"/>
                    <w:jc w:val="both"/>
                    <w:rPr>
                      <w:szCs w:val="24"/>
                      <w:lang w:eastAsia="lt-LT"/>
                    </w:rPr>
                  </w:pPr>
                  <w:sdt>
                    <w:sdtPr>
                      <w:alias w:val="Numeris"/>
                      <w:tag w:val="nr_fd8b67adc72145168ea2375a95bf8f00"/>
                      <w:lock w:val="sdtLocked"/>
                      <w:richText/>
                    </w:sdtPr>
                    <w:sdtContent>
                      <w:r>
                        <w:rPr>
                          <w:szCs w:val="24"/>
                          <w:lang w:eastAsia="lt-LT"/>
                        </w:rPr>
                        <w:t>7</w:t>
                      </w:r>
                    </w:sdtContent>
                  </w:sdt>
                  <w:r>
                    <w:rPr>
                      <w:szCs w:val="24"/>
                      <w:lang w:eastAsia="lt-LT"/>
                    </w:rPr>
                    <w:t xml:space="preserve">. Informacija apie Komisijos priimtus sprendimus ir išduotus dokumentus S2 saugoma EDMIS. </w:t>
                  </w:r>
                </w:p>
                <w:p>
                  <w:pPr>
                    <w:widowControl w:val="0"/>
                    <w:suppressAutoHyphens/>
                    <w:jc w:val="both"/>
                    <w:rPr>
                      <w:szCs w:val="24"/>
                      <w:lang w:eastAsia="lt-LT"/>
                    </w:rPr>
                  </w:pPr>
                </w:p>
              </w:sdtContent>
            </w:sdt>
          </w:sdtContent>
        </w:sdt>
        <w:sdt>
          <w:sdtPr>
            <w:alias w:val="skyrius"/>
            <w:tag w:val="part_55c3d2a3af3c4ae9a72159e1ae9854ff"/>
            <w:lock w:val="sdtLocked"/>
            <w:richText/>
          </w:sdtPr>
          <w:sdtContent>
            <w:p>
              <w:pPr>
                <w:widowControl w:val="0"/>
                <w:suppressAutoHyphens/>
                <w:jc w:val="center"/>
                <w:rPr>
                  <w:b/>
                  <w:bCs/>
                  <w:caps/>
                  <w:szCs w:val="24"/>
                  <w:lang w:eastAsia="lt-LT"/>
                </w:rPr>
              </w:pPr>
              <w:sdt>
                <w:sdtPr>
                  <w:alias w:val="Numeris"/>
                  <w:tag w:val="nr_55c3d2a3af3c4ae9a72159e1ae9854ff"/>
                  <w:lock w:val="sdtLocked"/>
                  <w:richText/>
                </w:sdtPr>
                <w:sdtContent>
                  <w:r>
                    <w:rPr>
                      <w:b/>
                      <w:bCs/>
                      <w:caps/>
                      <w:szCs w:val="24"/>
                      <w:lang w:eastAsia="lt-LT"/>
                    </w:rPr>
                    <w:t>III</w:t>
                  </w:r>
                </w:sdtContent>
              </w:sdt>
              <w:r>
                <w:rPr>
                  <w:b/>
                  <w:bCs/>
                  <w:caps/>
                  <w:szCs w:val="24"/>
                  <w:lang w:eastAsia="lt-LT"/>
                </w:rPr>
                <w:t xml:space="preserve"> SKYRIUS</w:t>
              </w:r>
            </w:p>
            <w:p>
              <w:pPr>
                <w:widowControl w:val="0"/>
                <w:suppressAutoHyphens/>
                <w:jc w:val="center"/>
                <w:rPr>
                  <w:b/>
                  <w:bCs/>
                  <w:caps/>
                  <w:szCs w:val="24"/>
                  <w:lang w:eastAsia="lt-LT"/>
                </w:rPr>
              </w:pPr>
              <w:sdt>
                <w:sdtPr>
                  <w:alias w:val="Pavadinimas"/>
                  <w:tag w:val="title_55c3d2a3af3c4ae9a72159e1ae9854ff"/>
                  <w:lock w:val="sdtLocked"/>
                  <w:richText/>
                </w:sdtPr>
                <w:sdtContent>
                  <w:r>
                    <w:rPr>
                      <w:b/>
                      <w:bCs/>
                      <w:caps/>
                      <w:szCs w:val="24"/>
                      <w:lang w:eastAsia="lt-LT"/>
                    </w:rPr>
                    <w:t>DOKUMENTŲ PATEIKIMO, JŲ NAGRINĖJIMO IR SPRENDIMŲ PRIĖMIMO TVARKA</w:t>
                  </w:r>
                </w:sdtContent>
              </w:sdt>
            </w:p>
            <w:p>
              <w:pPr>
                <w:widowControl w:val="0"/>
                <w:suppressAutoHyphens/>
                <w:jc w:val="both"/>
                <w:rPr>
                  <w:szCs w:val="24"/>
                  <w:lang w:eastAsia="lt-LT"/>
                </w:rPr>
              </w:pPr>
            </w:p>
            <w:sdt>
              <w:sdtPr>
                <w:alias w:val="8 p."/>
                <w:tag w:val="part_5229e27bc3da4406ac740298f3724ef2"/>
                <w:lock w:val="sdtLocked"/>
                <w:richText/>
              </w:sdtPr>
              <w:sdtContent>
                <w:p>
                  <w:pPr>
                    <w:widowControl w:val="0"/>
                    <w:suppressAutoHyphens/>
                    <w:ind w:firstLine="426"/>
                    <w:jc w:val="both"/>
                    <w:rPr>
                      <w:szCs w:val="24"/>
                      <w:lang w:eastAsia="lt-LT"/>
                    </w:rPr>
                  </w:pPr>
                  <w:sdt>
                    <w:sdtPr>
                      <w:alias w:val="Numeris"/>
                      <w:tag w:val="nr_5229e27bc3da4406ac740298f3724ef2"/>
                      <w:lock w:val="sdtLocked"/>
                      <w:richText/>
                    </w:sdtPr>
                    <w:sdtContent>
                      <w:r>
                        <w:rPr>
                          <w:szCs w:val="24"/>
                          <w:lang w:eastAsia="lt-LT"/>
                        </w:rPr>
                        <w:t>8</w:t>
                      </w:r>
                    </w:sdtContent>
                  </w:sdt>
                  <w:r>
                    <w:rPr>
                      <w:szCs w:val="24"/>
                      <w:lang w:eastAsia="lt-LT"/>
                    </w:rPr>
                    <w:t>. Pacientą gydantis gydytojas, įvertinęs jo sveikatos būklę ir galimybę gauti reikiamas asmens sveikatos priežiūros paslaugas Lietuvoje, siunčia pacientą konsultuoti į universitetų ar universitetines ligonines (toliau – ligoninė) dėl jo gydymo užsienyje tikslingumo.</w:t>
                  </w:r>
                </w:p>
              </w:sdtContent>
            </w:sdt>
            <w:sdt>
              <w:sdtPr>
                <w:alias w:val="9 p."/>
                <w:tag w:val="part_3fab225fbe574895aeff94a4c2c65bfa"/>
                <w:lock w:val="sdtLocked"/>
                <w:richText/>
              </w:sdtPr>
              <w:sdtContent>
                <w:p>
                  <w:pPr>
                    <w:widowControl w:val="0"/>
                    <w:suppressAutoHyphens/>
                    <w:ind w:firstLine="426"/>
                    <w:jc w:val="both"/>
                    <w:rPr>
                      <w:szCs w:val="24"/>
                      <w:lang w:eastAsia="lt-LT"/>
                    </w:rPr>
                  </w:pPr>
                  <w:sdt>
                    <w:sdtPr>
                      <w:alias w:val="Numeris"/>
                      <w:tag w:val="nr_3fab225fbe574895aeff94a4c2c65bfa"/>
                      <w:lock w:val="sdtLocked"/>
                      <w:richText/>
                    </w:sdtPr>
                    <w:sdtContent>
                      <w:r>
                        <w:rPr>
                          <w:szCs w:val="24"/>
                          <w:lang w:eastAsia="lt-LT"/>
                        </w:rPr>
                        <w:t>9</w:t>
                      </w:r>
                    </w:sdtContent>
                  </w:sdt>
                  <w:r>
                    <w:rPr>
                      <w:szCs w:val="24"/>
                      <w:lang w:eastAsia="lt-LT"/>
                    </w:rPr>
                    <w:t>. Ligoninės gydytojai specialistai, įvertinę paciento sveikatos būklę, jo individualius medicininius poreikius, ligos eigą bei tikėtinus padarinius ir aptarę tai gydytojų konsiliume (toliau – konsiliumas), užpildo, esant medicininių indikacijų siųsti pacientą gydytis į užsienį, Lietuvos Respublikos sveikatos apsaugos ministro 2014 m. sausio 27 d. įsakymu Nr. V-120 „Dėl privalomų sveikatos statistikos apskaitos ir kitų tipinių formų bei privalomų sveikatos statistikos ataskaitų formų patvirtinimo“ patvirtintą formą Nr. 027/a „Medicinos dokumentų išrašas / siuntimas“ (toliau – forma Nr. 027/a). Formoje Nr. 027/a turi būti nurodyti visi reikiami duomenys apie paciento sveikatos būklę (klinikinė diagnozė lietuvių ar lotynų kalbomis), atliktus tyrimus, skirtą gydymą. Užsienio ASPĮ parenka ir gydymo laiką suderina pacientą gydantis ligoninės gydytojas.</w:t>
                  </w:r>
                </w:p>
              </w:sdtContent>
            </w:sdt>
            <w:sdt>
              <w:sdtPr>
                <w:alias w:val="10 p."/>
                <w:tag w:val="part_4104362a736f48d88c3988e4d1260b9f"/>
                <w:lock w:val="sdtLocked"/>
                <w:richText/>
              </w:sdtPr>
              <w:sdtContent>
                <w:p>
                  <w:pPr>
                    <w:widowControl w:val="0"/>
                    <w:suppressAutoHyphens/>
                    <w:ind w:firstLine="426"/>
                    <w:jc w:val="both"/>
                    <w:rPr>
                      <w:szCs w:val="24"/>
                      <w:lang w:eastAsia="lt-LT"/>
                    </w:rPr>
                  </w:pPr>
                  <w:sdt>
                    <w:sdtPr>
                      <w:alias w:val="Numeris"/>
                      <w:tag w:val="nr_4104362a736f48d88c3988e4d1260b9f"/>
                      <w:lock w:val="sdtLocked"/>
                      <w:richText/>
                    </w:sdtPr>
                    <w:sdtContent>
                      <w:r>
                        <w:rPr>
                          <w:szCs w:val="24"/>
                          <w:lang w:eastAsia="lt-LT"/>
                        </w:rPr>
                        <w:t>10</w:t>
                      </w:r>
                    </w:sdtContent>
                  </w:sdt>
                  <w:r>
                    <w:rPr>
                      <w:szCs w:val="24"/>
                      <w:lang w:eastAsia="lt-LT"/>
                    </w:rPr>
                    <w:t xml:space="preserve">. Ligoninė, prieš siųsdama dokumentus Komisijai, pacientą ir (ar) jo atstovą turi pasirašytinai supažindinti su paciento siuntimu gydytis užsienio ASPĮ ir informuoti apie tai, kad toje užsienio valstybėje taikomus mokesčius ir priemokas reikės sumokėti pačiam. </w:t>
                  </w:r>
                </w:p>
              </w:sdtContent>
            </w:sdt>
            <w:sdt>
              <w:sdtPr>
                <w:alias w:val="11 p."/>
                <w:tag w:val="part_bf1c69496dc84e10be9980fdc60746e9"/>
                <w:lock w:val="sdtLocked"/>
                <w:richText/>
              </w:sdtPr>
              <w:sdtContent>
                <w:p>
                  <w:pPr>
                    <w:widowControl w:val="0"/>
                    <w:suppressAutoHyphens/>
                    <w:ind w:firstLine="426"/>
                    <w:jc w:val="both"/>
                    <w:rPr>
                      <w:szCs w:val="24"/>
                      <w:lang w:eastAsia="lt-LT"/>
                    </w:rPr>
                  </w:pPr>
                  <w:sdt>
                    <w:sdtPr>
                      <w:alias w:val="Numeris"/>
                      <w:tag w:val="nr_bf1c69496dc84e10be9980fdc60746e9"/>
                      <w:lock w:val="sdtLocked"/>
                      <w:richText/>
                    </w:sdtPr>
                    <w:sdtContent>
                      <w:r>
                        <w:rPr>
                          <w:szCs w:val="24"/>
                          <w:lang w:eastAsia="lt-LT"/>
                        </w:rPr>
                        <w:t>11</w:t>
                      </w:r>
                    </w:sdtContent>
                  </w:sdt>
                  <w:r>
                    <w:rPr>
                      <w:szCs w:val="24"/>
                      <w:lang w:eastAsia="lt-LT"/>
                    </w:rPr>
                    <w:t xml:space="preserve">. Pacientas ir (ar) jo atstovas turi būti pasirašytinai informuoti apie tai, kad Komisija, vertindama pateiktus dokumentus, turi teisę kreiptis ir pateikti  nuasmenintus dokumentus kitai ligoninei dėl papildomos nuomonės apie paciento sveikatos būklę ir siuntimo gydytis užsienio valstybėje pagrįstumą. Tai pažymima gydymo stacionare ligos istorijoje (apskaitos forma Nr. 003/a, patvirtinta Lietuvos Respublikos sveikatos apsaugos ministro 1999 m. lapkričio 29 d. įsakymu Nr. 515 „Dėl sveikatos priežiūros įstaigų veiklos apskaitos ir atskaitomybės tvarkos“; toliau – forma Nr. 003/a) arba ambulatorinėje asmens sveikatos istorijoje (apskaitos forma Nr. 025/a, patvirtinta Lietuvos Respublikos sveikatos apsaugos ministro 2014 m. sausio 27 d. įsakymu Nr. V-120 „Dėl privalomų sveikatos statistikos apskaitos ir kitų tipinių formų bei privalomų sveikatos statistikos ataskaitų formų patvirtinimo“; toliau – forma Nr. 025/a).</w:t>
                  </w:r>
                </w:p>
              </w:sdtContent>
            </w:sdt>
            <w:sdt>
              <w:sdtPr>
                <w:alias w:val="12 p."/>
                <w:tag w:val="part_06115c1a0fb243a1a681fd7eb4d45a98"/>
                <w:lock w:val="sdtLocked"/>
                <w:richText/>
              </w:sdtPr>
              <w:sdtContent>
                <w:p>
                  <w:pPr>
                    <w:widowControl w:val="0"/>
                    <w:suppressAutoHyphens/>
                    <w:ind w:firstLine="426"/>
                    <w:jc w:val="both"/>
                    <w:rPr>
                      <w:szCs w:val="24"/>
                      <w:lang w:eastAsia="lt-LT"/>
                    </w:rPr>
                  </w:pPr>
                  <w:sdt>
                    <w:sdtPr>
                      <w:alias w:val="Numeris"/>
                      <w:tag w:val="nr_06115c1a0fb243a1a681fd7eb4d45a98"/>
                      <w:lock w:val="sdtLocked"/>
                      <w:richText/>
                    </w:sdtPr>
                    <w:sdtContent>
                      <w:r>
                        <w:rPr>
                          <w:szCs w:val="24"/>
                          <w:lang w:eastAsia="lt-LT"/>
                        </w:rPr>
                        <w:t>12</w:t>
                      </w:r>
                    </w:sdtContent>
                  </w:sdt>
                  <w:r>
                    <w:rPr>
                      <w:szCs w:val="24"/>
                      <w:lang w:eastAsia="lt-LT"/>
                    </w:rPr>
                    <w:t>. Komisijai ne vėliau kaip prieš dvi savaites iki išvykstant pacientui gydytis į užsienį turi būti pateikti šie dokumentai:</w:t>
                  </w:r>
                </w:p>
                <w:sdt>
                  <w:sdtPr>
                    <w:alias w:val="12.1 pp."/>
                    <w:tag w:val="part_8028af247f1d4977bc46eb835e3c4e7c"/>
                    <w:lock w:val="sdtLocked"/>
                    <w:richText/>
                  </w:sdtPr>
                  <w:sdtContent>
                    <w:p>
                      <w:pPr>
                        <w:widowControl w:val="0"/>
                        <w:suppressAutoHyphens/>
                        <w:ind w:firstLine="426"/>
                        <w:jc w:val="both"/>
                        <w:rPr>
                          <w:szCs w:val="24"/>
                          <w:lang w:eastAsia="lt-LT"/>
                        </w:rPr>
                      </w:pPr>
                      <w:sdt>
                        <w:sdtPr>
                          <w:alias w:val="Numeris"/>
                          <w:tag w:val="nr_8028af247f1d4977bc46eb835e3c4e7c"/>
                          <w:lock w:val="sdtLocked"/>
                          <w:richText/>
                        </w:sdtPr>
                        <w:sdtContent>
                          <w:r>
                            <w:rPr>
                              <w:szCs w:val="24"/>
                              <w:lang w:eastAsia="lt-LT"/>
                            </w:rPr>
                            <w:t>12.1</w:t>
                          </w:r>
                        </w:sdtContent>
                      </w:sdt>
                      <w:r>
                        <w:rPr>
                          <w:szCs w:val="24"/>
                          <w:lang w:eastAsia="lt-LT"/>
                        </w:rPr>
                        <w:t xml:space="preserve">. nustatytos formos prašymas išduoti leidimą gydytis užsienio valstybėje (Aprašo priedas). Jei į užsienį dėl transplantacijos paslaugų siunčiamas donoras ir recipientas, kiekvienam asmeniui pildoma atskira forma; </w:t>
                      </w:r>
                    </w:p>
                  </w:sdtContent>
                </w:sdt>
                <w:sdt>
                  <w:sdtPr>
                    <w:alias w:val="12.2 pp."/>
                    <w:tag w:val="part_d315a34caf7f4267836c6fd70a71e7f8"/>
                    <w:lock w:val="sdtLocked"/>
                    <w:richText/>
                  </w:sdtPr>
                  <w:sdtContent>
                    <w:p>
                      <w:pPr>
                        <w:widowControl w:val="0"/>
                        <w:suppressAutoHyphens/>
                        <w:ind w:firstLine="426"/>
                        <w:jc w:val="both"/>
                        <w:rPr>
                          <w:szCs w:val="24"/>
                          <w:lang w:eastAsia="lt-LT"/>
                        </w:rPr>
                      </w:pPr>
                      <w:sdt>
                        <w:sdtPr>
                          <w:alias w:val="Numeris"/>
                          <w:tag w:val="nr_d315a34caf7f4267836c6fd70a71e7f8"/>
                          <w:lock w:val="sdtLocked"/>
                          <w:richText/>
                        </w:sdtPr>
                        <w:sdtContent>
                          <w:r>
                            <w:rPr>
                              <w:szCs w:val="24"/>
                              <w:lang w:eastAsia="lt-LT"/>
                            </w:rPr>
                            <w:t>12.2</w:t>
                          </w:r>
                        </w:sdtContent>
                      </w:sdt>
                      <w:r>
                        <w:rPr>
                          <w:szCs w:val="24"/>
                          <w:lang w:eastAsia="lt-LT"/>
                        </w:rPr>
                        <w:t>. ligoninės gydytojų specialistų konsiliumo išvada dėl gydymo užsienyje reikalingumo, patvirtinta ne mažiau kaip trijų konsiliume dalyvaujančių gydytojų parašais. Konsiliumo išvadoje turi būti nurodytos ją pasirašančių gydytojų profesinės kvalifikacijos. Dalyvauti konsiliume ir vertinti paciento sveikatos būklę, diagnozuoti ligą, įvertinti paciento gydymo galimybes turi teisę atitinkamos profesinės kvalifikacijos (nurodytos medicinos praktikos licencijoje) ir kompetencijos (nustatytos teisės aktuose) gydytojai. Konsiliumo išvadoje turi būti nurodyta:</w:t>
                      </w:r>
                    </w:p>
                    <w:sdt>
                      <w:sdtPr>
                        <w:alias w:val="12.2.1 pp."/>
                        <w:tag w:val="part_1845343c794546a0a85024397a2c0246"/>
                        <w:lock w:val="sdtLocked"/>
                        <w:richText/>
                      </w:sdtPr>
                      <w:sdtContent>
                        <w:p>
                          <w:pPr>
                            <w:widowControl w:val="0"/>
                            <w:suppressAutoHyphens/>
                            <w:ind w:firstLine="426"/>
                            <w:jc w:val="both"/>
                            <w:rPr>
                              <w:szCs w:val="24"/>
                              <w:lang w:eastAsia="lt-LT"/>
                            </w:rPr>
                          </w:pPr>
                          <w:sdt>
                            <w:sdtPr>
                              <w:alias w:val="Numeris"/>
                              <w:tag w:val="nr_1845343c794546a0a85024397a2c0246"/>
                              <w:lock w:val="sdtLocked"/>
                              <w:richText/>
                            </w:sdtPr>
                            <w:sdtContent>
                              <w:r>
                                <w:rPr>
                                  <w:szCs w:val="24"/>
                                  <w:lang w:eastAsia="lt-LT"/>
                                </w:rPr>
                                <w:t>12.2.1</w:t>
                              </w:r>
                            </w:sdtContent>
                          </w:sdt>
                          <w:r>
                            <w:rPr>
                              <w:szCs w:val="24"/>
                              <w:lang w:eastAsia="lt-LT"/>
                            </w:rPr>
                            <w:t>. paciento asmens duomenys (vardas, pavardė, gimimo data arba asmens kodas);</w:t>
                          </w:r>
                        </w:p>
                      </w:sdtContent>
                    </w:sdt>
                    <w:sdt>
                      <w:sdtPr>
                        <w:alias w:val="12.2.2 pp."/>
                        <w:tag w:val="part_6d844b420b6349a89ce449d85c325489"/>
                        <w:lock w:val="sdtLocked"/>
                        <w:richText/>
                      </w:sdtPr>
                      <w:sdtContent>
                        <w:p>
                          <w:pPr>
                            <w:widowControl w:val="0"/>
                            <w:suppressAutoHyphens/>
                            <w:ind w:firstLine="426"/>
                            <w:jc w:val="both"/>
                            <w:rPr>
                              <w:szCs w:val="24"/>
                              <w:lang w:eastAsia="lt-LT"/>
                            </w:rPr>
                          </w:pPr>
                          <w:sdt>
                            <w:sdtPr>
                              <w:alias w:val="Numeris"/>
                              <w:tag w:val="nr_6d844b420b6349a89ce449d85c325489"/>
                              <w:lock w:val="sdtLocked"/>
                              <w:richText/>
                            </w:sdtPr>
                            <w:sdtContent>
                              <w:r>
                                <w:rPr>
                                  <w:szCs w:val="24"/>
                                  <w:lang w:eastAsia="lt-LT"/>
                                </w:rPr>
                                <w:t>12.2.2</w:t>
                              </w:r>
                            </w:sdtContent>
                          </w:sdt>
                          <w:r>
                            <w:rPr>
                              <w:szCs w:val="24"/>
                              <w:lang w:eastAsia="lt-LT"/>
                            </w:rPr>
                            <w:t>. klinikinė diagnozė (lietuvių ar lotynų kalbomis), jos kodas pagal Tarptautinės statistinės ligų ir sveikatos sutrikimų klasifikacijos dešimtąjį pataisytą ir papildytą leidimą „Sisteminis ligų sąrašas“ (Australijos modifikacija, TLK-10-AM), patvirtintą Lietuvos Respublikos sveikatos apsaugos ministro 2011 m. vasario 23 d. įsakymu Nr. V-164 „Dėl Tarptautinės statistinės ligų ir sveikatos sutrikimų klasifikacijos dešimtojo pataisyto ir papildyto leidimo „Sisteminis ligų sąrašas“ (Australijos modifikacija, TLK-10-AM) įdiegimo“ (toliau – TLK-10-AM), bei klinikinės diagnozės nustatymo data. Jei paciento sveikatos būklė neatitinka tikslaus TLK-10-AM kodo, nurodomas artimiausias, vertinant pagal paciento sveikatos būklę, TLK-10-AM kodas ir pateikiamas šio neatitikimo paaiškinimas, taip pat, jei įmanoma, papildomai gali būti nurodomas ir kitos klasifikacijos kodas;</w:t>
                          </w:r>
                        </w:p>
                      </w:sdtContent>
                    </w:sdt>
                    <w:sdt>
                      <w:sdtPr>
                        <w:alias w:val="12.2.3 pp."/>
                        <w:tag w:val="part_27a61469d0a54cee8f81add791b2d493"/>
                        <w:lock w:val="sdtLocked"/>
                        <w:richText/>
                      </w:sdtPr>
                      <w:sdtContent>
                        <w:p>
                          <w:pPr>
                            <w:widowControl w:val="0"/>
                            <w:suppressAutoHyphens/>
                            <w:ind w:firstLine="426"/>
                            <w:jc w:val="both"/>
                            <w:rPr>
                              <w:szCs w:val="24"/>
                              <w:lang w:eastAsia="lt-LT"/>
                            </w:rPr>
                          </w:pPr>
                          <w:sdt>
                            <w:sdtPr>
                              <w:alias w:val="Numeris"/>
                              <w:tag w:val="nr_27a61469d0a54cee8f81add791b2d493"/>
                              <w:lock w:val="sdtLocked"/>
                              <w:richText/>
                            </w:sdtPr>
                            <w:sdtContent>
                              <w:r>
                                <w:rPr>
                                  <w:szCs w:val="24"/>
                                  <w:lang w:eastAsia="lt-LT"/>
                                </w:rPr>
                                <w:t>12.2.3</w:t>
                              </w:r>
                            </w:sdtContent>
                          </w:sdt>
                          <w:r>
                            <w:rPr>
                              <w:szCs w:val="24"/>
                              <w:lang w:eastAsia="lt-LT"/>
                            </w:rPr>
                            <w:t>. paciento sveikatos būklė išvados rašymo metu, taikytas gydymas, jo rezultatai;</w:t>
                          </w:r>
                        </w:p>
                      </w:sdtContent>
                    </w:sdt>
                    <w:sdt>
                      <w:sdtPr>
                        <w:alias w:val="12.2.4 pp."/>
                        <w:tag w:val="part_6a4cd17cfbc349be919e7a864ca17580"/>
                        <w:lock w:val="sdtLocked"/>
                        <w:richText/>
                      </w:sdtPr>
                      <w:sdtContent>
                        <w:p>
                          <w:pPr>
                            <w:widowControl w:val="0"/>
                            <w:suppressAutoHyphens/>
                            <w:ind w:firstLine="426"/>
                            <w:jc w:val="both"/>
                            <w:rPr>
                              <w:szCs w:val="24"/>
                              <w:lang w:eastAsia="lt-LT"/>
                            </w:rPr>
                          </w:pPr>
                          <w:sdt>
                            <w:sdtPr>
                              <w:alias w:val="Numeris"/>
                              <w:tag w:val="nr_6a4cd17cfbc349be919e7a864ca17580"/>
                              <w:lock w:val="sdtLocked"/>
                              <w:richText/>
                            </w:sdtPr>
                            <w:sdtContent>
                              <w:r>
                                <w:rPr>
                                  <w:szCs w:val="24"/>
                                  <w:lang w:eastAsia="lt-LT"/>
                                </w:rPr>
                                <w:t>12.2.4</w:t>
                              </w:r>
                            </w:sdtContent>
                          </w:sdt>
                          <w:r>
                            <w:rPr>
                              <w:szCs w:val="24"/>
                              <w:lang w:eastAsia="lt-LT"/>
                            </w:rPr>
                            <w:t>. rekomenduojamas gydymas užsienio valstybėje;</w:t>
                          </w:r>
                        </w:p>
                      </w:sdtContent>
                    </w:sdt>
                    <w:sdt>
                      <w:sdtPr>
                        <w:alias w:val="12.2.5 pp."/>
                        <w:tag w:val="part_36fab2f9f54643718cfa33db85f4b10f"/>
                        <w:lock w:val="sdtLocked"/>
                        <w:richText/>
                      </w:sdtPr>
                      <w:sdtContent>
                        <w:p>
                          <w:pPr>
                            <w:widowControl w:val="0"/>
                            <w:suppressAutoHyphens/>
                            <w:ind w:firstLine="426"/>
                            <w:jc w:val="both"/>
                            <w:rPr>
                              <w:szCs w:val="24"/>
                              <w:lang w:eastAsia="lt-LT"/>
                            </w:rPr>
                          </w:pPr>
                          <w:sdt>
                            <w:sdtPr>
                              <w:alias w:val="Numeris"/>
                              <w:tag w:val="nr_36fab2f9f54643718cfa33db85f4b10f"/>
                              <w:lock w:val="sdtLocked"/>
                              <w:richText/>
                            </w:sdtPr>
                            <w:sdtContent>
                              <w:r>
                                <w:rPr>
                                  <w:szCs w:val="24"/>
                                  <w:lang w:eastAsia="lt-LT"/>
                                </w:rPr>
                                <w:t>12.2.5</w:t>
                              </w:r>
                            </w:sdtContent>
                          </w:sdt>
                          <w:r>
                            <w:rPr>
                              <w:szCs w:val="24"/>
                              <w:lang w:eastAsia="lt-LT"/>
                            </w:rPr>
                            <w:t>. paciento siuntimo gydyti į užsienį pagrindimas, patvirtinantis, kad įvykdyta bent viena iš Aprašo 4 punkte nurodytų sąlygų;</w:t>
                          </w:r>
                        </w:p>
                      </w:sdtContent>
                    </w:sdt>
                    <w:sdt>
                      <w:sdtPr>
                        <w:alias w:val="12.2.6 pp."/>
                        <w:tag w:val="part_d4f30444cf8347668a00648b409317a8"/>
                        <w:lock w:val="sdtLocked"/>
                        <w:richText/>
                      </w:sdtPr>
                      <w:sdtContent>
                        <w:p>
                          <w:pPr>
                            <w:widowControl w:val="0"/>
                            <w:suppressAutoHyphens/>
                            <w:ind w:firstLine="426"/>
                            <w:jc w:val="both"/>
                            <w:rPr>
                              <w:szCs w:val="24"/>
                              <w:lang w:eastAsia="lt-LT"/>
                            </w:rPr>
                          </w:pPr>
                          <w:sdt>
                            <w:sdtPr>
                              <w:alias w:val="Numeris"/>
                              <w:tag w:val="nr_d4f30444cf8347668a00648b409317a8"/>
                              <w:lock w:val="sdtLocked"/>
                              <w:richText/>
                            </w:sdtPr>
                            <w:sdtContent>
                              <w:r>
                                <w:rPr>
                                  <w:szCs w:val="24"/>
                                  <w:lang w:eastAsia="lt-LT"/>
                                </w:rPr>
                                <w:t>12.2.6</w:t>
                              </w:r>
                            </w:sdtContent>
                          </w:sdt>
                          <w:r>
                            <w:rPr>
                              <w:szCs w:val="24"/>
                              <w:lang w:eastAsia="lt-LT"/>
                            </w:rPr>
                            <w:t>. preliminari gydymo užsienio valstybėje prognozė;</w:t>
                          </w:r>
                        </w:p>
                      </w:sdtContent>
                    </w:sdt>
                    <w:sdt>
                      <w:sdtPr>
                        <w:alias w:val="12.2.7 pp."/>
                        <w:tag w:val="part_cf0021a9adfa4edf8fa75f9638d56898"/>
                        <w:lock w:val="sdtLocked"/>
                        <w:richText/>
                      </w:sdtPr>
                      <w:sdtContent>
                        <w:p>
                          <w:pPr>
                            <w:widowControl w:val="0"/>
                            <w:suppressAutoHyphens/>
                            <w:ind w:firstLine="426"/>
                            <w:jc w:val="both"/>
                            <w:rPr>
                              <w:szCs w:val="24"/>
                              <w:lang w:eastAsia="lt-LT"/>
                            </w:rPr>
                          </w:pPr>
                          <w:sdt>
                            <w:sdtPr>
                              <w:alias w:val="Numeris"/>
                              <w:tag w:val="nr_cf0021a9adfa4edf8fa75f9638d56898"/>
                              <w:lock w:val="sdtLocked"/>
                              <w:richText/>
                            </w:sdtPr>
                            <w:sdtContent>
                              <w:r>
                                <w:rPr>
                                  <w:szCs w:val="24"/>
                                  <w:lang w:eastAsia="lt-LT"/>
                                </w:rPr>
                                <w:t>12.2.7</w:t>
                              </w:r>
                            </w:sdtContent>
                          </w:sdt>
                          <w:r>
                            <w:rPr>
                              <w:szCs w:val="24"/>
                              <w:lang w:eastAsia="lt-LT"/>
                            </w:rPr>
                            <w:t xml:space="preserve"> pacientui gydymo paslaugas teiksianti užsienio ASPĮ ir numatoma gydymo užsienyje pradžios data (jei ši data žinoma);</w:t>
                          </w:r>
                        </w:p>
                      </w:sdtContent>
                    </w:sdt>
                  </w:sdtContent>
                </w:sdt>
                <w:sdt>
                  <w:sdtPr>
                    <w:alias w:val="12.3 pp."/>
                    <w:tag w:val="part_7f3a6c6a45de4be08195b2d0661ede99"/>
                    <w:lock w:val="sdtLocked"/>
                    <w:richText/>
                  </w:sdtPr>
                  <w:sdtContent>
                    <w:p>
                      <w:pPr>
                        <w:widowControl w:val="0"/>
                        <w:suppressAutoHyphens/>
                        <w:ind w:firstLine="426"/>
                        <w:jc w:val="both"/>
                        <w:rPr>
                          <w:szCs w:val="24"/>
                          <w:lang w:eastAsia="lt-LT"/>
                        </w:rPr>
                      </w:pPr>
                      <w:sdt>
                        <w:sdtPr>
                          <w:alias w:val="Numeris"/>
                          <w:tag w:val="nr_7f3a6c6a45de4be08195b2d0661ede99"/>
                          <w:lock w:val="sdtLocked"/>
                          <w:richText/>
                        </w:sdtPr>
                        <w:sdtContent>
                          <w:r>
                            <w:rPr>
                              <w:szCs w:val="24"/>
                              <w:lang w:eastAsia="lt-LT"/>
                            </w:rPr>
                            <w:t>12.3</w:t>
                          </w:r>
                        </w:sdtContent>
                      </w:sdt>
                      <w:r>
                        <w:rPr>
                          <w:szCs w:val="24"/>
                          <w:lang w:eastAsia="lt-LT"/>
                        </w:rPr>
                        <w:t>. užsienio ASPĮ raštas, kuriame patvirtinama, kad gydymas pacientui bus teikiamas dokumento S2 pagrindu, ir nurodoma preliminari socialinio sveikatos draudimo įstaigos mokama gydymo kaina bei informacija apie pacientui taikomas priemokas.</w:t>
                      </w:r>
                    </w:p>
                  </w:sdtContent>
                </w:sdt>
              </w:sdtContent>
            </w:sdt>
            <w:sdt>
              <w:sdtPr>
                <w:alias w:val="13 p."/>
                <w:tag w:val="part_06af0cfa78144e7ca3f78f66db6121a0"/>
                <w:lock w:val="sdtLocked"/>
                <w:richText/>
              </w:sdtPr>
              <w:sdtContent>
                <w:p>
                  <w:pPr>
                    <w:widowControl w:val="0"/>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lang w:eastAsia="lt-LT"/>
                    </w:rPr>
                  </w:pPr>
                  <w:sdt>
                    <w:sdtPr>
                      <w:alias w:val="Numeris"/>
                      <w:tag w:val="nr_06af0cfa78144e7ca3f78f66db6121a0"/>
                      <w:lock w:val="sdtLocked"/>
                      <w:richText/>
                    </w:sdtPr>
                    <w:sdtContent>
                      <w:r>
                        <w:rPr>
                          <w:szCs w:val="24"/>
                          <w:lang w:eastAsia="lt-LT"/>
                        </w:rPr>
                        <w:t>13</w:t>
                      </w:r>
                    </w:sdtContent>
                  </w:sdt>
                  <w:r>
                    <w:rPr>
                      <w:szCs w:val="24"/>
                      <w:lang w:eastAsia="lt-LT"/>
                    </w:rPr>
                    <w:t>. Komisija per 5 darbo dienas nuo visų Aprašo 12 punkte išvardytų dokumentų gavimo dienos priima vieną iš šių sprendimų, įforminamų Komisijos posėdžio protokolu (toliau – protokolas):</w:t>
                  </w:r>
                </w:p>
                <w:sdt>
                  <w:sdtPr>
                    <w:alias w:val="13.1 pp."/>
                    <w:tag w:val="part_1aff770b854041bdaaecd572a794c5d9"/>
                    <w:lock w:val="sdtLocked"/>
                    <w:richText/>
                  </w:sdtPr>
                  <w:sdtContent>
                    <w:p>
                      <w:pPr>
                        <w:widowControl w:val="0"/>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lang w:eastAsia="lt-LT"/>
                        </w:rPr>
                      </w:pPr>
                      <w:sdt>
                        <w:sdtPr>
                          <w:alias w:val="Numeris"/>
                          <w:tag w:val="nr_1aff770b854041bdaaecd572a794c5d9"/>
                          <w:lock w:val="sdtLocked"/>
                          <w:richText/>
                        </w:sdtPr>
                        <w:sdtContent>
                          <w:r>
                            <w:rPr>
                              <w:szCs w:val="24"/>
                              <w:lang w:eastAsia="lt-LT"/>
                            </w:rPr>
                            <w:t>13.1</w:t>
                          </w:r>
                        </w:sdtContent>
                      </w:sdt>
                      <w:r>
                        <w:rPr>
                          <w:szCs w:val="24"/>
                          <w:lang w:eastAsia="lt-LT"/>
                        </w:rPr>
                        <w:t>. siųsti pacientą gydyti į užsienį;</w:t>
                      </w:r>
                    </w:p>
                  </w:sdtContent>
                </w:sdt>
                <w:sdt>
                  <w:sdtPr>
                    <w:alias w:val="13.2 pp."/>
                    <w:tag w:val="part_756a36593d344109a9ab10d82eaed726"/>
                    <w:lock w:val="sdtLocked"/>
                    <w:richText/>
                  </w:sdtPr>
                  <w:sdtContent>
                    <w:p>
                      <w:pPr>
                        <w:widowControl w:val="0"/>
                        <w:tabs>
                          <w:tab w:val="left" w:pos="426"/>
                        </w:tabs>
                        <w:suppressAutoHyphens/>
                        <w:ind w:firstLine="426"/>
                        <w:jc w:val="both"/>
                        <w:rPr>
                          <w:szCs w:val="24"/>
                          <w:lang w:eastAsia="lt-LT"/>
                        </w:rPr>
                      </w:pPr>
                      <w:sdt>
                        <w:sdtPr>
                          <w:alias w:val="Numeris"/>
                          <w:tag w:val="nr_756a36593d344109a9ab10d82eaed726"/>
                          <w:lock w:val="sdtLocked"/>
                          <w:richText/>
                        </w:sdtPr>
                        <w:sdtContent>
                          <w:r>
                            <w:rPr>
                              <w:szCs w:val="24"/>
                              <w:lang w:eastAsia="lt-LT"/>
                            </w:rPr>
                            <w:t>13.2</w:t>
                          </w:r>
                        </w:sdtContent>
                      </w:sdt>
                      <w:r>
                        <w:rPr>
                          <w:szCs w:val="24"/>
                          <w:lang w:eastAsia="lt-LT"/>
                        </w:rPr>
                        <w:t>. keiptis dėl papildomos informacijos, jei paaiškėja, kad pateiktuose dokumentuose trūksta duomenų sprendimui priimti. Komisija, vertindama pateiktus dokumentus, turi teisę kreiptis į užsienio valstybės kompetentingą sveikatos draudimo įstaigą ar užsienio ASPĮ dėl informacijos patikslinimo bei kitą ligoninę dėl papildomos nuomonės apie paciento sveikatos būklę ir siuntimo gydytis užsienyje pagrįstumą, pateikdama nuasmenintus paciento duomenis. Šiuo atveju sprendimas dėl dokumento S2 išdavimo priimamas per 5 darbo dienas nuo papildomos informacijos gavimo dienos;</w:t>
                      </w:r>
                    </w:p>
                  </w:sdtContent>
                </w:sdt>
                <w:sdt>
                  <w:sdtPr>
                    <w:alias w:val="13.3 pp."/>
                    <w:tag w:val="part_b80eddcd568e40bc9646edf07f86a3b5"/>
                    <w:lock w:val="sdtLocked"/>
                    <w:richText/>
                  </w:sdtPr>
                  <w:sdtContent>
                    <w:p>
                      <w:pPr>
                        <w:widowControl w:val="0"/>
                        <w:tabs>
                          <w:tab w:val="left" w:pos="42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26"/>
                        <w:jc w:val="both"/>
                        <w:rPr>
                          <w:szCs w:val="24"/>
                          <w:lang w:eastAsia="lt-LT"/>
                        </w:rPr>
                      </w:pPr>
                      <w:sdt>
                        <w:sdtPr>
                          <w:alias w:val="Numeris"/>
                          <w:tag w:val="nr_b80eddcd568e40bc9646edf07f86a3b5"/>
                          <w:lock w:val="sdtLocked"/>
                          <w:richText/>
                        </w:sdtPr>
                        <w:sdtContent>
                          <w:r>
                            <w:rPr>
                              <w:szCs w:val="24"/>
                              <w:lang w:eastAsia="lt-LT"/>
                            </w:rPr>
                            <w:t>13.3</w:t>
                          </w:r>
                        </w:sdtContent>
                      </w:sdt>
                      <w:r>
                        <w:rPr>
                          <w:szCs w:val="24"/>
                          <w:lang w:eastAsia="lt-LT"/>
                        </w:rPr>
                        <w:t>. nesiųsti paciento gydyti į užsienį, jei konsiliumo išvadoje nurodytas gydymo užsienyje pagrindimas neatitinka Aprašo 4 punkte nustatytų sąlygų arba jei nepateikiama visa reikiama informacija sprendimui priimti.</w:t>
                      </w:r>
                    </w:p>
                  </w:sdtContent>
                </w:sdt>
              </w:sdtContent>
            </w:sdt>
            <w:sdt>
              <w:sdtPr>
                <w:alias w:val="14 p."/>
                <w:tag w:val="part_148bcd97104848228d189a5fc0b5fb73"/>
                <w:lock w:val="sdtLocked"/>
                <w:richText/>
              </w:sdtPr>
              <w:sdtContent>
                <w:p>
                  <w:pPr>
                    <w:widowControl w:val="0"/>
                    <w:suppressAutoHyphens/>
                    <w:ind w:firstLine="426"/>
                    <w:jc w:val="both"/>
                    <w:rPr>
                      <w:szCs w:val="24"/>
                      <w:lang w:eastAsia="lt-LT"/>
                    </w:rPr>
                  </w:pPr>
                  <w:sdt>
                    <w:sdtPr>
                      <w:alias w:val="Numeris"/>
                      <w:tag w:val="nr_148bcd97104848228d189a5fc0b5fb73"/>
                      <w:lock w:val="sdtLocked"/>
                      <w:richText/>
                    </w:sdtPr>
                    <w:sdtContent>
                      <w:r>
                        <w:rPr>
                          <w:szCs w:val="24"/>
                          <w:lang w:eastAsia="lt-LT"/>
                        </w:rPr>
                        <w:t>14</w:t>
                      </w:r>
                    </w:sdtContent>
                  </w:sdt>
                  <w:r>
                    <w:rPr>
                      <w:szCs w:val="24"/>
                      <w:lang w:eastAsia="lt-LT"/>
                    </w:rPr>
                    <w:t>. Apie priimtą sprendimą Komisija raštu per 5 darbo dienas informuoja pacientą ir (ar) jo atstovą bei ligoninę, kuri kreipėsi į Komisiją dėl paciento siuntimo gydyti į užsienį. Jei Komisija priėmė teigiamą sprendimą, pacientui ir (ar) jo atstovui pateikiamas EDMIS suformuotas dokumentas S2, patvirtinantis paciento teisę gauti jame nurodytas asmens sveikatos priežiūros paslaugas užsienio ASPĮ. Jei priimamas neigiamas sprendimas, pacientui ir ligoninei pateikiama informacija apie atsisakymo išduoti leidimą gydytis užsienyje priežastis ir galimybę apskųsti Komisijos sprendimą.</w:t>
                  </w:r>
                </w:p>
              </w:sdtContent>
            </w:sdt>
            <w:sdt>
              <w:sdtPr>
                <w:alias w:val="15 p."/>
                <w:tag w:val="part_57eb248d15f04470a97bd3ed23d10a1f"/>
                <w:lock w:val="sdtLocked"/>
                <w:richText/>
              </w:sdtPr>
              <w:sdtContent>
                <w:p>
                  <w:pPr>
                    <w:widowControl w:val="0"/>
                    <w:suppressAutoHyphens/>
                    <w:ind w:firstLine="426"/>
                    <w:jc w:val="both"/>
                    <w:rPr>
                      <w:szCs w:val="24"/>
                      <w:lang w:eastAsia="lt-LT"/>
                    </w:rPr>
                  </w:pPr>
                  <w:sdt>
                    <w:sdtPr>
                      <w:alias w:val="Numeris"/>
                      <w:tag w:val="nr_57eb248d15f04470a97bd3ed23d10a1f"/>
                      <w:lock w:val="sdtLocked"/>
                      <w:richText/>
                    </w:sdtPr>
                    <w:sdtContent>
                      <w:r>
                        <w:rPr>
                          <w:szCs w:val="24"/>
                          <w:lang w:eastAsia="lt-LT"/>
                        </w:rPr>
                        <w:t>1</w:t>
                      </w:r>
                      <w:r>
                        <w:rPr>
                          <w:szCs w:val="24"/>
                          <w:lang w:val="fr-FR" w:eastAsia="lt-LT"/>
                        </w:rPr>
                        <w:t>5</w:t>
                      </w:r>
                    </w:sdtContent>
                  </w:sdt>
                  <w:r>
                    <w:rPr>
                      <w:szCs w:val="24"/>
                      <w:lang w:val="fr-FR" w:eastAsia="lt-LT"/>
                    </w:rPr>
                    <w:t>.</w:t>
                  </w:r>
                  <w:r>
                    <w:rPr>
                      <w:szCs w:val="24"/>
                      <w:lang w:eastAsia="lt-LT"/>
                    </w:rPr>
                    <w:t xml:space="preserve"> Dokumentas S2 galioja vienus metus. Pacientas per šį laikotarpį turi kreiptis į Komisijos sprendime nurodytą užsienio ASPĮ.</w:t>
                  </w:r>
                </w:p>
              </w:sdtContent>
            </w:sdt>
            <w:sdt>
              <w:sdtPr>
                <w:alias w:val="16 p."/>
                <w:tag w:val="part_ae865c175c204fbea321d8618176d5ac"/>
                <w:lock w:val="sdtLocked"/>
                <w:richText/>
              </w:sdtPr>
              <w:sdtContent>
                <w:p>
                  <w:pPr>
                    <w:widowControl w:val="0"/>
                    <w:suppressAutoHyphens/>
                    <w:ind w:firstLine="426"/>
                    <w:jc w:val="both"/>
                    <w:rPr>
                      <w:szCs w:val="24"/>
                      <w:lang w:eastAsia="lt-LT"/>
                    </w:rPr>
                  </w:pPr>
                  <w:sdt>
                    <w:sdtPr>
                      <w:alias w:val="Numeris"/>
                      <w:tag w:val="nr_ae865c175c204fbea321d8618176d5ac"/>
                      <w:lock w:val="sdtLocked"/>
                      <w:richText/>
                    </w:sdtPr>
                    <w:sdtContent>
                      <w:r>
                        <w:rPr>
                          <w:szCs w:val="24"/>
                          <w:lang w:eastAsia="lt-LT"/>
                        </w:rPr>
                        <w:t>16</w:t>
                      </w:r>
                    </w:sdtContent>
                  </w:sdt>
                  <w:r>
                    <w:rPr>
                      <w:szCs w:val="24"/>
                      <w:lang w:eastAsia="lt-LT"/>
                    </w:rPr>
                    <w:t>. Komisijos sprendimas dėl paciento siuntimo gydytis užsienio šalyje gali būti pratęstas ne ilgesniam kaip vienų metų laikotarpiui, jei ligoninė raštu kreipiasi į Komisiją dėl paciento siuntimo gydyti užsienyje galiojimo pratęsimo ne vėliau kaip prieš dvi savaites iki pasibaigiant dokumento S2 galiojimui, pateikdama:</w:t>
                  </w:r>
                </w:p>
                <w:sdt>
                  <w:sdtPr>
                    <w:alias w:val="16.1 pp."/>
                    <w:tag w:val="part_272382206e494fd092eb79c89fca1480"/>
                    <w:lock w:val="sdtLocked"/>
                    <w:richText/>
                  </w:sdtPr>
                  <w:sdtContent>
                    <w:p>
                      <w:pPr>
                        <w:widowControl w:val="0"/>
                        <w:suppressAutoHyphens/>
                        <w:ind w:firstLine="426"/>
                        <w:jc w:val="both"/>
                        <w:rPr>
                          <w:szCs w:val="24"/>
                          <w:lang w:eastAsia="lt-LT"/>
                        </w:rPr>
                      </w:pPr>
                      <w:sdt>
                        <w:sdtPr>
                          <w:alias w:val="Numeris"/>
                          <w:tag w:val="nr_272382206e494fd092eb79c89fca1480"/>
                          <w:lock w:val="sdtLocked"/>
                          <w:richText/>
                        </w:sdtPr>
                        <w:sdtContent>
                          <w:r>
                            <w:rPr>
                              <w:szCs w:val="24"/>
                              <w:lang w:eastAsia="lt-LT"/>
                            </w:rPr>
                            <w:t>16.1</w:t>
                          </w:r>
                        </w:sdtContent>
                      </w:sdt>
                      <w:r>
                        <w:rPr>
                          <w:szCs w:val="24"/>
                          <w:lang w:eastAsia="lt-LT"/>
                        </w:rPr>
                        <w:t>. motyvuotą gydymo užsienyje tikslingumo pagrindimą;</w:t>
                      </w:r>
                    </w:p>
                  </w:sdtContent>
                </w:sdt>
                <w:sdt>
                  <w:sdtPr>
                    <w:alias w:val="16.2 pp."/>
                    <w:tag w:val="part_fb6d25bb867042ecaaf05d16d3733d78"/>
                    <w:lock w:val="sdtLocked"/>
                    <w:richText/>
                  </w:sdtPr>
                  <w:sdtContent>
                    <w:p>
                      <w:pPr>
                        <w:widowControl w:val="0"/>
                        <w:suppressAutoHyphens/>
                        <w:ind w:firstLine="426"/>
                        <w:jc w:val="both"/>
                        <w:rPr>
                          <w:szCs w:val="24"/>
                          <w:lang w:eastAsia="lt-LT"/>
                        </w:rPr>
                      </w:pPr>
                      <w:sdt>
                        <w:sdtPr>
                          <w:alias w:val="Numeris"/>
                          <w:tag w:val="nr_fb6d25bb867042ecaaf05d16d3733d78"/>
                          <w:lock w:val="sdtLocked"/>
                          <w:richText/>
                        </w:sdtPr>
                        <w:sdtContent>
                          <w:r>
                            <w:rPr>
                              <w:szCs w:val="24"/>
                              <w:lang w:eastAsia="lt-LT"/>
                            </w:rPr>
                            <w:t>16.2</w:t>
                          </w:r>
                        </w:sdtContent>
                      </w:sdt>
                      <w:r>
                        <w:rPr>
                          <w:szCs w:val="24"/>
                          <w:lang w:eastAsia="lt-LT"/>
                        </w:rPr>
                        <w:t>. užpildytą nustatytos formos prašymą išduoti leidimą gydytis užsienio valstybėje (priedas);</w:t>
                      </w:r>
                    </w:p>
                  </w:sdtContent>
                </w:sdt>
                <w:sdt>
                  <w:sdtPr>
                    <w:alias w:val="16.3 pp."/>
                    <w:tag w:val="part_e7c7d457734c4d7682f43a731bf234c4"/>
                    <w:lock w:val="sdtLocked"/>
                    <w:richText/>
                  </w:sdtPr>
                  <w:sdtContent>
                    <w:p>
                      <w:pPr>
                        <w:widowControl w:val="0"/>
                        <w:suppressAutoHyphens/>
                        <w:ind w:firstLine="426"/>
                        <w:jc w:val="both"/>
                        <w:rPr>
                          <w:szCs w:val="24"/>
                          <w:lang w:eastAsia="lt-LT"/>
                        </w:rPr>
                      </w:pPr>
                      <w:sdt>
                        <w:sdtPr>
                          <w:alias w:val="Numeris"/>
                          <w:tag w:val="nr_e7c7d457734c4d7682f43a731bf234c4"/>
                          <w:lock w:val="sdtLocked"/>
                          <w:richText/>
                        </w:sdtPr>
                        <w:sdtContent>
                          <w:r>
                            <w:rPr>
                              <w:szCs w:val="24"/>
                              <w:lang w:eastAsia="lt-LT"/>
                            </w:rPr>
                            <w:t>16.3</w:t>
                          </w:r>
                        </w:sdtContent>
                      </w:sdt>
                      <w:r>
                        <w:rPr>
                          <w:szCs w:val="24"/>
                          <w:lang w:eastAsia="lt-LT"/>
                        </w:rPr>
                        <w:t xml:space="preserve"> užsienio ASPĮ rekomendaciją dėl gydymo tęsimo užsienyje tikslingumo. </w:t>
                      </w:r>
                    </w:p>
                    <w:p>
                      <w:pPr>
                        <w:widowControl w:val="0"/>
                        <w:suppressAutoHyphens/>
                        <w:jc w:val="both"/>
                        <w:rPr>
                          <w:szCs w:val="24"/>
                          <w:lang w:eastAsia="lt-LT"/>
                        </w:rPr>
                      </w:pPr>
                    </w:p>
                  </w:sdtContent>
                </w:sdt>
              </w:sdtContent>
            </w:sdt>
          </w:sdtContent>
        </w:sdt>
        <w:sdt>
          <w:sdtPr>
            <w:alias w:val="skyrius"/>
            <w:tag w:val="part_ac4b23c15aea46f08f42c760e2ec82a9"/>
            <w:lock w:val="sdtLocked"/>
            <w:richText/>
          </w:sdtPr>
          <w:sdtContent>
            <w:p>
              <w:pPr>
                <w:widowControl w:val="0"/>
                <w:suppressAutoHyphens/>
                <w:jc w:val="center"/>
                <w:rPr>
                  <w:b/>
                  <w:szCs w:val="24"/>
                  <w:lang w:eastAsia="lt-LT"/>
                </w:rPr>
              </w:pPr>
              <w:sdt>
                <w:sdtPr>
                  <w:alias w:val="Numeris"/>
                  <w:tag w:val="nr_ac4b23c15aea46f08f42c760e2ec82a9"/>
                  <w:lock w:val="sdtLocked"/>
                  <w:richText/>
                </w:sdtPr>
                <w:sdtContent>
                  <w:r>
                    <w:rPr>
                      <w:b/>
                      <w:szCs w:val="24"/>
                      <w:lang w:eastAsia="lt-LT"/>
                    </w:rPr>
                    <w:t>IV</w:t>
                  </w:r>
                </w:sdtContent>
              </w:sdt>
              <w:r>
                <w:rPr>
                  <w:b/>
                  <w:szCs w:val="24"/>
                  <w:lang w:eastAsia="lt-LT"/>
                </w:rPr>
                <w:t xml:space="preserve"> SKYRIUS</w:t>
              </w:r>
            </w:p>
            <w:p>
              <w:pPr>
                <w:widowControl w:val="0"/>
                <w:suppressAutoHyphens/>
                <w:jc w:val="center"/>
                <w:rPr>
                  <w:b/>
                  <w:bCs/>
                  <w:caps/>
                  <w:szCs w:val="24"/>
                  <w:lang w:eastAsia="lt-LT"/>
                </w:rPr>
              </w:pPr>
              <w:sdt>
                <w:sdtPr>
                  <w:alias w:val="Pavadinimas"/>
                  <w:tag w:val="title_ac4b23c15aea46f08f42c760e2ec82a9"/>
                  <w:lock w:val="sdtLocked"/>
                  <w:richText/>
                </w:sdtPr>
                <w:sdtContent>
                  <w:r>
                    <w:rPr>
                      <w:b/>
                      <w:bCs/>
                      <w:caps/>
                      <w:szCs w:val="24"/>
                      <w:lang w:eastAsia="lt-LT"/>
                    </w:rPr>
                    <w:t>UŽSIENIO valstybių KOMPETENTINGŲ SVEIKATOS DRAUDIMO ĮSTAIGŲ ir UŽSIENIO ASPĮ PRAŠYMŲ NAGRINĖJIMAS</w:t>
                  </w:r>
                </w:sdtContent>
              </w:sdt>
            </w:p>
            <w:p>
              <w:pPr>
                <w:widowControl w:val="0"/>
                <w:suppressAutoHyphens/>
                <w:rPr>
                  <w:szCs w:val="24"/>
                  <w:lang w:eastAsia="lt-LT"/>
                </w:rPr>
              </w:pPr>
            </w:p>
            <w:sdt>
              <w:sdtPr>
                <w:alias w:val="17 p."/>
                <w:tag w:val="part_449abdc43cec4e36958cc206c5734412"/>
                <w:lock w:val="sdtLocked"/>
                <w:richText/>
              </w:sdtPr>
              <w:sdtContent>
                <w:p>
                  <w:pPr>
                    <w:widowControl w:val="0"/>
                    <w:suppressAutoHyphens/>
                    <w:ind w:firstLine="567"/>
                    <w:jc w:val="both"/>
                    <w:rPr>
                      <w:szCs w:val="24"/>
                      <w:lang w:eastAsia="lt-LT"/>
                    </w:rPr>
                  </w:pPr>
                  <w:sdt>
                    <w:sdtPr>
                      <w:alias w:val="Numeris"/>
                      <w:tag w:val="nr_449abdc43cec4e36958cc206c5734412"/>
                      <w:lock w:val="sdtLocked"/>
                      <w:richText/>
                    </w:sdtPr>
                    <w:sdtContent>
                      <w:r>
                        <w:rPr>
                          <w:szCs w:val="24"/>
                          <w:lang w:eastAsia="lt-LT"/>
                        </w:rPr>
                        <w:t>17</w:t>
                      </w:r>
                    </w:sdtContent>
                  </w:sdt>
                  <w:r>
                    <w:rPr>
                      <w:szCs w:val="24"/>
                      <w:lang w:eastAsia="lt-LT"/>
                    </w:rPr>
                    <w:t>. Komisija, išnagrinėjusi užsienio valstybių kompetentingų sveikatos draudimo įstaigų prašymus išduoti leidimą tose šalyse gyvenantiems Lietuvos Respublikos apdraustiesiems gauti gydymą ne gyvenamojoje šalyje, gali atsisakyti išduoti prašomą leidimą tik tuo atveju, jeigu yra bent viena iš šių sąlygų:</w:t>
                  </w:r>
                </w:p>
                <w:sdt>
                  <w:sdtPr>
                    <w:alias w:val="17.1 pp."/>
                    <w:tag w:val="part_8a6bf1ec6870495ebfcfdfd7e09b72dd"/>
                    <w:lock w:val="sdtLocked"/>
                    <w:richText/>
                  </w:sdtPr>
                  <w:sdtContent>
                    <w:p>
                      <w:pPr>
                        <w:widowControl w:val="0"/>
                        <w:suppressAutoHyphens/>
                        <w:ind w:firstLine="567"/>
                        <w:jc w:val="both"/>
                        <w:rPr>
                          <w:szCs w:val="24"/>
                          <w:lang w:eastAsia="lt-LT"/>
                        </w:rPr>
                      </w:pPr>
                      <w:sdt>
                        <w:sdtPr>
                          <w:alias w:val="Numeris"/>
                          <w:tag w:val="nr_8a6bf1ec6870495ebfcfdfd7e09b72dd"/>
                          <w:lock w:val="sdtLocked"/>
                          <w:richText/>
                        </w:sdtPr>
                        <w:sdtContent>
                          <w:r>
                            <w:rPr>
                              <w:szCs w:val="24"/>
                              <w:lang w:eastAsia="lt-LT"/>
                            </w:rPr>
                            <w:t>17.1</w:t>
                          </w:r>
                        </w:sdtContent>
                      </w:sdt>
                      <w:r>
                        <w:rPr>
                          <w:szCs w:val="24"/>
                          <w:lang w:eastAsia="lt-LT"/>
                        </w:rPr>
                        <w:t>. Lietuvos Respublikos apdraustasis nėra deklaravęs išvykimo iš Lietuvos Respublikos, todėl jam leidimas gydytis užsienio valstybėje turi būti išduodamas Aprašo II skyriuje nustatyta tvarka;</w:t>
                      </w:r>
                    </w:p>
                  </w:sdtContent>
                </w:sdt>
                <w:sdt>
                  <w:sdtPr>
                    <w:alias w:val="17.2 pp."/>
                    <w:tag w:val="part_5f23322b861c48a9bedbfb74a27dce75"/>
                    <w:lock w:val="sdtLocked"/>
                    <w:richText/>
                  </w:sdtPr>
                  <w:sdtContent>
                    <w:p>
                      <w:pPr>
                        <w:widowControl w:val="0"/>
                        <w:suppressAutoHyphens/>
                        <w:ind w:firstLine="567"/>
                        <w:jc w:val="both"/>
                        <w:rPr>
                          <w:szCs w:val="24"/>
                          <w:lang w:eastAsia="lt-LT"/>
                        </w:rPr>
                      </w:pPr>
                      <w:sdt>
                        <w:sdtPr>
                          <w:alias w:val="Numeris"/>
                          <w:tag w:val="nr_5f23322b861c48a9bedbfb74a27dce75"/>
                          <w:lock w:val="sdtLocked"/>
                          <w:richText/>
                        </w:sdtPr>
                        <w:sdtContent>
                          <w:r>
                            <w:rPr>
                              <w:szCs w:val="24"/>
                              <w:lang w:eastAsia="lt-LT"/>
                            </w:rPr>
                            <w:t>17.2</w:t>
                          </w:r>
                        </w:sdtContent>
                      </w:sdt>
                      <w:r>
                        <w:rPr>
                          <w:szCs w:val="24"/>
                          <w:lang w:eastAsia="lt-LT"/>
                        </w:rPr>
                        <w:t>. gyvenamosios valstybės kompetentingoji įstaiga nurodo, kad nėra įvykdytos Reglamento Nr. 883/2004 20 straipsnio 2 dalies antrame sakinyje nurodytos sąlygos;</w:t>
                      </w:r>
                    </w:p>
                  </w:sdtContent>
                </w:sdt>
                <w:sdt>
                  <w:sdtPr>
                    <w:alias w:val="17.3 pp."/>
                    <w:tag w:val="part_1de56d84feec4b5283ab32f7d0e5f52c"/>
                    <w:lock w:val="sdtLocked"/>
                    <w:richText/>
                  </w:sdtPr>
                  <w:sdtContent>
                    <w:p>
                      <w:pPr>
                        <w:widowControl w:val="0"/>
                        <w:suppressAutoHyphens/>
                        <w:ind w:firstLine="567"/>
                        <w:jc w:val="both"/>
                        <w:rPr>
                          <w:szCs w:val="24"/>
                          <w:lang w:eastAsia="lt-LT"/>
                        </w:rPr>
                      </w:pPr>
                      <w:sdt>
                        <w:sdtPr>
                          <w:alias w:val="Numeris"/>
                          <w:tag w:val="nr_1de56d84feec4b5283ab32f7d0e5f52c"/>
                          <w:lock w:val="sdtLocked"/>
                          <w:richText/>
                        </w:sdtPr>
                        <w:sdtContent>
                          <w:r>
                            <w:rPr>
                              <w:szCs w:val="24"/>
                              <w:lang w:eastAsia="lt-LT"/>
                            </w:rPr>
                            <w:t>17.3</w:t>
                          </w:r>
                        </w:sdtContent>
                      </w:sdt>
                      <w:r>
                        <w:rPr>
                          <w:szCs w:val="24"/>
                          <w:lang w:eastAsia="lt-LT"/>
                        </w:rPr>
                        <w:t>. atitinkamas paslaugas laiku galima suteikti Lietuvoje.</w:t>
                      </w:r>
                    </w:p>
                  </w:sdtContent>
                </w:sdt>
              </w:sdtContent>
            </w:sdt>
            <w:sdt>
              <w:sdtPr>
                <w:alias w:val="18 p."/>
                <w:tag w:val="part_61b1c76d50784e088037449f691654b4"/>
                <w:lock w:val="sdtLocked"/>
                <w:richText/>
              </w:sdtPr>
              <w:sdtContent>
                <w:p>
                  <w:pPr>
                    <w:widowControl w:val="0"/>
                    <w:suppressAutoHyphens/>
                    <w:ind w:firstLine="567"/>
                    <w:jc w:val="both"/>
                    <w:rPr>
                      <w:szCs w:val="24"/>
                      <w:lang w:eastAsia="lt-LT"/>
                    </w:rPr>
                  </w:pPr>
                  <w:sdt>
                    <w:sdtPr>
                      <w:alias w:val="Numeris"/>
                      <w:tag w:val="nr_61b1c76d50784e088037449f691654b4"/>
                      <w:lock w:val="sdtLocked"/>
                      <w:richText/>
                    </w:sdtPr>
                    <w:sdtContent>
                      <w:r>
                        <w:rPr>
                          <w:szCs w:val="24"/>
                          <w:lang w:eastAsia="lt-LT"/>
                        </w:rPr>
                        <w:t>18</w:t>
                      </w:r>
                    </w:sdtContent>
                  </w:sdt>
                  <w:r>
                    <w:rPr>
                      <w:szCs w:val="24"/>
                      <w:lang w:eastAsia="lt-LT"/>
                    </w:rPr>
                    <w:t>. Komisija, išnagrinėjusi užsienio ASPĮ prašymus išduoti Lietuvos Respublikos apdraustiesiems, kuriems užsienio ASPĮ teikiama būtinoji medicinos pagalba, leidimą tęsti pradėtą gydymą dokumento S2 pagrindu, gali atsisakyti išduoti prašomą leidimą tik tuo atveju, jeigu yra bent viena iš šių sąlygų:</w:t>
                  </w:r>
                </w:p>
                <w:sdt>
                  <w:sdtPr>
                    <w:alias w:val="18.1 pp."/>
                    <w:tag w:val="part_788fb3738d484724b35625def58946f3"/>
                    <w:lock w:val="sdtLocked"/>
                    <w:richText/>
                  </w:sdtPr>
                  <w:sdtContent>
                    <w:p>
                      <w:pPr>
                        <w:widowControl w:val="0"/>
                        <w:suppressAutoHyphens/>
                        <w:ind w:firstLine="567"/>
                        <w:jc w:val="both"/>
                        <w:rPr>
                          <w:szCs w:val="24"/>
                          <w:lang w:eastAsia="lt-LT"/>
                        </w:rPr>
                      </w:pPr>
                      <w:sdt>
                        <w:sdtPr>
                          <w:alias w:val="Numeris"/>
                          <w:tag w:val="nr_788fb3738d484724b35625def58946f3"/>
                          <w:lock w:val="sdtLocked"/>
                          <w:richText/>
                        </w:sdtPr>
                        <w:sdtContent>
                          <w:r>
                            <w:rPr>
                              <w:szCs w:val="24"/>
                              <w:lang w:eastAsia="lt-LT"/>
                            </w:rPr>
                            <w:t>18.1</w:t>
                          </w:r>
                        </w:sdtContent>
                      </w:sdt>
                      <w:r>
                        <w:rPr>
                          <w:szCs w:val="24"/>
                          <w:lang w:eastAsia="lt-LT"/>
                        </w:rPr>
                        <w:t>. asmenys gali grįžti į Lietuvos Respubliką tęsti gydymą;</w:t>
                      </w:r>
                    </w:p>
                  </w:sdtContent>
                </w:sdt>
                <w:sdt>
                  <w:sdtPr>
                    <w:alias w:val="18.2 pp."/>
                    <w:tag w:val="part_97893f3b6ec54403bc634590fb833b95"/>
                    <w:lock w:val="sdtLocked"/>
                    <w:richText/>
                  </w:sdtPr>
                  <w:sdtContent>
                    <w:p>
                      <w:pPr>
                        <w:widowControl w:val="0"/>
                        <w:suppressAutoHyphens/>
                        <w:ind w:firstLine="567"/>
                        <w:jc w:val="both"/>
                        <w:rPr>
                          <w:szCs w:val="24"/>
                          <w:lang w:eastAsia="lt-LT"/>
                        </w:rPr>
                      </w:pPr>
                      <w:sdt>
                        <w:sdtPr>
                          <w:alias w:val="Numeris"/>
                          <w:tag w:val="nr_97893f3b6ec54403bc634590fb833b95"/>
                          <w:lock w:val="sdtLocked"/>
                          <w:richText/>
                        </w:sdtPr>
                        <w:sdtContent>
                          <w:r>
                            <w:rPr>
                              <w:szCs w:val="24"/>
                              <w:lang w:eastAsia="lt-LT"/>
                            </w:rPr>
                            <w:t>18.2</w:t>
                          </w:r>
                        </w:sdtContent>
                      </w:sdt>
                      <w:r>
                        <w:rPr>
                          <w:szCs w:val="24"/>
                          <w:lang w:eastAsia="lt-LT"/>
                        </w:rPr>
                        <w:t>. prašoma išduoti leidimą dėl asmens sveikatos priežiūros paslaugų, kurios toje užsienio valstybėje nėra įtrauktos į socialinio sveikatos draudimo lėšomis apmokamų asmens sveikatos priežiūros paslaugų sąrašą (t. y. negali būti teikiamos ir apmokamos dokumento S2 pagrindu).</w:t>
                      </w:r>
                    </w:p>
                  </w:sdtContent>
                </w:sdt>
              </w:sdtContent>
            </w:sdt>
            <w:sdt>
              <w:sdtPr>
                <w:alias w:val="19 p."/>
                <w:tag w:val="part_0c85c945c46a4c2e8eebe47f8ce1927f"/>
                <w:lock w:val="sdtLocked"/>
                <w:richText/>
              </w:sdtPr>
              <w:sdtContent>
                <w:p>
                  <w:pPr>
                    <w:widowControl w:val="0"/>
                    <w:suppressAutoHyphens/>
                    <w:ind w:firstLine="567"/>
                    <w:jc w:val="both"/>
                    <w:rPr>
                      <w:szCs w:val="24"/>
                      <w:lang w:eastAsia="lt-LT"/>
                    </w:rPr>
                  </w:pPr>
                  <w:sdt>
                    <w:sdtPr>
                      <w:alias w:val="Numeris"/>
                      <w:tag w:val="nr_0c85c945c46a4c2e8eebe47f8ce1927f"/>
                      <w:lock w:val="sdtLocked"/>
                      <w:richText/>
                    </w:sdtPr>
                    <w:sdtContent>
                      <w:r>
                        <w:rPr>
                          <w:szCs w:val="24"/>
                          <w:lang w:eastAsia="lt-LT"/>
                        </w:rPr>
                        <w:t>19</w:t>
                      </w:r>
                    </w:sdtContent>
                  </w:sdt>
                  <w:r>
                    <w:rPr>
                      <w:szCs w:val="24"/>
                      <w:lang w:eastAsia="lt-LT"/>
                    </w:rPr>
                    <w:t xml:space="preserve">. Komisija turi teisę kreiptis į prašymą pateikusią užsienio valstybės kompetentingą sveikatos draudimo įstaigą ar užsienio ASPĮ dėl papildomos informacijos apie pacientą ir jo sveikatos būklę, reikalingos sprendimui dėl gydymo užsienyje organizavimo priimti, pateikimo. </w:t>
                  </w:r>
                </w:p>
              </w:sdtContent>
            </w:sdt>
            <w:sdt>
              <w:sdtPr>
                <w:alias w:val="20 p."/>
                <w:tag w:val="part_8f45d7c7946e4103b9a7de52cb51f45f"/>
                <w:lock w:val="sdtLocked"/>
                <w:richText/>
              </w:sdtPr>
              <w:sdtContent>
                <w:p>
                  <w:pPr>
                    <w:widowControl w:val="0"/>
                    <w:suppressAutoHyphens/>
                    <w:ind w:firstLine="567"/>
                    <w:jc w:val="both"/>
                    <w:rPr>
                      <w:szCs w:val="24"/>
                      <w:lang w:eastAsia="lt-LT"/>
                    </w:rPr>
                  </w:pPr>
                  <w:sdt>
                    <w:sdtPr>
                      <w:alias w:val="Numeris"/>
                      <w:tag w:val="nr_8f45d7c7946e4103b9a7de52cb51f45f"/>
                      <w:lock w:val="sdtLocked"/>
                      <w:richText/>
                    </w:sdtPr>
                    <w:sdtContent>
                      <w:r>
                        <w:rPr>
                          <w:szCs w:val="24"/>
                          <w:lang w:eastAsia="lt-LT"/>
                        </w:rPr>
                        <w:t>20</w:t>
                      </w:r>
                    </w:sdtContent>
                  </w:sdt>
                  <w:r>
                    <w:rPr>
                      <w:szCs w:val="24"/>
                      <w:lang w:eastAsia="lt-LT"/>
                    </w:rPr>
                    <w:t>. Sprendimas dėl užsienio valstybių kompetentingų sveikatos draudimo įstaigų ir užsienio ASPĮ prašymų priimamas per 5 darbo dienas nuo visos informacijos, reikalingos sprendimui priimti, gavimo dienos.</w:t>
                  </w:r>
                </w:p>
              </w:sdtContent>
            </w:sdt>
            <w:sdt>
              <w:sdtPr>
                <w:alias w:val="21 p."/>
                <w:tag w:val="part_e7009eb2fa13408ca9b325c74be70dfa"/>
                <w:lock w:val="sdtLocked"/>
                <w:richText/>
              </w:sdtPr>
              <w:sdtContent>
                <w:p>
                  <w:pPr>
                    <w:widowControl w:val="0"/>
                    <w:suppressAutoHyphens/>
                    <w:ind w:firstLine="567"/>
                    <w:jc w:val="both"/>
                    <w:rPr>
                      <w:szCs w:val="24"/>
                      <w:lang w:eastAsia="lt-LT"/>
                    </w:rPr>
                  </w:pPr>
                  <w:sdt>
                    <w:sdtPr>
                      <w:alias w:val="Numeris"/>
                      <w:tag w:val="nr_e7009eb2fa13408ca9b325c74be70dfa"/>
                      <w:lock w:val="sdtLocked"/>
                      <w:richText/>
                    </w:sdtPr>
                    <w:sdtContent>
                      <w:r>
                        <w:rPr>
                          <w:szCs w:val="24"/>
                          <w:lang w:eastAsia="lt-LT"/>
                        </w:rPr>
                        <w:t>21</w:t>
                      </w:r>
                    </w:sdtContent>
                  </w:sdt>
                  <w:r>
                    <w:rPr>
                      <w:szCs w:val="24"/>
                      <w:lang w:eastAsia="lt-LT"/>
                    </w:rPr>
                    <w:t xml:space="preserve">. Apie priimtą sprendimą Komisija informuoja prašymą pateikusią užsienio valstybės kompetentingą sveikatos draudimo įstaigą ar užsienio ASPĮ. </w:t>
                  </w:r>
                </w:p>
              </w:sdtContent>
            </w:sdt>
            <w:sdt>
              <w:sdtPr>
                <w:alias w:val="22 p."/>
                <w:tag w:val="part_fd6903402e724640a0373ad1b809401c"/>
                <w:lock w:val="sdtLocked"/>
                <w:richText/>
              </w:sdtPr>
              <w:sdtContent>
                <w:p>
                  <w:pPr>
                    <w:widowControl w:val="0"/>
                    <w:suppressAutoHyphens/>
                    <w:ind w:firstLine="567"/>
                    <w:jc w:val="both"/>
                    <w:rPr>
                      <w:szCs w:val="24"/>
                      <w:lang w:eastAsia="lt-LT"/>
                    </w:rPr>
                  </w:pPr>
                  <w:sdt>
                    <w:sdtPr>
                      <w:alias w:val="Numeris"/>
                      <w:tag w:val="nr_fd6903402e724640a0373ad1b809401c"/>
                      <w:lock w:val="sdtLocked"/>
                      <w:richText/>
                    </w:sdtPr>
                    <w:sdtContent>
                      <w:r>
                        <w:rPr>
                          <w:szCs w:val="24"/>
                          <w:lang w:eastAsia="lt-LT"/>
                        </w:rPr>
                        <w:t>22</w:t>
                      </w:r>
                    </w:sdtContent>
                  </w:sdt>
                  <w:r>
                    <w:rPr>
                      <w:szCs w:val="24"/>
                      <w:lang w:eastAsia="lt-LT"/>
                    </w:rPr>
                    <w:t>. Jei Komisija priima teigiamą sprendimą, užsienio kompetentingai sveikatos draudimo įstaigai ar užsienio ASPĮ pateikiamas EDMIS suformuotas dokumentas S2, patvirtinantis paciento teisę gauti dokumente S2 nurodytas asmens sveikatos priežiūros paslaugas užsienio ASPĮ. Jei priimamas neigiamas sprendimas, užsienio kompetentingai sveikatos draudimo įstaigai ar užsienio ASPĮ pateikiama informacija apie atsisakymo išduoti leidimą gydytis užsienyje priežastis ir Komisijos sprendimo apskundimo tvarką.</w:t>
                  </w:r>
                </w:p>
                <w:p>
                  <w:pPr>
                    <w:widowControl w:val="0"/>
                    <w:suppressAutoHyphens/>
                    <w:rPr>
                      <w:szCs w:val="24"/>
                      <w:lang w:eastAsia="lt-LT"/>
                    </w:rPr>
                  </w:pPr>
                </w:p>
              </w:sdtContent>
            </w:sdt>
          </w:sdtContent>
        </w:sdt>
        <w:sdt>
          <w:sdtPr>
            <w:alias w:val="skyrius"/>
            <w:tag w:val="part_333202d0197643f1838fcb62ae340a88"/>
            <w:lock w:val="sdtLocked"/>
            <w:richText/>
          </w:sdtPr>
          <w:sdtContent>
            <w:p>
              <w:pPr>
                <w:jc w:val="center"/>
                <w:rPr>
                  <w:b/>
                  <w:caps/>
                  <w:szCs w:val="24"/>
                </w:rPr>
              </w:pPr>
              <w:sdt>
                <w:sdtPr>
                  <w:alias w:val="Numeris"/>
                  <w:tag w:val="nr_333202d0197643f1838fcb62ae340a88"/>
                  <w:lock w:val="sdtLocked"/>
                  <w:richText/>
                </w:sdtPr>
                <w:sdtContent>
                  <w:r>
                    <w:rPr>
                      <w:b/>
                      <w:szCs w:val="24"/>
                    </w:rPr>
                    <w:t>IV</w:t>
                  </w:r>
                  <w:r>
                    <w:rPr>
                      <w:b/>
                      <w:szCs w:val="24"/>
                      <w:vertAlign w:val="superscript"/>
                    </w:rPr>
                    <w:t>1</w:t>
                  </w:r>
                </w:sdtContent>
              </w:sdt>
              <w:r>
                <w:rPr>
                  <w:b/>
                  <w:szCs w:val="24"/>
                </w:rPr>
                <w:t xml:space="preserve"> </w:t>
              </w:r>
              <w:r>
                <w:rPr>
                  <w:b/>
                  <w:caps/>
                  <w:szCs w:val="24"/>
                </w:rPr>
                <w:t>skyriuS</w:t>
              </w:r>
            </w:p>
            <w:p>
              <w:pPr>
                <w:jc w:val="center"/>
                <w:rPr>
                  <w:b/>
                  <w:caps/>
                  <w:szCs w:val="24"/>
                </w:rPr>
              </w:pPr>
              <w:sdt>
                <w:sdtPr>
                  <w:alias w:val="Pavadinimas"/>
                  <w:tag w:val="title_333202d0197643f1838fcb62ae340a88"/>
                  <w:lock w:val="sdtLocked"/>
                  <w:richText/>
                </w:sdtPr>
                <w:sdtContent>
                  <w:r>
                    <w:rPr>
                      <w:b/>
                      <w:caps/>
                      <w:szCs w:val="24"/>
                    </w:rPr>
                    <w:t>dėl dokumento S2 išdavimo ekstremaliųJŲ situacijų atveju</w:t>
                  </w:r>
                </w:sdtContent>
              </w:sdt>
            </w:p>
            <w:p>
              <w:pPr>
                <w:ind w:firstLine="720"/>
                <w:jc w:val="center"/>
                <w:rPr>
                  <w:caps/>
                  <w:szCs w:val="24"/>
                </w:rPr>
              </w:pPr>
            </w:p>
            <w:sdt>
              <w:sdtPr>
                <w:alias w:val="22-1 p."/>
                <w:tag w:val="part_1a555ef6257448b3a515bf146b8ba218"/>
                <w:lock w:val="sdtLocked"/>
                <w:richText/>
              </w:sdtPr>
              <w:sdtContent>
                <w:p>
                  <w:pPr>
                    <w:ind w:firstLine="851"/>
                    <w:jc w:val="both"/>
                    <w:rPr>
                      <w:szCs w:val="24"/>
                    </w:rPr>
                  </w:pPr>
                  <w:sdt>
                    <w:sdtPr>
                      <w:alias w:val="Numeris"/>
                      <w:tag w:val="nr_1a555ef6257448b3a515bf146b8ba218"/>
                      <w:lock w:val="sdtLocked"/>
                      <w:richText/>
                    </w:sdtPr>
                    <w:sdtContent>
                      <w:r>
                        <w:rPr>
                          <w:szCs w:val="24"/>
                        </w:rPr>
                        <w:t>22</w:t>
                      </w:r>
                      <w:r>
                        <w:rPr>
                          <w:szCs w:val="24"/>
                          <w:vertAlign w:val="superscript"/>
                        </w:rPr>
                        <w:t>1</w:t>
                      </w:r>
                    </w:sdtContent>
                  </w:sdt>
                  <w:r>
                    <w:rPr>
                      <w:szCs w:val="24"/>
                    </w:rPr>
                    <w:t>. Lietuvos Respublikoje paskelbtos valstybės lygio ekstremaliosios situacijos operacijų vadovui priėmus sprendimą dėl šios ekstremaliosios situacijos perkelti sužeistuosius ir (arba) pacientus (toliau kartu – pacientas) gydyti į užsienį, Aprašo II ir III skyriuose nustatyta tvarka netaikoma.</w:t>
                  </w:r>
                </w:p>
              </w:sdtContent>
            </w:sdt>
            <w:sdt>
              <w:sdtPr>
                <w:alias w:val="22-2 p."/>
                <w:tag w:val="part_3e61e53d4d31437889a7a59a27385827"/>
                <w:lock w:val="sdtLocked"/>
                <w:richText/>
              </w:sdtPr>
              <w:sdtContent>
                <w:p>
                  <w:pPr>
                    <w:ind w:firstLine="720"/>
                    <w:jc w:val="both"/>
                    <w:rPr>
                      <w:szCs w:val="24"/>
                    </w:rPr>
                  </w:pPr>
                  <w:sdt>
                    <w:sdtPr>
                      <w:alias w:val="Numeris"/>
                      <w:tag w:val="nr_3e61e53d4d31437889a7a59a27385827"/>
                      <w:lock w:val="sdtLocked"/>
                      <w:richText/>
                    </w:sdtPr>
                    <w:sdtContent>
                      <w:r>
                        <w:rPr>
                          <w:szCs w:val="24"/>
                        </w:rPr>
                        <w:t>22</w:t>
                      </w:r>
                      <w:r>
                        <w:rPr>
                          <w:szCs w:val="24"/>
                          <w:vertAlign w:val="superscript"/>
                        </w:rPr>
                        <w:t>2</w:t>
                      </w:r>
                    </w:sdtContent>
                  </w:sdt>
                  <w:r>
                    <w:rPr>
                      <w:szCs w:val="24"/>
                    </w:rPr>
                    <w:t xml:space="preserve">. Dėl Lietuvos Respublikoje paskelbtos valstybės lygio ekstremaliosios situacijos į užsienį perkeliamas pacientas, užsienio kompetentinga sveikatos draudimo įstaiga arba užsienio ASPĮ, į kurią dėl Lietuvos Respublikoje paskelbtos valstybės lygio ekstremaliosios situacijos perkeliamas pacientas, iki perkėlimo arba po perkėlimo VLK pateikia prašymą dėl dokumento S2 išdavimo, kuriame nurodomas paciento vardas, pavardė, asmens kodas, gimimo data, gyvenamosios vietos adresas Lietuvos Respublikoje, užsienio ASPĮ, į kurią perkeliamas pacientas, pavadinimas ir adresas (jei ši informacija yra žinoma) bei asmens sveikatos priežiūros paslaugų teikimo užsienio ASPĮ pradžios data (jei ji yra žinoma). VLK per 5 darbo dienas nuo prašymo gavimo dienos išduoda dokumentą S2: </w:t>
                  </w:r>
                </w:p>
                <w:sdt>
                  <w:sdtPr>
                    <w:alias w:val="22-2.1 pp."/>
                    <w:tag w:val="part_763a95ecbde44dfb9dedefba5ac902f6"/>
                    <w:lock w:val="sdtLocked"/>
                    <w:richText/>
                  </w:sdtPr>
                  <w:sdtContent>
                    <w:p>
                      <w:pPr>
                        <w:ind w:firstLine="851"/>
                        <w:jc w:val="both"/>
                        <w:rPr>
                          <w:szCs w:val="24"/>
                        </w:rPr>
                      </w:pPr>
                      <w:sdt>
                        <w:sdtPr>
                          <w:alias w:val="Numeris"/>
                          <w:tag w:val="nr_763a95ecbde44dfb9dedefba5ac902f6"/>
                          <w:lock w:val="sdtLocked"/>
                          <w:richText/>
                        </w:sdtPr>
                        <w:sdtContent>
                          <w:r>
                            <w:rPr>
                              <w:szCs w:val="24"/>
                            </w:rPr>
                            <w:t>22</w:t>
                          </w:r>
                          <w:r>
                            <w:rPr>
                              <w:szCs w:val="24"/>
                              <w:vertAlign w:val="superscript"/>
                            </w:rPr>
                            <w:t>2</w:t>
                          </w:r>
                          <w:r>
                            <w:rPr>
                              <w:szCs w:val="24"/>
                            </w:rPr>
                            <w:t>.1</w:t>
                          </w:r>
                        </w:sdtContent>
                      </w:sdt>
                      <w:r>
                        <w:rPr>
                          <w:szCs w:val="24"/>
                        </w:rPr>
                        <w:t>. Lietuvos Respublikos apdraustiesiems;</w:t>
                      </w:r>
                    </w:p>
                  </w:sdtContent>
                </w:sdt>
                <w:sdt>
                  <w:sdtPr>
                    <w:alias w:val="22-2.2 pp."/>
                    <w:tag w:val="part_3259792435da4ed0bbc6d8b19525df45"/>
                    <w:lock w:val="sdtLocked"/>
                    <w:richText/>
                  </w:sdtPr>
                  <w:sdtContent>
                    <w:p>
                      <w:pPr>
                        <w:ind w:firstLine="851"/>
                        <w:jc w:val="both"/>
                        <w:rPr>
                          <w:szCs w:val="24"/>
                        </w:rPr>
                      </w:pPr>
                      <w:sdt>
                        <w:sdtPr>
                          <w:alias w:val="Numeris"/>
                          <w:tag w:val="nr_3259792435da4ed0bbc6d8b19525df45"/>
                          <w:lock w:val="sdtLocked"/>
                          <w:richText/>
                        </w:sdtPr>
                        <w:sdtContent>
                          <w:r>
                            <w:rPr>
                              <w:szCs w:val="24"/>
                            </w:rPr>
                            <w:t>22</w:t>
                          </w:r>
                          <w:r>
                            <w:rPr>
                              <w:szCs w:val="24"/>
                              <w:vertAlign w:val="superscript"/>
                            </w:rPr>
                            <w:t>2</w:t>
                          </w:r>
                          <w:r>
                            <w:rPr>
                              <w:szCs w:val="24"/>
                            </w:rPr>
                            <w:t>.2</w:t>
                          </w:r>
                        </w:sdtContent>
                      </w:sdt>
                      <w:r>
                        <w:rPr>
                          <w:szCs w:val="24"/>
                        </w:rPr>
                        <w:t xml:space="preserve"> Lietuvoje gyvenantiems užsienio valstybių apdraustiesiems, užregistravusiems jų kompetentingų sveikatos draudimo įstaigų išduotus dokumentus S1 VLK. Šiuo atveju dokumento S2 4 skyriuje nurodoma paciento užsienio kompetentinga sveikatos draudimo įstaiga, atsakinga už suteiktų asmens sveikatos priežiūros paslaugų išlaidų apmokėjimą.</w:t>
                      </w:r>
                    </w:p>
                  </w:sdtContent>
                </w:sdt>
              </w:sdtContent>
            </w:sdt>
            <w:sdt>
              <w:sdtPr>
                <w:alias w:val="22-3 p."/>
                <w:tag w:val="part_c7b04094492940c6967c3652ba1ca7c7"/>
                <w:lock w:val="sdtLocked"/>
                <w:richText/>
              </w:sdtPr>
              <w:sdtContent>
                <w:p>
                  <w:pPr>
                    <w:ind w:firstLine="851"/>
                    <w:jc w:val="both"/>
                    <w:rPr>
                      <w:szCs w:val="24"/>
                    </w:rPr>
                  </w:pPr>
                  <w:sdt>
                    <w:sdtPr>
                      <w:alias w:val="Numeris"/>
                      <w:tag w:val="nr_c7b04094492940c6967c3652ba1ca7c7"/>
                      <w:lock w:val="sdtLocked"/>
                      <w:richText/>
                    </w:sdtPr>
                    <w:sdtContent>
                      <w:r>
                        <w:rPr>
                          <w:szCs w:val="24"/>
                        </w:rPr>
                        <w:t>22</w:t>
                      </w:r>
                      <w:r>
                        <w:rPr>
                          <w:szCs w:val="24"/>
                          <w:vertAlign w:val="superscript"/>
                        </w:rPr>
                        <w:t>3</w:t>
                      </w:r>
                    </w:sdtContent>
                  </w:sdt>
                  <w:r>
                    <w:rPr>
                      <w:szCs w:val="24"/>
                    </w:rPr>
                    <w:t xml:space="preserve">. VLK atsisako išduoti dokumentą S2 užsienio valstybių apdraustiesiems, jei neturi informacijos apie jų kompetentingą sveikatos draudimo įstaigą. </w:t>
                  </w:r>
                </w:p>
              </w:sdtContent>
            </w:sdt>
            <w:sdt>
              <w:sdtPr>
                <w:alias w:val="22-4 p."/>
                <w:tag w:val="part_6814bd07ce814296a1d5f6a7a3174e26"/>
                <w:lock w:val="sdtLocked"/>
                <w:richText/>
              </w:sdtPr>
              <w:sdtContent>
                <w:p>
                  <w:pPr>
                    <w:ind w:firstLine="851"/>
                    <w:jc w:val="both"/>
                    <w:rPr>
                      <w:szCs w:val="24"/>
                    </w:rPr>
                  </w:pPr>
                  <w:sdt>
                    <w:sdtPr>
                      <w:alias w:val="Numeris"/>
                      <w:tag w:val="nr_6814bd07ce814296a1d5f6a7a3174e26"/>
                      <w:lock w:val="sdtLocked"/>
                      <w:richText/>
                    </w:sdtPr>
                    <w:sdtContent>
                      <w:r>
                        <w:rPr>
                          <w:szCs w:val="24"/>
                        </w:rPr>
                        <w:t>22</w:t>
                      </w:r>
                      <w:r>
                        <w:rPr>
                          <w:szCs w:val="24"/>
                          <w:vertAlign w:val="superscript"/>
                        </w:rPr>
                        <w:t>4</w:t>
                      </w:r>
                    </w:sdtContent>
                  </w:sdt>
                  <w:r>
                    <w:rPr>
                      <w:szCs w:val="24"/>
                    </w:rPr>
                    <w:t>. Apie priimtą sprendimą VLK raštu per 5 darbo dienas informuoja Aprašo 22</w:t>
                  </w:r>
                  <w:r>
                    <w:rPr>
                      <w:szCs w:val="24"/>
                      <w:vertAlign w:val="superscript"/>
                    </w:rPr>
                    <w:t>2</w:t>
                  </w:r>
                  <w:r>
                    <w:rPr>
                      <w:szCs w:val="24"/>
                    </w:rPr>
                    <w:t xml:space="preserve"> punkte nurodytą prašymą pateikusį pacientą, užsienio kompetentingą sveikatos draudimo įstaigą arba užsienio ASPĮ. Jei VLK priima teigiamą sprendimą, pacientui išduodamas EDMIS suformuotas dokumentas S2, patvirtinantis paciento teisę gauti asmens sveikatos priežiūros paslaugas užsienio ASPĮ. Dokumento S2 2.1 papunktyje nurodoma, kad dokumentas S2 yra skirtas gauti sveikatos priežiūros paslaugas, teikiamas užsienio ASPĮ dėl Lietuvos Respublikoje paskelbtos valstybės lygio ekstremaliosios situacijos. Jei priimamas neigiamas sprendimas, Aprašo 22</w:t>
                  </w:r>
                  <w:r>
                    <w:rPr>
                      <w:szCs w:val="24"/>
                      <w:vertAlign w:val="superscript"/>
                    </w:rPr>
                    <w:t>2</w:t>
                  </w:r>
                  <w:r>
                    <w:rPr>
                      <w:szCs w:val="24"/>
                    </w:rPr>
                    <w:t xml:space="preserve"> punkte nurodytam prašymą pateikusiam pacientui, užsienio kompetentingai sveikatos draudimo įstaigai arba užsienio ASPĮ pateikiama informacija apie atsisakymo išduoti leidimą gydytis užsienyje priežastį ir galimybę apskųsti VLK sprendimą.</w:t>
                  </w:r>
                </w:p>
              </w:sdtContent>
            </w:sdt>
            <w:sdt>
              <w:sdtPr>
                <w:alias w:val="22-5 p."/>
                <w:tag w:val="part_6b00992fd41c4a3f8fa5d4527ef0eaec"/>
                <w:lock w:val="sdtLocked"/>
                <w:richText/>
              </w:sdtPr>
              <w:sdtContent>
                <w:p>
                  <w:pPr>
                    <w:ind w:firstLine="851"/>
                    <w:jc w:val="both"/>
                    <w:rPr>
                      <w:szCs w:val="24"/>
                    </w:rPr>
                  </w:pPr>
                  <w:sdt>
                    <w:sdtPr>
                      <w:alias w:val="Numeris"/>
                      <w:tag w:val="nr_6b00992fd41c4a3f8fa5d4527ef0eaec"/>
                      <w:lock w:val="sdtLocked"/>
                      <w:richText/>
                    </w:sdtPr>
                    <w:sdtContent>
                      <w:r>
                        <w:rPr>
                          <w:szCs w:val="24"/>
                        </w:rPr>
                        <w:t>22</w:t>
                      </w:r>
                      <w:r>
                        <w:rPr>
                          <w:szCs w:val="24"/>
                          <w:vertAlign w:val="superscript"/>
                        </w:rPr>
                        <w:t>5</w:t>
                      </w:r>
                    </w:sdtContent>
                  </w:sdt>
                  <w:r>
                    <w:rPr>
                      <w:szCs w:val="24"/>
                    </w:rPr>
                    <w:t>. Dėl Lietuvos Respublikoje paskelbtos valstybės lygio ekstremaliosios situacijos perkeliamiems į užsienį gydyti pacientams išduodamas dokumentas S2 galioja 60 kalendorinių dienų nuo Aprašo 22</w:t>
                  </w:r>
                  <w:r>
                    <w:rPr>
                      <w:szCs w:val="24"/>
                      <w:vertAlign w:val="superscript"/>
                    </w:rPr>
                    <w:t>2</w:t>
                  </w:r>
                  <w:r>
                    <w:rPr>
                      <w:szCs w:val="24"/>
                    </w:rPr>
                    <w:t xml:space="preserve"> punkte nurodyto prašymo gavimo VLK arba, jei prašymas pateikiamas po paciento perkėlimo į užsienio ASPĮ, asmens hospitalizavimo užsienio ASPĮ dienos. Jei dėl ekstremaliosios situacijos ar sveikatos būklės pacientai negali būti grąžinti į Lietuvos Respubliką, dėl kito dokumento S2 išdavimo reikia kreiptis iš naujo šiame skyriuje nustatyta tvarka iki išduoto dokumento S2 galiojimo pabaigos.</w:t>
                  </w:r>
                </w:p>
              </w:sdtContent>
            </w:sdt>
            <w:sdt>
              <w:sdtPr>
                <w:alias w:val="22-6 p."/>
                <w:tag w:val="part_24bb72e5f96748628d9771923d9e0309"/>
                <w:lock w:val="sdtLocked"/>
                <w:richText/>
              </w:sdtPr>
              <w:sdtContent>
                <w:p>
                  <w:pPr>
                    <w:ind w:firstLine="851"/>
                    <w:jc w:val="both"/>
                    <w:rPr>
                      <w:szCs w:val="24"/>
                      <w:lang w:eastAsia="lt-LT"/>
                    </w:rPr>
                  </w:pPr>
                  <w:sdt>
                    <w:sdtPr>
                      <w:alias w:val="Numeris"/>
                      <w:tag w:val="nr_24bb72e5f96748628d9771923d9e0309"/>
                      <w:lock w:val="sdtLocked"/>
                      <w:richText/>
                    </w:sdtPr>
                    <w:sdtContent>
                      <w:r>
                        <w:rPr>
                          <w:szCs w:val="24"/>
                        </w:rPr>
                        <w:t>22</w:t>
                      </w:r>
                      <w:r>
                        <w:rPr>
                          <w:szCs w:val="24"/>
                          <w:vertAlign w:val="superscript"/>
                        </w:rPr>
                        <w:t>6</w:t>
                      </w:r>
                    </w:sdtContent>
                  </w:sdt>
                  <w:r>
                    <w:rPr>
                      <w:szCs w:val="24"/>
                    </w:rPr>
                    <w:t>. Pacientų, nurodytų Aprašo 22</w:t>
                  </w:r>
                  <w:r>
                    <w:rPr>
                      <w:szCs w:val="24"/>
                      <w:vertAlign w:val="superscript"/>
                    </w:rPr>
                    <w:t>2</w:t>
                  </w:r>
                  <w:r>
                    <w:rPr>
                      <w:szCs w:val="24"/>
                    </w:rPr>
                    <w:t xml:space="preserve"> punkte, transportavimas į užsienį organizuojamas ir transportavimo išlaidos apmokamos valstybės lygio ekstremaliosios situacijos operacijų vadovo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264d4663eb11f1b53dfa020e517810">
                <w:r w:rsidRPr="00532B9F">
                  <w:rPr>
                    <w:rFonts w:ascii="Times New Roman" w:eastAsia="MS Mincho" w:hAnsi="Times New Roman"/>
                    <w:sz w:val="20"/>
                    <w:i/>
                    <w:iCs/>
                    <w:color w:val="0000FF" w:themeColor="hyperlink"/>
                    <w:u w:val="single"/>
                  </w:rPr>
                  <w:t>V-571</w:t>
                </w:r>
              </w:fldSimple>
              <w:r>
                <w:rPr>
                  <w:rFonts w:ascii="Times New Roman" w:eastAsia="MS Mincho" w:hAnsi="Times New Roman"/>
                  <w:sz w:val="20"/>
                  <w:i/>
                  <w:iCs/>
                </w:rPr>
                <w:t>,
2026-06-09,
paskelbta TAR 2026-06-09, i. k. 2026-10144        </w:t>
              </w:r>
            </w:p>
            <w:p/>
          </w:sdtContent>
        </w:sdt>
        <w:sdt>
          <w:sdtPr>
            <w:alias w:val="skyrius"/>
            <w:tag w:val="part_aae8b0b920ab4e0ca7300d53773f6cc2"/>
            <w:lock w:val="sdtLocked"/>
            <w:richText/>
          </w:sdtPr>
          <w:sdtContent>
            <w:p>
              <w:pPr>
                <w:keepNext/>
                <w:widowControl w:val="0"/>
                <w:suppressAutoHyphens/>
                <w:jc w:val="center"/>
                <w:rPr>
                  <w:b/>
                  <w:szCs w:val="24"/>
                  <w:lang w:eastAsia="lt-LT"/>
                </w:rPr>
              </w:pPr>
              <w:sdt>
                <w:sdtPr>
                  <w:alias w:val="Numeris"/>
                  <w:tag w:val="nr_aae8b0b920ab4e0ca7300d53773f6cc2"/>
                  <w:lock w:val="sdtLocked"/>
                  <w:richText/>
                </w:sdtPr>
                <w:sdtContent>
                  <w:r>
                    <w:rPr>
                      <w:b/>
                      <w:szCs w:val="24"/>
                      <w:lang w:eastAsia="lt-LT"/>
                    </w:rPr>
                    <w:t>V</w:t>
                  </w:r>
                </w:sdtContent>
              </w:sdt>
              <w:r>
                <w:rPr>
                  <w:b/>
                  <w:szCs w:val="24"/>
                  <w:lang w:eastAsia="lt-LT"/>
                </w:rPr>
                <w:t xml:space="preserve"> SKYRIUS</w:t>
              </w:r>
            </w:p>
            <w:p>
              <w:pPr>
                <w:keepNext/>
                <w:widowControl w:val="0"/>
                <w:suppressAutoHyphens/>
                <w:jc w:val="center"/>
                <w:rPr>
                  <w:b/>
                  <w:bCs/>
                  <w:caps/>
                  <w:szCs w:val="24"/>
                  <w:lang w:eastAsia="lt-LT"/>
                </w:rPr>
              </w:pPr>
              <w:sdt>
                <w:sdtPr>
                  <w:alias w:val="Pavadinimas"/>
                  <w:tag w:val="title_aae8b0b920ab4e0ca7300d53773f6cc2"/>
                  <w:lock w:val="sdtLocked"/>
                  <w:richText/>
                </w:sdtPr>
                <w:sdtContent>
                  <w:r>
                    <w:rPr>
                      <w:b/>
                      <w:bCs/>
                      <w:caps/>
                      <w:szCs w:val="24"/>
                      <w:lang w:eastAsia="lt-LT"/>
                    </w:rPr>
                    <w:t>GYDYMO UŽSIENYJE IŠLAIDŲ APMOKĖJIMO TVARKA</w:t>
                  </w:r>
                </w:sdtContent>
              </w:sdt>
            </w:p>
            <w:p>
              <w:pPr>
                <w:keepNext/>
                <w:widowControl w:val="0"/>
                <w:suppressAutoHyphens/>
                <w:rPr>
                  <w:szCs w:val="24"/>
                  <w:lang w:eastAsia="lt-LT"/>
                </w:rPr>
              </w:pPr>
            </w:p>
            <w:sdt>
              <w:sdtPr>
                <w:alias w:val="23 p."/>
                <w:tag w:val="part_e78732044c3542809588927d564a249f"/>
                <w:lock w:val="sdtLocked"/>
                <w:richText/>
              </w:sdtPr>
              <w:sdtContent>
                <w:p>
                  <w:pPr>
                    <w:keepNext/>
                    <w:widowControl w:val="0"/>
                    <w:suppressAutoHyphens/>
                    <w:ind w:firstLine="567"/>
                    <w:jc w:val="both"/>
                    <w:rPr>
                      <w:szCs w:val="24"/>
                      <w:lang w:eastAsia="lt-LT"/>
                    </w:rPr>
                  </w:pPr>
                  <w:sdt>
                    <w:sdtPr>
                      <w:alias w:val="Numeris"/>
                      <w:tag w:val="nr_e78732044c3542809588927d564a249f"/>
                      <w:lock w:val="sdtLocked"/>
                      <w:richText/>
                    </w:sdtPr>
                    <w:sdtContent>
                      <w:r>
                        <w:rPr>
                          <w:szCs w:val="24"/>
                          <w:lang w:eastAsia="lt-LT"/>
                        </w:rPr>
                        <w:t>23</w:t>
                      </w:r>
                    </w:sdtContent>
                  </w:sdt>
                  <w:r>
                    <w:rPr>
                      <w:szCs w:val="24"/>
                      <w:lang w:eastAsia="lt-LT"/>
                    </w:rPr>
                    <w:t>. VLK atsiskaito už užsienyje suteiktas dokumento S2 pagrindu planinio gydymo paslaugas Reglamento Nr. 883/2004 nustatyta tvarka ir terminais, gavusi gydymo šalies kompetentingos sveikatos draudimo įstaigos reikalavimų raštą.</w:t>
                  </w:r>
                </w:p>
              </w:sdtContent>
            </w:sdt>
            <w:sdt>
              <w:sdtPr>
                <w:alias w:val="24 p."/>
                <w:tag w:val="part_ac98cbf8e00c4175b4025260ce85b5e6"/>
                <w:lock w:val="sdtLocked"/>
                <w:richText/>
              </w:sdtPr>
              <w:sdtContent>
                <w:p>
                  <w:pPr>
                    <w:widowControl w:val="0"/>
                    <w:suppressAutoHyphens/>
                    <w:ind w:firstLine="567"/>
                    <w:jc w:val="both"/>
                    <w:rPr>
                      <w:szCs w:val="24"/>
                      <w:lang w:eastAsia="lt-LT"/>
                    </w:rPr>
                  </w:pPr>
                  <w:sdt>
                    <w:sdtPr>
                      <w:alias w:val="Numeris"/>
                      <w:tag w:val="nr_ac98cbf8e00c4175b4025260ce85b5e6"/>
                      <w:lock w:val="sdtLocked"/>
                      <w:richText/>
                    </w:sdtPr>
                    <w:sdtContent>
                      <w:r>
                        <w:rPr>
                          <w:szCs w:val="24"/>
                          <w:lang w:eastAsia="lt-LT"/>
                        </w:rPr>
                        <w:t>24</w:t>
                      </w:r>
                    </w:sdtContent>
                  </w:sdt>
                  <w:r>
                    <w:rPr>
                      <w:szCs w:val="24"/>
                      <w:lang w:eastAsia="lt-LT"/>
                    </w:rPr>
                    <w:t>. Suteikus leidimą Lietuvos apdraustajam užsienyje gauti gyvų donorų organų donorystės paslaugą, kai organas gaunamas iš kitoje valstybėje apdrausto gyvo donoro, VLK, įgyvendindama Socialinės apsaugos sistemų koordinavimo administracinės komisijos 2012 m. kovo 15 d. rekomendacijos S1 dėl tarpvalstybinės gyvų donorų organų donorystės finansinių aspektų 1 punktą, atsiskaito Reglamento Nr. 883/2004 nustatyta tvarka už gyvam donorui suteiktas sveikatos priežiūros paslaugas, susijusias su donorystės procedūromis.</w:t>
                  </w:r>
                </w:p>
              </w:sdtContent>
            </w:sdt>
            <w:sdt>
              <w:sdtPr>
                <w:alias w:val="25 p."/>
                <w:tag w:val="part_683da85125c847789e039c6b3079b601"/>
                <w:lock w:val="sdtLocked"/>
                <w:richText/>
              </w:sdtPr>
              <w:sdtContent>
                <w:p>
                  <w:pPr>
                    <w:widowControl w:val="0"/>
                    <w:ind w:firstLine="567"/>
                    <w:jc w:val="both"/>
                    <w:rPr>
                      <w:szCs w:val="24"/>
                      <w:lang w:eastAsia="lt-LT"/>
                    </w:rPr>
                  </w:pPr>
                  <w:sdt>
                    <w:sdtPr>
                      <w:alias w:val="Numeris"/>
                      <w:tag w:val="nr_683da85125c847789e039c6b3079b601"/>
                      <w:lock w:val="sdtLocked"/>
                      <w:richText/>
                    </w:sdtPr>
                    <w:sdtContent>
                      <w:r>
                        <w:rPr>
                          <w:szCs w:val="24"/>
                          <w:lang w:eastAsia="lt-LT"/>
                        </w:rPr>
                        <w:t>25</w:t>
                      </w:r>
                    </w:sdtContent>
                  </w:sdt>
                  <w:r>
                    <w:rPr>
                      <w:szCs w:val="24"/>
                      <w:lang w:eastAsia="lt-LT"/>
                    </w:rPr>
                    <w:t>. VLK, vadovaudamasi Reglamento Nr. 883/2004 nuostatomis, kompensuoja Lietuvos Respublikos apdraustojo gydymo užsienio valstybėje išlaidas, jei šios paslaugos pacientui dėl jo sveikatos būklės buvo suteiktos nuo dokumentų, išvardytų Aprašo 12 punkte, pateikimo Komisijai dienos iki Komisijos sprendimo siųsti pacientą gydytis užsienio šalyje priėmimo dienos. Jei pacientas gydytis į užsienio šalį išvyksta nuo dokumentų, išvardytų Aprašo 12 punkte, pateikimo Komisijai dienos iki Komisijai priimant sprendimą, siunčiantysis gydytojas pacientą pasirašytinai informuoja, kad, Komisijai priėmus neigiamą sprendimą, gydymo užsienyje išlaidas pacientui reikės apmokėti pačiam ir kad vėliau jo išlaidos galės būti kompensuojamos kitų teisės aktų nustatyta tvarka. Įrašas apie paciento informavimą daromas formoje Nr. 003/a arba formoje Nr. 025/a.</w:t>
                  </w:r>
                </w:p>
              </w:sdtContent>
            </w:sdt>
            <w:sdt>
              <w:sdtPr>
                <w:alias w:val="26 p."/>
                <w:tag w:val="part_83b0377b386c48b4a4969106f0e979de"/>
                <w:lock w:val="sdtLocked"/>
                <w:richText/>
              </w:sdtPr>
              <w:sdtContent>
                <w:p>
                  <w:pPr>
                    <w:ind w:firstLine="567"/>
                    <w:jc w:val="both"/>
                    <w:rPr>
                      <w:szCs w:val="24"/>
                      <w:lang w:eastAsia="lt-LT"/>
                    </w:rPr>
                  </w:pPr>
                  <w:sdt>
                    <w:sdtPr>
                      <w:alias w:val="Numeris"/>
                      <w:tag w:val="nr_83b0377b386c48b4a4969106f0e979de"/>
                      <w:lock w:val="sdtLocked"/>
                      <w:richText/>
                    </w:sdtPr>
                    <w:sdtContent>
                      <w:r>
                        <w:rPr>
                          <w:szCs w:val="24"/>
                        </w:rPr>
                        <w:t>26</w:t>
                      </w:r>
                    </w:sdtContent>
                  </w:sdt>
                  <w:r>
                    <w:rPr>
                      <w:szCs w:val="24"/>
                    </w:rPr>
                    <w:t>. Paciento kelionės išlaidos, išskyrus Aprašo 22</w:t>
                  </w:r>
                  <w:r>
                    <w:rPr>
                      <w:szCs w:val="24"/>
                      <w:vertAlign w:val="superscript"/>
                    </w:rPr>
                    <w:t>6</w:t>
                  </w:r>
                  <w:r>
                    <w:rPr>
                      <w:szCs w:val="24"/>
                    </w:rPr>
                    <w:t xml:space="preserve"> punkte nurodytą atvejį, kai priimamas sprendimas jas kompensuoti, formos Nr. 027/a vertimo ir kitos vertimo išlaidos, taip pat pragyvenimo išlaidos bei sumokėtos priemokos ir mokesčiai nekompensuojami.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264d4663eb11f1b53dfa020e517810">
                    <w:r w:rsidRPr="00532B9F">
                      <w:rPr>
                        <w:rFonts w:ascii="Times New Roman" w:eastAsia="MS Mincho" w:hAnsi="Times New Roman"/>
                        <w:sz w:val="20"/>
                        <w:i/>
                        <w:iCs/>
                        <w:color w:val="0000FF" w:themeColor="hyperlink"/>
                        <w:u w:val="single"/>
                      </w:rPr>
                      <w:t>V-571</w:t>
                    </w:r>
                  </w:fldSimple>
                  <w:r>
                    <w:rPr>
                      <w:rFonts w:ascii="Times New Roman" w:eastAsia="MS Mincho" w:hAnsi="Times New Roman"/>
                      <w:sz w:val="20"/>
                      <w:i/>
                      <w:iCs/>
                    </w:rPr>
                    <w:t>,
2026-06-09,
paskelbta TAR 2026-06-09, i. k. 2026-10144            </w:t>
                  </w:r>
                </w:p>
                <w:p/>
              </w:sdtContent>
            </w:sdt>
          </w:sdtContent>
        </w:sdt>
        <w:sdt>
          <w:sdtPr>
            <w:alias w:val="skyrius"/>
            <w:tag w:val="part_ba0e1921f2464e64b5685505027068d5"/>
            <w:lock w:val="sdtLocked"/>
            <w:richText/>
          </w:sdtPr>
          <w:sdtContent>
            <w:p>
              <w:pPr>
                <w:widowControl w:val="0"/>
                <w:suppressAutoHyphens/>
                <w:jc w:val="center"/>
                <w:rPr>
                  <w:b/>
                  <w:szCs w:val="24"/>
                  <w:lang w:eastAsia="lt-LT"/>
                </w:rPr>
              </w:pPr>
              <w:sdt>
                <w:sdtPr>
                  <w:alias w:val="Numeris"/>
                  <w:tag w:val="nr_ba0e1921f2464e64b5685505027068d5"/>
                  <w:lock w:val="sdtLocked"/>
                  <w:richText/>
                </w:sdtPr>
                <w:sdtContent>
                  <w:r>
                    <w:rPr>
                      <w:b/>
                      <w:szCs w:val="24"/>
                      <w:lang w:eastAsia="lt-LT"/>
                    </w:rPr>
                    <w:t>VI</w:t>
                  </w:r>
                </w:sdtContent>
              </w:sdt>
              <w:r>
                <w:rPr>
                  <w:b/>
                  <w:szCs w:val="24"/>
                  <w:lang w:eastAsia="lt-LT"/>
                </w:rPr>
                <w:t xml:space="preserve"> SKYRIUS</w:t>
              </w:r>
            </w:p>
            <w:p>
              <w:pPr>
                <w:widowControl w:val="0"/>
                <w:suppressAutoHyphens/>
                <w:jc w:val="center"/>
                <w:rPr>
                  <w:b/>
                  <w:bCs/>
                  <w:caps/>
                  <w:szCs w:val="24"/>
                  <w:lang w:eastAsia="lt-LT"/>
                </w:rPr>
              </w:pPr>
              <w:sdt>
                <w:sdtPr>
                  <w:alias w:val="Pavadinimas"/>
                  <w:tag w:val="title_ba0e1921f2464e64b5685505027068d5"/>
                  <w:lock w:val="sdtLocked"/>
                  <w:richText/>
                </w:sdtPr>
                <w:sdtContent>
                  <w:r>
                    <w:rPr>
                      <w:b/>
                      <w:bCs/>
                      <w:caps/>
                      <w:szCs w:val="24"/>
                      <w:lang w:eastAsia="lt-LT"/>
                    </w:rPr>
                    <w:t>BAIGIAMOSIOS NUOSTATOS</w:t>
                  </w:r>
                </w:sdtContent>
              </w:sdt>
            </w:p>
            <w:p>
              <w:pPr>
                <w:widowControl w:val="0"/>
                <w:suppressAutoHyphens/>
                <w:rPr>
                  <w:szCs w:val="24"/>
                  <w:lang w:eastAsia="lt-LT"/>
                </w:rPr>
              </w:pPr>
            </w:p>
            <w:sdt>
              <w:sdtPr>
                <w:alias w:val="27 p."/>
                <w:tag w:val="part_a7879ee4c68e4d0f9259fc9232012349"/>
                <w:lock w:val="sdtLocked"/>
                <w:richText/>
              </w:sdtPr>
              <w:sdtContent>
                <w:p>
                  <w:pPr>
                    <w:widowControl w:val="0"/>
                    <w:suppressAutoHyphens/>
                    <w:ind w:firstLine="709"/>
                    <w:jc w:val="both"/>
                    <w:rPr>
                      <w:rFonts w:eastAsia="Calibri"/>
                      <w:szCs w:val="24"/>
                      <w:lang w:eastAsia="lt-LT"/>
                    </w:rPr>
                  </w:pPr>
                  <w:sdt>
                    <w:sdtPr>
                      <w:alias w:val="Numeris"/>
                      <w:tag w:val="nr_a7879ee4c68e4d0f9259fc9232012349"/>
                      <w:lock w:val="sdtLocked"/>
                      <w:richText/>
                    </w:sdtPr>
                    <w:sdtContent>
                      <w:r>
                        <w:rPr>
                          <w:rFonts w:eastAsia="Calibri"/>
                          <w:szCs w:val="24"/>
                          <w:lang w:eastAsia="lt-LT"/>
                        </w:rPr>
                        <w:t>27</w:t>
                      </w:r>
                    </w:sdtContent>
                  </w:sdt>
                  <w:r>
                    <w:rPr>
                      <w:rFonts w:eastAsia="Calibri"/>
                      <w:szCs w:val="24"/>
                      <w:lang w:eastAsia="lt-LT"/>
                    </w:rPr>
                    <w:t xml:space="preserve">. Komisija tvarko Aprašo 12 punkte nurodytus asmens duomenis, vadovaudamasi  Europos Sąjungos Bendruoju duomenų apsaugos reglamentu, ir juos saugo EDMIS nuostatų, patvirtintų 2021 m. gruodžio 3 d. VLK direktoriaus įsakymu Nr. 1K-387 „Dėl Valstybinės ligonių kasos prie Sveikatos apsaugos ministerijos Europos Sąjungos socialinės apsaugos duomenų mainų informacinės sistemos  nuostatų patvirtinimo“, 63 punkte nurodytą laiką (dešimt metų po išduoto dokumento S2 galiojimo pabaigos). </w:t>
                  </w:r>
                </w:p>
              </w:sdtContent>
            </w:sdt>
            <w:sdt>
              <w:sdtPr>
                <w:alias w:val="28 p."/>
                <w:tag w:val="part_849e078349ee4b99bb92557eb196cf5a"/>
                <w:lock w:val="sdtLocked"/>
                <w:richText/>
              </w:sdtPr>
              <w:sdtContent>
                <w:p>
                  <w:pPr>
                    <w:widowControl w:val="0"/>
                    <w:suppressAutoHyphens/>
                    <w:ind w:firstLine="709"/>
                    <w:jc w:val="both"/>
                    <w:rPr>
                      <w:rFonts w:eastAsia="Calibri"/>
                      <w:szCs w:val="24"/>
                      <w:lang w:eastAsia="lt-LT"/>
                    </w:rPr>
                  </w:pPr>
                  <w:sdt>
                    <w:sdtPr>
                      <w:alias w:val="Numeris"/>
                      <w:tag w:val="nr_849e078349ee4b99bb92557eb196cf5a"/>
                      <w:lock w:val="sdtLocked"/>
                      <w:richText/>
                    </w:sdtPr>
                    <w:sdtContent>
                      <w:r>
                        <w:rPr>
                          <w:rFonts w:eastAsia="Calibri"/>
                          <w:szCs w:val="24"/>
                          <w:lang w:eastAsia="lt-LT"/>
                        </w:rPr>
                        <w:t>28</w:t>
                      </w:r>
                    </w:sdtContent>
                  </w:sdt>
                  <w:r>
                    <w:rPr>
                      <w:rFonts w:eastAsia="Calibri"/>
                      <w:szCs w:val="24"/>
                      <w:lang w:eastAsia="lt-LT"/>
                    </w:rPr>
                    <w:t>. Vadovaudamasi Europos Sąjungos Bendruoju duomenų apsaugos reglamentu, Lietuvos Respublikos asmens duomenų teisinės apsaugos įstatymu ir kitais Lietuvos Respublikos bei Europos Sąjungos teisės aktais, reglamentuojančiais asmens duomenų apsaugą, Komisija užtikrina organizacinėmis ir techninėmis asmens duomenų saugumo priemonėmis tvarkomų pacientų asmens duomenų apsaugą.</w:t>
                  </w:r>
                </w:p>
              </w:sdtContent>
            </w:sdt>
            <w:sdt>
              <w:sdtPr>
                <w:alias w:val="29 p."/>
                <w:tag w:val="part_06ff2eb322504b2ea6bfbade75b01047"/>
                <w:lock w:val="sdtLocked"/>
                <w:richText/>
              </w:sdtPr>
              <w:sdtContent>
                <w:p>
                  <w:pPr>
                    <w:widowControl w:val="0"/>
                    <w:suppressAutoHyphens/>
                    <w:ind w:firstLine="709"/>
                    <w:jc w:val="both"/>
                    <w:rPr>
                      <w:szCs w:val="24"/>
                      <w:lang w:eastAsia="lt-LT"/>
                    </w:rPr>
                  </w:pPr>
                  <w:sdt>
                    <w:sdtPr>
                      <w:alias w:val="Numeris"/>
                      <w:tag w:val="nr_06ff2eb322504b2ea6bfbade75b01047"/>
                      <w:lock w:val="sdtLocked"/>
                      <w:richText/>
                    </w:sdtPr>
                    <w:sdtContent>
                      <w:r>
                        <w:rPr>
                          <w:szCs w:val="24"/>
                          <w:lang w:eastAsia="lt-LT"/>
                        </w:rPr>
                        <w:t>29</w:t>
                      </w:r>
                    </w:sdtContent>
                  </w:sdt>
                  <w:r>
                    <w:rPr>
                      <w:szCs w:val="24"/>
                      <w:lang w:eastAsia="lt-LT"/>
                    </w:rPr>
                    <w:t>. Komisijos nariai privalo neatskleisti, neperduoti pacientų asmens duomenų ir nesudaryti sąlygų programinėmis ir techninėmis priemonėms susipažinti su šiais duomenimis nė vienam asmeniui, kuris neturi teisės jais naudotis, ir saugoti tvarkomų pacientų asmens duomenų paslaptį perėję dirbti į kitas pareigas ar pasibaigus valstybės tarnybos (darbo) santykiams. Komisijos nariai prieš pradėdami eiti pareigas privalo pasirašyti pasižadėjimą saugoti tvarkomų pacientų asmens duomenų paslaptį.</w:t>
                  </w:r>
                </w:p>
              </w:sdtContent>
            </w:sdt>
            <w:sdt>
              <w:sdtPr>
                <w:alias w:val="30 p."/>
                <w:tag w:val="part_18a9e85b715744a7a7586c56a190f636"/>
                <w:lock w:val="sdtLocked"/>
                <w:richText/>
              </w:sdtPr>
              <w:sdtContent>
                <w:p>
                  <w:pPr>
                    <w:widowControl w:val="0"/>
                    <w:suppressAutoHyphens/>
                    <w:ind w:firstLine="709"/>
                    <w:jc w:val="both"/>
                    <w:rPr>
                      <w:szCs w:val="24"/>
                      <w:lang w:eastAsia="lt-LT"/>
                    </w:rPr>
                  </w:pPr>
                  <w:sdt>
                    <w:sdtPr>
                      <w:alias w:val="Numeris"/>
                      <w:tag w:val="nr_18a9e85b715744a7a7586c56a190f636"/>
                      <w:lock w:val="sdtLocked"/>
                      <w:richText/>
                    </w:sdtPr>
                    <w:sdtContent>
                      <w:r>
                        <w:rPr>
                          <w:szCs w:val="24"/>
                          <w:lang w:eastAsia="lt-LT"/>
                        </w:rPr>
                        <w:t>30</w:t>
                      </w:r>
                    </w:sdtContent>
                  </w:sdt>
                  <w:r>
                    <w:rPr>
                      <w:szCs w:val="24"/>
                      <w:lang w:eastAsia="lt-LT"/>
                    </w:rPr>
                    <w:t>. Komisijos posėdžių protokolai ir kiti su Komisijos darbu susiję dokumentai saugomi VLK Lietuvos Respublikos dokumentų ir archyvų įstatyme nustatyta tvarka.</w:t>
                  </w:r>
                </w:p>
              </w:sdtContent>
            </w:sdt>
            <w:sdt>
              <w:sdtPr>
                <w:alias w:val="31 p."/>
                <w:tag w:val="part_4ae139aa9e2a43e2a6847255c57d9462"/>
                <w:lock w:val="sdtLocked"/>
                <w:richText/>
              </w:sdtPr>
              <w:sdtContent>
                <w:p>
                  <w:pPr>
                    <w:widowControl w:val="0"/>
                    <w:suppressAutoHyphens/>
                    <w:ind w:firstLine="709"/>
                    <w:jc w:val="both"/>
                    <w:rPr>
                      <w:szCs w:val="24"/>
                      <w:lang w:eastAsia="lt-LT"/>
                    </w:rPr>
                  </w:pPr>
                  <w:sdt>
                    <w:sdtPr>
                      <w:alias w:val="Numeris"/>
                      <w:tag w:val="nr_4ae139aa9e2a43e2a6847255c57d9462"/>
                      <w:lock w:val="sdtLocked"/>
                      <w:richText/>
                    </w:sdtPr>
                    <w:sdtContent>
                      <w:r>
                        <w:rPr>
                          <w:szCs w:val="24"/>
                          <w:lang w:eastAsia="lt-LT"/>
                        </w:rPr>
                        <w:t>31</w:t>
                      </w:r>
                    </w:sdtContent>
                  </w:sdt>
                  <w:r>
                    <w:rPr>
                      <w:szCs w:val="24"/>
                      <w:lang w:eastAsia="lt-LT"/>
                    </w:rPr>
                    <w:t>. VLK yra atsakinga už dokumentų S2 tinkamą ir teisėtą tvarkymą.</w:t>
                  </w:r>
                </w:p>
                <w:p>
                  <w:pPr>
                    <w:widowControl w:val="0"/>
                    <w:suppressAutoHyphens/>
                    <w:jc w:val="both"/>
                    <w:rPr>
                      <w:szCs w:val="24"/>
                      <w:lang w:eastAsia="lt-LT"/>
                    </w:rPr>
                  </w:pPr>
                </w:p>
              </w:sdtContent>
            </w:sdt>
          </w:sdtContent>
        </w:sdt>
        <w:sdt>
          <w:sdtPr>
            <w:alias w:val="pabaiga"/>
            <w:tag w:val="part_d19d1068acd8414380b613a45b7f9d3f"/>
            <w:lock w:val="sdtLocked"/>
            <w:richText/>
          </w:sdtPr>
          <w:sdtContent>
            <w:p>
              <w:pPr>
                <w:widowControl w:val="0"/>
                <w:suppressAutoHyphens/>
                <w:jc w:val="center"/>
                <w:rPr>
                  <w:color w:val="000000"/>
                </w:rPr>
              </w:pPr>
              <w:r>
                <w:rPr>
                  <w:szCs w:val="24"/>
                  <w:lang w:eastAsia="lt-LT"/>
                </w:rPr>
                <w:t xml:space="preserve">______________ </w:t>
              </w:r>
            </w:p>
          </w:sdtContent>
        </w:sdt>
      </w:sdtContent>
    </w:sdt>
    <w:sdt>
      <w:sdtPr>
        <w:alias w:val="pr."/>
        <w:tag w:val="part_47ae32dc87374a0ab4424d74a910557b"/>
        <w:lock w:val="sdtLocked"/>
        <w:richText/>
      </w:sdtPr>
      <w:sdtContent>
        <w:p>
          <w:pPr>
            <w:suppressAutoHyphens/>
            <w:ind w:left="5102" w:firstLine="62"/>
            <w:sectPr>
              <w:pgSz w:w="11906" w:h="16838"/>
              <w:pgMar w:top="1701" w:right="567" w:bottom="1134" w:left="1701" w:header="567" w:footer="567" w:gutter="0"/>
              <w:pgNumType w:start="1"/>
              <w:cols w:space="1296"/>
              <w:titlePg/>
              <w:docGrid w:linePitch="360"/>
            </w:sectPr>
          </w:pPr>
        </w:p>
        <w:p>
          <w:pPr>
            <w:suppressAutoHyphens/>
            <w:ind w:left="5102" w:firstLine="1"/>
          </w:pPr>
          <w:r>
            <w:t>Pacientų siuntimo į užsienį konsultuoti, tirti ir (ar) gydyti tvarkos aprašo</w:t>
          </w:r>
        </w:p>
        <w:p>
          <w:pPr>
            <w:suppressAutoHyphens/>
            <w:ind w:left="5102" w:firstLine="1"/>
          </w:pPr>
          <w:r>
            <w:t>priedas</w:t>
          </w:r>
        </w:p>
        <w:p>
          <w:pPr>
            <w:suppressAutoHyphens/>
            <w:ind w:left="5102"/>
          </w:pPr>
        </w:p>
        <w:p>
          <w:pPr>
            <w:suppressAutoHyphens/>
            <w:ind w:left="5102"/>
          </w:pPr>
        </w:p>
        <w:p>
          <w:pPr>
            <w:jc w:val="center"/>
            <w:rPr>
              <w:b/>
              <w:bCs/>
            </w:rPr>
          </w:pPr>
          <w:sdt>
            <w:sdtPr>
              <w:alias w:val="Pavadinimas"/>
              <w:tag w:val="title_47ae32dc87374a0ab4424d74a910557b"/>
              <w:lock w:val="sdtLocked"/>
              <w:richText/>
            </w:sdtPr>
            <w:sdtContent>
              <w:r>
                <w:rPr>
                  <w:b/>
                  <w:bCs/>
                </w:rPr>
                <w:t>(</w:t>
              </w:r>
              <w:r>
                <w:rPr>
                  <w:b/>
                </w:rPr>
                <w:t>Prašymo išduoti leidimą gydytis užsienio valstybėje forma</w:t>
              </w:r>
              <w:r>
                <w:rPr>
                  <w:b/>
                  <w:bCs/>
                </w:rPr>
                <w:t>)</w:t>
              </w:r>
            </w:sdtContent>
          </w:sdt>
        </w:p>
        <w:p>
          <w:pPr>
            <w:jc w:val="center"/>
            <w:rPr>
              <w:b/>
              <w:bCs/>
            </w:rPr>
          </w:pPr>
        </w:p>
        <w:p>
          <w:pPr>
            <w:tabs>
              <w:tab w:val="right" w:leader="underscore" w:pos="9072"/>
            </w:tabs>
            <w:suppressAutoHyphens/>
            <w:jc w:val="center"/>
            <w:rPr>
              <w:b/>
              <w:caps/>
            </w:rPr>
          </w:pPr>
          <w:r>
            <w:rPr>
              <w:b/>
              <w:caps/>
            </w:rPr>
            <w:t>prašymas</w:t>
          </w:r>
        </w:p>
        <w:p>
          <w:pPr>
            <w:tabs>
              <w:tab w:val="right" w:leader="underscore" w:pos="9072"/>
            </w:tabs>
            <w:suppressAutoHyphens/>
            <w:jc w:val="center"/>
            <w:rPr>
              <w:b/>
              <w:caps/>
            </w:rPr>
          </w:pPr>
          <w:r>
            <w:rPr>
              <w:b/>
              <w:caps/>
            </w:rPr>
            <w:t xml:space="preserve">išdUOTI leidimĄ gydytis užsienio valstybėje </w:t>
          </w:r>
        </w:p>
        <w:p>
          <w:pPr>
            <w:tabs>
              <w:tab w:val="right" w:leader="underscore" w:pos="9072"/>
            </w:tabs>
            <w:suppressAutoHyphens/>
            <w:jc w:val="center"/>
            <w:rPr>
              <w:caps/>
            </w:rPr>
          </w:pPr>
        </w:p>
        <w:p>
          <w:pPr>
            <w:suppressAutoHyphens/>
            <w:jc w:val="both"/>
            <w:rPr>
              <w:bCs/>
            </w:rPr>
          </w:pPr>
        </w:p>
        <w:p>
          <w:pPr>
            <w:overflowPunct w:val="0"/>
            <w:jc w:val="both"/>
            <w:textAlignment w:val="baseline"/>
          </w:pPr>
          <w:r>
            <w:t xml:space="preserve">Sprendimų dėl pacientų gydymo </w:t>
          </w:r>
        </w:p>
        <w:p>
          <w:pPr>
            <w:overflowPunct w:val="0"/>
            <w:jc w:val="both"/>
            <w:textAlignment w:val="baseline"/>
            <w:rPr>
              <w:color w:val="000000"/>
            </w:rPr>
          </w:pPr>
          <w:r>
            <w:t>užsienyje priėmimo komisijai</w:t>
          </w:r>
        </w:p>
        <w:p>
          <w:pPr>
            <w:tabs>
              <w:tab w:val="left" w:pos="2366"/>
            </w:tabs>
            <w:jc w:val="center"/>
          </w:pPr>
          <w:r>
            <w:t>________________________________</w:t>
          </w:r>
        </w:p>
        <w:p>
          <w:pPr>
            <w:tabs>
              <w:tab w:val="left" w:pos="2366"/>
            </w:tabs>
            <w:jc w:val="center"/>
          </w:pPr>
          <w:r>
            <w:t>(Prašymo užpildymo data</w:t>
          </w:r>
          <w:r>
            <w:rPr>
              <w:bCs/>
            </w:rPr>
            <w:t>)</w:t>
          </w:r>
        </w:p>
        <w:p/>
        <w:p>
          <w:pPr>
            <w:rPr>
              <w:b/>
            </w:rPr>
          </w:pPr>
          <w:r>
            <w:rPr>
              <w:b/>
            </w:rPr>
            <w:t>PRAŠAU priimti sprendimą dėl paciento siuntimo gydyti į užsienį ______________________</w:t>
          </w:r>
        </w:p>
        <w:p>
          <w:pPr>
            <w:ind w:left="5760"/>
          </w:pPr>
          <w:r>
            <w:t>(nurodoma Europos ekonominei erdvei priklausanti valstybė arba Šveicarija, arba Jungtinė Didžiosios Britanijos ir Šiaurės Airijos Karalystė)</w:t>
          </w:r>
        </w:p>
        <w:p>
          <w:pPr>
            <w:ind w:left="5760"/>
          </w:pPr>
        </w:p>
        <w:sdt>
          <w:sdtPr>
            <w:alias w:val="pr. 1 p."/>
            <w:tag w:val="part_0aa41bdc89cd463b99a2607c1e4b06b1"/>
            <w:lock w:val="sdtLocked"/>
            <w:richText/>
          </w:sdtPr>
          <w:sdtContent>
            <w:p>
              <w:pPr>
                <w:jc w:val="both"/>
                <w:rPr>
                  <w:b/>
                </w:rPr>
              </w:pPr>
              <w:sdt>
                <w:sdtPr>
                  <w:alias w:val="Numeris"/>
                  <w:tag w:val="nr_0aa41bdc89cd463b99a2607c1e4b06b1"/>
                  <w:lock w:val="sdtLocked"/>
                  <w:richText/>
                </w:sdtPr>
                <w:sdtContent>
                  <w:r>
                    <w:rPr>
                      <w:b/>
                      <w:lang w:val="en-US"/>
                    </w:rPr>
                    <w:t>1</w:t>
                  </w:r>
                </w:sdtContent>
              </w:sdt>
              <w:r>
                <w:rPr>
                  <w:b/>
                  <w:lang w:val="en-US"/>
                </w:rPr>
                <w:t xml:space="preserve">. </w:t>
              </w:r>
              <w:r>
                <w:rPr>
                  <w:b/>
                </w:rPr>
                <w:t>Paciento duomenys:</w:t>
              </w:r>
            </w:p>
            <w:tbl>
              <w:tblPr>
                <w:tblW w:w="96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56"/>
                <w:gridCol w:w="2648"/>
                <w:gridCol w:w="6326"/>
              </w:tblGrid>
              <w:tr>
                <w:tc>
                  <w:tcPr>
                    <w:tcW w:w="657" w:type="dxa"/>
                    <w:tcBorders>
                      <w:top w:val="single" w:sz="4" w:space="0" w:color="auto"/>
                      <w:left w:val="single" w:sz="4" w:space="0" w:color="auto"/>
                      <w:bottom w:val="single" w:sz="4" w:space="0" w:color="auto"/>
                      <w:right w:val="single" w:sz="4" w:space="0" w:color="auto"/>
                    </w:tcBorders>
                    <w:hideMark/>
                  </w:tcPr>
                  <w:p>
                    <w:pPr>
                      <w:rPr>
                        <w:lang w:eastAsia="ja-JP"/>
                      </w:rPr>
                    </w:pPr>
                    <w:r>
                      <w:rPr>
                        <w:lang w:eastAsia="ja-JP"/>
                      </w:rPr>
                      <w:t>1.1</w:t>
                    </w:r>
                  </w:p>
                </w:tc>
                <w:tc>
                  <w:tcPr>
                    <w:tcW w:w="2652" w:type="dxa"/>
                    <w:tcBorders>
                      <w:top w:val="single" w:sz="4" w:space="0" w:color="auto"/>
                      <w:left w:val="single" w:sz="4" w:space="0" w:color="auto"/>
                      <w:bottom w:val="single" w:sz="4" w:space="0" w:color="auto"/>
                      <w:right w:val="single" w:sz="4" w:space="0" w:color="auto"/>
                    </w:tcBorders>
                    <w:hideMark/>
                  </w:tcPr>
                  <w:p>
                    <w:pPr>
                      <w:rPr>
                        <w:lang w:eastAsia="ja-JP"/>
                      </w:rPr>
                    </w:pPr>
                    <w:r>
                      <w:rPr>
                        <w:lang w:eastAsia="ja-JP"/>
                      </w:rPr>
                      <w:t>vardas (-ai)</w:t>
                    </w:r>
                  </w:p>
                </w:tc>
                <w:tc>
                  <w:tcPr>
                    <w:tcW w:w="6335" w:type="dxa"/>
                    <w:tcBorders>
                      <w:top w:val="single" w:sz="4" w:space="0" w:color="auto"/>
                      <w:left w:val="single" w:sz="4" w:space="0" w:color="auto"/>
                      <w:bottom w:val="single" w:sz="4" w:space="0" w:color="auto"/>
                      <w:right w:val="single" w:sz="4" w:space="0" w:color="auto"/>
                    </w:tcBorders>
                  </w:tcPr>
                  <w:p>
                    <w:pPr>
                      <w:rPr>
                        <w:lang w:eastAsia="ja-JP"/>
                      </w:rPr>
                    </w:pPr>
                  </w:p>
                </w:tc>
              </w:tr>
              <w:tr>
                <w:tc>
                  <w:tcPr>
                    <w:tcW w:w="657" w:type="dxa"/>
                    <w:tcBorders>
                      <w:top w:val="single" w:sz="4" w:space="0" w:color="auto"/>
                      <w:left w:val="single" w:sz="4" w:space="0" w:color="auto"/>
                      <w:bottom w:val="single" w:sz="4" w:space="0" w:color="auto"/>
                      <w:right w:val="single" w:sz="4" w:space="0" w:color="auto"/>
                    </w:tcBorders>
                    <w:hideMark/>
                  </w:tcPr>
                  <w:p>
                    <w:pPr>
                      <w:rPr>
                        <w:lang w:eastAsia="ja-JP"/>
                      </w:rPr>
                    </w:pPr>
                    <w:r>
                      <w:rPr>
                        <w:lang w:eastAsia="ja-JP"/>
                      </w:rPr>
                      <w:t>1.2</w:t>
                    </w:r>
                  </w:p>
                </w:tc>
                <w:tc>
                  <w:tcPr>
                    <w:tcW w:w="2652" w:type="dxa"/>
                    <w:tcBorders>
                      <w:top w:val="single" w:sz="4" w:space="0" w:color="auto"/>
                      <w:left w:val="single" w:sz="4" w:space="0" w:color="auto"/>
                      <w:bottom w:val="single" w:sz="4" w:space="0" w:color="auto"/>
                      <w:right w:val="single" w:sz="4" w:space="0" w:color="auto"/>
                    </w:tcBorders>
                    <w:hideMark/>
                  </w:tcPr>
                  <w:p>
                    <w:pPr>
                      <w:rPr>
                        <w:lang w:eastAsia="ja-JP"/>
                      </w:rPr>
                    </w:pPr>
                    <w:r>
                      <w:rPr>
                        <w:lang w:eastAsia="ja-JP"/>
                      </w:rPr>
                      <w:t>pavardė (-ės)</w:t>
                    </w:r>
                  </w:p>
                </w:tc>
                <w:tc>
                  <w:tcPr>
                    <w:tcW w:w="6335" w:type="dxa"/>
                    <w:tcBorders>
                      <w:top w:val="single" w:sz="4" w:space="0" w:color="auto"/>
                      <w:left w:val="single" w:sz="4" w:space="0" w:color="auto"/>
                      <w:bottom w:val="single" w:sz="4" w:space="0" w:color="auto"/>
                      <w:right w:val="single" w:sz="4" w:space="0" w:color="auto"/>
                    </w:tcBorders>
                  </w:tcPr>
                  <w:p>
                    <w:pPr>
                      <w:rPr>
                        <w:lang w:eastAsia="ja-JP"/>
                      </w:rPr>
                    </w:pPr>
                  </w:p>
                </w:tc>
              </w:tr>
              <w:tr>
                <w:tc>
                  <w:tcPr>
                    <w:tcW w:w="657" w:type="dxa"/>
                    <w:tcBorders>
                      <w:top w:val="single" w:sz="4" w:space="0" w:color="auto"/>
                      <w:left w:val="single" w:sz="4" w:space="0" w:color="auto"/>
                      <w:bottom w:val="single" w:sz="4" w:space="0" w:color="auto"/>
                      <w:right w:val="single" w:sz="4" w:space="0" w:color="auto"/>
                    </w:tcBorders>
                    <w:hideMark/>
                  </w:tcPr>
                  <w:p>
                    <w:pPr>
                      <w:rPr>
                        <w:lang w:eastAsia="ja-JP"/>
                      </w:rPr>
                    </w:pPr>
                    <w:r>
                      <w:rPr>
                        <w:lang w:eastAsia="ja-JP"/>
                      </w:rPr>
                      <w:t>1.3</w:t>
                    </w:r>
                  </w:p>
                </w:tc>
                <w:tc>
                  <w:tcPr>
                    <w:tcW w:w="2652" w:type="dxa"/>
                    <w:tcBorders>
                      <w:top w:val="single" w:sz="4" w:space="0" w:color="auto"/>
                      <w:left w:val="single" w:sz="4" w:space="0" w:color="auto"/>
                      <w:bottom w:val="single" w:sz="4" w:space="0" w:color="auto"/>
                      <w:right w:val="single" w:sz="4" w:space="0" w:color="auto"/>
                    </w:tcBorders>
                    <w:hideMark/>
                  </w:tcPr>
                  <w:p>
                    <w:pPr>
                      <w:rPr>
                        <w:lang w:eastAsia="ja-JP"/>
                      </w:rPr>
                    </w:pPr>
                    <w:r>
                      <w:rPr>
                        <w:lang w:eastAsia="ja-JP"/>
                      </w:rPr>
                      <w:t>asmens kodas</w:t>
                    </w:r>
                  </w:p>
                </w:tc>
                <w:tc>
                  <w:tcPr>
                    <w:tcW w:w="6335" w:type="dxa"/>
                    <w:tcBorders>
                      <w:top w:val="single" w:sz="4" w:space="0" w:color="auto"/>
                      <w:left w:val="single" w:sz="4" w:space="0" w:color="auto"/>
                      <w:bottom w:val="single" w:sz="4" w:space="0" w:color="auto"/>
                      <w:right w:val="single" w:sz="4" w:space="0" w:color="auto"/>
                    </w:tcBorders>
                    <w:hideMark/>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83"/>
                      <w:gridCol w:w="284"/>
                      <w:gridCol w:w="283"/>
                      <w:gridCol w:w="284"/>
                      <w:gridCol w:w="283"/>
                      <w:gridCol w:w="284"/>
                      <w:gridCol w:w="283"/>
                      <w:gridCol w:w="284"/>
                      <w:gridCol w:w="283"/>
                      <w:gridCol w:w="284"/>
                      <w:gridCol w:w="284"/>
                    </w:tblGrid>
                    <w:tr>
                      <w:tc>
                        <w:tcPr>
                          <w:tcW w:w="283" w:type="dxa"/>
                          <w:tcBorders>
                            <w:top w:val="single" w:sz="4" w:space="0" w:color="auto"/>
                            <w:left w:val="single" w:sz="4" w:space="0" w:color="auto"/>
                            <w:bottom w:val="single" w:sz="4" w:space="0" w:color="auto"/>
                            <w:right w:val="single" w:sz="4" w:space="0" w:color="auto"/>
                          </w:tcBorders>
                        </w:tcPr>
                        <w:p>
                          <w:pPr>
                            <w:rPr>
                              <w:lang w:eastAsia="ja-JP"/>
                            </w:rPr>
                          </w:pPr>
                        </w:p>
                      </w:tc>
                      <w:tc>
                        <w:tcPr>
                          <w:tcW w:w="284" w:type="dxa"/>
                          <w:tcBorders>
                            <w:top w:val="single" w:sz="4" w:space="0" w:color="auto"/>
                            <w:left w:val="single" w:sz="4" w:space="0" w:color="auto"/>
                            <w:bottom w:val="single" w:sz="4" w:space="0" w:color="auto"/>
                            <w:right w:val="single" w:sz="4" w:space="0" w:color="auto"/>
                          </w:tcBorders>
                        </w:tcPr>
                        <w:p>
                          <w:pPr>
                            <w:rPr>
                              <w:lang w:eastAsia="ja-JP"/>
                            </w:rPr>
                          </w:pPr>
                        </w:p>
                      </w:tc>
                      <w:tc>
                        <w:tcPr>
                          <w:tcW w:w="283" w:type="dxa"/>
                          <w:tcBorders>
                            <w:top w:val="single" w:sz="4" w:space="0" w:color="auto"/>
                            <w:left w:val="single" w:sz="4" w:space="0" w:color="auto"/>
                            <w:bottom w:val="single" w:sz="4" w:space="0" w:color="auto"/>
                            <w:right w:val="single" w:sz="4" w:space="0" w:color="auto"/>
                          </w:tcBorders>
                        </w:tcPr>
                        <w:p>
                          <w:pPr>
                            <w:rPr>
                              <w:lang w:eastAsia="ja-JP"/>
                            </w:rPr>
                          </w:pPr>
                        </w:p>
                      </w:tc>
                      <w:tc>
                        <w:tcPr>
                          <w:tcW w:w="284" w:type="dxa"/>
                          <w:tcBorders>
                            <w:top w:val="single" w:sz="4" w:space="0" w:color="auto"/>
                            <w:left w:val="single" w:sz="4" w:space="0" w:color="auto"/>
                            <w:bottom w:val="single" w:sz="4" w:space="0" w:color="auto"/>
                            <w:right w:val="single" w:sz="4" w:space="0" w:color="auto"/>
                          </w:tcBorders>
                        </w:tcPr>
                        <w:p>
                          <w:pPr>
                            <w:rPr>
                              <w:lang w:eastAsia="ja-JP"/>
                            </w:rPr>
                          </w:pPr>
                        </w:p>
                      </w:tc>
                      <w:tc>
                        <w:tcPr>
                          <w:tcW w:w="283" w:type="dxa"/>
                          <w:tcBorders>
                            <w:top w:val="single" w:sz="4" w:space="0" w:color="auto"/>
                            <w:left w:val="single" w:sz="4" w:space="0" w:color="auto"/>
                            <w:bottom w:val="single" w:sz="4" w:space="0" w:color="auto"/>
                            <w:right w:val="single" w:sz="4" w:space="0" w:color="auto"/>
                          </w:tcBorders>
                        </w:tcPr>
                        <w:p>
                          <w:pPr>
                            <w:rPr>
                              <w:lang w:eastAsia="ja-JP"/>
                            </w:rPr>
                          </w:pPr>
                        </w:p>
                      </w:tc>
                      <w:tc>
                        <w:tcPr>
                          <w:tcW w:w="284" w:type="dxa"/>
                          <w:tcBorders>
                            <w:top w:val="single" w:sz="4" w:space="0" w:color="auto"/>
                            <w:left w:val="single" w:sz="4" w:space="0" w:color="auto"/>
                            <w:bottom w:val="single" w:sz="4" w:space="0" w:color="auto"/>
                            <w:right w:val="single" w:sz="4" w:space="0" w:color="auto"/>
                          </w:tcBorders>
                        </w:tcPr>
                        <w:p>
                          <w:pPr>
                            <w:rPr>
                              <w:lang w:eastAsia="ja-JP"/>
                            </w:rPr>
                          </w:pPr>
                        </w:p>
                      </w:tc>
                      <w:tc>
                        <w:tcPr>
                          <w:tcW w:w="283" w:type="dxa"/>
                          <w:tcBorders>
                            <w:top w:val="single" w:sz="4" w:space="0" w:color="auto"/>
                            <w:left w:val="single" w:sz="4" w:space="0" w:color="auto"/>
                            <w:bottom w:val="single" w:sz="4" w:space="0" w:color="auto"/>
                            <w:right w:val="single" w:sz="4" w:space="0" w:color="auto"/>
                          </w:tcBorders>
                        </w:tcPr>
                        <w:p>
                          <w:pPr>
                            <w:rPr>
                              <w:lang w:eastAsia="ja-JP"/>
                            </w:rPr>
                          </w:pPr>
                        </w:p>
                      </w:tc>
                      <w:tc>
                        <w:tcPr>
                          <w:tcW w:w="284" w:type="dxa"/>
                          <w:tcBorders>
                            <w:top w:val="single" w:sz="4" w:space="0" w:color="auto"/>
                            <w:left w:val="single" w:sz="4" w:space="0" w:color="auto"/>
                            <w:bottom w:val="single" w:sz="4" w:space="0" w:color="auto"/>
                            <w:right w:val="single" w:sz="4" w:space="0" w:color="auto"/>
                          </w:tcBorders>
                        </w:tcPr>
                        <w:p>
                          <w:pPr>
                            <w:rPr>
                              <w:lang w:eastAsia="ja-JP"/>
                            </w:rPr>
                          </w:pPr>
                        </w:p>
                      </w:tc>
                      <w:tc>
                        <w:tcPr>
                          <w:tcW w:w="283" w:type="dxa"/>
                          <w:tcBorders>
                            <w:top w:val="single" w:sz="4" w:space="0" w:color="auto"/>
                            <w:left w:val="single" w:sz="4" w:space="0" w:color="auto"/>
                            <w:bottom w:val="single" w:sz="4" w:space="0" w:color="auto"/>
                            <w:right w:val="single" w:sz="4" w:space="0" w:color="auto"/>
                          </w:tcBorders>
                        </w:tcPr>
                        <w:p>
                          <w:pPr>
                            <w:rPr>
                              <w:lang w:eastAsia="ja-JP"/>
                            </w:rPr>
                          </w:pPr>
                        </w:p>
                      </w:tc>
                      <w:tc>
                        <w:tcPr>
                          <w:tcW w:w="284" w:type="dxa"/>
                          <w:tcBorders>
                            <w:top w:val="single" w:sz="4" w:space="0" w:color="auto"/>
                            <w:left w:val="single" w:sz="4" w:space="0" w:color="auto"/>
                            <w:bottom w:val="single" w:sz="4" w:space="0" w:color="auto"/>
                            <w:right w:val="single" w:sz="4" w:space="0" w:color="auto"/>
                          </w:tcBorders>
                        </w:tcPr>
                        <w:p>
                          <w:pPr>
                            <w:rPr>
                              <w:lang w:eastAsia="ja-JP"/>
                            </w:rPr>
                          </w:pPr>
                        </w:p>
                      </w:tc>
                      <w:tc>
                        <w:tcPr>
                          <w:tcW w:w="284" w:type="dxa"/>
                          <w:tcBorders>
                            <w:top w:val="single" w:sz="4" w:space="0" w:color="auto"/>
                            <w:left w:val="single" w:sz="4" w:space="0" w:color="auto"/>
                            <w:bottom w:val="single" w:sz="4" w:space="0" w:color="auto"/>
                            <w:right w:val="single" w:sz="4" w:space="0" w:color="auto"/>
                          </w:tcBorders>
                        </w:tcPr>
                        <w:p>
                          <w:pPr>
                            <w:rPr>
                              <w:lang w:eastAsia="ja-JP"/>
                            </w:rPr>
                          </w:pPr>
                        </w:p>
                      </w:tc>
                    </w:tr>
                  </w:tbl>
                  <w:p>
                    <w:pPr>
                      <w:rPr>
                        <w:szCs w:val="24"/>
                        <w:lang w:eastAsia="ja-JP"/>
                      </w:rPr>
                    </w:pPr>
                  </w:p>
                </w:tc>
              </w:tr>
              <w:tr>
                <w:tc>
                  <w:tcPr>
                    <w:tcW w:w="657" w:type="dxa"/>
                    <w:tcBorders>
                      <w:top w:val="single" w:sz="4" w:space="0" w:color="auto"/>
                      <w:left w:val="single" w:sz="4" w:space="0" w:color="auto"/>
                      <w:bottom w:val="single" w:sz="4" w:space="0" w:color="auto"/>
                      <w:right w:val="single" w:sz="4" w:space="0" w:color="auto"/>
                    </w:tcBorders>
                    <w:hideMark/>
                  </w:tcPr>
                  <w:p>
                    <w:pPr>
                      <w:rPr>
                        <w:lang w:eastAsia="ja-JP"/>
                      </w:rPr>
                    </w:pPr>
                    <w:r>
                      <w:rPr>
                        <w:lang w:eastAsia="ja-JP"/>
                      </w:rPr>
                      <w:t>1.4</w:t>
                    </w:r>
                  </w:p>
                </w:tc>
                <w:tc>
                  <w:tcPr>
                    <w:tcW w:w="2652" w:type="dxa"/>
                    <w:tcBorders>
                      <w:top w:val="single" w:sz="4" w:space="0" w:color="auto"/>
                      <w:left w:val="single" w:sz="4" w:space="0" w:color="auto"/>
                      <w:bottom w:val="single" w:sz="4" w:space="0" w:color="auto"/>
                      <w:right w:val="single" w:sz="4" w:space="0" w:color="auto"/>
                    </w:tcBorders>
                    <w:hideMark/>
                  </w:tcPr>
                  <w:p>
                    <w:pPr>
                      <w:rPr>
                        <w:lang w:eastAsia="ja-JP"/>
                      </w:rPr>
                    </w:pPr>
                    <w:r>
                      <w:rPr>
                        <w:lang w:eastAsia="ja-JP"/>
                      </w:rPr>
                      <w:t>gimimo data (</w:t>
                    </w:r>
                    <w:r>
                      <w:rPr>
                        <w:i/>
                        <w:iCs/>
                        <w:lang w:eastAsia="ja-JP"/>
                      </w:rPr>
                      <w:t>pildoma, jei asmens kodas nežinomas</w:t>
                    </w:r>
                    <w:r>
                      <w:rPr>
                        <w:lang w:eastAsia="ja-JP"/>
                      </w:rPr>
                      <w:t>)</w:t>
                    </w:r>
                  </w:p>
                </w:tc>
                <w:tc>
                  <w:tcPr>
                    <w:tcW w:w="6335" w:type="dxa"/>
                    <w:tcBorders>
                      <w:top w:val="single" w:sz="4" w:space="0" w:color="auto"/>
                      <w:left w:val="single" w:sz="4" w:space="0" w:color="auto"/>
                      <w:bottom w:val="single" w:sz="4" w:space="0" w:color="auto"/>
                      <w:right w:val="single" w:sz="4" w:space="0" w:color="auto"/>
                    </w:tcBorders>
                  </w:tcPr>
                  <w:p>
                    <w:pPr>
                      <w:rPr>
                        <w:lang w:eastAsia="ja-JP"/>
                      </w:rPr>
                    </w:pPr>
                  </w:p>
                </w:tc>
              </w:tr>
            </w:tbl>
            <w:p>
              <w:pPr>
                <w:rPr>
                  <w:b/>
                  <w:lang w:eastAsia="lt-LT"/>
                </w:rPr>
              </w:pPr>
            </w:p>
          </w:sdtContent>
        </w:sdt>
        <w:sdt>
          <w:sdtPr>
            <w:alias w:val="pr. 2 p."/>
            <w:tag w:val="part_6ad6cbe9522f4dbba73d7c278a6875d0"/>
            <w:lock w:val="sdtLocked"/>
            <w:richText/>
          </w:sdtPr>
          <w:sdtContent>
            <w:p>
              <w:pPr>
                <w:jc w:val="both"/>
                <w:rPr>
                  <w:b/>
                </w:rPr>
              </w:pPr>
              <w:sdt>
                <w:sdtPr>
                  <w:alias w:val="Numeris"/>
                  <w:tag w:val="nr_6ad6cbe9522f4dbba73d7c278a6875d0"/>
                  <w:lock w:val="sdtLocked"/>
                  <w:richText/>
                </w:sdtPr>
                <w:sdtContent>
                  <w:r>
                    <w:rPr>
                      <w:b/>
                    </w:rPr>
                    <w:t>2</w:t>
                  </w:r>
                </w:sdtContent>
              </w:sdt>
              <w:r>
                <w:rPr>
                  <w:b/>
                </w:rPr>
                <w:t>. Paciento gyvenamosios vietos adresas (</w:t>
              </w:r>
              <w:r>
                <w:rPr>
                  <w:b/>
                  <w:i/>
                  <w:iCs/>
                </w:rPr>
                <w:t>adresas, kuriuo turėtų būti siunčiamas dokumentas S2</w:t>
              </w:r>
              <w:r>
                <w:rPr>
                  <w:b/>
                </w:rPr>
                <w:t>):</w:t>
              </w:r>
            </w:p>
            <w:tbl>
              <w:tblPr>
                <w:tblW w:w="96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56"/>
                <w:gridCol w:w="2657"/>
                <w:gridCol w:w="6317"/>
              </w:tblGrid>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2.1</w:t>
                    </w:r>
                  </w:p>
                </w:tc>
                <w:tc>
                  <w:tcPr>
                    <w:tcW w:w="2658"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bCs/>
                        <w:lang w:eastAsia="ja-JP"/>
                      </w:rPr>
                      <w:t>miestas / kaimas</w:t>
                    </w:r>
                    <w:r>
                      <w:rPr>
                        <w:lang w:eastAsia="ja-JP"/>
                      </w:rPr>
                      <w:t xml:space="preserve"> </w:t>
                    </w:r>
                  </w:p>
                </w:tc>
                <w:tc>
                  <w:tcPr>
                    <w:tcW w:w="6320" w:type="dxa"/>
                    <w:tcBorders>
                      <w:top w:val="single" w:sz="4" w:space="0" w:color="auto"/>
                      <w:left w:val="single" w:sz="4" w:space="0" w:color="auto"/>
                      <w:bottom w:val="single" w:sz="4" w:space="0" w:color="auto"/>
                      <w:right w:val="single" w:sz="4" w:space="0" w:color="auto"/>
                    </w:tcBorders>
                  </w:tcPr>
                  <w:p>
                    <w:pPr>
                      <w:tabs>
                        <w:tab w:val="left" w:leader="underscore" w:pos="114"/>
                        <w:tab w:val="left" w:pos="567"/>
                        <w:tab w:val="left" w:pos="709"/>
                        <w:tab w:val="left" w:leader="dot" w:pos="3192"/>
                        <w:tab w:val="left" w:leader="dot" w:pos="6327"/>
                        <w:tab w:val="left" w:leader="dot" w:pos="9177"/>
                      </w:tabs>
                      <w:outlineLvl w:val="1"/>
                      <w:rPr>
                        <w:lang w:eastAsia="ja-JP"/>
                      </w:rPr>
                    </w:pPr>
                  </w:p>
                </w:tc>
              </w:tr>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2.2</w:t>
                    </w:r>
                  </w:p>
                </w:tc>
                <w:tc>
                  <w:tcPr>
                    <w:tcW w:w="2658"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gatvė</w:t>
                    </w:r>
                  </w:p>
                </w:tc>
                <w:tc>
                  <w:tcPr>
                    <w:tcW w:w="6320" w:type="dxa"/>
                    <w:tcBorders>
                      <w:top w:val="single" w:sz="4" w:space="0" w:color="auto"/>
                      <w:left w:val="single" w:sz="4" w:space="0" w:color="auto"/>
                      <w:bottom w:val="single" w:sz="4" w:space="0" w:color="auto"/>
                      <w:right w:val="single" w:sz="4" w:space="0" w:color="auto"/>
                    </w:tcBorders>
                  </w:tcPr>
                  <w:p>
                    <w:pPr>
                      <w:rPr>
                        <w:lang w:eastAsia="ja-JP"/>
                      </w:rPr>
                    </w:pPr>
                  </w:p>
                </w:tc>
              </w:tr>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2.3</w:t>
                    </w:r>
                  </w:p>
                </w:tc>
                <w:tc>
                  <w:tcPr>
                    <w:tcW w:w="2658"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namo Nr.</w:t>
                    </w:r>
                    <w:r>
                      <w:rPr>
                        <w:bCs/>
                        <w:lang w:eastAsia="ja-JP"/>
                      </w:rPr>
                      <w:t xml:space="preserve"> </w:t>
                    </w:r>
                  </w:p>
                </w:tc>
                <w:tc>
                  <w:tcPr>
                    <w:tcW w:w="6320" w:type="dxa"/>
                    <w:tcBorders>
                      <w:top w:val="single" w:sz="4" w:space="0" w:color="auto"/>
                      <w:left w:val="single" w:sz="4" w:space="0" w:color="auto"/>
                      <w:bottom w:val="single" w:sz="4" w:space="0" w:color="auto"/>
                      <w:right w:val="single" w:sz="4" w:space="0" w:color="auto"/>
                    </w:tcBorders>
                  </w:tcPr>
                  <w:p>
                    <w:pPr>
                      <w:tabs>
                        <w:tab w:val="left" w:leader="underscore" w:pos="114"/>
                        <w:tab w:val="left" w:pos="567"/>
                        <w:tab w:val="left" w:pos="709"/>
                        <w:tab w:val="left" w:leader="dot" w:pos="3192"/>
                        <w:tab w:val="left" w:leader="dot" w:pos="6327"/>
                        <w:tab w:val="left" w:leader="dot" w:pos="9177"/>
                      </w:tabs>
                      <w:outlineLvl w:val="1"/>
                      <w:rPr>
                        <w:lang w:eastAsia="ja-JP"/>
                      </w:rPr>
                    </w:pPr>
                  </w:p>
                </w:tc>
              </w:tr>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2.4</w:t>
                    </w:r>
                  </w:p>
                </w:tc>
                <w:tc>
                  <w:tcPr>
                    <w:tcW w:w="2658"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bCs/>
                        <w:lang w:eastAsia="ja-JP"/>
                      </w:rPr>
                      <w:t>buto Nr.</w:t>
                    </w:r>
                  </w:p>
                </w:tc>
                <w:tc>
                  <w:tcPr>
                    <w:tcW w:w="6320" w:type="dxa"/>
                    <w:tcBorders>
                      <w:top w:val="single" w:sz="4" w:space="0" w:color="auto"/>
                      <w:left w:val="single" w:sz="4" w:space="0" w:color="auto"/>
                      <w:bottom w:val="single" w:sz="4" w:space="0" w:color="auto"/>
                      <w:right w:val="single" w:sz="4" w:space="0" w:color="auto"/>
                    </w:tcBorders>
                  </w:tcPr>
                  <w:p>
                    <w:pPr>
                      <w:rPr>
                        <w:lang w:eastAsia="ja-JP"/>
                      </w:rPr>
                    </w:pPr>
                  </w:p>
                </w:tc>
              </w:tr>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2.5</w:t>
                    </w:r>
                  </w:p>
                </w:tc>
                <w:tc>
                  <w:tcPr>
                    <w:tcW w:w="2658"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bCs/>
                        <w:lang w:eastAsia="ja-JP"/>
                      </w:rPr>
                      <w:t>pašto kodas</w:t>
                    </w:r>
                  </w:p>
                </w:tc>
                <w:tc>
                  <w:tcPr>
                    <w:tcW w:w="6320" w:type="dxa"/>
                    <w:tcBorders>
                      <w:top w:val="single" w:sz="4" w:space="0" w:color="auto"/>
                      <w:left w:val="single" w:sz="4" w:space="0" w:color="auto"/>
                      <w:bottom w:val="single" w:sz="4" w:space="0" w:color="auto"/>
                      <w:right w:val="single" w:sz="4" w:space="0" w:color="auto"/>
                    </w:tcBorders>
                  </w:tcPr>
                  <w:p>
                    <w:pPr>
                      <w:rPr>
                        <w:lang w:eastAsia="ja-JP"/>
                      </w:rPr>
                    </w:pPr>
                  </w:p>
                </w:tc>
              </w:tr>
            </w:tbl>
            <w:p>
              <w:pPr>
                <w:jc w:val="both"/>
                <w:rPr>
                  <w:b/>
                  <w:lang w:eastAsia="lt-LT"/>
                </w:rPr>
              </w:pPr>
            </w:p>
          </w:sdtContent>
        </w:sdt>
        <w:sdt>
          <w:sdtPr>
            <w:alias w:val="pr. 3 p."/>
            <w:tag w:val="part_1da967561e1c4fe2b157dff47187459a"/>
            <w:lock w:val="sdtLocked"/>
            <w:richText/>
          </w:sdtPr>
          <w:sdtContent>
            <w:p>
              <w:pPr>
                <w:jc w:val="both"/>
                <w:rPr>
                  <w:b/>
                </w:rPr>
              </w:pPr>
              <w:sdt>
                <w:sdtPr>
                  <w:alias w:val="Numeris"/>
                  <w:tag w:val="nr_1da967561e1c4fe2b157dff47187459a"/>
                  <w:lock w:val="sdtLocked"/>
                  <w:richText/>
                </w:sdtPr>
                <w:sdtContent>
                  <w:r>
                    <w:rPr>
                      <w:b/>
                    </w:rPr>
                    <w:t>3</w:t>
                  </w:r>
                </w:sdtContent>
              </w:sdt>
              <w:r>
                <w:rPr>
                  <w:b/>
                </w:rPr>
                <w:t>. Paciento kontaktiniai duomenys:</w:t>
              </w:r>
            </w:p>
            <w:tbl>
              <w:tblPr>
                <w:tblW w:w="96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55"/>
                <w:gridCol w:w="2656"/>
                <w:gridCol w:w="6319"/>
              </w:tblGrid>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3.1</w:t>
                    </w:r>
                  </w:p>
                </w:tc>
                <w:tc>
                  <w:tcPr>
                    <w:tcW w:w="2660"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bCs/>
                        <w:lang w:eastAsia="ja-JP"/>
                      </w:rPr>
                      <w:t>telefonas</w:t>
                    </w:r>
                  </w:p>
                </w:tc>
                <w:tc>
                  <w:tcPr>
                    <w:tcW w:w="6328" w:type="dxa"/>
                    <w:tcBorders>
                      <w:top w:val="single" w:sz="4" w:space="0" w:color="auto"/>
                      <w:left w:val="single" w:sz="4" w:space="0" w:color="auto"/>
                      <w:bottom w:val="single" w:sz="4" w:space="0" w:color="auto"/>
                      <w:right w:val="single" w:sz="4" w:space="0" w:color="auto"/>
                    </w:tcBorders>
                  </w:tcPr>
                  <w:p>
                    <w:pPr>
                      <w:tabs>
                        <w:tab w:val="left" w:leader="underscore" w:pos="114"/>
                        <w:tab w:val="left" w:pos="567"/>
                        <w:tab w:val="left" w:pos="709"/>
                        <w:tab w:val="left" w:leader="dot" w:pos="3192"/>
                        <w:tab w:val="left" w:leader="dot" w:pos="6327"/>
                        <w:tab w:val="left" w:leader="dot" w:pos="9177"/>
                      </w:tabs>
                      <w:outlineLvl w:val="1"/>
                      <w:rPr>
                        <w:lang w:eastAsia="ja-JP"/>
                      </w:rPr>
                    </w:pPr>
                  </w:p>
                </w:tc>
              </w:tr>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3.2</w:t>
                    </w:r>
                  </w:p>
                </w:tc>
                <w:tc>
                  <w:tcPr>
                    <w:tcW w:w="2660"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bCs/>
                        <w:lang w:eastAsia="ja-JP"/>
                      </w:rPr>
                      <w:t xml:space="preserve">elektroninis paštas </w:t>
                    </w:r>
                    <w:r>
                      <w:rPr>
                        <w:bCs/>
                        <w:i/>
                        <w:iCs/>
                        <w:lang w:eastAsia="ja-JP"/>
                      </w:rPr>
                      <w:t>(nurodomas tuo atveju, jei pacientas ar jo atstovas pageidauja S2 dokumentą gauti elektroniniu paštu)</w:t>
                    </w:r>
                  </w:p>
                </w:tc>
                <w:tc>
                  <w:tcPr>
                    <w:tcW w:w="6328" w:type="dxa"/>
                    <w:tcBorders>
                      <w:top w:val="single" w:sz="4" w:space="0" w:color="auto"/>
                      <w:left w:val="single" w:sz="4" w:space="0" w:color="auto"/>
                      <w:bottom w:val="single" w:sz="4" w:space="0" w:color="auto"/>
                      <w:right w:val="single" w:sz="4" w:space="0" w:color="auto"/>
                    </w:tcBorders>
                  </w:tcPr>
                  <w:p>
                    <w:pPr>
                      <w:rPr>
                        <w:lang w:eastAsia="ja-JP"/>
                      </w:rPr>
                    </w:pPr>
                  </w:p>
                </w:tc>
              </w:tr>
            </w:tbl>
            <w:p>
              <w:pPr>
                <w:suppressAutoHyphens/>
                <w:jc w:val="both"/>
                <w:rPr>
                  <w:bCs/>
                  <w:lang w:eastAsia="lt-LT"/>
                </w:rPr>
              </w:pPr>
            </w:p>
          </w:sdtContent>
        </w:sdt>
        <w:sdt>
          <w:sdtPr>
            <w:alias w:val="pr. 4 p."/>
            <w:tag w:val="part_3b665d24d2624be4beee701ddeb41c9b"/>
            <w:lock w:val="sdtLocked"/>
            <w:richText/>
          </w:sdtPr>
          <w:sdtContent>
            <w:p>
              <w:pPr>
                <w:jc w:val="both"/>
                <w:rPr>
                  <w:b/>
                </w:rPr>
              </w:pPr>
              <w:sdt>
                <w:sdtPr>
                  <w:alias w:val="Numeris"/>
                  <w:tag w:val="nr_3b665d24d2624be4beee701ddeb41c9b"/>
                  <w:lock w:val="sdtLocked"/>
                  <w:richText/>
                </w:sdtPr>
                <w:sdtContent>
                  <w:r>
                    <w:rPr>
                      <w:b/>
                    </w:rPr>
                    <w:t>4</w:t>
                  </w:r>
                </w:sdtContent>
              </w:sdt>
              <w:r>
                <w:rPr>
                  <w:b/>
                </w:rPr>
                <w:t>. Informacija apie paciento ligą ir asmens sveikatos priežiūros paslaugas, kurias pacientui tikslinga gauti užsienyje:</w:t>
              </w:r>
            </w:p>
            <w:tbl>
              <w:tblPr>
                <w:tblW w:w="96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56"/>
                <w:gridCol w:w="2656"/>
                <w:gridCol w:w="6318"/>
              </w:tblGrid>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4.1</w:t>
                    </w:r>
                  </w:p>
                </w:tc>
                <w:tc>
                  <w:tcPr>
                    <w:tcW w:w="2657"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bCs/>
                        <w:lang w:eastAsia="ja-JP"/>
                      </w:rPr>
                    </w:pPr>
                    <w:r>
                      <w:rPr>
                        <w:bCs/>
                        <w:lang w:eastAsia="ja-JP"/>
                      </w:rPr>
                      <w:t>Klinikinė diagnozė</w:t>
                    </w:r>
                    <w:r>
                      <w:rPr>
                        <w:lang w:eastAsia="ja-JP"/>
                      </w:rPr>
                      <w:t xml:space="preserve"> </w:t>
                    </w:r>
                  </w:p>
                </w:tc>
                <w:tc>
                  <w:tcPr>
                    <w:tcW w:w="6321" w:type="dxa"/>
                    <w:tcBorders>
                      <w:top w:val="single" w:sz="4" w:space="0" w:color="auto"/>
                      <w:left w:val="single" w:sz="4" w:space="0" w:color="auto"/>
                      <w:bottom w:val="single" w:sz="4" w:space="0" w:color="auto"/>
                      <w:right w:val="single" w:sz="4" w:space="0" w:color="auto"/>
                    </w:tcBorders>
                  </w:tcPr>
                  <w:p>
                    <w:pPr>
                      <w:tabs>
                        <w:tab w:val="left" w:leader="underscore" w:pos="114"/>
                        <w:tab w:val="left" w:pos="567"/>
                        <w:tab w:val="left" w:pos="709"/>
                        <w:tab w:val="left" w:leader="dot" w:pos="3192"/>
                        <w:tab w:val="left" w:leader="dot" w:pos="6327"/>
                        <w:tab w:val="left" w:leader="dot" w:pos="9177"/>
                      </w:tabs>
                      <w:outlineLvl w:val="1"/>
                      <w:rPr>
                        <w:lang w:eastAsia="ja-JP"/>
                      </w:rPr>
                    </w:pPr>
                  </w:p>
                </w:tc>
              </w:tr>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4.2</w:t>
                    </w:r>
                  </w:p>
                </w:tc>
                <w:tc>
                  <w:tcPr>
                    <w:tcW w:w="2657"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Paciento siuntimo į užsienio valstybę tikslas (</w:t>
                    </w:r>
                    <w:r>
                      <w:rPr>
                        <w:i/>
                        <w:iCs/>
                        <w:lang w:eastAsia="ja-JP"/>
                      </w:rPr>
                      <w:t>nurodomos a</w:t>
                    </w:r>
                    <w:r>
                      <w:rPr>
                        <w:bCs/>
                        <w:i/>
                        <w:iCs/>
                        <w:lang w:eastAsia="ja-JP"/>
                      </w:rPr>
                      <w:t>smens sveikatos priežiūros paslaugos, dėl kurių teikimo prašoma pacientą siųsti į užsienį)</w:t>
                    </w:r>
                  </w:p>
                </w:tc>
                <w:tc>
                  <w:tcPr>
                    <w:tcW w:w="6321" w:type="dxa"/>
                    <w:tcBorders>
                      <w:top w:val="single" w:sz="4" w:space="0" w:color="auto"/>
                      <w:left w:val="single" w:sz="4" w:space="0" w:color="auto"/>
                      <w:bottom w:val="single" w:sz="4" w:space="0" w:color="auto"/>
                      <w:right w:val="single" w:sz="4" w:space="0" w:color="auto"/>
                    </w:tcBorders>
                  </w:tcPr>
                  <w:p>
                    <w:pPr>
                      <w:rPr>
                        <w:lang w:eastAsia="ja-JP"/>
                      </w:rPr>
                    </w:pPr>
                  </w:p>
                </w:tc>
              </w:tr>
            </w:tbl>
            <w:p>
              <w:pPr>
                <w:suppressAutoHyphens/>
                <w:jc w:val="both"/>
                <w:rPr>
                  <w:lang w:eastAsia="lt-LT"/>
                </w:rPr>
              </w:pPr>
            </w:p>
          </w:sdtContent>
        </w:sdt>
        <w:sdt>
          <w:sdtPr>
            <w:alias w:val="pr. 5 p."/>
            <w:tag w:val="part_f49c27b9d0fb42e7963ecfbc73e82379"/>
            <w:lock w:val="sdtLocked"/>
            <w:richText/>
          </w:sdtPr>
          <w:sdtContent>
            <w:p>
              <w:pPr>
                <w:jc w:val="both"/>
                <w:rPr>
                  <w:b/>
                </w:rPr>
              </w:pPr>
              <w:sdt>
                <w:sdtPr>
                  <w:alias w:val="Numeris"/>
                  <w:tag w:val="nr_f49c27b9d0fb42e7963ecfbc73e82379"/>
                  <w:lock w:val="sdtLocked"/>
                  <w:richText/>
                </w:sdtPr>
                <w:sdtContent>
                  <w:r>
                    <w:rPr>
                      <w:b/>
                    </w:rPr>
                    <w:t>5</w:t>
                  </w:r>
                </w:sdtContent>
              </w:sdt>
              <w:r>
                <w:rPr>
                  <w:b/>
                </w:rPr>
                <w:t xml:space="preserve">. Informacija apie užsienio ASPĮ, į kurią siunčiamas pacientas </w:t>
              </w:r>
              <w:r>
                <w:rPr>
                  <w:bCs/>
                </w:rPr>
                <w:t>(jei asmens sveikatos priežiūros paslaugos bus teikiamos keliose užsienio ASPĮ, 5 dalį reikia pildyti dėl kiekvienos iš šių užsienio ASPĮ):</w:t>
              </w:r>
            </w:p>
            <w:tbl>
              <w:tblPr>
                <w:tblW w:w="96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56"/>
                <w:gridCol w:w="2657"/>
                <w:gridCol w:w="6317"/>
              </w:tblGrid>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5.1</w:t>
                    </w:r>
                  </w:p>
                </w:tc>
                <w:tc>
                  <w:tcPr>
                    <w:tcW w:w="2658"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užsienio ASPĮ pavadinimas</w:t>
                    </w:r>
                  </w:p>
                </w:tc>
                <w:tc>
                  <w:tcPr>
                    <w:tcW w:w="6320" w:type="dxa"/>
                    <w:tcBorders>
                      <w:top w:val="single" w:sz="4" w:space="0" w:color="auto"/>
                      <w:left w:val="single" w:sz="4" w:space="0" w:color="auto"/>
                      <w:bottom w:val="single" w:sz="4" w:space="0" w:color="auto"/>
                      <w:right w:val="single" w:sz="4" w:space="0" w:color="auto"/>
                    </w:tcBorders>
                  </w:tcPr>
                  <w:p>
                    <w:pPr>
                      <w:tabs>
                        <w:tab w:val="left" w:leader="underscore" w:pos="114"/>
                        <w:tab w:val="left" w:pos="567"/>
                        <w:tab w:val="left" w:pos="709"/>
                        <w:tab w:val="left" w:leader="dot" w:pos="3192"/>
                        <w:tab w:val="left" w:leader="dot" w:pos="6327"/>
                        <w:tab w:val="left" w:leader="dot" w:pos="9177"/>
                      </w:tabs>
                      <w:outlineLvl w:val="1"/>
                      <w:rPr>
                        <w:lang w:eastAsia="ja-JP"/>
                      </w:rPr>
                    </w:pPr>
                  </w:p>
                </w:tc>
              </w:tr>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val="en-US" w:eastAsia="ja-JP"/>
                      </w:rPr>
                    </w:pPr>
                    <w:r>
                      <w:rPr>
                        <w:lang w:val="en-US" w:eastAsia="ja-JP"/>
                      </w:rPr>
                      <w:t>5.2</w:t>
                    </w:r>
                  </w:p>
                </w:tc>
                <w:tc>
                  <w:tcPr>
                    <w:tcW w:w="2658"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užsienio ASPĮ adresas</w:t>
                    </w:r>
                  </w:p>
                </w:tc>
                <w:tc>
                  <w:tcPr>
                    <w:tcW w:w="6320" w:type="dxa"/>
                    <w:tcBorders>
                      <w:top w:val="single" w:sz="4" w:space="0" w:color="auto"/>
                      <w:left w:val="single" w:sz="4" w:space="0" w:color="auto"/>
                      <w:bottom w:val="single" w:sz="4" w:space="0" w:color="auto"/>
                      <w:right w:val="single" w:sz="4" w:space="0" w:color="auto"/>
                    </w:tcBorders>
                  </w:tcPr>
                  <w:p>
                    <w:pPr>
                      <w:rPr>
                        <w:lang w:eastAsia="ja-JP"/>
                      </w:rPr>
                    </w:pPr>
                  </w:p>
                </w:tc>
              </w:tr>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5.2.1.</w:t>
                    </w:r>
                  </w:p>
                </w:tc>
                <w:tc>
                  <w:tcPr>
                    <w:tcW w:w="2658"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valstybė</w:t>
                    </w:r>
                  </w:p>
                </w:tc>
                <w:tc>
                  <w:tcPr>
                    <w:tcW w:w="6320" w:type="dxa"/>
                    <w:tcBorders>
                      <w:top w:val="single" w:sz="4" w:space="0" w:color="auto"/>
                      <w:left w:val="single" w:sz="4" w:space="0" w:color="auto"/>
                      <w:bottom w:val="single" w:sz="4" w:space="0" w:color="auto"/>
                      <w:right w:val="single" w:sz="4" w:space="0" w:color="auto"/>
                    </w:tcBorders>
                  </w:tcPr>
                  <w:p>
                    <w:pPr>
                      <w:tabs>
                        <w:tab w:val="left" w:leader="underscore" w:pos="114"/>
                        <w:tab w:val="left" w:pos="567"/>
                        <w:tab w:val="left" w:pos="709"/>
                        <w:tab w:val="left" w:leader="dot" w:pos="3192"/>
                        <w:tab w:val="left" w:leader="dot" w:pos="6327"/>
                        <w:tab w:val="left" w:leader="dot" w:pos="9177"/>
                      </w:tabs>
                      <w:outlineLvl w:val="1"/>
                      <w:rPr>
                        <w:lang w:eastAsia="ja-JP"/>
                      </w:rPr>
                    </w:pPr>
                  </w:p>
                </w:tc>
              </w:tr>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5.2.2</w:t>
                    </w:r>
                  </w:p>
                </w:tc>
                <w:tc>
                  <w:tcPr>
                    <w:tcW w:w="2658"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miestas</w:t>
                    </w:r>
                  </w:p>
                </w:tc>
                <w:tc>
                  <w:tcPr>
                    <w:tcW w:w="6320" w:type="dxa"/>
                    <w:tcBorders>
                      <w:top w:val="single" w:sz="4" w:space="0" w:color="auto"/>
                      <w:left w:val="single" w:sz="4" w:space="0" w:color="auto"/>
                      <w:bottom w:val="single" w:sz="4" w:space="0" w:color="auto"/>
                      <w:right w:val="single" w:sz="4" w:space="0" w:color="auto"/>
                    </w:tcBorders>
                  </w:tcPr>
                  <w:p>
                    <w:pPr>
                      <w:rPr>
                        <w:lang w:eastAsia="ja-JP"/>
                      </w:rPr>
                    </w:pPr>
                  </w:p>
                </w:tc>
              </w:tr>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5.2.3</w:t>
                    </w:r>
                  </w:p>
                </w:tc>
                <w:tc>
                  <w:tcPr>
                    <w:tcW w:w="2658"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bCs/>
                        <w:lang w:eastAsia="ja-JP"/>
                      </w:rPr>
                    </w:pPr>
                    <w:r>
                      <w:rPr>
                        <w:lang w:eastAsia="ja-JP"/>
                      </w:rPr>
                      <w:t>gatvė</w:t>
                    </w:r>
                  </w:p>
                </w:tc>
                <w:tc>
                  <w:tcPr>
                    <w:tcW w:w="6320" w:type="dxa"/>
                    <w:tcBorders>
                      <w:top w:val="single" w:sz="4" w:space="0" w:color="auto"/>
                      <w:left w:val="single" w:sz="4" w:space="0" w:color="auto"/>
                      <w:bottom w:val="single" w:sz="4" w:space="0" w:color="auto"/>
                      <w:right w:val="single" w:sz="4" w:space="0" w:color="auto"/>
                    </w:tcBorders>
                  </w:tcPr>
                  <w:p>
                    <w:pPr>
                      <w:rPr>
                        <w:lang w:eastAsia="ja-JP"/>
                      </w:rPr>
                    </w:pPr>
                  </w:p>
                </w:tc>
              </w:tr>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5.2.4</w:t>
                    </w:r>
                  </w:p>
                </w:tc>
                <w:tc>
                  <w:tcPr>
                    <w:tcW w:w="2658"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 xml:space="preserve">namo Nr. </w:t>
                    </w:r>
                  </w:p>
                </w:tc>
                <w:tc>
                  <w:tcPr>
                    <w:tcW w:w="6320" w:type="dxa"/>
                    <w:tcBorders>
                      <w:top w:val="single" w:sz="4" w:space="0" w:color="auto"/>
                      <w:left w:val="single" w:sz="4" w:space="0" w:color="auto"/>
                      <w:bottom w:val="single" w:sz="4" w:space="0" w:color="auto"/>
                      <w:right w:val="single" w:sz="4" w:space="0" w:color="auto"/>
                    </w:tcBorders>
                  </w:tcPr>
                  <w:p>
                    <w:pPr>
                      <w:rPr>
                        <w:lang w:eastAsia="ja-JP"/>
                      </w:rPr>
                    </w:pPr>
                  </w:p>
                </w:tc>
              </w:tr>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5.2.5</w:t>
                    </w:r>
                  </w:p>
                </w:tc>
                <w:tc>
                  <w:tcPr>
                    <w:tcW w:w="2658"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korpuso Nr. ar kita svarbi su paslaugos teikimu susijusi informacija (</w:t>
                    </w:r>
                    <w:r>
                      <w:rPr>
                        <w:i/>
                        <w:iCs/>
                        <w:lang w:eastAsia="ja-JP"/>
                      </w:rPr>
                      <w:t>pildoma, jei ši informacija žinoma</w:t>
                    </w:r>
                    <w:r>
                      <w:rPr>
                        <w:lang w:eastAsia="ja-JP"/>
                      </w:rPr>
                      <w:t>)</w:t>
                    </w:r>
                  </w:p>
                </w:tc>
                <w:tc>
                  <w:tcPr>
                    <w:tcW w:w="6320" w:type="dxa"/>
                    <w:tcBorders>
                      <w:top w:val="single" w:sz="4" w:space="0" w:color="auto"/>
                      <w:left w:val="single" w:sz="4" w:space="0" w:color="auto"/>
                      <w:bottom w:val="single" w:sz="4" w:space="0" w:color="auto"/>
                      <w:right w:val="single" w:sz="4" w:space="0" w:color="auto"/>
                    </w:tcBorders>
                  </w:tcPr>
                  <w:p>
                    <w:pPr>
                      <w:rPr>
                        <w:lang w:eastAsia="ja-JP"/>
                      </w:rPr>
                    </w:pPr>
                  </w:p>
                </w:tc>
              </w:tr>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5.2.6</w:t>
                    </w:r>
                  </w:p>
                </w:tc>
                <w:tc>
                  <w:tcPr>
                    <w:tcW w:w="2658"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bCs/>
                        <w:lang w:eastAsia="ja-JP"/>
                      </w:rPr>
                    </w:pPr>
                    <w:r>
                      <w:rPr>
                        <w:lang w:eastAsia="ja-JP"/>
                      </w:rPr>
                      <w:t>pašto kodas</w:t>
                    </w:r>
                  </w:p>
                </w:tc>
                <w:tc>
                  <w:tcPr>
                    <w:tcW w:w="6320" w:type="dxa"/>
                    <w:tcBorders>
                      <w:top w:val="single" w:sz="4" w:space="0" w:color="auto"/>
                      <w:left w:val="single" w:sz="4" w:space="0" w:color="auto"/>
                      <w:bottom w:val="single" w:sz="4" w:space="0" w:color="auto"/>
                      <w:right w:val="single" w:sz="4" w:space="0" w:color="auto"/>
                    </w:tcBorders>
                  </w:tcPr>
                  <w:p>
                    <w:pPr>
                      <w:rPr>
                        <w:lang w:eastAsia="ja-JP"/>
                      </w:rPr>
                    </w:pPr>
                  </w:p>
                </w:tc>
              </w:tr>
              <w:tr>
                <w:tc>
                  <w:tcPr>
                    <w:tcW w:w="656"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val="en-US" w:eastAsia="ja-JP"/>
                      </w:rPr>
                    </w:pPr>
                    <w:r>
                      <w:rPr>
                        <w:lang w:val="en-US" w:eastAsia="ja-JP"/>
                      </w:rPr>
                      <w:t>5.2.7</w:t>
                    </w:r>
                  </w:p>
                </w:tc>
                <w:tc>
                  <w:tcPr>
                    <w:tcW w:w="2658" w:type="dxa"/>
                    <w:tcBorders>
                      <w:top w:val="single" w:sz="4" w:space="0" w:color="auto"/>
                      <w:left w:val="single" w:sz="4" w:space="0" w:color="auto"/>
                      <w:bottom w:val="single" w:sz="4" w:space="0" w:color="auto"/>
                      <w:right w:val="single" w:sz="4" w:space="0" w:color="auto"/>
                    </w:tcBorders>
                    <w:hideMark/>
                  </w:tcPr>
                  <w:p>
                    <w:pPr>
                      <w:tabs>
                        <w:tab w:val="left" w:leader="underscore" w:pos="114"/>
                        <w:tab w:val="left" w:pos="567"/>
                        <w:tab w:val="left" w:pos="709"/>
                        <w:tab w:val="left" w:leader="dot" w:pos="3192"/>
                        <w:tab w:val="left" w:leader="dot" w:pos="6327"/>
                        <w:tab w:val="left" w:leader="dot" w:pos="9177"/>
                      </w:tabs>
                      <w:outlineLvl w:val="1"/>
                      <w:rPr>
                        <w:lang w:eastAsia="ja-JP"/>
                      </w:rPr>
                    </w:pPr>
                    <w:r>
                      <w:rPr>
                        <w:lang w:eastAsia="ja-JP"/>
                      </w:rPr>
                      <w:t>kontaktinis elektroninis adresas ar telefonas</w:t>
                    </w:r>
                  </w:p>
                </w:tc>
                <w:tc>
                  <w:tcPr>
                    <w:tcW w:w="6320" w:type="dxa"/>
                    <w:tcBorders>
                      <w:top w:val="single" w:sz="4" w:space="0" w:color="auto"/>
                      <w:left w:val="single" w:sz="4" w:space="0" w:color="auto"/>
                      <w:bottom w:val="single" w:sz="4" w:space="0" w:color="auto"/>
                      <w:right w:val="single" w:sz="4" w:space="0" w:color="auto"/>
                    </w:tcBorders>
                  </w:tcPr>
                  <w:p>
                    <w:pPr>
                      <w:rPr>
                        <w:lang w:eastAsia="ja-JP"/>
                      </w:rPr>
                    </w:pPr>
                  </w:p>
                </w:tc>
              </w:tr>
            </w:tbl>
            <w:p>
              <w:pPr>
                <w:suppressAutoHyphens/>
                <w:jc w:val="both"/>
                <w:rPr>
                  <w:lang w:eastAsia="lt-LT"/>
                </w:rPr>
              </w:pPr>
            </w:p>
            <w:p>
              <w:pPr>
                <w:suppressAutoHyphens/>
                <w:jc w:val="both"/>
              </w:pPr>
            </w:p>
            <w:p>
              <w:pPr>
                <w:rPr>
                  <w:color w:val="000000"/>
                </w:rPr>
              </w:pPr>
              <w:r>
                <w:t>Esu informuotas, kad pateikti duomenys būtų tvarkomi siekiant priimti sprendimą dėl gydymo paslaugų užsienyje.</w:t>
              </w:r>
            </w:p>
            <w:p/>
            <w:tbl>
              <w:tblPr>
                <w:tblW w:w="9630" w:type="dxa"/>
                <w:tblInd w:w="5" w:type="dxa"/>
                <w:tblLayout w:type="fixed"/>
                <w:tblCellMar>
                  <w:left w:w="0" w:type="dxa"/>
                  <w:right w:w="0" w:type="dxa"/>
                </w:tblCellMar>
                <w:tblLook w:val="01E0" w:firstRow="1" w:lastRow="1" w:firstColumn="1" w:lastColumn="1" w:noHBand="0" w:noVBand="0"/>
              </w:tblPr>
              <w:tblGrid>
                <w:gridCol w:w="3141"/>
                <w:gridCol w:w="3155"/>
                <w:gridCol w:w="7"/>
                <w:gridCol w:w="3327"/>
              </w:tblGrid>
              <w:tr>
                <w:trPr>
                  <w:trHeight w:val="741"/>
                </w:trPr>
                <w:tc>
                  <w:tcPr>
                    <w:tcW w:w="3144" w:type="dxa"/>
                    <w:hideMark/>
                  </w:tcPr>
                  <w:p>
                    <w:pPr>
                      <w:jc w:val="center"/>
                      <w:rPr>
                        <w:color w:val="000000"/>
                        <w:lang w:eastAsia="ja-JP"/>
                      </w:rPr>
                    </w:pPr>
                    <w:r>
                      <w:rPr>
                        <w:color w:val="000000"/>
                        <w:lang w:eastAsia="ja-JP"/>
                      </w:rPr>
                      <w:t>______________________</w:t>
                    </w:r>
                  </w:p>
                  <w:p>
                    <w:pPr>
                      <w:jc w:val="center"/>
                      <w:rPr>
                        <w:color w:val="000000"/>
                        <w:lang w:eastAsia="ja-JP"/>
                      </w:rPr>
                    </w:pPr>
                    <w:r>
                      <w:rPr>
                        <w:lang w:eastAsia="ja-JP"/>
                      </w:rPr>
                      <w:t>(Paciento (jo atstovo) parašas)</w:t>
                    </w:r>
                  </w:p>
                </w:tc>
                <w:tc>
                  <w:tcPr>
                    <w:tcW w:w="3164" w:type="dxa"/>
                    <w:gridSpan w:val="2"/>
                    <w:hideMark/>
                  </w:tcPr>
                  <w:p>
                    <w:pPr>
                      <w:jc w:val="center"/>
                      <w:rPr>
                        <w:color w:val="000000"/>
                        <w:lang w:eastAsia="ja-JP"/>
                      </w:rPr>
                    </w:pPr>
                    <w:r>
                      <w:rPr>
                        <w:color w:val="000000"/>
                        <w:lang w:eastAsia="ja-JP"/>
                      </w:rPr>
                      <w:t>__________________</w:t>
                    </w:r>
                  </w:p>
                  <w:p>
                    <w:pPr>
                      <w:jc w:val="center"/>
                      <w:rPr>
                        <w:color w:val="000000"/>
                        <w:lang w:eastAsia="ja-JP"/>
                      </w:rPr>
                    </w:pPr>
                    <w:r>
                      <w:rPr>
                        <w:lang w:eastAsia="ja-JP"/>
                      </w:rPr>
                      <w:t>(Paciento (jo atstovo) vardas, pavardė)</w:t>
                    </w:r>
                  </w:p>
                </w:tc>
                <w:tc>
                  <w:tcPr>
                    <w:tcW w:w="3329" w:type="dxa"/>
                  </w:tcPr>
                  <w:p>
                    <w:pPr>
                      <w:jc w:val="center"/>
                      <w:rPr>
                        <w:color w:val="000000"/>
                        <w:lang w:eastAsia="ja-JP"/>
                      </w:rPr>
                    </w:pPr>
                    <w:r>
                      <w:rPr>
                        <w:color w:val="000000"/>
                        <w:lang w:eastAsia="ja-JP"/>
                      </w:rPr>
                      <w:t>_______________</w:t>
                    </w:r>
                  </w:p>
                  <w:p>
                    <w:pPr>
                      <w:jc w:val="center"/>
                      <w:rPr>
                        <w:lang w:eastAsia="ja-JP"/>
                      </w:rPr>
                    </w:pPr>
                    <w:r>
                      <w:rPr>
                        <w:lang w:eastAsia="ja-JP"/>
                      </w:rPr>
                      <w:t>(Data)</w:t>
                    </w:r>
                  </w:p>
                  <w:p>
                    <w:pPr>
                      <w:jc w:val="center"/>
                      <w:rPr>
                        <w:color w:val="000000"/>
                        <w:lang w:eastAsia="ja-JP"/>
                      </w:rPr>
                    </w:pPr>
                  </w:p>
                </w:tc>
              </w:tr>
              <w:tr>
                <w:trPr>
                  <w:trHeight w:val="741"/>
                </w:trPr>
                <w:tc>
                  <w:tcPr>
                    <w:tcW w:w="3144" w:type="dxa"/>
                  </w:tcPr>
                  <w:p>
                    <w:pPr>
                      <w:jc w:val="center"/>
                      <w:rPr>
                        <w:color w:val="000000"/>
                        <w:lang w:eastAsia="ja-JP"/>
                      </w:rPr>
                    </w:pPr>
                  </w:p>
                </w:tc>
                <w:tc>
                  <w:tcPr>
                    <w:tcW w:w="3164" w:type="dxa"/>
                    <w:gridSpan w:val="2"/>
                  </w:tcPr>
                  <w:p>
                    <w:pPr>
                      <w:jc w:val="center"/>
                      <w:rPr>
                        <w:color w:val="000000"/>
                        <w:lang w:eastAsia="ja-JP"/>
                      </w:rPr>
                    </w:pPr>
                  </w:p>
                </w:tc>
                <w:tc>
                  <w:tcPr>
                    <w:tcW w:w="3329" w:type="dxa"/>
                  </w:tcPr>
                  <w:p>
                    <w:pPr>
                      <w:jc w:val="center"/>
                      <w:rPr>
                        <w:color w:val="000000"/>
                        <w:lang w:eastAsia="ja-JP"/>
                      </w:rPr>
                    </w:pPr>
                  </w:p>
                </w:tc>
              </w:tr>
              <w:tr>
                <w:trPr>
                  <w:trHeight w:val="966"/>
                </w:trPr>
                <w:tc>
                  <w:tcPr>
                    <w:tcW w:w="3144" w:type="dxa"/>
                    <w:hideMark/>
                  </w:tcPr>
                  <w:p>
                    <w:pPr>
                      <w:jc w:val="center"/>
                      <w:rPr>
                        <w:color w:val="000000"/>
                        <w:lang w:eastAsia="ja-JP"/>
                      </w:rPr>
                    </w:pPr>
                    <w:r>
                      <w:rPr>
                        <w:color w:val="000000"/>
                        <w:lang w:eastAsia="ja-JP"/>
                      </w:rPr>
                      <w:t>_______________________</w:t>
                    </w:r>
                  </w:p>
                  <w:p>
                    <w:pPr>
                      <w:jc w:val="center"/>
                      <w:rPr>
                        <w:lang w:eastAsia="ja-JP"/>
                      </w:rPr>
                    </w:pPr>
                    <w:r>
                      <w:rPr>
                        <w:lang w:eastAsia="ja-JP"/>
                      </w:rPr>
                      <w:t>(Universiteto ligoninės ar universitetinės ligoninės gydančiojo gydytojo parašas)</w:t>
                    </w:r>
                  </w:p>
                </w:tc>
                <w:tc>
                  <w:tcPr>
                    <w:tcW w:w="3157" w:type="dxa"/>
                    <w:hideMark/>
                  </w:tcPr>
                  <w:p>
                    <w:pPr>
                      <w:jc w:val="center"/>
                      <w:rPr>
                        <w:color w:val="000000"/>
                        <w:lang w:eastAsia="ja-JP"/>
                      </w:rPr>
                    </w:pPr>
                    <w:r>
                      <w:rPr>
                        <w:color w:val="000000"/>
                        <w:lang w:eastAsia="ja-JP"/>
                      </w:rPr>
                      <w:t>___________________</w:t>
                    </w:r>
                  </w:p>
                  <w:p>
                    <w:pPr>
                      <w:jc w:val="center"/>
                      <w:rPr>
                        <w:color w:val="000000"/>
                        <w:lang w:eastAsia="ja-JP"/>
                      </w:rPr>
                    </w:pPr>
                    <w:r>
                      <w:rPr>
                        <w:lang w:eastAsia="ja-JP"/>
                      </w:rPr>
                      <w:t>(Universiteto ligoninės ar universitetinės ligoninės gydančiojo gydytojo vardas, pavardė)</w:t>
                    </w:r>
                  </w:p>
                </w:tc>
                <w:tc>
                  <w:tcPr>
                    <w:tcW w:w="3336" w:type="dxa"/>
                    <w:gridSpan w:val="2"/>
                    <w:hideMark/>
                  </w:tcPr>
                  <w:p>
                    <w:pPr>
                      <w:jc w:val="center"/>
                      <w:rPr>
                        <w:color w:val="000000"/>
                        <w:lang w:eastAsia="ja-JP"/>
                      </w:rPr>
                    </w:pPr>
                    <w:r>
                      <w:rPr>
                        <w:color w:val="000000"/>
                        <w:lang w:eastAsia="ja-JP"/>
                      </w:rPr>
                      <w:t>_______________</w:t>
                    </w:r>
                  </w:p>
                  <w:p>
                    <w:pPr>
                      <w:jc w:val="center"/>
                      <w:rPr>
                        <w:color w:val="000000"/>
                        <w:lang w:eastAsia="ja-JP"/>
                      </w:rPr>
                    </w:pPr>
                    <w:r>
                      <w:rPr>
                        <w:lang w:eastAsia="ja-JP"/>
                      </w:rPr>
                      <w:t>(Data)</w:t>
                    </w:r>
                  </w:p>
                </w:tc>
              </w:tr>
            </w:tbl>
            <w:p>
              <w:pPr>
                <w:widowControl w:val="0"/>
                <w:suppressAutoHyphens/>
              </w:pPr>
            </w:p>
          </w:sdtContent>
        </w:sdt>
      </w:sdtContent>
    </w:sdt>
    <w:sdt>
      <w:sdtPr>
        <w:alias w:val="2 pr."/>
        <w:tag w:val="part_f073b1952d22419792b4d5424c62bd29"/>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166B693123">
            <w:r w:rsidRPr="00532B9F">
              <w:rPr>
                <w:rFonts w:ascii="Times New Roman" w:eastAsia="MS Mincho" w:hAnsi="Times New Roman"/>
                <w:sz w:val="20"/>
                <w:iCs/>
                <w:color w:val="0000FF" w:themeColor="hyperlink"/>
                <w:u w:val="single"/>
              </w:rPr>
              <w:t>V-724</w:t>
            </w:r>
          </w:fldSimple>
          <w:r>
            <w:rPr>
              <w:rFonts w:ascii="Times New Roman" w:eastAsia="MS Mincho" w:hAnsi="Times New Roman"/>
              <w:sz w:val="20"/>
              <w:iCs/>
            </w:rPr>
            <w:t>,
2013-07-23,
Žin., 2013, Nr.
82-4099 (2013-07-27), i. k. 1132250ISAK000V-724                </w:t>
          </w:r>
        </w:p>
        <w:p>
          <w:pPr>
            <w:jc w:val="both"/>
            <w:rPr>
              <w:rFonts w:ascii="Times New Roman" w:hAnsi="Times New Roman"/>
            </w:rPr>
          </w:pPr>
          <w:r>
            <w:rPr>
              <w:rFonts w:ascii="Times New Roman" w:hAnsi="Times New Roman"/>
              <w:sz w:val="20"/>
            </w:rPr>
            <w:t>Dėl Lietuvos Respublikos sveikatos apsaugos ministro 2010 m. rugpjūčio 16 d. įsakymo Nr. V-729 "Dėl Pacientų siuntimo konsultuotis, išsitirti ir (ar) gydytis Europos ekonominei erdvei priklausančiose valstybėse ir Šveicarijoje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a16d10941111e9ae2e9d61b1f977b3">
            <w:r w:rsidRPr="00532B9F">
              <w:rPr>
                <w:rFonts w:ascii="Times New Roman" w:eastAsia="MS Mincho" w:hAnsi="Times New Roman"/>
                <w:sz w:val="20"/>
                <w:iCs/>
                <w:color w:val="0000FF" w:themeColor="hyperlink"/>
                <w:u w:val="single"/>
              </w:rPr>
              <w:t>V-736</w:t>
            </w:r>
          </w:fldSimple>
          <w:r>
            <w:rPr>
              <w:rFonts w:ascii="Times New Roman" w:eastAsia="MS Mincho" w:hAnsi="Times New Roman"/>
              <w:sz w:val="20"/>
              <w:iCs/>
            </w:rPr>
            <w:t>,
2019-06-20,
paskelbta TAR 2019-06-21, i. k. 2019-10051                </w:t>
          </w:r>
        </w:p>
        <w:p>
          <w:pPr>
            <w:jc w:val="both"/>
            <w:rPr>
              <w:rFonts w:ascii="Times New Roman" w:hAnsi="Times New Roman"/>
            </w:rPr>
          </w:pPr>
          <w:r>
            <w:rPr>
              <w:rFonts w:ascii="Times New Roman" w:hAnsi="Times New Roman"/>
              <w:sz w:val="20"/>
            </w:rPr>
            <w:t>Dėl Lietuvos Respublikos sveikatos apsaugos ministro 2010 m. rugpjūčio 16 d. įsakymo Nr. V-729 „Dėl Pacientų siuntimo konsultuotis, išsitirti ir (ar) gydytis Europos ekonominei erdvei priklausančiose valstybėse ir Šveicarijoje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1636080b011eb9601893677bfd7d8">
            <w:r w:rsidRPr="00532B9F">
              <w:rPr>
                <w:rFonts w:ascii="Times New Roman" w:eastAsia="MS Mincho" w:hAnsi="Times New Roman"/>
                <w:sz w:val="20"/>
                <w:iCs/>
                <w:color w:val="0000FF" w:themeColor="hyperlink"/>
                <w:u w:val="single"/>
              </w:rPr>
              <w:t>V-489</w:t>
            </w:r>
          </w:fldSimple>
          <w:r>
            <w:rPr>
              <w:rFonts w:ascii="Times New Roman" w:eastAsia="MS Mincho" w:hAnsi="Times New Roman"/>
              <w:sz w:val="20"/>
              <w:iCs/>
            </w:rPr>
            <w:t>,
2021-03-09,
paskelbta TAR 2021-03-09, i. k. 2021-04832                </w:t>
          </w:r>
        </w:p>
        <w:p>
          <w:pPr>
            <w:jc w:val="both"/>
            <w:rPr>
              <w:rFonts w:ascii="Times New Roman" w:hAnsi="Times New Roman"/>
            </w:rPr>
          </w:pPr>
          <w:r>
            <w:rPr>
              <w:rFonts w:ascii="Times New Roman" w:hAnsi="Times New Roman"/>
              <w:sz w:val="20"/>
            </w:rPr>
            <w:t>Dėl Lietuvos Respublikos sveikatos apsaugos ministro 2010 m. rugpjūčio 16 d. įsakymo Nr. V-729 „Dėl Pacientų siuntimo konsultuotis, išsitirti ir (ar) gydytis Europos ekonominei erdvei priklausančiose valstybėse ir Šveicarijoje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cb470ca1511ec8d9390588bf2de65">
            <w:r w:rsidRPr="00532B9F">
              <w:rPr>
                <w:rFonts w:ascii="Times New Roman" w:eastAsia="MS Mincho" w:hAnsi="Times New Roman"/>
                <w:sz w:val="20"/>
                <w:iCs/>
                <w:color w:val="0000FF" w:themeColor="hyperlink"/>
                <w:u w:val="single"/>
              </w:rPr>
              <w:t>V-887</w:t>
            </w:r>
          </w:fldSimple>
          <w:r>
            <w:rPr>
              <w:rFonts w:ascii="Times New Roman" w:eastAsia="MS Mincho" w:hAnsi="Times New Roman"/>
              <w:sz w:val="20"/>
              <w:iCs/>
            </w:rPr>
            <w:t>,
2022-05-02,
paskelbta TAR 2022-05-02, i. k. 2022-09155                </w:t>
          </w:r>
        </w:p>
        <w:p>
          <w:pPr>
            <w:jc w:val="both"/>
            <w:rPr>
              <w:rFonts w:ascii="Times New Roman" w:hAnsi="Times New Roman"/>
            </w:rPr>
          </w:pPr>
          <w:r>
            <w:rPr>
              <w:rFonts w:ascii="Times New Roman" w:hAnsi="Times New Roman"/>
              <w:sz w:val="20"/>
            </w:rPr>
            <w:t>Dėl Lietuvos Respublikos sveikatos apsaugos ministro 2010 m. rugpjūčio 16 d. įsakymo Nr. V-729 „Dėl Pacientų siuntimo konsultuotis, išsitirti ir (ar) gydytis Europos ekonominei erdvei priklausančiose valstybėse, Jungtinėje Karalystėje ir Šveicarijoje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264d4663eb11f1b53dfa020e517810">
            <w:r w:rsidRPr="00532B9F">
              <w:rPr>
                <w:rFonts w:ascii="Times New Roman" w:eastAsia="MS Mincho" w:hAnsi="Times New Roman"/>
                <w:sz w:val="20"/>
                <w:iCs/>
                <w:color w:val="0000FF" w:themeColor="hyperlink"/>
                <w:u w:val="single"/>
              </w:rPr>
              <w:t>V-571</w:t>
            </w:r>
          </w:fldSimple>
          <w:r>
            <w:rPr>
              <w:rFonts w:ascii="Times New Roman" w:eastAsia="MS Mincho" w:hAnsi="Times New Roman"/>
              <w:sz w:val="20"/>
              <w:iCs/>
            </w:rPr>
            <w:t>,
2026-06-09,
paskelbta TAR 2026-06-09, i. k. 2026-10144                </w:t>
          </w:r>
        </w:p>
        <w:p>
          <w:pPr>
            <w:jc w:val="both"/>
            <w:rPr>
              <w:rFonts w:ascii="Times New Roman" w:hAnsi="Times New Roman"/>
            </w:rPr>
          </w:pPr>
          <w:r>
            <w:rPr>
              <w:rFonts w:ascii="Times New Roman" w:hAnsi="Times New Roman"/>
              <w:sz w:val="20"/>
            </w:rPr>
            <w:t>Dėl Lietuvos Respublikos sveikatos apsaugos ministro 2010 m. rugpjūčio 16 d. įsakymo Nr. V-729 „Dėl Pacientų siuntimo į užsienį konsultuoti, tirti ir (ar) gydyti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0" w:bottom="1134" w:left="1418"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22E5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87D586"/>
  <w15:docId w15:val="{7672AB6C-525E-47B0-B816-072DFA3F01F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9.xml"/>
  <Relationship Id="rId11" Type="http://schemas.openxmlformats.org/officeDocument/2006/relationships/footer" Target="footer20.xml"/>
  <Relationship Id="rId12" Type="http://schemas.openxmlformats.org/officeDocument/2006/relationships/header" Target="header21.xml"/>
  <Relationship Id="rId13" Type="http://schemas.openxmlformats.org/officeDocument/2006/relationships/footer" Target="footer21.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9.xml"/>
  <Relationship Id="rId9" Type="http://schemas.openxmlformats.org/officeDocument/2006/relationships/header" Target="header2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8813715a16d411a8ed8d9a9c9d55a16" PartId="d60cbf4cc35d4743a237b527de0a2c73">
    <Part Type="preambule" DocPartId="032ada6261114f8ebbd897fc5409bf56" PartId="1e1228a50f1f48a2974fab753eba64ce"/>
    <Part Type="punktas" Nr="1" Abbr="1 p." DocPartId="32b308c500684f20936bbc7706d0851d" PartId="3fc9524882244004a922f0115ea36ea7"/>
    <Part Type="punktas" Nr="2" Abbr="2 p." DocPartId="6397acd5b2c34f5b8e696363ac10af88" PartId="a29b1a3a7fb14ccd8ad7b6adf7ccb6ea"/>
    <Part Type="signatura" DocPartId="ae69708440894cecba179738bd7d561e" PartId="aab23191a06c4362b061069fe7d4c3eb"/>
  </Part>
  <Part Type="patvirtinta" Title="PACIENTŲ SIUNTIMO Į UŽSIENĮ KONSULTUOTI, TIRTI IR (AR) GYDYTI TVARKOS APRAŠAS" DocPartId="7f9c0ca7f11842c9af5f4c4198afb892" PartId="5ea9ef135e7a496c8bf196c20e531353">
    <Part Type="skyrius" Nr="1" Title="BENDROSIOS NUOSTATOS" DocPartId="80c3e2175c6b4edb9dc7d309c69b101e" PartId="3b9d6b31f9ad4daa82a940780483f351">
      <Part Type="punktas" Nr="1" Abbr="1 p." DocPartId="44f0adf6c54042bfb505580c887985bc" PartId="402c671061014983a350462c2d55916d"/>
      <Part Type="punktas" Nr="2" Abbr="2 p." DocPartId="63de29ab9c0f424ea9b8fc0177629065" PartId="327545e220174698b6a2612860998b10">
        <Part Type="papunktis" Nr="2.1" Abbr="2.1 pp." DocPartId="c0ac44308d844d7a8e7bed3a3b083a3a" PartId="f745a76640e0451aa542db589cb73b69"/>
        <Part Type="papunktis" Nr="2.2" Abbr="2.2 pp." DocPartId="73bee0ab5c734d54a7fcdd835f6a1834" PartId="1e79ceda12ae461392371dcac2332bf2"/>
        <Part Type="papunktis" Nr="2.3" Abbr="2.3 pp." DocPartId="d4eb9542cfaa4f1a9d4906b2809aee61" PartId="ed99978eaebc430d9f139adeb5816fbe"/>
      </Part>
      <Part Type="punktas" Nr="3" Abbr="3 p." DocPartId="0c74366b75a3421d908d03270a7dabb8" PartId="e046538647d044baa61bb5a74adad843"/>
    </Part>
    <Part Type="skyrius" Nr="2" Title="GYDYMO UŽSIENIO VALSTYBĖJE ORGANIZAVIMO PRINCIPAI" DocPartId="4d921771180e4d589d6f52e07585d0c9" PartId="0ad086aa037642f0af7bf9b5416a3adc">
      <Part Type="punktas" Nr="4" Abbr="4 p." DocPartId="84cedb7ca63a470288259b1d58842190" PartId="51266ad3dfa9429b996c80fbd5ebfdcf">
        <Part Type="papunktis" Nr="4.1" Abbr="4.1 pp." DocPartId="538d8d56924b4577aa40a62a4c549b97" PartId="48e6278dbab84b38ae1f76e63efd7f5e"/>
        <Part Type="papunktis" Nr="4.2" Abbr="4.2 pp." DocPartId="95410d1ceace4904bb79da56679506bc" PartId="d7f777ce1e3a41de8dbb116aba0e071b"/>
      </Part>
      <Part Type="punktas" Nr="5" Abbr="5 p." DocPartId="1f6737bc404f4fcba14f153317d32002" PartId="a4316bc2fb904faaac4cfcc77ca2fd14"/>
      <Part Type="punktas" Nr="6" Abbr="6 p." DocPartId="6a1a5eac76964e158f31cdee451c829b" PartId="6c60683ced9c4f06bb377caa21894d37">
        <Part Type="papunktis" Nr="6.1" Abbr="6.1 pp." DocPartId="5107955d962d4c0f90f55b4759761366" PartId="d2d3bcb1c57d46aab73be1cc29cf0787"/>
        <Part Type="papunktis" Nr="6.2" Abbr="6.2 pp." DocPartId="ddafa9dd86f3451893ff458223692fa0" PartId="54fcf84c9fd24a949ad2cdd8cd066137"/>
        <Part Type="papunktis" Nr="6.3" Abbr="6.3 pp." DocPartId="48538d717f3c4b02ba5afa94c6a617c0" PartId="aea9289f482440ba992854d059f84b9e"/>
        <Part Type="papunktis" Nr="6.4" Abbr="6.4 pp." DocPartId="711130e96d45464da3aa2823f07a2a93" PartId="b7e47dd413694a149a503b36394a65e7"/>
        <Part Type="papunktis" Nr="6.5" Abbr="6.5 pp." DocPartId="aa90a1cd1998438283e44c3e9d300361" PartId="6c95b0cb67244586854e604ce4bf03e0"/>
      </Part>
      <Part Type="punktas" Nr="7" Abbr="7 p." DocPartId="8c1522d08120471b8f25443d818a7cca" PartId="fd8b67adc72145168ea2375a95bf8f00"/>
    </Part>
    <Part Type="skyrius" Nr="3" Title="DOKUMENTŲ PATEIKIMO, JŲ NAGRINĖJIMO IR SPRENDIMŲ PRIĖMIMO TVARKA" DocPartId="a41a9e3600484006a3ed5c66eb0e287c" PartId="55c3d2a3af3c4ae9a72159e1ae9854ff">
      <Part Type="punktas" Nr="8" Abbr="8 p." DocPartId="5f40eaa6c12e42fca250710f2b242715" PartId="5229e27bc3da4406ac740298f3724ef2"/>
      <Part Type="punktas" Nr="9" Abbr="9 p." DocPartId="082216af4d3f4fdc9e2c82f6bddfa21b" PartId="3fab225fbe574895aeff94a4c2c65bfa"/>
      <Part Type="punktas" Nr="10" Abbr="10 p." DocPartId="2d77fe93e60e4034a259047159eca8d6" PartId="4104362a736f48d88c3988e4d1260b9f"/>
      <Part Type="punktas" Nr="11" Abbr="11 p." DocPartId="f102ed2e99ba42278c9b064e413155bf" PartId="bf1c69496dc84e10be9980fdc60746e9"/>
      <Part Type="punktas" Nr="12" Abbr="12 p." DocPartId="8ac95cc58dca446d9b2ea059ff1972db" PartId="06115c1a0fb243a1a681fd7eb4d45a98">
        <Part Type="papunktis" Nr="12.1" Abbr="12.1 pp." DocPartId="e437cfc28160479b98673d523d742fcb" PartId="8028af247f1d4977bc46eb835e3c4e7c"/>
        <Part Type="papunktis" Nr="12.2" Abbr="12.2 pp." DocPartId="11582613de3d40688f5f2d5a92c30df3" PartId="d315a34caf7f4267836c6fd70a71e7f8">
          <Part Type="papunktis" Nr="12.2.1" Abbr="12.2.1 pp." DocPartId="331090f2706f49908df1ba1db7177940" PartId="1845343c794546a0a85024397a2c0246"/>
          <Part Type="papunktis" Nr="12.2.2" Abbr="12.2.2 pp." DocPartId="7595924428db4332905d75cf9f195fb9" PartId="6d844b420b6349a89ce449d85c325489"/>
          <Part Type="papunktis" Nr="12.2.3" Abbr="12.2.3 pp." DocPartId="0583e7a3c8e04430b8dc55995152ee4a" PartId="27a61469d0a54cee8f81add791b2d493"/>
          <Part Type="papunktis" Nr="12.2.4" Abbr="12.2.4 pp." DocPartId="e5982579144345a08ebd8a1364553e5f" PartId="6a4cd17cfbc349be919e7a864ca17580"/>
          <Part Type="papunktis" Nr="12.2.5" Abbr="12.2.5 pp." DocPartId="3f26c66d87754494b92da081d76c0a83" PartId="36fab2f9f54643718cfa33db85f4b10f"/>
          <Part Type="papunktis" Nr="12.2.6" Abbr="12.2.6 pp." DocPartId="afa30a0442c44e51b4480aa278a72141" PartId="d4f30444cf8347668a00648b409317a8"/>
          <Part Type="papunktis" Nr="12.2.7" Abbr="12.2.7 pp." DocPartId="64184f7262d2419a87bce854524451ae" PartId="cf0021a9adfa4edf8fa75f9638d56898"/>
        </Part>
        <Part Type="papunktis" Nr="12.3" Abbr="12.3 pp." DocPartId="43a5625f1a1748bf9380ec02d7575fc1" PartId="7f3a6c6a45de4be08195b2d0661ede99"/>
      </Part>
      <Part Type="punktas" Nr="13" Abbr="13 p." DocPartId="4a841315ff534c3bbb4a99b0f9e25311" PartId="06af0cfa78144e7ca3f78f66db6121a0">
        <Part Type="papunktis" Nr="13.1" Abbr="13.1 pp." DocPartId="3a141119c941450fbc4f4368cb052f7d" PartId="1aff770b854041bdaaecd572a794c5d9"/>
        <Part Type="papunktis" Nr="13.2" Abbr="13.2 pp." DocPartId="f46f9bf7fa5b4181b526241c2d228028" PartId="756a36593d344109a9ab10d82eaed726"/>
        <Part Type="papunktis" Nr="13.3" Abbr="13.3 pp." DocPartId="d5514325d3684f01908d6355aed0b87e" PartId="b80eddcd568e40bc9646edf07f86a3b5"/>
      </Part>
      <Part Type="punktas" Nr="14" Abbr="14 p." DocPartId="13cd6c8f7e68483b99dafac93993d180" PartId="148bcd97104848228d189a5fc0b5fb73"/>
      <Part Type="punktas" Nr="15" Abbr="15 p." DocPartId="c6700b9379c044fe93de4b57b890ea6d" PartId="57eb248d15f04470a97bd3ed23d10a1f"/>
      <Part Type="punktas" Nr="16" Abbr="16 p." DocPartId="e323c73ac00d4c7488b6d467861f7d0a" PartId="ae865c175c204fbea321d8618176d5ac">
        <Part Type="papunktis" Nr="16.1" Abbr="16.1 pp." DocPartId="b3a43c9607ef4d3f88939ea4782992db" PartId="272382206e494fd092eb79c89fca1480"/>
        <Part Type="papunktis" Nr="16.2" Abbr="16.2 pp." DocPartId="d2b54f3e41a747f0bc324f3b4c4e0c5e" PartId="fb6d25bb867042ecaaf05d16d3733d78"/>
        <Part Type="papunktis" Nr="16.3" Abbr="16.3 pp." DocPartId="50b3d33d1e734b3e843b1b9a6529de65" PartId="e7c7d457734c4d7682f43a731bf234c4"/>
      </Part>
    </Part>
    <Part Type="skyrius" Nr="4" Title="UŽSIENIO VALSTYBIŲ KOMPETENTINGŲ SVEIKATOS DRAUDIMO ĮSTAIGŲ IR UŽSIENIO ASPĮ PRAŠYMŲ NAGRINĖJIMAS" DocPartId="a9b987f7753a440e9f703dccbe1f56f2" PartId="ac4b23c15aea46f08f42c760e2ec82a9">
      <Part Type="punktas" Nr="17" Abbr="17 p." DocPartId="cbd0d9b6ee134633b3902520e5040fca" PartId="449abdc43cec4e36958cc206c5734412">
        <Part Type="papunktis" Nr="17.1" Abbr="17.1 pp." DocPartId="91b28eebcc1f4325a6aaa185fa4c844d" PartId="8a6bf1ec6870495ebfcfdfd7e09b72dd"/>
        <Part Type="papunktis" Nr="17.2" Abbr="17.2 pp." DocPartId="edea813726004788a0718892a22585be" PartId="5f23322b861c48a9bedbfb74a27dce75"/>
        <Part Type="papunktis" Nr="17.3" Abbr="17.3 pp." DocPartId="d0bc7a4810064b19810ad3787196b53f" PartId="1de56d84feec4b5283ab32f7d0e5f52c"/>
      </Part>
      <Part Type="punktas" Nr="18" Abbr="18 p." DocPartId="4a4a90eaf3f846b2b5a6f9181d2473f3" PartId="61b1c76d50784e088037449f691654b4">
        <Part Type="papunktis" Nr="18.1" Abbr="18.1 pp." DocPartId="c8cba738099d437d9fb51b8442c44d8e" PartId="788fb3738d484724b35625def58946f3"/>
        <Part Type="papunktis" Nr="18.2" Abbr="18.2 pp." DocPartId="3bdb02d2a9ef444b8d07efc57e8d380c" PartId="97893f3b6ec54403bc634590fb833b95"/>
      </Part>
      <Part Type="punktas" Nr="19" Abbr="19 p." DocPartId="c96c38383de14ff597a446207ee82a9b" PartId="0c85c945c46a4c2e8eebe47f8ce1927f"/>
      <Part Type="punktas" Nr="20" Abbr="20 p." DocPartId="f341540b36084ceab24776c6e9e543b1" PartId="8f45d7c7946e4103b9a7de52cb51f45f"/>
      <Part Type="punktas" Nr="21" Abbr="21 p." DocPartId="a9e06aa9f9a948908f88aba65d6f6844" PartId="e7009eb2fa13408ca9b325c74be70dfa"/>
      <Part Type="punktas" Nr="22" Abbr="22 p." DocPartId="76ccc671edda48218bcd92ae606adf0d" PartId="fd6903402e724640a0373ad1b809401c"/>
    </Part>
    <Part Type="skyrius" Nr="4-1" Title="DĖL DOKUMENTO S2 IŠDAVIMO EKSTREMALIŲJŲ SITUACIJŲ ATVEJU" DocPartId="4f83610d8fae40e39b1abe4fe407a76d" PartId="333202d0197643f1838fcb62ae340a88">
      <Part Type="punktas" Nr="22-1" Abbr="22-1 p." DocPartId="e6d53bc62ec0426986190a4fb8b22c5a" PartId="1a555ef6257448b3a515bf146b8ba218"/>
      <Part Type="punktas" Nr="22-2" Abbr="22-2 p." DocPartId="5c61b4c935894554ad580190bf1c7988" PartId="3e61e53d4d31437889a7a59a27385827">
        <Part Type="papunktis" Nr="22-2.1" Abbr="22-2.1 pp." DocPartId="133d96076fcc48c39e67243ef38df3b7" PartId="763a95ecbde44dfb9dedefba5ac902f6"/>
        <Part Type="papunktis" Nr="22-2.2" Abbr="22-2.2 pp." DocPartId="e93e2b9cc3314274844d8ebe08f19528" PartId="3259792435da4ed0bbc6d8b19525df45"/>
      </Part>
      <Part Type="punktas" Nr="22-3" Abbr="22-3 p." DocPartId="d51be7acb4784638afbfaf8f60800e5a" PartId="c7b04094492940c6967c3652ba1ca7c7"/>
      <Part Type="punktas" Nr="22-4" Abbr="22-4 p." DocPartId="292a6e3c8480409089643e14b4f72ce4" PartId="6814bd07ce814296a1d5f6a7a3174e26"/>
      <Part Type="punktas" Nr="22-5" Abbr="22-5 p." DocPartId="e3cc7b4ba9694d82ab52d03f60cf3e9a" PartId="6b00992fd41c4a3f8fa5d4527ef0eaec"/>
      <Part Type="punktas" Nr="22-6" Abbr="22-6 p." DocPartId="1c7aa07dcbc64adb9b244e2226dfadab" PartId="24bb72e5f96748628d9771923d9e0309"/>
    </Part>
    <Part Type="skyrius" Nr="5" Title="GYDYMO UŽSIENYJE IŠLAIDŲ APMOKĖJIMO TVARKA" DocPartId="5e97ff5361514611a72db79baaf132a0" PartId="aae8b0b920ab4e0ca7300d53773f6cc2">
      <Part Type="punktas" Nr="23" Abbr="23 p." DocPartId="7435bd5b411a4a34bdf69ed5a65f04c6" PartId="e78732044c3542809588927d564a249f"/>
      <Part Type="punktas" Nr="24" Abbr="24 p." DocPartId="2cc80070f9b1457f8e5e5e1d1f0dfc1f" PartId="ac98cbf8e00c4175b4025260ce85b5e6"/>
      <Part Type="punktas" Nr="25" Abbr="25 p." DocPartId="6131b843a81740ccac282b3fee2fc802" PartId="683da85125c847789e039c6b3079b601"/>
      <Part Type="punktas" Nr="26" Abbr="26 p." DocPartId="7b42e9e3fb8849c4a45c83f4e00ce13e" PartId="83b0377b386c48b4a4969106f0e979de"/>
    </Part>
    <Part Type="skyrius" Nr="6" Title="BAIGIAMOSIOS NUOSTATOS" DocPartId="a4c20cc49a144056ae10c80413b7924d" PartId="ba0e1921f2464e64b5685505027068d5">
      <Part Type="punktas" Nr="27" Abbr="27 p." DocPartId="90113e91e20642df804914b2f5971ad6" PartId="a7879ee4c68e4d0f9259fc9232012349"/>
      <Part Type="punktas" Nr="28" Abbr="28 p." DocPartId="09330fe76b4449ae90d21db6a60941f7" PartId="849e078349ee4b99bb92557eb196cf5a"/>
      <Part Type="punktas" Nr="29" Abbr="29 p." DocPartId="8ab45855d48d4f08937ed3e55753dc33" PartId="06ff2eb322504b2ea6bfbade75b01047"/>
      <Part Type="punktas" Nr="30" Abbr="30 p." DocPartId="8747caa967b843bb937fcd7217cf6ed9" PartId="18a9e85b715744a7a7586c56a190f636"/>
      <Part Type="punktas" Nr="31" Abbr="31 p." DocPartId="85c26bcad89145cc825a03c4859a7e81" PartId="4ae139aa9e2a43e2a6847255c57d9462"/>
    </Part>
    <Part Type="pabaiga" DocPartId="62530532dda441218d772e17c11c20f8" PartId="d19d1068acd8414380b613a45b7f9d3f"/>
  </Part>
  <Part Type="priedas" Abbr="pr." Title="(Prašymo išduoti leidimą gydytis užsienio valstybėje forma)" DocPartId="e27608d49536439db41a9ac724f9b9e2" PartId="47ae32dc87374a0ab4424d74a910557b">
    <Part Type="punktas" Nr="1" Abbr="pr. 1 p." DocPartId="8f3137c403034c98958bf16063c7f355" PartId="0aa41bdc89cd463b99a2607c1e4b06b1"/>
    <Part Type="punktas" Nr="2" Abbr="pr. 2 p." DocPartId="e0bf1bda75344d659a7cc9a9c17295ec" PartId="6ad6cbe9522f4dbba73d7c278a6875d0"/>
    <Part Type="punktas" Nr="3" Abbr="pr. 3 p." DocPartId="efdf1f44876a469d95bf6b682194315e" PartId="1da967561e1c4fe2b157dff47187459a"/>
    <Part Type="punktas" Nr="4" Abbr="pr. 4 p." DocPartId="29de3e6d01e242f48a91a27c3716b26f" PartId="3b665d24d2624be4beee701ddeb41c9b"/>
    <Part Type="punktas" Nr="5" Abbr="pr. 5 p." DocPartId="c1ef2aff9c394b7e99635fa8388d41e4" PartId="f49c27b9d0fb42e7963ecfbc73e82379"/>
  </Part>
  <Part Type="priedas" Nr="2" Abbr="2 pr." Title="(Komisijos sprendimams dėl pacientų siuntimo konsultuotis, išsitirti ir (ar) gydytis užsienio šalyje priimti nario pasižadėjimo saugoti tvarkomų paciento asmens duomenų paslaptį forma)" DocPartId="b0091a814ee3432e83619a75413a299e" PartId="f073b1952d22419792b4d5424c62bd29"/>
</Parts>
</file>

<file path=customXml/itemProps1.xml><?xml version="1.0" encoding="utf-8"?>
<ds:datastoreItem xmlns:ds="http://schemas.openxmlformats.org/officeDocument/2006/customXml" ds:itemID="{1FE5C79B-EAF4-4475-A244-2EEB4BBD9C54}">
  <ds:schemaRefs>
    <ds:schemaRef ds:uri="http://lrs.lt/TAIS/DocParts"/>
  </ds:schemaRefs>
</ds:datastoreItem>
</file>

<file path=docProps/app.xml><?xml version="1.0" encoding="utf-8"?>
<Properties xmlns="http://schemas.openxmlformats.org/officeDocument/2006/extended-properties">
  <Template>Normal.dotm</Template>
  <TotalTime>16</TotalTime>
  <Pages>10</Pages>
  <Words>16006</Words>
  <Characters>9124</Characters>
  <Application>Microsoft Office Word</Application>
  <DocSecurity>0</DocSecurity>
  <Lines>76</Lines>
  <Paragraphs>50</Paragraphs>
  <ScaleCrop>false</ScaleCrop>
  <Company>Teisines informacijos centras</Company>
  <LinksUpToDate>false</LinksUpToDate>
  <CharactersWithSpaces>25080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2015-09-30T15:03:00Z</dcterms:created>
  <dc:creator>Sandra</dc:creator>
  <lastModifiedBy>TAMALIŪNIENĖ Vilija</lastModifiedBy>
  <dcterms:modified xsi:type="dcterms:W3CDTF">2026-06-12T07:09:00Z</dcterms:modified>
  <revision>9</revision>
  <dc:title>LIETUVOS RESPUBLIKOS SVEIKATOS APSAUGOS MINISTRO</dc:title>
</coreProperties>
</file>