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0dca3c1e8224037924d20770ed88649"/>
        <w:lock w:val="sdtLocked"/>
        <w:richText/>
      </w:sdtPr>
      <w:sdtContent>
        <w:p>
          <w:pPr>
            <w:jc w:val="both"/>
            <w:rPr>
              <w:rFonts w:ascii="Times New Roman" w:hAnsi="Times New Roman"/>
            </w:rPr>
          </w:pPr>
          <w:r>
            <w:rPr>
              <w:rFonts w:ascii="Times New Roman" w:hAnsi="Times New Roman"/>
              <w:b/>
              <w:i/>
            </w:rPr>
            <w:t>Suvestinė redakcija nuo 2020-12-05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9A66AD110FCB">
            <w:r w:rsidRPr="00532B9F">
              <w:rPr>
                <w:rFonts w:ascii="Times New Roman" w:eastAsia="MS Mincho" w:hAnsi="Times New Roman"/>
                <w:sz w:val="20"/>
                <w:i/>
                <w:iCs/>
                <w:color w:val="0000FF" w:themeColor="hyperlink"/>
                <w:u w:val="single"/>
              </w:rPr>
              <w:t>99-5157</w:t>
            </w:r>
          </w:fldSimple>
          <w:r>
            <w:rPr>
              <w:rFonts w:ascii="Times New Roman" w:eastAsia="MS Mincho" w:hAnsi="Times New Roman"/>
              <w:sz w:val="20"/>
              <w:i/>
              <w:iCs/>
            </w:rPr>
            <w:t>, i. k. 1102250ISAK000V-720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2020-12-05:</w:t>
          </w:r>
        </w:p>
        <w:p>
          <w:pPr>
            <w:rPr>
              <w:rFonts w:ascii="Times New Roman" w:hAnsi="Times New Roman"/>
              <w:sz w:val="20"/>
              <w:i/>
            </w:rPr>
          </w:pPr>
          <w:r>
            <w:rPr>
              <w:rFonts w:ascii="Times New Roman" w:hAnsi="Times New Roman"/>
              <w:sz w:val="20"/>
              <w:i/>
            </w:rPr>
            <w:t xml:space="preserve">Nr. </w:t>
          </w:r>
          <w:fldSimple w:instr="HYPERLINK https://www.e-tar.lt/portal/legalAct.html?documentId=0fa787e0363b11eb8d9fe110e148c770">
            <w:r w:rsidRPr="00532B9F">
              <w:rPr>
                <w:rFonts w:ascii="Times New Roman" w:eastAsia="MS Mincho" w:hAnsi="Times New Roman"/>
                <w:sz w:val="20"/>
                <w:i/>
                <w:iCs/>
                <w:color w:val="0000FF" w:themeColor="hyperlink"/>
                <w:u w:val="single"/>
              </w:rPr>
              <w:t>V-2823</w:t>
            </w:r>
          </w:fldSimple>
          <w:r>
            <w:rPr>
              <w:rFonts w:ascii="Times New Roman" w:eastAsia="MS Mincho" w:hAnsi="Times New Roman"/>
              <w:sz w:val="20"/>
              <w:i/>
              <w:iCs/>
            </w:rPr>
            <w:t>,
2020-12-04,
paskelbta TAR 2020-12-04, i. k. 2020-26307                </w:t>
          </w:r>
        </w:p>
        <w:p>
          <w:pPr>
            <w:rPr>
              <w:rFonts w:ascii="Times New Roman" w:hAnsi="Times New Roman"/>
              <w:sz w:val="22"/>
            </w:rPr>
          </w:pPr>
        </w:p>
        <w:p>
          <w:pPr>
            <w:widowControl w:val="0"/>
            <w:suppressAutoHyphens/>
            <w:spacing w:line="259" w:lineRule="auto"/>
            <w:jc w:val="center"/>
            <w:rPr>
              <w:b/>
              <w:bCs/>
              <w:color w:val="000000"/>
              <w:szCs w:val="24"/>
              <w:lang w:eastAsia="lt-LT"/>
            </w:rPr>
          </w:pPr>
          <w:r>
            <w:rPr>
              <w:b/>
              <w:bCs/>
              <w:color w:val="000000"/>
              <w:szCs w:val="24"/>
              <w:lang w:eastAsia="lt-LT"/>
            </w:rPr>
            <w:t>LIETUVOS RESPUBLIKOS SVEIKATOS APSAUGOS MINISTRAS</w:t>
          </w:r>
        </w:p>
        <w:p>
          <w:pPr>
            <w:widowControl w:val="0"/>
            <w:suppressAutoHyphens/>
            <w:spacing w:line="259" w:lineRule="auto"/>
            <w:jc w:val="center"/>
            <w:rPr>
              <w:b/>
              <w:bCs/>
              <w:color w:val="000000"/>
              <w:sz w:val="16"/>
              <w:szCs w:val="16"/>
              <w:lang w:eastAsia="lt-LT"/>
            </w:rPr>
          </w:pPr>
        </w:p>
        <w:p>
          <w:pPr>
            <w:widowControl w:val="0"/>
            <w:suppressAutoHyphens/>
            <w:spacing w:line="259" w:lineRule="auto"/>
            <w:jc w:val="center"/>
            <w:rPr>
              <w:b/>
              <w:bCs/>
              <w:color w:val="000000"/>
              <w:szCs w:val="24"/>
              <w:lang w:eastAsia="lt-LT"/>
            </w:rPr>
          </w:pPr>
          <w:r>
            <w:rPr>
              <w:b/>
              <w:bCs/>
              <w:color w:val="000000"/>
              <w:szCs w:val="24"/>
              <w:lang w:eastAsia="lt-LT"/>
            </w:rPr>
            <w:t>ĮSAKYMAS</w:t>
          </w:r>
        </w:p>
        <w:p>
          <w:pPr>
            <w:widowControl w:val="0"/>
            <w:suppressAutoHyphens/>
            <w:spacing w:line="259" w:lineRule="auto"/>
            <w:jc w:val="center"/>
            <w:rPr>
              <w:b/>
              <w:bCs/>
              <w:caps/>
              <w:color w:val="000000"/>
              <w:szCs w:val="24"/>
              <w:lang w:eastAsia="lt-LT"/>
            </w:rPr>
          </w:pPr>
          <w:r>
            <w:rPr>
              <w:b/>
              <w:bCs/>
              <w:caps/>
              <w:color w:val="000000"/>
              <w:szCs w:val="24"/>
              <w:lang w:eastAsia="lt-LT"/>
            </w:rPr>
            <w:drawing>
              <wp:anchor distT="0" distB="0" distL="114300" distR="114300" simplePos="0" relativeHeight="25166028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1" name="Paveikslėlis 1"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t>DĖL LIGŲ, TRUKDANČIŲ VERSTIS ASMENS SVEIKATOS priežiūros praktika, SĄRAŠO PATVIRTINIMO</w:t>
          </w:r>
        </w:p>
        <w:p>
          <w:pPr>
            <w:widowControl w:val="0"/>
            <w:suppressAutoHyphens/>
            <w:spacing w:line="259" w:lineRule="auto"/>
            <w:jc w:val="center"/>
            <w:rPr>
              <w:b/>
              <w:bCs/>
              <w:caps/>
              <w:color w:val="000000"/>
              <w:sz w:val="16"/>
              <w:szCs w:val="16"/>
              <w:lang w:eastAsia="lt-LT"/>
            </w:rPr>
          </w:pPr>
        </w:p>
        <w:p>
          <w:pPr>
            <w:widowControl w:val="0"/>
            <w:suppressAutoHyphens/>
            <w:spacing w:line="259" w:lineRule="auto"/>
            <w:jc w:val="center"/>
            <w:rPr>
              <w:b/>
              <w:bCs/>
              <w:caps/>
              <w:color w:val="000000"/>
              <w:sz w:val="16"/>
              <w:szCs w:val="16"/>
              <w:lang w:eastAsia="lt-LT"/>
            </w:rPr>
          </w:pPr>
          <w:r>
            <w:rPr>
              <w:color w:val="000000"/>
            </w:rPr>
            <w:t>2010 m. rugpjūčio 12 d. Nr. V-720</w:t>
            <w:br/>
            <w:t>Vilnius</w:t>
          </w:r>
        </w:p>
        <w:p>
          <w:pPr>
            <w:widowControl w:val="0"/>
            <w:suppressAutoHyphens/>
            <w:spacing w:line="259" w:lineRule="auto"/>
            <w:jc w:val="center"/>
            <w:rPr>
              <w:b/>
              <w:bCs/>
              <w:caps/>
              <w:color w:val="000000"/>
              <w:sz w:val="16"/>
              <w:szCs w:val="16"/>
              <w:lang w:eastAsia="lt-LT"/>
            </w:rPr>
          </w:pPr>
        </w:p>
        <w:sdt>
          <w:sdtPr>
            <w:alias w:val="preambule"/>
            <w:tag w:val="part_6d4bbfad99014b20ae543625067c0735"/>
            <w:lock w:val="sdtLocked"/>
            <w:richText/>
          </w:sdtPr>
          <w:sdtContent>
            <w:p>
              <w:pPr>
                <w:ind w:firstLine="851"/>
                <w:jc w:val="both"/>
                <w:rPr>
                  <w:color w:val="000000"/>
                  <w:szCs w:val="24"/>
                  <w:lang w:eastAsia="lt-LT"/>
                </w:rPr>
              </w:pPr>
              <w:r>
                <w:rPr>
                  <w:color w:val="000000"/>
                  <w:szCs w:val="24"/>
                  <w:lang w:eastAsia="lt-LT"/>
                </w:rPr>
                <w:t>Įgyvendindamas Lietuvos Respublikos slaugos praktikos ir akušerijos praktikos įstatymo 5 straipsnio 4 dalies 4 punktą, Lietuvos Respublikos medicinos praktikos įstatymo 4 straipsnio 5 dalies 4 punktą, Lietuvos Respublikos odontologijos praktikos ir burnos priežiūros praktikos įstatymo 5 straipsnio 6 dalies 4 punktą,</w:t>
              </w:r>
              <w:r>
                <w:rPr>
                  <w:color w:val="000000"/>
                  <w:szCs w:val="24"/>
                </w:rPr>
                <w:t xml:space="preserve"> </w:t>
              </w:r>
              <w:r>
                <w:rPr>
                  <w:color w:val="000000"/>
                  <w:szCs w:val="24"/>
                  <w:lang w:eastAsia="lt-LT"/>
                </w:rPr>
                <w:t xml:space="preserve">Lietuvos Respublikos </w:t>
              </w:r>
              <w:r>
                <w:rPr>
                  <w:bCs/>
                  <w:color w:val="000000"/>
                  <w:szCs w:val="24"/>
                  <w:lang w:eastAsia="lt-LT"/>
                </w:rPr>
                <w:t>asmens sveikatos priežiūros praktikos įstatymo 5 straipsnio 6 dalies 4 punktą</w:t>
              </w:r>
              <w:r>
                <w:rPr>
                  <w:color w:val="000000"/>
                  <w:szCs w:val="24"/>
                  <w:lang w:eastAsia="lt-LT"/>
                </w:rPr>
                <w:t>:</w:t>
              </w:r>
            </w:p>
          </w:sdtContent>
        </w:sdt>
        <w:sdt>
          <w:sdtPr>
            <w:alias w:val="1 p."/>
            <w:tag w:val="part_b4f93ab472c54f5cab505c4a5136ae3e"/>
            <w:lock w:val="sdtLocked"/>
            <w:richText/>
          </w:sdtPr>
          <w:sdtContent>
            <w:p>
              <w:pPr>
                <w:ind w:firstLine="851"/>
                <w:jc w:val="both"/>
                <w:rPr>
                  <w:color w:val="000000"/>
                  <w:szCs w:val="24"/>
                  <w:lang w:eastAsia="lt-LT"/>
                </w:rPr>
              </w:pPr>
              <w:sdt>
                <w:sdtPr>
                  <w:alias w:val="Numeris"/>
                  <w:tag w:val="nr_b4f93ab472c54f5cab505c4a5136ae3e"/>
                  <w:lock w:val="sdtLocked"/>
                  <w:richText/>
                </w:sdtPr>
                <w:sdtContent>
                  <w:r>
                    <w:rPr>
                      <w:color w:val="000000"/>
                      <w:szCs w:val="24"/>
                      <w:lang w:eastAsia="lt-LT"/>
                    </w:rPr>
                    <w:t>1</w:t>
                  </w:r>
                </w:sdtContent>
              </w:sdt>
              <w:r>
                <w:rPr>
                  <w:color w:val="000000"/>
                  <w:szCs w:val="24"/>
                  <w:lang w:eastAsia="lt-LT"/>
                </w:rPr>
                <w:t xml:space="preserve">. </w:t>
              </w:r>
              <w:r>
                <w:rPr>
                  <w:color w:val="000000"/>
                  <w:spacing w:val="60"/>
                  <w:szCs w:val="24"/>
                  <w:lang w:eastAsia="lt-LT"/>
                </w:rPr>
                <w:t>Tvirtinu</w:t>
              </w:r>
              <w:r>
                <w:rPr>
                  <w:color w:val="000000"/>
                  <w:szCs w:val="24"/>
                  <w:lang w:eastAsia="lt-LT"/>
                </w:rPr>
                <w:t xml:space="preserve"> Ligų, trukdančių verstis asmens sveikatos priežiūros praktika, sąrašą (pridedama).</w:t>
              </w:r>
            </w:p>
          </w:sdtContent>
        </w:sdt>
        <w:sdt>
          <w:sdtPr>
            <w:alias w:val="2 p."/>
            <w:tag w:val="part_418500f88114471887b571c9ea04c90e"/>
            <w:lock w:val="sdtLocked"/>
            <w:richText/>
          </w:sdtPr>
          <w:sdtContent>
            <w:p>
              <w:pPr>
                <w:ind w:firstLine="851"/>
                <w:jc w:val="both"/>
                <w:rPr>
                  <w:color w:val="000000"/>
                  <w:szCs w:val="24"/>
                  <w:lang w:eastAsia="lt-LT"/>
                </w:rPr>
              </w:pPr>
              <w:sdt>
                <w:sdtPr>
                  <w:alias w:val="Numeris"/>
                  <w:tag w:val="nr_418500f88114471887b571c9ea04c90e"/>
                  <w:lock w:val="sdtLocked"/>
                  <w:richText/>
                </w:sdtPr>
                <w:sdtContent>
                  <w:r>
                    <w:rPr>
                      <w:color w:val="000000"/>
                      <w:szCs w:val="24"/>
                      <w:lang w:eastAsia="lt-LT"/>
                    </w:rPr>
                    <w:t>2</w:t>
                  </w:r>
                </w:sdtContent>
              </w:sdt>
              <w:r>
                <w:rPr>
                  <w:color w:val="000000"/>
                  <w:szCs w:val="24"/>
                  <w:lang w:eastAsia="lt-LT"/>
                </w:rPr>
                <w:t xml:space="preserve">. </w:t>
              </w:r>
              <w:r>
                <w:rPr>
                  <w:color w:val="000000"/>
                  <w:spacing w:val="60"/>
                  <w:szCs w:val="24"/>
                  <w:lang w:eastAsia="lt-LT"/>
                </w:rPr>
                <w:t>Paved</w:t>
              </w:r>
              <w:r>
                <w:rPr>
                  <w:color w:val="000000"/>
                  <w:szCs w:val="24"/>
                  <w:lang w:eastAsia="lt-LT"/>
                </w:rPr>
                <w:t>u:</w:t>
              </w:r>
            </w:p>
            <w:sdt>
              <w:sdtPr>
                <w:alias w:val="2.1 pp."/>
                <w:tag w:val="part_02d2ea2c9b7842bbb1ffc82ecc3915e7"/>
                <w:lock w:val="sdtLocked"/>
                <w:richText/>
              </w:sdtPr>
              <w:sdtContent>
                <w:p>
                  <w:pPr>
                    <w:ind w:firstLine="851"/>
                    <w:jc w:val="both"/>
                    <w:rPr>
                      <w:color w:val="000000"/>
                      <w:szCs w:val="24"/>
                      <w:lang w:eastAsia="lt-LT"/>
                    </w:rPr>
                  </w:pPr>
                  <w:sdt>
                    <w:sdtPr>
                      <w:alias w:val="Numeris"/>
                      <w:tag w:val="nr_02d2ea2c9b7842bbb1ffc82ecc3915e7"/>
                      <w:lock w:val="sdtLocked"/>
                      <w:richText/>
                    </w:sdtPr>
                    <w:sdtContent>
                      <w:r>
                        <w:rPr>
                          <w:color w:val="000000"/>
                          <w:szCs w:val="24"/>
                          <w:lang w:eastAsia="lt-LT"/>
                        </w:rPr>
                        <w:t>2.1</w:t>
                      </w:r>
                    </w:sdtContent>
                  </w:sdt>
                  <w:r>
                    <w:rPr>
                      <w:color w:val="000000"/>
                      <w:szCs w:val="24"/>
                      <w:lang w:eastAsia="lt-LT"/>
                    </w:rPr>
                    <w:t>. šio įsakymo 1 punkte nurodytu sąrašu vadovautis šeimos gydytojams ar vidaus ligų gydytojams, teikiantiems šeimos medicinos asmens sveikatos priežiūros paslaugas ir išduodantiems medicininius pažymėjimus (forma Nr. 046/a „Medicininis pažymėjimas“, patvirtinta Lietuvos Respublikos sveikatos apsaugos ministro 2014 m. sausio 27 d. įsakymu Nr. V-120 „Dėl privalomų sveikatos statistikos apskaitos ir kitų tipinių formų bei privalomų sveikatos statistikos ataskaitų formų patvirtinimo“), patvirtinančius, kad asmuo dėl savo sveikatos būklės gali verstis asmens sveikatos priežiūros praktika, bei gydytojams, atliekantiems privalomus profilaktinius asmens sveikatos priežiūros praktika besiverčiančių asmenų sveikatos tikrinimus ir teikiantiems išvadą apie asmens profesinį tinkamumą;</w:t>
                  </w:r>
                </w:p>
              </w:sdtContent>
            </w:sdt>
            <w:sdt>
              <w:sdtPr>
                <w:alias w:val="2.2 pp."/>
                <w:tag w:val="part_003ecbe576884d7cb0fd9a31cc4e6628"/>
                <w:lock w:val="sdtLocked"/>
                <w:richText/>
              </w:sdtPr>
              <w:sdtContent>
                <w:p>
                  <w:pPr>
                    <w:ind w:firstLine="851"/>
                    <w:jc w:val="both"/>
                  </w:pPr>
                  <w:sdt>
                    <w:sdtPr>
                      <w:alias w:val="Numeris"/>
                      <w:tag w:val="nr_003ecbe576884d7cb0fd9a31cc4e6628"/>
                      <w:lock w:val="sdtLocked"/>
                      <w:richText/>
                    </w:sdtPr>
                    <w:sdtContent>
                      <w:r>
                        <w:rPr>
                          <w:color w:val="000000"/>
                          <w:szCs w:val="24"/>
                          <w:lang w:eastAsia="lt-LT"/>
                        </w:rPr>
                        <w:t>2.2</w:t>
                      </w:r>
                    </w:sdtContent>
                  </w:sdt>
                  <w:r>
                    <w:rPr>
                      <w:color w:val="000000"/>
                      <w:szCs w:val="24"/>
                      <w:lang w:eastAsia="lt-LT"/>
                    </w:rPr>
                    <w:t>. įsakymo vykdymą kontroliuoti viceministrui pagal veiklos sritį.</w:t>
                  </w:r>
                  <w:r>
                    <w:t xml:space="preserve"> </w:t>
                  </w:r>
                </w:p>
              </w:sdtContent>
            </w:sdt>
          </w:sdtContent>
        </w:sdt>
        <w:sdt>
          <w:sdtPr>
            <w:alias w:val="signatura"/>
            <w:tag w:val="part_befe215938b84460b921b25c17acd5f4"/>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olor w:val="000000"/>
                </w:rPr>
              </w:pPr>
              <w:r>
                <w:rPr>
                  <w:caps/>
                  <w:color w:val="000000"/>
                </w:rPr>
                <w:t xml:space="preserve">SVEIKATOS APSAUGOS MINISTRAS </w:t>
                <w:tab/>
                <w:t>RAIMONDAS ŠUKYS</w:t>
              </w:r>
            </w:p>
          </w:sdtContent>
        </w:sdt>
        <w:p/>
      </w:sdtContent>
    </w:sdt>
    <w:sdt>
      <w:sdtPr>
        <w:alias w:val="patvirtinta"/>
        <w:tag w:val="part_be9f7ef0cb3c48f498754df8c3af2f9a"/>
        <w:lock w:val="sdtLocked"/>
        <w:richText/>
      </w:sdtPr>
      <w:sdtContent>
        <w:p>
          <w:pPr>
            <w:ind w:left="5102"/>
            <w:sectPr>
              <w:headerReference w:type="even" r:id="rId17"/>
              <w:headerReference w:type="default" r:id="rId18"/>
              <w:footerReference w:type="even" r:id="rId19"/>
              <w:footerReference w:type="default" r:id="rId20"/>
              <w:headerReference w:type="first" r:id="rId21"/>
              <w:footerReference w:type="first" r:id="rId22"/>
              <w:pgSz w:w="11906" w:h="16838"/>
              <w:pgMar w:top="1134" w:right="567" w:bottom="1134" w:left="1701" w:header="567" w:footer="567" w:gutter="0"/>
              <w:cols w:space="1296"/>
              <w:titlePg/>
              <w:docGrid w:linePitch="360"/>
            </w:sectPr>
          </w:pPr>
        </w:p>
        <w:p>
          <w:pPr>
            <w:ind w:left="5102"/>
            <w:rPr>
              <w:szCs w:val="24"/>
              <w:lang w:eastAsia="lt-LT"/>
            </w:rPr>
          </w:pPr>
          <w:r>
            <w:rPr>
              <w:szCs w:val="24"/>
              <w:lang w:eastAsia="lt-LT"/>
            </w:rPr>
            <w:t>PATVIRTINTA</w:t>
          </w:r>
        </w:p>
        <w:p>
          <w:pPr>
            <w:ind w:left="5102"/>
            <w:rPr>
              <w:szCs w:val="24"/>
              <w:lang w:eastAsia="lt-LT"/>
            </w:rPr>
          </w:pPr>
          <w:r>
            <w:rPr>
              <w:szCs w:val="24"/>
              <w:lang w:eastAsia="lt-LT"/>
            </w:rPr>
            <w:t xml:space="preserve">Lietuvos Respublikos sveikatos apsaugos </w:t>
          </w:r>
        </w:p>
        <w:p>
          <w:pPr>
            <w:ind w:left="5102"/>
            <w:rPr>
              <w:szCs w:val="24"/>
              <w:lang w:eastAsia="lt-LT"/>
            </w:rPr>
          </w:pPr>
          <w:r>
            <w:rPr>
              <w:szCs w:val="24"/>
              <w:lang w:eastAsia="lt-LT"/>
            </w:rPr>
            <w:t xml:space="preserve">ministro 2010 m. rugpjūčio 12 d. įsakymu </w:t>
          </w:r>
        </w:p>
        <w:p>
          <w:pPr>
            <w:ind w:left="5102"/>
            <w:rPr>
              <w:szCs w:val="24"/>
              <w:lang w:eastAsia="lt-LT"/>
            </w:rPr>
          </w:pPr>
          <w:r>
            <w:rPr>
              <w:szCs w:val="24"/>
              <w:lang w:eastAsia="lt-LT"/>
            </w:rPr>
            <w:t xml:space="preserve">Nr. V-720 </w:t>
          </w:r>
        </w:p>
        <w:p>
          <w:pPr>
            <w:ind w:left="5102"/>
            <w:rPr>
              <w:szCs w:val="24"/>
              <w:lang w:eastAsia="lt-LT"/>
            </w:rPr>
          </w:pPr>
          <w:r>
            <w:rPr>
              <w:szCs w:val="24"/>
              <w:lang w:eastAsia="lt-LT"/>
            </w:rPr>
            <w:t xml:space="preserve">(Lietuvos Respublikos sveikatos apsaugos </w:t>
          </w:r>
        </w:p>
        <w:p>
          <w:pPr>
            <w:ind w:left="5102"/>
            <w:rPr>
              <w:szCs w:val="24"/>
              <w:lang w:eastAsia="lt-LT"/>
            </w:rPr>
          </w:pPr>
          <w:r>
            <w:rPr>
              <w:szCs w:val="24"/>
              <w:lang w:eastAsia="lt-LT"/>
            </w:rPr>
            <w:t xml:space="preserve">ministro </w:t>
          </w:r>
          <w:r>
            <w:rPr>
              <w:color w:val="000000"/>
              <w:szCs w:val="24"/>
              <w:lang w:eastAsia="lt-LT"/>
            </w:rPr>
            <w:t xml:space="preserve">2020 m. gruodžio 4 d. </w:t>
          </w:r>
          <w:r>
            <w:rPr>
              <w:szCs w:val="24"/>
              <w:lang w:eastAsia="lt-LT"/>
            </w:rPr>
            <w:t xml:space="preserve">įsakymo </w:t>
          </w:r>
        </w:p>
        <w:p>
          <w:pPr>
            <w:ind w:left="5102"/>
            <w:rPr>
              <w:szCs w:val="24"/>
              <w:lang w:eastAsia="lt-LT"/>
            </w:rPr>
          </w:pPr>
          <w:r>
            <w:rPr>
              <w:szCs w:val="24"/>
              <w:lang w:eastAsia="lt-LT"/>
            </w:rPr>
            <w:t>Nr. V-2823</w:t>
          </w:r>
        </w:p>
        <w:p>
          <w:pPr>
            <w:ind w:left="5102"/>
            <w:rPr>
              <w:szCs w:val="24"/>
              <w:lang w:eastAsia="lt-LT"/>
            </w:rPr>
          </w:pPr>
          <w:r>
            <w:rPr>
              <w:szCs w:val="24"/>
              <w:lang w:eastAsia="lt-LT"/>
            </w:rPr>
            <w:t>redakcija)</w:t>
          </w:r>
        </w:p>
        <w:p>
          <w:pPr>
            <w:tabs>
              <w:tab w:val="left" w:pos="1635"/>
              <w:tab w:val="center" w:pos="4536"/>
            </w:tabs>
            <w:ind w:firstLine="851"/>
            <w:jc w:val="center"/>
            <w:rPr>
              <w:color w:val="000000"/>
              <w:szCs w:val="24"/>
            </w:rPr>
          </w:pPr>
        </w:p>
        <w:p>
          <w:pPr>
            <w:tabs>
              <w:tab w:val="left" w:pos="1635"/>
              <w:tab w:val="center" w:pos="4536"/>
            </w:tabs>
            <w:ind w:firstLine="851"/>
            <w:jc w:val="center"/>
            <w:rPr>
              <w:color w:val="000000"/>
              <w:szCs w:val="24"/>
            </w:rPr>
          </w:pPr>
        </w:p>
        <w:p>
          <w:pPr>
            <w:tabs>
              <w:tab w:val="left" w:pos="1635"/>
              <w:tab w:val="center" w:pos="4536"/>
            </w:tabs>
            <w:jc w:val="center"/>
            <w:rPr>
              <w:color w:val="000000"/>
              <w:szCs w:val="24"/>
            </w:rPr>
          </w:pPr>
          <w:sdt>
            <w:sdtPr>
              <w:alias w:val="Pavadinimas"/>
              <w:tag w:val="title_be9f7ef0cb3c48f498754df8c3af2f9a"/>
              <w:lock w:val="sdtLocked"/>
              <w:richText/>
            </w:sdtPr>
            <w:sdtContent>
              <w:r>
                <w:rPr>
                  <w:b/>
                  <w:bCs/>
                  <w:color w:val="000000"/>
                  <w:szCs w:val="24"/>
                </w:rPr>
                <w:t>LIGŲ, TRUKDANČIŲ VERSTIS ASMENS SVEIKATOS PRIEŽIŪROS PRAKTIKA, SĄRAŠAS</w:t>
              </w:r>
            </w:sdtContent>
          </w:sdt>
        </w:p>
        <w:p>
          <w:pPr>
            <w:tabs>
              <w:tab w:val="left" w:pos="1635"/>
              <w:tab w:val="center" w:pos="4536"/>
            </w:tabs>
            <w:ind w:firstLine="851"/>
            <w:jc w:val="both"/>
            <w:rPr>
              <w:caps/>
              <w:color w:val="000000"/>
              <w:szCs w:val="24"/>
              <w:lang w:eastAsia="lt-LT"/>
            </w:rPr>
          </w:pPr>
        </w:p>
        <w:sdt>
          <w:sdtPr>
            <w:alias w:val="1 p."/>
            <w:tag w:val="part_eac28c8d83214c459a490c3ba6483857"/>
            <w:lock w:val="sdtLocked"/>
            <w:richText/>
          </w:sdtPr>
          <w:sdtContent>
            <w:p>
              <w:pPr>
                <w:tabs>
                  <w:tab w:val="left" w:pos="1635"/>
                  <w:tab w:val="center" w:pos="4536"/>
                </w:tabs>
                <w:ind w:firstLine="851"/>
                <w:jc w:val="both"/>
                <w:rPr>
                  <w:caps/>
                  <w:color w:val="000000"/>
                  <w:szCs w:val="24"/>
                  <w:lang w:eastAsia="lt-LT"/>
                </w:rPr>
              </w:pPr>
              <w:sdt>
                <w:sdtPr>
                  <w:alias w:val="Numeris"/>
                  <w:tag w:val="nr_eac28c8d83214c459a490c3ba6483857"/>
                  <w:lock w:val="sdtLocked"/>
                  <w:richText/>
                </w:sdtPr>
                <w:sdtContent>
                  <w:r>
                    <w:rPr>
                      <w:color w:val="000000"/>
                      <w:szCs w:val="24"/>
                      <w:lang w:eastAsia="lt-LT"/>
                    </w:rPr>
                    <w:t>1</w:t>
                  </w:r>
                </w:sdtContent>
              </w:sdt>
              <w:r>
                <w:rPr>
                  <w:color w:val="000000"/>
                  <w:szCs w:val="24"/>
                  <w:lang w:eastAsia="lt-LT"/>
                </w:rPr>
                <w:t>. Bet kurios lokalizacijos tuberkuliozė, kai išskiriamos mikobakterijos.</w:t>
              </w:r>
            </w:p>
            <w:p>
              <w:pPr>
                <w:tabs>
                  <w:tab w:val="left" w:pos="1635"/>
                  <w:tab w:val="center" w:pos="4536"/>
                </w:tabs>
                <w:ind w:firstLine="851"/>
                <w:jc w:val="both"/>
                <w:rPr>
                  <w:caps/>
                  <w:color w:val="000000"/>
                  <w:szCs w:val="24"/>
                  <w:lang w:eastAsia="lt-LT"/>
                </w:rPr>
              </w:pPr>
            </w:p>
          </w:sdtContent>
        </w:sdt>
        <w:sdt>
          <w:sdtPr>
            <w:alias w:val="pabaiga"/>
            <w:tag w:val="part_759ce6e37f88404a8dd21cc1539d5375"/>
            <w:lock w:val="sdtLocked"/>
            <w:richText/>
          </w:sdtPr>
          <w:sdtContent>
            <w:p>
              <w:pPr>
                <w:tabs>
                  <w:tab w:val="left" w:pos="1635"/>
                  <w:tab w:val="center" w:pos="4536"/>
                </w:tabs>
                <w:jc w:val="center"/>
              </w:pPr>
              <w:r>
                <w:rPr>
                  <w:caps/>
                  <w:color w:val="000000"/>
                  <w:szCs w:val="24"/>
                  <w:lang w:eastAsia="lt-LT"/>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774c50aedd11e5b12fbb7dc920ee2c">
            <w:r w:rsidRPr="00532B9F">
              <w:rPr>
                <w:rFonts w:ascii="Times New Roman" w:eastAsia="MS Mincho" w:hAnsi="Times New Roman"/>
                <w:sz w:val="20"/>
                <w:iCs/>
                <w:color w:val="0000FF" w:themeColor="hyperlink"/>
                <w:u w:val="single"/>
              </w:rPr>
              <w:t>V-1520</w:t>
            </w:r>
          </w:fldSimple>
          <w:r>
            <w:rPr>
              <w:rFonts w:ascii="Times New Roman" w:eastAsia="MS Mincho" w:hAnsi="Times New Roman"/>
              <w:sz w:val="20"/>
              <w:iCs/>
            </w:rPr>
            <w:t>,
2015-12-29,
paskelbta TAR 2015-12-30, i. k. 2015-20979                </w:t>
          </w:r>
        </w:p>
        <w:p>
          <w:pPr>
            <w:jc w:val="both"/>
            <w:rPr>
              <w:rFonts w:ascii="Times New Roman" w:hAnsi="Times New Roman"/>
            </w:rPr>
          </w:pPr>
          <w:r>
            <w:rPr>
              <w:rFonts w:ascii="Times New Roman" w:hAnsi="Times New Roman"/>
              <w:sz w:val="20"/>
            </w:rPr>
            <w:t>Dėl Lietuvos Respublikos sveikatos apsaugos ministro 2010 m. rugpjūčio 12 d. įsakymo Nr. V-720 „Dėl ligų, trukdančių asmenims teikti slaugos ar akušerijos paslaugas,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62a30902b1511eabe008ea93139d588">
            <w:r w:rsidRPr="00532B9F">
              <w:rPr>
                <w:rFonts w:ascii="Times New Roman" w:eastAsia="MS Mincho" w:hAnsi="Times New Roman"/>
                <w:sz w:val="20"/>
                <w:iCs/>
                <w:color w:val="0000FF" w:themeColor="hyperlink"/>
                <w:u w:val="single"/>
              </w:rPr>
              <w:t>V-1502</w:t>
            </w:r>
          </w:fldSimple>
          <w:r>
            <w:rPr>
              <w:rFonts w:ascii="Times New Roman" w:eastAsia="MS Mincho" w:hAnsi="Times New Roman"/>
              <w:sz w:val="20"/>
              <w:iCs/>
            </w:rPr>
            <w:t>,
2019-12-30,
paskelbta TAR 2019-12-31, i. k. 2019-21688                </w:t>
          </w:r>
        </w:p>
        <w:p>
          <w:pPr>
            <w:jc w:val="both"/>
            <w:rPr>
              <w:rFonts w:ascii="Times New Roman" w:hAnsi="Times New Roman"/>
            </w:rPr>
          </w:pPr>
          <w:r>
            <w:rPr>
              <w:rFonts w:ascii="Times New Roman" w:hAnsi="Times New Roman"/>
              <w:sz w:val="20"/>
            </w:rPr>
            <w:t>Dėl Lietuvos Respublikos sveikatos apsaugos ministro 2010 m. rugpjūčio 12 d. įsakymo Nr. V-720 ,,Dėl Ligų, trukdančių verstis bendrosios slaugos praktika, akušerijos praktika ar medicinos praktika,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1e3e604e6511ea8aceeadd0c5b168c">
            <w:r w:rsidRPr="00532B9F">
              <w:rPr>
                <w:rFonts w:ascii="Times New Roman" w:eastAsia="MS Mincho" w:hAnsi="Times New Roman"/>
                <w:sz w:val="20"/>
                <w:iCs/>
                <w:color w:val="0000FF" w:themeColor="hyperlink"/>
                <w:u w:val="single"/>
              </w:rPr>
              <w:t>V-164</w:t>
            </w:r>
          </w:fldSimple>
          <w:r>
            <w:rPr>
              <w:rFonts w:ascii="Times New Roman" w:eastAsia="MS Mincho" w:hAnsi="Times New Roman"/>
              <w:sz w:val="20"/>
              <w:iCs/>
            </w:rPr>
            <w:t>,
2020-02-12,
paskelbta TAR 2020-02-13, i. k. 2020-03263                </w:t>
          </w:r>
        </w:p>
        <w:p>
          <w:pPr>
            <w:jc w:val="both"/>
            <w:rPr>
              <w:rFonts w:ascii="Times New Roman" w:hAnsi="Times New Roman"/>
            </w:rPr>
          </w:pPr>
          <w:r>
            <w:rPr>
              <w:rFonts w:ascii="Times New Roman" w:hAnsi="Times New Roman"/>
              <w:sz w:val="20"/>
            </w:rPr>
            <w:t>Dėl Lietuvos Respublikos sveikatos apsaugos ministro 2010 m. rugpjūčio 12 d. įsakymo Nr. V-720 „Dėl Ligų, trukdančių verstis bendrosios slaugos praktika, akušerijos praktika ar medicinos praktika,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2e170f0d01011eaabd5b5599dd4eebe">
            <w:r w:rsidRPr="00532B9F">
              <w:rPr>
                <w:rFonts w:ascii="Times New Roman" w:eastAsia="MS Mincho" w:hAnsi="Times New Roman"/>
                <w:sz w:val="20"/>
                <w:iCs/>
                <w:color w:val="0000FF" w:themeColor="hyperlink"/>
                <w:u w:val="single"/>
              </w:rPr>
              <w:t>V-1723</w:t>
            </w:r>
          </w:fldSimple>
          <w:r>
            <w:rPr>
              <w:rFonts w:ascii="Times New Roman" w:eastAsia="MS Mincho" w:hAnsi="Times New Roman"/>
              <w:sz w:val="20"/>
              <w:iCs/>
            </w:rPr>
            <w:t>,
2020-07-24,
paskelbta TAR 2020-07-27, i. k. 2020-16485                </w:t>
          </w:r>
        </w:p>
        <w:p>
          <w:pPr>
            <w:jc w:val="both"/>
            <w:rPr>
              <w:rFonts w:ascii="Times New Roman" w:hAnsi="Times New Roman"/>
            </w:rPr>
          </w:pPr>
          <w:r>
            <w:rPr>
              <w:rFonts w:ascii="Times New Roman" w:hAnsi="Times New Roman"/>
              <w:sz w:val="20"/>
            </w:rPr>
            <w:t>Dėl Lietuvos Respublikos sveikatos apsaugos ministro 2010 m. rugpjūčio 12 d. įsakymo Nr. V-720 „Dėl Ligų, trukdančių verstis bendrąja slaugos praktika, akušerijos praktika, medicinos praktika, odontologijos praktika ar burnos priežiūros praktika,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a787e0363b11eb8d9fe110e148c770">
            <w:r w:rsidRPr="00532B9F">
              <w:rPr>
                <w:rFonts w:ascii="Times New Roman" w:eastAsia="MS Mincho" w:hAnsi="Times New Roman"/>
                <w:sz w:val="20"/>
                <w:iCs/>
                <w:color w:val="0000FF" w:themeColor="hyperlink"/>
                <w:u w:val="single"/>
              </w:rPr>
              <w:t>V-2823</w:t>
            </w:r>
          </w:fldSimple>
          <w:r>
            <w:rPr>
              <w:rFonts w:ascii="Times New Roman" w:eastAsia="MS Mincho" w:hAnsi="Times New Roman"/>
              <w:sz w:val="20"/>
              <w:iCs/>
            </w:rPr>
            <w:t>,
2020-12-04,
paskelbta TAR 2020-12-04, i. k. 2020-26307                </w:t>
          </w:r>
        </w:p>
        <w:p>
          <w:pPr>
            <w:jc w:val="both"/>
            <w:rPr>
              <w:rFonts w:ascii="Times New Roman" w:hAnsi="Times New Roman"/>
            </w:rPr>
          </w:pPr>
          <w:r>
            <w:rPr>
              <w:rFonts w:ascii="Times New Roman" w:hAnsi="Times New Roman"/>
              <w:sz w:val="20"/>
            </w:rPr>
            <w:t>Dėl Lietuvos Respublikos sveikatos apsaugos ministro 2010 m. rugpjūčio 12 d. įsakymo Nr. V-720 „Dėl Ligų, trukdančių verstis bendrąja slaugos praktika, akušerijos praktika, medicinos praktika, odontologijos praktika ar burnos priežiūros praktika,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cols w:space="708"/>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rPr>
        <w:sz w:val="22"/>
        <w:szCs w:val="22"/>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zoom w:percent="100"/>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308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image" Target="media/image1.wmf"/>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4.wmf"/>
  <Relationship Id="rId17" Type="http://schemas.openxmlformats.org/officeDocument/2006/relationships/header" Target="header12.xml"/>
  <Relationship Id="rId18" Type="http://schemas.openxmlformats.org/officeDocument/2006/relationships/header" Target="header13.xml"/>
  <Relationship Id="rId19" Type="http://schemas.openxmlformats.org/officeDocument/2006/relationships/footer" Target="footer13.xml"/>
  <Relationship Id="rId2" Type="http://schemas.openxmlformats.org/officeDocument/2006/relationships/endnotes" Target="endnotes.xml"/>
  <Relationship Id="rId20" Type="http://schemas.openxmlformats.org/officeDocument/2006/relationships/footer" Target="footer14.xml"/>
  <Relationship Id="rId21" Type="http://schemas.openxmlformats.org/officeDocument/2006/relationships/header" Target="header14.xml"/>
  <Relationship Id="rId22" Type="http://schemas.openxmlformats.org/officeDocument/2006/relationships/footer" Target="footer15.xml"/>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83337ca3c1f4185bec3677ac0fbb34d" PartId="00dca3c1e8224037924d20770ed88649">
    <Part Type="preambule" DocPartId="8fcac83ae3f74d23afd7da27a76120a3" PartId="6d4bbfad99014b20ae543625067c0735"/>
    <Part Type="punktas" Nr="1" Abbr="1 p." DocPartId="29da512b6e0c43baa7477f0fc0c21721" PartId="b4f93ab472c54f5cab505c4a5136ae3e"/>
    <Part Type="punktas" Nr="2" Abbr="2 p." DocPartId="3bf2d64bd5aa4aaf91e5d50ddecd596c" PartId="418500f88114471887b571c9ea04c90e">
      <Part Type="papunktis" Nr="2.1" Abbr="2.1 pp." DocPartId="4bdb5d73ed13432abbfb8081fc58e054" PartId="02d2ea2c9b7842bbb1ffc82ecc3915e7"/>
      <Part Type="papunktis" Nr="2.2" Abbr="2.2 pp." DocPartId="2c46b4dbe35f40a1bd0707b9f0e1b18e" PartId="003ecbe576884d7cb0fd9a31cc4e6628"/>
    </Part>
    <Part Type="signatura" DocPartId="80e31686e5bf4c8a9ecefb72a9385302" PartId="befe215938b84460b921b25c17acd5f4"/>
  </Part>
  <Part Type="patvirtinta" Title="LIGŲ, TRUKDANČIŲ VERSTIS ASMENS SVEIKATOS PRIEŽIŪROS PRAKTIKA, SĄRAŠAS" DocPartId="1c21fba338e1454faaaee7ae700493c2" PartId="be9f7ef0cb3c48f498754df8c3af2f9a">
    <Part Type="punktas" Nr="1" Abbr="1 p." DocPartId="28791358eec94ccfa3b0905741e5f213" PartId="eac28c8d83214c459a490c3ba6483857"/>
    <Part Type="pabaiga" DocPartId="afd7832363ff4296b4de2a91c6d4439b" PartId="759ce6e37f88404a8dd21cc1539d5375"/>
  </Part>
</Parts>
</file>

<file path=customXml/itemProps1.xml><?xml version="1.0" encoding="utf-8"?>
<ds:datastoreItem xmlns:ds="http://schemas.openxmlformats.org/officeDocument/2006/customXml" ds:itemID="{CFAEEF66-2360-4E57-BD12-30F219157B5C}">
  <ds:schemaRefs>
    <ds:schemaRef ds:uri="http://lrs.lt/TAIS/DocParts"/>
  </ds:schemaRefs>
</ds:datastoreItem>
</file>

<file path=docProps/app.xml><?xml version="1.0" encoding="utf-8"?>
<Properties xmlns="http://schemas.openxmlformats.org/officeDocument/2006/extended-properties">
  <Template>Normal.dotm</Template>
  <TotalTime>10</TotalTime>
  <Pages>4</Pages>
  <Words>2821</Words>
  <Characters>1608</Characters>
  <Application>Microsoft Office Word</Application>
  <DocSecurity>0</DocSecurity>
  <Lines>13</Lines>
  <Paragraphs>8</Paragraphs>
  <ScaleCrop>false</ScaleCrop>
  <Company>Teisines informacijos centras</Company>
  <LinksUpToDate>false</LinksUpToDate>
  <CharactersWithSpaces>4421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2015-07-05T00:38:00Z</dcterms:created>
  <dc:creator>Sandra</dc:creator>
  <lastModifiedBy>TAMALIŪNIENĖ Vilija</lastModifiedBy>
  <dcterms:modified xsi:type="dcterms:W3CDTF">2020-12-08T10:49:00Z</dcterms:modified>
  <revision>11</revision>
  <dc:title>LIETUVOS RESPUBLIKOS SVEIKATOS APSAUGOS MINISTRO</dc:title>
</coreProperties>
</file>