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83eff7aa1604b7db9476444baa73a6f"/>
        <w:lock w:val="sdtLocked"/>
        <w:richText/>
      </w:sdtPr>
      <w:sdtContent>
        <w:p>
          <w:pPr>
            <w:jc w:val="both"/>
            <w:rPr>
              <w:rFonts w:ascii="Times New Roman" w:hAnsi="Times New Roman"/>
            </w:rPr>
          </w:pPr>
          <w:r>
            <w:rPr>
              <w:rFonts w:ascii="Times New Roman" w:hAnsi="Times New Roman"/>
              <w:b/>
              <w:i/>
            </w:rPr>
            <w:t>Suvestinė redakcija nuo 2025-07-01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0480E244B0A1">
            <w:r w:rsidRPr="00532B9F">
              <w:rPr>
                <w:rFonts w:ascii="Times New Roman" w:eastAsia="MS Mincho" w:hAnsi="Times New Roman"/>
                <w:sz w:val="20"/>
                <w:i/>
                <w:iCs/>
                <w:color w:val="0000FF" w:themeColor="hyperlink"/>
                <w:u w:val="single"/>
              </w:rPr>
              <w:t>92-4879</w:t>
            </w:r>
          </w:fldSimple>
          <w:r>
            <w:rPr>
              <w:rFonts w:ascii="Times New Roman" w:eastAsia="MS Mincho" w:hAnsi="Times New Roman"/>
              <w:sz w:val="20"/>
              <w:i/>
              <w:iCs/>
            </w:rPr>
            <w:t>, i. k. 1102230ISAK76/V-676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2020-07-01:</w:t>
          </w:r>
        </w:p>
        <w:p>
          <w:pPr>
            <w:rPr>
              <w:rFonts w:ascii="Times New Roman" w:hAnsi="Times New Roman"/>
              <w:sz w:val="20"/>
              <w:i/>
            </w:rPr>
          </w:pPr>
          <w:r>
            <w:rPr>
              <w:rFonts w:ascii="Times New Roman" w:hAnsi="Times New Roman"/>
              <w:sz w:val="20"/>
              <w:i/>
            </w:rPr>
            <w:t xml:space="preserve">Nr. </w:t>
          </w:r>
          <w:fldSimple w:instr="HYPERLINK https://www.e-tar.lt/portal/legalAct.html?documentId=e81cc800b5e511eab9d9cd0c85e0b745">
            <w:r w:rsidRPr="00532B9F">
              <w:rPr>
                <w:rFonts w:ascii="Times New Roman" w:eastAsia="MS Mincho" w:hAnsi="Times New Roman"/>
                <w:sz w:val="20"/>
                <w:i/>
                <w:iCs/>
                <w:color w:val="0000FF" w:themeColor="hyperlink"/>
                <w:u w:val="single"/>
              </w:rPr>
              <w:t>A1-588/V-1536</w:t>
            </w:r>
          </w:fldSimple>
          <w:r>
            <w:rPr>
              <w:rFonts w:ascii="Times New Roman" w:eastAsia="MS Mincho" w:hAnsi="Times New Roman"/>
              <w:sz w:val="20"/>
              <w:i/>
              <w:iCs/>
            </w:rPr>
            <w:t>,
2020-06-23,
paskelbta TAR 2020-06-25, i. k. 2020-13817                </w:t>
          </w:r>
        </w:p>
        <w:p>
          <w:pPr>
            <w:rPr>
              <w:rFonts w:ascii="Times New Roman" w:hAnsi="Times New Roman"/>
              <w:sz w:val="22"/>
            </w:rPr>
          </w:pPr>
        </w:p>
        <w:p>
          <w:pPr>
            <w:widowControl w:val="0"/>
            <w:suppressAutoHyphens/>
            <w:spacing w:line="276" w:lineRule="auto"/>
            <w:jc w:val="center"/>
            <w:rPr>
              <w:b/>
              <w:color w:val="000000"/>
              <w:szCs w:val="24"/>
            </w:rPr>
          </w:pPr>
          <w:r>
            <w:rPr>
              <w:color w:val="000000"/>
              <w:szCs w:val="24"/>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0;margin-top:0;width:.75pt;height:.75pt;z-index:251659776;visibility:hidden;mso-position-horizontal-relative:text;mso-position-vertical-relative:text" stroked="f">
                <v:imagedata r:id="rId14" o:title=""/>
              </v:shape>
              <w:control r:id="rId15" w:name="Valdiklis 3" w:shapeid="_x0000_s1027"/>
            </w:pict>
          </w:r>
          <w:r>
            <w:rPr>
              <w:b/>
              <w:color w:val="000000"/>
              <w:szCs w:val="24"/>
            </w:rPr>
            <w:t>LIETUVOS RESPUBLIKOS SOCIALINĖS APSAUGOS IR DARBO MINISTRAS</w:t>
          </w:r>
        </w:p>
        <w:p>
          <w:pPr>
            <w:widowControl w:val="0"/>
            <w:suppressAutoHyphens/>
            <w:spacing w:line="276" w:lineRule="auto"/>
            <w:jc w:val="center"/>
            <w:rPr>
              <w:b/>
              <w:color w:val="000000"/>
              <w:szCs w:val="24"/>
            </w:rPr>
          </w:pPr>
        </w:p>
        <w:p>
          <w:pPr>
            <w:widowControl w:val="0"/>
            <w:suppressAutoHyphens/>
            <w:spacing w:line="276" w:lineRule="auto"/>
            <w:jc w:val="center"/>
            <w:rPr>
              <w:b/>
              <w:color w:val="000000"/>
              <w:szCs w:val="24"/>
            </w:rPr>
          </w:pPr>
          <w:r>
            <w:rPr>
              <w:b/>
              <w:color w:val="000000"/>
              <w:szCs w:val="24"/>
            </w:rPr>
            <w:t>LIETUVOS RESPUBLIKOS SVEIKATOS APSAUGOS MINISTRAS</w:t>
          </w:r>
        </w:p>
        <w:p>
          <w:pPr>
            <w:widowControl w:val="0"/>
            <w:suppressAutoHyphens/>
            <w:spacing w:line="276" w:lineRule="auto"/>
            <w:jc w:val="center"/>
            <w:rPr>
              <w:b/>
              <w:color w:val="000000"/>
              <w:szCs w:val="24"/>
            </w:rPr>
          </w:pPr>
        </w:p>
        <w:p>
          <w:pPr>
            <w:widowControl w:val="0"/>
            <w:suppressAutoHyphens/>
            <w:spacing w:line="276" w:lineRule="auto"/>
            <w:jc w:val="center"/>
            <w:rPr>
              <w:b/>
              <w:color w:val="000000"/>
              <w:szCs w:val="24"/>
            </w:rPr>
          </w:pPr>
          <w:r>
            <w:rPr>
              <w:b/>
              <w:color w:val="000000"/>
              <w:szCs w:val="24"/>
            </w:rPr>
            <w:t>ĮSAKYMAS</w:t>
          </w:r>
        </w:p>
        <w:p>
          <w:pPr>
            <w:widowControl w:val="0"/>
            <w:suppressAutoHyphens/>
            <w:spacing w:line="276" w:lineRule="auto"/>
            <w:jc w:val="center"/>
            <w:rPr>
              <w:b/>
              <w:bCs/>
              <w:caps/>
              <w:color w:val="000000"/>
            </w:rPr>
          </w:pPr>
          <w:r>
            <w:rPr>
              <w:b/>
              <w:bCs/>
              <w:caps/>
              <w:color w:val="000000"/>
            </w:rPr>
            <w:t>DĖL INSTITUCIJŲ, ATSAKINGŲ UŽ EUROPOS SĄJUNGOS SOCIALINĖS APSAUGOS SISTEMŲ KOORDINAVIMO REGLAMENTŲ ĮGYVENDINIMĄ, PASKYRIMO</w:t>
          </w:r>
        </w:p>
        <w:p>
          <w:pPr>
            <w:spacing w:line="276" w:lineRule="auto"/>
            <w:jc w:val="both"/>
            <w:rPr>
              <w:szCs w:val="24"/>
              <w:lang w:eastAsia="lt-LT"/>
            </w:rPr>
          </w:pPr>
        </w:p>
        <w:p>
          <w:pPr>
            <w:spacing w:line="276" w:lineRule="auto"/>
            <w:jc w:val="center"/>
            <w:rPr>
              <w:color w:val="000000"/>
            </w:rPr>
          </w:pPr>
          <w:r>
            <w:rPr>
              <w:color w:val="000000"/>
            </w:rPr>
            <w:t>2010 m. liepos 28 d. Nr. A1-376/V-676</w:t>
          </w:r>
        </w:p>
        <w:p>
          <w:pPr>
            <w:spacing w:line="276" w:lineRule="auto"/>
            <w:jc w:val="center"/>
            <w:rPr>
              <w:szCs w:val="24"/>
              <w:lang w:eastAsia="lt-LT"/>
            </w:rPr>
          </w:pPr>
          <w:r>
            <w:rPr>
              <w:color w:val="000000"/>
            </w:rPr>
            <w:t>Vilnius</w:t>
          </w:r>
        </w:p>
        <w:p>
          <w:pPr>
            <w:spacing w:line="276" w:lineRule="auto"/>
            <w:jc w:val="both"/>
            <w:rPr>
              <w:szCs w:val="24"/>
              <w:lang w:eastAsia="lt-LT"/>
            </w:rPr>
          </w:pPr>
        </w:p>
        <w:sdt>
          <w:sdtPr>
            <w:alias w:val="preambule"/>
            <w:tag w:val="part_d7bf711b521c47d6994c883c80f52e57"/>
            <w:lock w:val="sdtLocked"/>
            <w:richText/>
          </w:sdtPr>
          <w:sdtContent>
            <w:p>
              <w:pPr>
                <w:widowControl w:val="0"/>
                <w:suppressAutoHyphens/>
                <w:spacing w:line="276" w:lineRule="auto"/>
                <w:ind w:firstLine="1134"/>
                <w:jc w:val="both"/>
                <w:rPr>
                  <w:color w:val="000000"/>
                </w:rPr>
              </w:pPr>
              <w:r>
                <w:rPr>
                  <w:color w:val="000000"/>
                </w:rPr>
                <w:t xml:space="preserve">Siekdami užtikrinti 2004 m. balandžio 29 d. Europos Parlamento ir Tarybos reglamento (EB) Nr. 883/2004 dėl socialinės apsaugos sistemų koordinavimo su visais pakeitimais  ir 2009 m. rugsėjo 16 d. Europos Parlamento ir Tarybos reglamento (EB) Nr. 987/2009, nustatančio Reglamento (EB) Nr. 883/2004 dėl socialinės apsaugos sistemų koordinavimo įgyvendinimo tvarką, su visais pakeitimais įgyvendinimą:</w:t>
              </w:r>
            </w:p>
          </w:sdtContent>
        </w:sdt>
        <w:sdt>
          <w:sdtPr>
            <w:alias w:val="1 p."/>
            <w:tag w:val="part_61aef90f75d844e5b6f0093e17f94e7d"/>
            <w:lock w:val="sdtLocked"/>
            <w:richText/>
          </w:sdtPr>
          <w:sdtContent>
            <w:p>
              <w:pPr>
                <w:widowControl w:val="0"/>
                <w:tabs>
                  <w:tab w:val="left" w:pos="1418"/>
                </w:tabs>
                <w:suppressAutoHyphens/>
                <w:spacing w:line="276" w:lineRule="auto"/>
                <w:ind w:firstLine="1134"/>
                <w:jc w:val="both"/>
                <w:rPr>
                  <w:color w:val="000000"/>
                  <w:szCs w:val="24"/>
                </w:rPr>
              </w:pPr>
              <w:sdt>
                <w:sdtPr>
                  <w:alias w:val="Numeris"/>
                  <w:tag w:val="nr_61aef90f75d844e5b6f0093e17f94e7d"/>
                  <w:lock w:val="sdtLocked"/>
                  <w:richText/>
                </w:sdtPr>
                <w:sdtContent>
                  <w:r>
                    <w:rPr>
                      <w:color w:val="000000"/>
                      <w:szCs w:val="24"/>
                    </w:rPr>
                    <w:t>1</w:t>
                  </w:r>
                </w:sdtContent>
              </w:sdt>
              <w:r>
                <w:rPr>
                  <w:color w:val="000000"/>
                  <w:szCs w:val="24"/>
                </w:rPr>
                <w:t>.</w:t>
                <w:tab/>
              </w:r>
              <w:r>
                <w:rPr>
                  <w:color w:val="000000"/>
                </w:rPr>
                <w:t>S k i r i a m e šias institucijas, atsakingas už Reglamento (EB) Nr. 883/2004 ir Reglamento (EB) Nr. 987/2009 nuostatų įgyvendinimą:</w:t>
              </w:r>
            </w:p>
            <w:p>
              <w:pPr>
                <w:widowControl w:val="0"/>
                <w:tabs>
                  <w:tab w:val="left" w:pos="1418"/>
                </w:tabs>
                <w:suppressAutoHyphens/>
                <w:spacing w:line="276" w:lineRule="auto"/>
                <w:ind w:left="1134"/>
                <w:jc w:val="both"/>
                <w:rPr>
                  <w:color w:val="000000"/>
                  <w:szCs w:val="24"/>
                </w:rPr>
              </w:pPr>
            </w:p>
            <w:tbl>
              <w:tblPr>
                <w:tblW w:w="9605" w:type="dxa"/>
                <w:jc w:val="center"/>
                <w:tblLayout w:type="fixed"/>
                <w:tblCellMar>
                  <w:left w:w="0" w:type="dxa"/>
                  <w:right w:w="0" w:type="dxa"/>
                </w:tblCellMar>
                <w:tblLook w:val="0000" w:firstRow="0" w:lastRow="0" w:firstColumn="0" w:lastColumn="0" w:noHBand="0" w:noVBand="0"/>
              </w:tblPr>
              <w:tblGrid>
                <w:gridCol w:w="835"/>
                <w:gridCol w:w="3601"/>
                <w:gridCol w:w="5169"/>
              </w:tblGrid>
              <w:tr>
                <w:trPr>
                  <w:trHeight w:val="60"/>
                  <w:tblHeader/>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jc w:val="center"/>
                      <w:rPr>
                        <w:b/>
                        <w:bCs/>
                        <w:color w:val="000000"/>
                      </w:rPr>
                    </w:pPr>
                    <w:r>
                      <w:rPr>
                        <w:b/>
                        <w:bCs/>
                        <w:color w:val="000000"/>
                      </w:rPr>
                      <w:t>Eil.</w:t>
                    </w:r>
                  </w:p>
                  <w:p>
                    <w:pPr>
                      <w:widowControl w:val="0"/>
                      <w:suppressAutoHyphens/>
                      <w:spacing w:line="276" w:lineRule="auto"/>
                      <w:jc w:val="center"/>
                      <w:rPr>
                        <w:color w:val="000000"/>
                      </w:rPr>
                    </w:pPr>
                    <w:r>
                      <w:rPr>
                        <w:b/>
                        <w:bCs/>
                        <w:color w:val="000000"/>
                      </w:rPr>
                      <w:t>Nr.</w:t>
                    </w:r>
                  </w:p>
                </w:tc>
                <w:tc>
                  <w:tcPr>
                    <w:tcW w:w="36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jc w:val="center"/>
                      <w:rPr>
                        <w:color w:val="000000"/>
                      </w:rPr>
                    </w:pPr>
                    <w:r>
                      <w:rPr>
                        <w:b/>
                        <w:bCs/>
                        <w:color w:val="000000"/>
                      </w:rPr>
                      <w:t>Atsakomybės sritis</w:t>
                    </w:r>
                  </w:p>
                </w:tc>
                <w:tc>
                  <w:tcPr>
                    <w:tcW w:w="51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jc w:val="center"/>
                      <w:rPr>
                        <w:color w:val="000000"/>
                      </w:rPr>
                    </w:pPr>
                    <w:r>
                      <w:rPr>
                        <w:b/>
                        <w:bCs/>
                        <w:color w:val="000000"/>
                      </w:rPr>
                      <w:t>Institucija</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b/>
                        <w:bCs/>
                        <w:color w:val="000000"/>
                      </w:rPr>
                      <w:t>1.</w:t>
                    </w:r>
                  </w:p>
                </w:tc>
                <w:tc>
                  <w:tcPr>
                    <w:tcW w:w="8770" w:type="dxa"/>
                    <w:gridSpan w:val="2"/>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b/>
                        <w:bCs/>
                        <w:color w:val="000000"/>
                      </w:rPr>
                      <w:t>Kompetentingos valdžios institucijos</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1.1.</w:t>
                    </w:r>
                  </w:p>
                </w:tc>
                <w:tc>
                  <w:tcPr>
                    <w:tcW w:w="36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Išmokos pinigais</w:t>
                    </w:r>
                    <w:r>
                      <w:rPr>
                        <w:szCs w:val="24"/>
                      </w:rPr>
                      <w:t xml:space="preserve">, </w:t>
                    </w:r>
                    <w:r>
                      <w:rPr>
                        <w:color w:val="000000"/>
                      </w:rPr>
                      <w:t>taikytina teisė</w:t>
                    </w:r>
                  </w:p>
                </w:tc>
                <w:tc>
                  <w:tcPr>
                    <w:tcW w:w="51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Lietuvos Respublikos socialinės apsaugos ir darbo ministerija</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1.2.</w:t>
                    </w:r>
                  </w:p>
                </w:tc>
                <w:tc>
                  <w:tcPr>
                    <w:tcW w:w="36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Išmokos natūra (sveikatos priežiūros paslaugos)</w:t>
                    </w:r>
                  </w:p>
                </w:tc>
                <w:tc>
                  <w:tcPr>
                    <w:tcW w:w="51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Lietuvos Respublikos sveikatos apsaugos ministerija</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b/>
                        <w:bCs/>
                        <w:color w:val="000000"/>
                      </w:rPr>
                      <w:t>2.</w:t>
                    </w:r>
                  </w:p>
                </w:tc>
                <w:tc>
                  <w:tcPr>
                    <w:tcW w:w="8770" w:type="dxa"/>
                    <w:gridSpan w:val="2"/>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b/>
                        <w:bCs/>
                        <w:color w:val="000000"/>
                      </w:rPr>
                      <w:t>Kompetentingos įstaigos</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2.1.</w:t>
                    </w:r>
                  </w:p>
                </w:tc>
                <w:tc>
                  <w:tcPr>
                    <w:tcW w:w="36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Ligos išmokos pinigais</w:t>
                    </w:r>
                  </w:p>
                </w:tc>
                <w:tc>
                  <w:tcPr>
                    <w:tcW w:w="51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Valstybinio socialinio draudimo fondo valdybos teritoriniai skyriai</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2.2.</w:t>
                    </w:r>
                  </w:p>
                </w:tc>
                <w:tc>
                  <w:tcPr>
                    <w:tcW w:w="36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Ilgalaikės priežiūros išmokos pinigais</w:t>
                    </w:r>
                  </w:p>
                </w:tc>
                <w:tc>
                  <w:tcPr>
                    <w:tcW w:w="51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Savivaldybių administracijos</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2.3.</w:t>
                    </w:r>
                  </w:p>
                </w:tc>
                <w:tc>
                  <w:tcPr>
                    <w:tcW w:w="36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Ligos išmokos natūra (sveikatos priežiūros paslaugos), įskaitant ilgalaikės priežiūros išmokas natūra</w:t>
                    </w:r>
                  </w:p>
                </w:tc>
                <w:tc>
                  <w:tcPr>
                    <w:tcW w:w="51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Valstybinė ligonių kasa prie Sveikatos apsaugos ministerijos</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Cs w:val="24"/>
                        <w:lang w:eastAsia="lt-LT"/>
                      </w:rPr>
                    </w:pPr>
                    <w:r>
                      <w:rPr>
                        <w:color w:val="000000"/>
                        <w:szCs w:val="24"/>
                      </w:rPr>
                      <w:t>2.4.</w:t>
                    </w:r>
                  </w:p>
                </w:tc>
                <w:tc>
                  <w:tcPr>
                    <w:tcW w:w="8770" w:type="dxa"/>
                    <w:gridSpan w:val="2"/>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i/>
                        <w:color w:val="000000"/>
                        <w:sz w:val="20"/>
                        <w:lang w:eastAsia="lt-LT"/>
                      </w:rPr>
                    </w:pPr>
                    <w:r>
                      <w:rPr>
                        <w:i/>
                        <w:color w:val="000000"/>
                        <w:sz w:val="20"/>
                        <w:lang w:eastAsia="lt-LT"/>
                      </w:rPr>
                      <w:t>Neteko galios 2025-07-01</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2.5.</w:t>
                    </w:r>
                  </w:p>
                </w:tc>
                <w:tc>
                  <w:tcPr>
                    <w:tcW w:w="8770" w:type="dxa"/>
                    <w:gridSpan w:val="2"/>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i/>
                        <w:color w:val="000000"/>
                        <w:sz w:val="20"/>
                        <w:lang w:eastAsia="lt-LT"/>
                      </w:rPr>
                      <w:t>Neteko galios 2025-07-01</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2.6.</w:t>
                    </w:r>
                  </w:p>
                </w:tc>
                <w:tc>
                  <w:tcPr>
                    <w:tcW w:w="36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Motinystės, tėvystės ir vaiko priežiūros išmokos</w:t>
                    </w:r>
                  </w:p>
                </w:tc>
                <w:tc>
                  <w:tcPr>
                    <w:tcW w:w="51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Valstybinio socialinio draudimo fondo valdybos teritoriniai skyriai</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2.7.</w:t>
                    </w:r>
                  </w:p>
                </w:tc>
                <w:tc>
                  <w:tcPr>
                    <w:tcW w:w="36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Motinystės ir lygiavertės tėvystės išmokos natūra (sveikatos priežiūros paslaugos)</w:t>
                    </w:r>
                  </w:p>
                </w:tc>
                <w:tc>
                  <w:tcPr>
                    <w:tcW w:w="51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Valstybinė ligonių kasa prie Sveikatos apsaugos ministerijos</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2.8.</w:t>
                    </w:r>
                  </w:p>
                </w:tc>
                <w:tc>
                  <w:tcPr>
                    <w:tcW w:w="36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Išmokos pinigais dėl nelaimingų atsitikimų darbe ir profesinių ligų</w:t>
                    </w:r>
                  </w:p>
                </w:tc>
                <w:tc>
                  <w:tcPr>
                    <w:tcW w:w="51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Valstybinio socialinio draudimo fondo valdybos teritoriniai skyriai</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2.9.</w:t>
                    </w:r>
                  </w:p>
                </w:tc>
                <w:tc>
                  <w:tcPr>
                    <w:tcW w:w="36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Išmokos natūra (sveikatos priežiūros paslaugos) dėl nelaimingų atsitikimų darbe ir profesinių ligų</w:t>
                    </w:r>
                  </w:p>
                </w:tc>
                <w:tc>
                  <w:tcPr>
                    <w:tcW w:w="51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Valstybinė ligonių kasa prie Sveikatos apsaugos ministerijos</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2.10.</w:t>
                    </w:r>
                  </w:p>
                </w:tc>
                <w:tc>
                  <w:tcPr>
                    <w:tcW w:w="36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 xml:space="preserve">Netekto darbingumo, išankstinės senatvės, senatvės, našlių ir našlaičių (maitintojo netekimo), </w:t>
                    </w:r>
                    <w:r>
                      <w:t>invalidumo ir ištarnauto laiko</w:t>
                    </w:r>
                    <w:r>
                      <w:rPr>
                        <w:color w:val="000000"/>
                      </w:rPr>
                      <w:t xml:space="preserve"> pensijos</w:t>
                    </w:r>
                  </w:p>
                </w:tc>
                <w:tc>
                  <w:tcPr>
                    <w:tcW w:w="51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Valstybinio socialinio draudimo fondo valdybos Vilniaus skyrius</w:t>
                    </w:r>
                  </w:p>
                </w:tc>
              </w:tr>
              <w:tr>
                <w:trPr>
                  <w:trHeight w:val="60"/>
                  <w:jc w:val="center"/>
                </w:trPr>
                <w:tc>
                  <w:tcPr>
                    <w:tcW w:w="835" w:type="dxa"/>
                    <w:tcBorders>
                      <w:top w:val="single" w:sz="4" w:space="0" w:color="000000"/>
                      <w:left w:val="single" w:sz="4" w:space="0" w:color="000000"/>
                      <w:bottom w:val="single" w:sz="4" w:space="0" w:color="auto"/>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2.11.</w:t>
                    </w:r>
                  </w:p>
                </w:tc>
                <w:tc>
                  <w:tcPr>
                    <w:tcW w:w="3601" w:type="dxa"/>
                    <w:tcBorders>
                      <w:top w:val="single" w:sz="4" w:space="0" w:color="000000"/>
                      <w:left w:val="single" w:sz="4" w:space="0" w:color="000000"/>
                      <w:bottom w:val="single" w:sz="4" w:space="0" w:color="auto"/>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Nedarbo išmokos</w:t>
                    </w:r>
                  </w:p>
                </w:tc>
                <w:tc>
                  <w:tcPr>
                    <w:tcW w:w="5169" w:type="dxa"/>
                    <w:tcBorders>
                      <w:top w:val="single" w:sz="4" w:space="0" w:color="000000"/>
                      <w:left w:val="single" w:sz="4" w:space="0" w:color="000000"/>
                      <w:bottom w:val="single" w:sz="4" w:space="0" w:color="auto"/>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Valstybinio socialinio draudimo fondo valdybos Panevėžio skyrius</w:t>
                    </w:r>
                  </w:p>
                </w:tc>
              </w:tr>
              <w:tr>
                <w:trPr>
                  <w:trHeight w:val="60"/>
                  <w:jc w:val="center"/>
                </w:trPr>
                <w:tc>
                  <w:tcPr>
                    <w:tcW w:w="83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tcPr>
                  <w:p>
                    <w:pPr>
                      <w:widowControl w:val="0"/>
                      <w:suppressAutoHyphens/>
                      <w:rPr>
                        <w:color w:val="000000"/>
                        <w:szCs w:val="24"/>
                        <w:lang w:eastAsia="lt-LT"/>
                      </w:rPr>
                    </w:pPr>
                    <w:r>
                      <w:rPr>
                        <w:color w:val="000000"/>
                      </w:rPr>
                      <w:t>2.12.</w:t>
                    </w:r>
                  </w:p>
                </w:tc>
                <w:tc>
                  <w:tcPr>
                    <w:tcW w:w="3601"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tcPr>
                  <w:p>
                    <w:pPr>
                      <w:widowControl w:val="0"/>
                      <w:suppressAutoHyphens/>
                      <w:rPr>
                        <w:color w:val="000000"/>
                        <w:szCs w:val="24"/>
                        <w:lang w:eastAsia="lt-LT"/>
                      </w:rPr>
                    </w:pPr>
                    <w:r>
                      <w:rPr>
                        <w:color w:val="000000"/>
                      </w:rPr>
                      <w:t>Bedarbių ir darbo ieškančių asmenų registravimas, dokumentų dėl nedarbo išmokų eksporto išdavimas, informacijos, susijusios su nedarbo išmokų eksportu, teikimas</w:t>
                    </w:r>
                  </w:p>
                </w:tc>
                <w:tc>
                  <w:tcPr>
                    <w:tcW w:w="5169"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tcPr>
                  <w:p>
                    <w:pPr>
                      <w:widowControl w:val="0"/>
                      <w:suppressAutoHyphens/>
                      <w:rPr>
                        <w:color w:val="000000"/>
                        <w:szCs w:val="24"/>
                        <w:highlight w:val="yellow"/>
                        <w:lang w:eastAsia="lt-LT"/>
                      </w:rPr>
                    </w:pPr>
                    <w:r>
                      <w:rPr>
                        <w:color w:val="000000"/>
                      </w:rPr>
                      <w:t>Užimtumo tarnyba prie Lietuvos Respublikos socialinės apsaugos ir darbo ministerijos</w:t>
                    </w:r>
                  </w:p>
                </w:tc>
              </w:tr>
              <w:tr>
                <w:trPr>
                  <w:trHeight w:val="60"/>
                  <w:jc w:val="center"/>
                </w:trPr>
                <w:tc>
                  <w:tcPr>
                    <w:tcW w:w="835" w:type="dxa"/>
                    <w:tcBorders>
                      <w:top w:val="single" w:sz="4" w:space="0" w:color="auto"/>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2.13.</w:t>
                    </w:r>
                  </w:p>
                </w:tc>
                <w:tc>
                  <w:tcPr>
                    <w:tcW w:w="3601" w:type="dxa"/>
                    <w:tcBorders>
                      <w:top w:val="single" w:sz="4" w:space="0" w:color="auto"/>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 xml:space="preserve">Išmokos šeimai </w:t>
                    </w:r>
                  </w:p>
                </w:tc>
                <w:tc>
                  <w:tcPr>
                    <w:tcW w:w="5169" w:type="dxa"/>
                    <w:tcBorders>
                      <w:top w:val="single" w:sz="4" w:space="0" w:color="auto"/>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 xml:space="preserve">Savivaldybių administracijos (išmokos vaikams), </w:t>
                    </w:r>
                    <w:r>
                      <w:t>Valstybinio socialinio draudimo fondo valdybos Vilniaus skyrius (papildomos ar specialios išmokos našlaičiams)</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2.14.</w:t>
                    </w:r>
                  </w:p>
                </w:tc>
                <w:tc>
                  <w:tcPr>
                    <w:tcW w:w="36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Išmokos mirties atveju</w:t>
                    </w:r>
                  </w:p>
                </w:tc>
                <w:tc>
                  <w:tcPr>
                    <w:tcW w:w="51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Savivaldybių administracijos</w:t>
                    </w:r>
                  </w:p>
                </w:tc>
              </w:tr>
              <w:tr>
                <w:trPr>
                  <w:trHeight w:val="60"/>
                  <w:jc w:val="center"/>
                </w:trPr>
                <w:tc>
                  <w:tcPr>
                    <w:tcW w:w="835" w:type="dxa"/>
                    <w:tcBorders>
                      <w:top w:val="single" w:sz="4" w:space="0" w:color="000000"/>
                      <w:left w:val="single" w:sz="4" w:space="0" w:color="000000"/>
                      <w:bottom w:val="single" w:sz="4" w:space="0" w:color="auto"/>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2.15.</w:t>
                    </w:r>
                  </w:p>
                </w:tc>
                <w:tc>
                  <w:tcPr>
                    <w:tcW w:w="3601" w:type="dxa"/>
                    <w:tcBorders>
                      <w:top w:val="single" w:sz="4" w:space="0" w:color="000000"/>
                      <w:left w:val="single" w:sz="4" w:space="0" w:color="000000"/>
                      <w:bottom w:val="single" w:sz="4" w:space="0" w:color="auto"/>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Taikytina teisė</w:t>
                    </w:r>
                  </w:p>
                </w:tc>
                <w:tc>
                  <w:tcPr>
                    <w:tcW w:w="5169" w:type="dxa"/>
                    <w:tcBorders>
                      <w:top w:val="single" w:sz="4" w:space="0" w:color="000000"/>
                      <w:left w:val="single" w:sz="4" w:space="0" w:color="000000"/>
                      <w:bottom w:val="single" w:sz="4" w:space="0" w:color="auto"/>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Valstybinio socialinio draudimo fondo valdybos Vilniaus skyrius</w:t>
                    </w:r>
                  </w:p>
                </w:tc>
              </w:tr>
              <w:tr>
                <w:trPr>
                  <w:trHeight w:val="60"/>
                  <w:jc w:val="center"/>
                </w:trPr>
                <w:tc>
                  <w:tcPr>
                    <w:tcW w:w="83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tcPr>
                  <w:p>
                    <w:pPr>
                      <w:widowControl w:val="0"/>
                      <w:suppressAutoHyphens/>
                      <w:rPr>
                        <w:color w:val="000000"/>
                        <w:szCs w:val="24"/>
                        <w:lang w:eastAsia="lt-LT"/>
                      </w:rPr>
                    </w:pPr>
                    <w:r>
                      <w:rPr>
                        <w:color w:val="000000"/>
                      </w:rPr>
                      <w:t>2.16.</w:t>
                    </w:r>
                  </w:p>
                </w:tc>
                <w:tc>
                  <w:tcPr>
                    <w:tcW w:w="3601"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tcPr>
                  <w:p>
                    <w:pPr>
                      <w:widowControl w:val="0"/>
                      <w:suppressAutoHyphens/>
                      <w:rPr>
                        <w:color w:val="000000"/>
                        <w:szCs w:val="24"/>
                        <w:lang w:eastAsia="lt-LT"/>
                      </w:rPr>
                    </w:pPr>
                    <w:r>
                      <w:rPr>
                        <w:color w:val="000000"/>
                      </w:rPr>
                      <w:t>Dalyvumo lygio nustatymas, skiriant išmokas asmenims, gyvenantiems kitoje valstybėje narėje</w:t>
                    </w:r>
                  </w:p>
                </w:tc>
                <w:tc>
                  <w:tcPr>
                    <w:tcW w:w="5169"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tcPr>
                  <w:p>
                    <w:pPr>
                      <w:widowControl w:val="0"/>
                      <w:suppressAutoHyphens/>
                      <w:rPr>
                        <w:color w:val="000000"/>
                        <w:szCs w:val="24"/>
                        <w:highlight w:val="yellow"/>
                        <w:lang w:eastAsia="lt-LT"/>
                      </w:rPr>
                    </w:pPr>
                    <w:r>
                      <w:rPr>
                        <w:color w:val="000000"/>
                      </w:rPr>
                      <w:t>Asmens su negalia teisių apsaugos agentūra prie Lietuvos Respublikos socialinės apsaugos ir darbo ministerijos</w:t>
                    </w:r>
                  </w:p>
                </w:tc>
              </w:tr>
              <w:tr>
                <w:trPr>
                  <w:trHeight w:val="60"/>
                  <w:jc w:val="center"/>
                </w:trPr>
                <w:tc>
                  <w:tcPr>
                    <w:tcW w:w="835" w:type="dxa"/>
                    <w:tcBorders>
                      <w:top w:val="single" w:sz="4" w:space="0" w:color="auto"/>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2.17.</w:t>
                    </w:r>
                  </w:p>
                </w:tc>
                <w:tc>
                  <w:tcPr>
                    <w:tcW w:w="3601" w:type="dxa"/>
                    <w:tcBorders>
                      <w:top w:val="single" w:sz="4" w:space="0" w:color="auto"/>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Specialios neįmokinės išmokos pinigais (Reglamento (EB) Nr. 883/2004 70 str.)</w:t>
                    </w:r>
                  </w:p>
                </w:tc>
                <w:tc>
                  <w:tcPr>
                    <w:tcW w:w="5169" w:type="dxa"/>
                    <w:tcBorders>
                      <w:top w:val="single" w:sz="4" w:space="0" w:color="auto"/>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Valstybinio socialinio draudimo fondo valdybos teritoriniai skyriai</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2.18.</w:t>
                    </w:r>
                  </w:p>
                </w:tc>
                <w:tc>
                  <w:tcPr>
                    <w:tcW w:w="36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Reglamento (EB) Nr. 987/2009</w:t>
                    </w:r>
                  </w:p>
                  <w:p>
                    <w:pPr>
                      <w:widowControl w:val="0"/>
                      <w:suppressAutoHyphens/>
                      <w:spacing w:line="276" w:lineRule="auto"/>
                      <w:rPr>
                        <w:color w:val="000000"/>
                      </w:rPr>
                    </w:pPr>
                    <w:r>
                      <w:rPr>
                        <w:color w:val="000000"/>
                      </w:rPr>
                      <w:t>IV antraštinės dalies III skyriaus nuostatų dėl sumokėtų, tačiau nepriklausančių išmokų atgavimo, laikinų išmokų ir įmokų atgavimo, kompensacijos ir paramos, tenkinant pretenzijas, taikymas</w:t>
                    </w:r>
                  </w:p>
                </w:tc>
                <w:tc>
                  <w:tcPr>
                    <w:tcW w:w="51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Savivaldybių administracijos, Valstybinio socialinio draudimo fondo valdybos teritoriniai skyriai pagal kompetencijos sritį</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b/>
                        <w:bCs/>
                        <w:color w:val="000000"/>
                      </w:rPr>
                      <w:t>3.</w:t>
                    </w:r>
                  </w:p>
                </w:tc>
                <w:tc>
                  <w:tcPr>
                    <w:tcW w:w="8770" w:type="dxa"/>
                    <w:gridSpan w:val="2"/>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b/>
                        <w:bCs/>
                        <w:color w:val="000000"/>
                      </w:rPr>
                      <w:t>Gyvenimo ir (ar) buvimo vietos įstaigos</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3.1.</w:t>
                    </w:r>
                  </w:p>
                </w:tc>
                <w:tc>
                  <w:tcPr>
                    <w:tcW w:w="36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Ligos išmokos pinigais</w:t>
                    </w:r>
                  </w:p>
                </w:tc>
                <w:tc>
                  <w:tcPr>
                    <w:tcW w:w="51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Valstybinio socialinio draudimo fondo valdybos teritoriniai skyriai</w:t>
                    </w:r>
                  </w:p>
                </w:tc>
              </w:tr>
              <w:tr>
                <w:trPr>
                  <w:trHeight w:val="60"/>
                  <w:jc w:val="center"/>
                </w:trPr>
                <w:tc>
                  <w:tcPr>
                    <w:tcW w:w="835" w:type="dxa"/>
                    <w:tcBorders>
                      <w:top w:val="single" w:sz="4" w:space="0" w:color="000000"/>
                      <w:left w:val="single" w:sz="4" w:space="0" w:color="000000"/>
                      <w:bottom w:val="single" w:sz="4" w:space="0" w:color="auto"/>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3.2.</w:t>
                    </w:r>
                  </w:p>
                </w:tc>
                <w:tc>
                  <w:tcPr>
                    <w:tcW w:w="3601" w:type="dxa"/>
                    <w:tcBorders>
                      <w:top w:val="single" w:sz="4" w:space="0" w:color="000000"/>
                      <w:left w:val="single" w:sz="4" w:space="0" w:color="000000"/>
                      <w:bottom w:val="single" w:sz="4" w:space="0" w:color="auto"/>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Ilgalaikės priežiūros išmokos pinigais</w:t>
                    </w:r>
                  </w:p>
                </w:tc>
                <w:tc>
                  <w:tcPr>
                    <w:tcW w:w="5169" w:type="dxa"/>
                    <w:tcBorders>
                      <w:top w:val="single" w:sz="4" w:space="0" w:color="000000"/>
                      <w:left w:val="single" w:sz="4" w:space="0" w:color="000000"/>
                      <w:bottom w:val="single" w:sz="4" w:space="0" w:color="auto"/>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Savivaldybių administracijos</w:t>
                    </w:r>
                  </w:p>
                </w:tc>
              </w:tr>
              <w:tr>
                <w:trPr>
                  <w:trHeight w:val="60"/>
                  <w:jc w:val="center"/>
                </w:trPr>
                <w:tc>
                  <w:tcPr>
                    <w:tcW w:w="83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tcPr>
                  <w:p>
                    <w:pPr>
                      <w:widowControl w:val="0"/>
                      <w:suppressAutoHyphens/>
                      <w:rPr>
                        <w:color w:val="000000"/>
                        <w:szCs w:val="24"/>
                        <w:lang w:eastAsia="lt-LT"/>
                      </w:rPr>
                    </w:pPr>
                    <w:r>
                      <w:rPr>
                        <w:color w:val="000000"/>
                      </w:rPr>
                      <w:t>3.3.</w:t>
                    </w:r>
                  </w:p>
                </w:tc>
                <w:tc>
                  <w:tcPr>
                    <w:tcW w:w="3601"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tcPr>
                  <w:p>
                    <w:pPr>
                      <w:widowControl w:val="0"/>
                      <w:suppressAutoHyphens/>
                      <w:rPr>
                        <w:color w:val="000000"/>
                        <w:szCs w:val="24"/>
                        <w:lang w:eastAsia="lt-LT"/>
                      </w:rPr>
                    </w:pPr>
                    <w:r>
                      <w:rPr>
                        <w:color w:val="000000"/>
                      </w:rPr>
                      <w:t>Ligos išmokos natūra (sveikatos priežiūros paslaugos), įskaitant ilgalaikės priežiūros išmokas natūra</w:t>
                    </w:r>
                  </w:p>
                </w:tc>
                <w:tc>
                  <w:tcPr>
                    <w:tcW w:w="5169"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tcPr>
                  <w:p>
                    <w:pPr>
                      <w:widowControl w:val="0"/>
                      <w:suppressAutoHyphens/>
                      <w:rPr>
                        <w:color w:val="000000"/>
                        <w:szCs w:val="24"/>
                        <w:highlight w:val="yellow"/>
                        <w:lang w:eastAsia="lt-LT"/>
                      </w:rPr>
                    </w:pPr>
                    <w:r>
                      <w:rPr>
                        <w:color w:val="000000"/>
                      </w:rPr>
                      <w:t>Valstybinė ligonių kasa prie Sveikatos apsaugos ministerijos</w:t>
                    </w:r>
                  </w:p>
                </w:tc>
              </w:tr>
              <w:tr>
                <w:trPr>
                  <w:trHeight w:val="60"/>
                  <w:jc w:val="center"/>
                </w:trPr>
                <w:tc>
                  <w:tcPr>
                    <w:tcW w:w="835" w:type="dxa"/>
                    <w:tcBorders>
                      <w:top w:val="single" w:sz="4" w:space="0" w:color="auto"/>
                      <w:left w:val="single" w:sz="4" w:space="0" w:color="000000"/>
                      <w:bottom w:val="single" w:sz="4" w:space="0" w:color="auto"/>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3.4.</w:t>
                    </w:r>
                  </w:p>
                </w:tc>
                <w:tc>
                  <w:tcPr>
                    <w:tcW w:w="3601" w:type="dxa"/>
                    <w:tcBorders>
                      <w:top w:val="single" w:sz="4" w:space="0" w:color="auto"/>
                      <w:left w:val="single" w:sz="4" w:space="0" w:color="000000"/>
                      <w:bottom w:val="single" w:sz="4" w:space="0" w:color="auto"/>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Motinystės, tėvystės ir vaiko priežiūros išmokos</w:t>
                    </w:r>
                  </w:p>
                </w:tc>
                <w:tc>
                  <w:tcPr>
                    <w:tcW w:w="5169" w:type="dxa"/>
                    <w:tcBorders>
                      <w:top w:val="single" w:sz="4" w:space="0" w:color="auto"/>
                      <w:left w:val="single" w:sz="4" w:space="0" w:color="000000"/>
                      <w:bottom w:val="single" w:sz="4" w:space="0" w:color="auto"/>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Valstybinio socialinio draudimo fondo valdybos teritoriniai skyriai</w:t>
                    </w:r>
                  </w:p>
                </w:tc>
              </w:tr>
              <w:tr>
                <w:trPr>
                  <w:trHeight w:val="60"/>
                  <w:jc w:val="center"/>
                </w:trPr>
                <w:tc>
                  <w:tcPr>
                    <w:tcW w:w="83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tcPr>
                  <w:p>
                    <w:pPr>
                      <w:widowControl w:val="0"/>
                      <w:suppressAutoHyphens/>
                      <w:rPr>
                        <w:color w:val="000000"/>
                        <w:szCs w:val="24"/>
                        <w:lang w:eastAsia="lt-LT"/>
                      </w:rPr>
                    </w:pPr>
                    <w:r>
                      <w:rPr>
                        <w:color w:val="000000"/>
                      </w:rPr>
                      <w:t>3.5.</w:t>
                    </w:r>
                  </w:p>
                </w:tc>
                <w:tc>
                  <w:tcPr>
                    <w:tcW w:w="3601"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tcPr>
                  <w:p>
                    <w:pPr>
                      <w:widowControl w:val="0"/>
                      <w:suppressAutoHyphens/>
                      <w:rPr>
                        <w:color w:val="000000"/>
                        <w:szCs w:val="24"/>
                        <w:lang w:eastAsia="lt-LT"/>
                      </w:rPr>
                    </w:pPr>
                    <w:r>
                      <w:rPr>
                        <w:color w:val="000000"/>
                      </w:rPr>
                      <w:t>Motinystės ir lygiavertės tėvystės išmokos natūra (sveikatos priežiūros paslaugos)</w:t>
                    </w:r>
                  </w:p>
                </w:tc>
                <w:tc>
                  <w:tcPr>
                    <w:tcW w:w="5169"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tcPr>
                  <w:p>
                    <w:pPr>
                      <w:widowControl w:val="0"/>
                      <w:suppressAutoHyphens/>
                      <w:rPr>
                        <w:color w:val="000000"/>
                        <w:szCs w:val="24"/>
                        <w:highlight w:val="yellow"/>
                        <w:lang w:eastAsia="lt-LT"/>
                      </w:rPr>
                    </w:pPr>
                    <w:r>
                      <w:rPr>
                        <w:color w:val="000000"/>
                      </w:rPr>
                      <w:t>Valstybinė ligonių kasa prie Sveikatos apsaugos ministerijos</w:t>
                    </w:r>
                  </w:p>
                </w:tc>
              </w:tr>
              <w:tr>
                <w:trPr>
                  <w:trHeight w:val="60"/>
                  <w:jc w:val="center"/>
                </w:trPr>
                <w:tc>
                  <w:tcPr>
                    <w:tcW w:w="835" w:type="dxa"/>
                    <w:tcBorders>
                      <w:top w:val="single" w:sz="4" w:space="0" w:color="auto"/>
                      <w:left w:val="single" w:sz="4" w:space="0" w:color="000000"/>
                      <w:bottom w:val="single" w:sz="4" w:space="0" w:color="auto"/>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3.6.</w:t>
                    </w:r>
                  </w:p>
                </w:tc>
                <w:tc>
                  <w:tcPr>
                    <w:tcW w:w="3601" w:type="dxa"/>
                    <w:tcBorders>
                      <w:top w:val="single" w:sz="4" w:space="0" w:color="auto"/>
                      <w:left w:val="single" w:sz="4" w:space="0" w:color="000000"/>
                      <w:bottom w:val="single" w:sz="4" w:space="0" w:color="auto"/>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Išmokos pinigais dėl nelaimingų atsitikimų darbe ir profesinių ligų</w:t>
                    </w:r>
                  </w:p>
                </w:tc>
                <w:tc>
                  <w:tcPr>
                    <w:tcW w:w="5169" w:type="dxa"/>
                    <w:tcBorders>
                      <w:top w:val="single" w:sz="4" w:space="0" w:color="auto"/>
                      <w:left w:val="single" w:sz="4" w:space="0" w:color="000000"/>
                      <w:bottom w:val="single" w:sz="4" w:space="0" w:color="auto"/>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Valstybinio socialinio draudimo fondo valdybos teritoriniai skyriai</w:t>
                    </w:r>
                  </w:p>
                </w:tc>
              </w:tr>
              <w:tr>
                <w:trPr>
                  <w:trHeight w:val="60"/>
                  <w:jc w:val="center"/>
                </w:trPr>
                <w:tc>
                  <w:tcPr>
                    <w:tcW w:w="83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tcPr>
                  <w:p>
                    <w:pPr>
                      <w:widowControl w:val="0"/>
                      <w:suppressAutoHyphens/>
                      <w:rPr>
                        <w:color w:val="000000"/>
                        <w:szCs w:val="24"/>
                        <w:lang w:eastAsia="lt-LT"/>
                      </w:rPr>
                    </w:pPr>
                    <w:r>
                      <w:rPr>
                        <w:color w:val="000000"/>
                      </w:rPr>
                      <w:t>3.7.</w:t>
                    </w:r>
                  </w:p>
                </w:tc>
                <w:tc>
                  <w:tcPr>
                    <w:tcW w:w="3601"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tcPr>
                  <w:p>
                    <w:pPr>
                      <w:widowControl w:val="0"/>
                      <w:suppressAutoHyphens/>
                      <w:rPr>
                        <w:color w:val="000000"/>
                        <w:szCs w:val="24"/>
                        <w:lang w:eastAsia="lt-LT"/>
                      </w:rPr>
                    </w:pPr>
                    <w:r>
                      <w:rPr>
                        <w:color w:val="000000"/>
                      </w:rPr>
                      <w:t>Išmokos natūra (sveikatos priežiūros paslaugos) dėl nelaimingų atsitikimų darbe ir profesinių ligų</w:t>
                    </w:r>
                  </w:p>
                </w:tc>
                <w:tc>
                  <w:tcPr>
                    <w:tcW w:w="5169"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tcPr>
                  <w:p>
                    <w:pPr>
                      <w:widowControl w:val="0"/>
                      <w:suppressAutoHyphens/>
                      <w:rPr>
                        <w:color w:val="000000"/>
                        <w:szCs w:val="24"/>
                        <w:highlight w:val="yellow"/>
                        <w:lang w:eastAsia="lt-LT"/>
                      </w:rPr>
                    </w:pPr>
                    <w:r>
                      <w:rPr>
                        <w:color w:val="000000"/>
                      </w:rPr>
                      <w:t>Valstybinė ligonių kasa prie Sveikatos apsaugos ministerijos</w:t>
                    </w:r>
                  </w:p>
                </w:tc>
              </w:tr>
              <w:tr>
                <w:trPr>
                  <w:trHeight w:val="60"/>
                  <w:jc w:val="center"/>
                </w:trPr>
                <w:tc>
                  <w:tcPr>
                    <w:tcW w:w="835" w:type="dxa"/>
                    <w:tcBorders>
                      <w:top w:val="single" w:sz="4" w:space="0" w:color="auto"/>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3.8.</w:t>
                    </w:r>
                  </w:p>
                </w:tc>
                <w:tc>
                  <w:tcPr>
                    <w:tcW w:w="3601" w:type="dxa"/>
                    <w:tcBorders>
                      <w:top w:val="single" w:sz="4" w:space="0" w:color="auto"/>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 xml:space="preserve">Netekto darbingumo, išankstinės senatvės, senatvės, našlių ir našlaičių (maitintojo netekimo), </w:t>
                    </w:r>
                    <w:r>
                      <w:t>invalidumo ir ištarnauto laiko</w:t>
                    </w:r>
                    <w:r>
                      <w:rPr>
                        <w:color w:val="000000"/>
                      </w:rPr>
                      <w:t xml:space="preserve"> pensijos</w:t>
                    </w:r>
                  </w:p>
                </w:tc>
                <w:tc>
                  <w:tcPr>
                    <w:tcW w:w="5169" w:type="dxa"/>
                    <w:tcBorders>
                      <w:top w:val="single" w:sz="4" w:space="0" w:color="auto"/>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Valstybinio socialinio draudimo fondo valdybos teritoriniai skyriai</w:t>
                    </w:r>
                  </w:p>
                </w:tc>
              </w:tr>
              <w:tr>
                <w:trPr>
                  <w:trHeight w:val="60"/>
                  <w:jc w:val="center"/>
                </w:trPr>
                <w:tc>
                  <w:tcPr>
                    <w:tcW w:w="835" w:type="dxa"/>
                    <w:tcBorders>
                      <w:top w:val="single" w:sz="4" w:space="0" w:color="000000"/>
                      <w:left w:val="single" w:sz="4" w:space="0" w:color="000000"/>
                      <w:bottom w:val="single" w:sz="4" w:space="0" w:color="auto"/>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3.9.</w:t>
                    </w:r>
                  </w:p>
                </w:tc>
                <w:tc>
                  <w:tcPr>
                    <w:tcW w:w="3601" w:type="dxa"/>
                    <w:tcBorders>
                      <w:top w:val="single" w:sz="4" w:space="0" w:color="000000"/>
                      <w:left w:val="single" w:sz="4" w:space="0" w:color="000000"/>
                      <w:bottom w:val="single" w:sz="4" w:space="0" w:color="auto"/>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Nedarbo išmokos</w:t>
                    </w:r>
                  </w:p>
                </w:tc>
                <w:tc>
                  <w:tcPr>
                    <w:tcW w:w="5169" w:type="dxa"/>
                    <w:tcBorders>
                      <w:top w:val="single" w:sz="4" w:space="0" w:color="000000"/>
                      <w:left w:val="single" w:sz="4" w:space="0" w:color="000000"/>
                      <w:bottom w:val="single" w:sz="4" w:space="0" w:color="auto"/>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Valstybinio socialinio draudimo fondo valdybos Panevėžio skyrius</w:t>
                    </w:r>
                  </w:p>
                </w:tc>
              </w:tr>
              <w:tr>
                <w:trPr>
                  <w:trHeight w:val="60"/>
                  <w:jc w:val="center"/>
                </w:trPr>
                <w:tc>
                  <w:tcPr>
                    <w:tcW w:w="83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tcPr>
                  <w:p>
                    <w:pPr>
                      <w:widowControl w:val="0"/>
                      <w:suppressAutoHyphens/>
                      <w:rPr>
                        <w:color w:val="000000"/>
                        <w:szCs w:val="24"/>
                        <w:lang w:eastAsia="lt-LT"/>
                      </w:rPr>
                    </w:pPr>
                    <w:r>
                      <w:rPr>
                        <w:color w:val="000000"/>
                      </w:rPr>
                      <w:t>3.10.</w:t>
                    </w:r>
                  </w:p>
                </w:tc>
                <w:tc>
                  <w:tcPr>
                    <w:tcW w:w="3601"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tcPr>
                  <w:p>
                    <w:pPr>
                      <w:widowControl w:val="0"/>
                      <w:suppressAutoHyphens/>
                      <w:rPr>
                        <w:color w:val="000000"/>
                        <w:szCs w:val="24"/>
                        <w:lang w:eastAsia="lt-LT"/>
                      </w:rPr>
                    </w:pPr>
                    <w:r>
                      <w:rPr>
                        <w:color w:val="000000"/>
                      </w:rPr>
                      <w:t>Bedarbių ir darbo ieškančių asmenų registravimas, dokumentų dėl nedarbo išmokų eksporto išdavimas, informacijos, susijusios su nedarbo išmokų eksportu, teikimas</w:t>
                    </w:r>
                  </w:p>
                </w:tc>
                <w:tc>
                  <w:tcPr>
                    <w:tcW w:w="5169"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tcPr>
                  <w:p>
                    <w:pPr>
                      <w:widowControl w:val="0"/>
                      <w:suppressAutoHyphens/>
                      <w:rPr>
                        <w:color w:val="000000"/>
                        <w:szCs w:val="24"/>
                        <w:highlight w:val="yellow"/>
                        <w:lang w:eastAsia="lt-LT"/>
                      </w:rPr>
                    </w:pPr>
                    <w:r>
                      <w:rPr>
                        <w:color w:val="000000"/>
                      </w:rPr>
                      <w:t>Užimtumo tarnyba prie Lietuvos Respublikos socialinės apsaugos ir darbo ministerijos</w:t>
                    </w:r>
                  </w:p>
                </w:tc>
              </w:tr>
              <w:tr>
                <w:trPr>
                  <w:trHeight w:val="60"/>
                  <w:jc w:val="center"/>
                </w:trPr>
                <w:tc>
                  <w:tcPr>
                    <w:tcW w:w="835" w:type="dxa"/>
                    <w:tcBorders>
                      <w:top w:val="single" w:sz="4" w:space="0" w:color="auto"/>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3.11.</w:t>
                    </w:r>
                  </w:p>
                </w:tc>
                <w:tc>
                  <w:tcPr>
                    <w:tcW w:w="3601" w:type="dxa"/>
                    <w:tcBorders>
                      <w:top w:val="single" w:sz="4" w:space="0" w:color="auto"/>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Išmokos šeimai</w:t>
                    </w:r>
                  </w:p>
                </w:tc>
                <w:tc>
                  <w:tcPr>
                    <w:tcW w:w="5169" w:type="dxa"/>
                    <w:tcBorders>
                      <w:top w:val="single" w:sz="4" w:space="0" w:color="auto"/>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Savivaldybių administracijos (išmokos vaikams), Valstybinio socialinio draudimo fondo valdybos teritoriniai skyriai (papildomos ar specialios išmokos našlaičiams)</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3.12.</w:t>
                    </w:r>
                  </w:p>
                </w:tc>
                <w:tc>
                  <w:tcPr>
                    <w:tcW w:w="36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tabs>
                        <w:tab w:val="right" w:pos="3392"/>
                      </w:tabs>
                      <w:suppressAutoHyphens/>
                      <w:spacing w:line="276" w:lineRule="auto"/>
                      <w:rPr>
                        <w:color w:val="000000"/>
                      </w:rPr>
                    </w:pPr>
                    <w:r>
                      <w:rPr>
                        <w:color w:val="000000"/>
                      </w:rPr>
                      <w:t>Išmokos mirties atveju</w:t>
                    </w:r>
                  </w:p>
                </w:tc>
                <w:tc>
                  <w:tcPr>
                    <w:tcW w:w="51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Savivaldybių administracijos</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lang w:val="en-US"/>
                      </w:rPr>
                    </w:pPr>
                    <w:r>
                      <w:rPr>
                        <w:color w:val="000000"/>
                        <w:lang w:val="en-US"/>
                      </w:rPr>
                      <w:t>3.13.</w:t>
                    </w:r>
                  </w:p>
                </w:tc>
                <w:tc>
                  <w:tcPr>
                    <w:tcW w:w="36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tabs>
                        <w:tab w:val="right" w:pos="3392"/>
                      </w:tabs>
                      <w:suppressAutoHyphens/>
                      <w:spacing w:line="276" w:lineRule="auto"/>
                      <w:rPr>
                        <w:color w:val="000000"/>
                      </w:rPr>
                    </w:pPr>
                    <w:r>
                      <w:rPr>
                        <w:color w:val="000000"/>
                      </w:rPr>
                      <w:t>Taikytina teisė</w:t>
                    </w:r>
                  </w:p>
                </w:tc>
                <w:tc>
                  <w:tcPr>
                    <w:tcW w:w="51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Valstybinio socialinio draudimo fondo valdybos Vilniaus skyrius</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3.14.</w:t>
                    </w:r>
                  </w:p>
                </w:tc>
                <w:tc>
                  <w:tcPr>
                    <w:tcW w:w="36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Specialios neįmokinės išmokos pinigais (Reglamento (EB) Nr. 883/2004 70 str.)</w:t>
                    </w:r>
                  </w:p>
                </w:tc>
                <w:tc>
                  <w:tcPr>
                    <w:tcW w:w="51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Valstybinio socialinio draudimo fondo valdybos teritoriniai skyriai</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3.15.</w:t>
                    </w:r>
                  </w:p>
                </w:tc>
                <w:tc>
                  <w:tcPr>
                    <w:tcW w:w="36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Reglamento (EB) Nr. 987/2009</w:t>
                    </w:r>
                  </w:p>
                  <w:p>
                    <w:pPr>
                      <w:widowControl w:val="0"/>
                      <w:suppressAutoHyphens/>
                      <w:spacing w:line="276" w:lineRule="auto"/>
                      <w:rPr>
                        <w:color w:val="000000"/>
                      </w:rPr>
                    </w:pPr>
                    <w:r>
                      <w:rPr>
                        <w:color w:val="000000"/>
                      </w:rPr>
                      <w:t>IV antraštinės dalies III skyriaus nuostatų dėl sumokėtų, tačiau nepriklausančių išmokų atgavimo, laikinų išmokų ir įmokų atgavimo, kompensacijų ir paramos, tenkinant pretenzijas, taikymas</w:t>
                    </w:r>
                  </w:p>
                </w:tc>
                <w:tc>
                  <w:tcPr>
                    <w:tcW w:w="51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Savivaldybių administracijos, Valstybinio socialinio draudimo fondo valdybos teritoriniai skyriai pagal kompetencijos sritį</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b/>
                        <w:bCs/>
                        <w:color w:val="000000"/>
                      </w:rPr>
                      <w:t>4.</w:t>
                    </w:r>
                  </w:p>
                </w:tc>
                <w:tc>
                  <w:tcPr>
                    <w:tcW w:w="8770" w:type="dxa"/>
                    <w:gridSpan w:val="2"/>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b/>
                        <w:bCs/>
                        <w:color w:val="000000"/>
                      </w:rPr>
                      <w:t>Susižinojimo tarnybos</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4.1.</w:t>
                    </w:r>
                  </w:p>
                </w:tc>
                <w:tc>
                  <w:tcPr>
                    <w:tcW w:w="36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Ligos išmokos pinigais</w:t>
                    </w:r>
                  </w:p>
                </w:tc>
                <w:tc>
                  <w:tcPr>
                    <w:tcW w:w="51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Valstybinio socialinio draudimo fondo valdybos Vilniaus skyrius</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4.2.</w:t>
                    </w:r>
                  </w:p>
                </w:tc>
                <w:tc>
                  <w:tcPr>
                    <w:tcW w:w="36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Ilgalaikės priežiūros išmokos pinigais</w:t>
                    </w:r>
                  </w:p>
                </w:tc>
                <w:tc>
                  <w:tcPr>
                    <w:tcW w:w="51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highlight w:val="yellow"/>
                      </w:rPr>
                    </w:pPr>
                    <w:r>
                      <w:rPr>
                        <w:color w:val="000000"/>
                      </w:rPr>
                      <w:t>Valstybinio socialinio draudimo fondo valdybos Vilniaus skyrius</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4.3.</w:t>
                    </w:r>
                  </w:p>
                </w:tc>
                <w:tc>
                  <w:tcPr>
                    <w:tcW w:w="36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Ligos išmokos natūra (sveikatos priežiūros paslaugos), įskaitant ilgalaikės priežiūros išmokas natūra</w:t>
                    </w:r>
                  </w:p>
                </w:tc>
                <w:tc>
                  <w:tcPr>
                    <w:tcW w:w="51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Valstybinė ligonių kasa prie Sveikatos apsaugos ministerijos</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4.4.</w:t>
                    </w:r>
                  </w:p>
                </w:tc>
                <w:tc>
                  <w:tcPr>
                    <w:tcW w:w="36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Motinystės, tėvystės ir vaiko priežiūros išmokos</w:t>
                    </w:r>
                  </w:p>
                </w:tc>
                <w:tc>
                  <w:tcPr>
                    <w:tcW w:w="51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Valstybinio socialinio draudimo fondo valdybos Vilniaus skyrius</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4.5.</w:t>
                    </w:r>
                  </w:p>
                </w:tc>
                <w:tc>
                  <w:tcPr>
                    <w:tcW w:w="36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Motinystės ir lygiavertės tėvystės išmokos natūra (sveikatos priežiūros paslaugos)</w:t>
                    </w:r>
                  </w:p>
                </w:tc>
                <w:tc>
                  <w:tcPr>
                    <w:tcW w:w="51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Valstybinė ligonių kasa prie Sveikatos apsaugos ministerijos</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4.6.</w:t>
                    </w:r>
                  </w:p>
                </w:tc>
                <w:tc>
                  <w:tcPr>
                    <w:tcW w:w="36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Išmokos pinigais dėl nelaimingų atsitikimų darbe ir profesinių ligų</w:t>
                    </w:r>
                  </w:p>
                </w:tc>
                <w:tc>
                  <w:tcPr>
                    <w:tcW w:w="51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Valstybinio socialinio draudimo fondo valdybos Vilniaus skyrius</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4.7.</w:t>
                    </w:r>
                  </w:p>
                </w:tc>
                <w:tc>
                  <w:tcPr>
                    <w:tcW w:w="36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Išmokos natūra (sveikatos priežiūros paslaugos) dėl nelaimingų atsitikimų darbe ir profesinių ligų</w:t>
                    </w:r>
                  </w:p>
                </w:tc>
                <w:tc>
                  <w:tcPr>
                    <w:tcW w:w="51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Valstybinė ligonių kasa prie Sveikatos apsaugos ministerijos</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4.8.</w:t>
                    </w:r>
                  </w:p>
                </w:tc>
                <w:tc>
                  <w:tcPr>
                    <w:tcW w:w="36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 xml:space="preserve">Netekto darbingumo, išankstinės senatvės, senatvės, našlių ir našlaičių (maitintojo netekimo), </w:t>
                    </w:r>
                    <w:r>
                      <w:t>invalidumo ir ištarnauto laiko</w:t>
                    </w:r>
                    <w:r>
                      <w:rPr>
                        <w:color w:val="000000"/>
                      </w:rPr>
                      <w:t xml:space="preserve"> pensijos</w:t>
                    </w:r>
                  </w:p>
                </w:tc>
                <w:tc>
                  <w:tcPr>
                    <w:tcW w:w="51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Valstybinio socialinio draudimo fondo valdybos Vilniaus skyrius</w:t>
                    </w:r>
                  </w:p>
                </w:tc>
              </w:tr>
              <w:tr>
                <w:trPr>
                  <w:trHeight w:val="60"/>
                  <w:jc w:val="center"/>
                </w:trPr>
                <w:tc>
                  <w:tcPr>
                    <w:tcW w:w="835" w:type="dxa"/>
                    <w:tcBorders>
                      <w:top w:val="single" w:sz="4" w:space="0" w:color="000000"/>
                      <w:left w:val="single" w:sz="4" w:space="0" w:color="000000"/>
                      <w:bottom w:val="single" w:sz="4" w:space="0" w:color="auto"/>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4.9.</w:t>
                    </w:r>
                  </w:p>
                </w:tc>
                <w:tc>
                  <w:tcPr>
                    <w:tcW w:w="3601" w:type="dxa"/>
                    <w:tcBorders>
                      <w:top w:val="single" w:sz="4" w:space="0" w:color="000000"/>
                      <w:left w:val="single" w:sz="4" w:space="0" w:color="000000"/>
                      <w:bottom w:val="single" w:sz="4" w:space="0" w:color="auto"/>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Nedarbo išmokos</w:t>
                    </w:r>
                  </w:p>
                </w:tc>
                <w:tc>
                  <w:tcPr>
                    <w:tcW w:w="5169" w:type="dxa"/>
                    <w:tcBorders>
                      <w:top w:val="single" w:sz="4" w:space="0" w:color="000000"/>
                      <w:left w:val="single" w:sz="4" w:space="0" w:color="000000"/>
                      <w:bottom w:val="single" w:sz="4" w:space="0" w:color="auto"/>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Valstybinio socialinio draudimo fondo valdybos Panevėžio skyrius</w:t>
                    </w:r>
                  </w:p>
                </w:tc>
              </w:tr>
              <w:tr>
                <w:trPr>
                  <w:trHeight w:val="60"/>
                  <w:jc w:val="center"/>
                </w:trPr>
                <w:tc>
                  <w:tcPr>
                    <w:tcW w:w="83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tcPr>
                  <w:p>
                    <w:pPr>
                      <w:widowControl w:val="0"/>
                      <w:suppressAutoHyphens/>
                      <w:rPr>
                        <w:color w:val="000000"/>
                        <w:szCs w:val="24"/>
                        <w:lang w:eastAsia="lt-LT"/>
                      </w:rPr>
                    </w:pPr>
                    <w:r>
                      <w:rPr>
                        <w:color w:val="000000"/>
                      </w:rPr>
                      <w:t>4.10.</w:t>
                    </w:r>
                  </w:p>
                </w:tc>
                <w:tc>
                  <w:tcPr>
                    <w:tcW w:w="3601"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tcPr>
                  <w:p>
                    <w:pPr>
                      <w:widowControl w:val="0"/>
                      <w:suppressAutoHyphens/>
                      <w:rPr>
                        <w:color w:val="000000"/>
                        <w:szCs w:val="24"/>
                        <w:lang w:eastAsia="lt-LT"/>
                      </w:rPr>
                    </w:pPr>
                    <w:r>
                      <w:rPr>
                        <w:color w:val="000000"/>
                      </w:rPr>
                      <w:t>Bedarbių ir darbo ieškančių asmenų registravimas, dokumentų dėl nedarbo išmokų eksporto išdavimas, informacijos, susijusios su nedarbo išmokų eksportu, teikimas</w:t>
                    </w:r>
                  </w:p>
                </w:tc>
                <w:tc>
                  <w:tcPr>
                    <w:tcW w:w="5169"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tcPr>
                  <w:p>
                    <w:pPr>
                      <w:widowControl w:val="0"/>
                      <w:suppressAutoHyphens/>
                      <w:rPr>
                        <w:color w:val="000000"/>
                        <w:szCs w:val="24"/>
                        <w:highlight w:val="yellow"/>
                        <w:lang w:eastAsia="lt-LT"/>
                      </w:rPr>
                    </w:pPr>
                    <w:r>
                      <w:rPr>
                        <w:color w:val="000000"/>
                      </w:rPr>
                      <w:t>Užimtumo tarnyba prie Lietuvos Respublikos socialinės apsaugos ir darbo ministerijos</w:t>
                    </w:r>
                  </w:p>
                </w:tc>
              </w:tr>
              <w:tr>
                <w:trPr>
                  <w:trHeight w:val="60"/>
                  <w:jc w:val="center"/>
                </w:trPr>
                <w:tc>
                  <w:tcPr>
                    <w:tcW w:w="835" w:type="dxa"/>
                    <w:tcBorders>
                      <w:top w:val="single" w:sz="4" w:space="0" w:color="auto"/>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4.11.</w:t>
                    </w:r>
                  </w:p>
                </w:tc>
                <w:tc>
                  <w:tcPr>
                    <w:tcW w:w="3601" w:type="dxa"/>
                    <w:tcBorders>
                      <w:top w:val="single" w:sz="4" w:space="0" w:color="auto"/>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 xml:space="preserve">Išmokos šeimai </w:t>
                    </w:r>
                  </w:p>
                </w:tc>
                <w:tc>
                  <w:tcPr>
                    <w:tcW w:w="5169" w:type="dxa"/>
                    <w:tcBorders>
                      <w:top w:val="single" w:sz="4" w:space="0" w:color="auto"/>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Valstybinio socialinio draudimo fondo valdybos Vilniaus skyrius</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4.12.</w:t>
                    </w:r>
                  </w:p>
                </w:tc>
                <w:tc>
                  <w:tcPr>
                    <w:tcW w:w="36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Išmokos mirties atveju</w:t>
                    </w:r>
                  </w:p>
                </w:tc>
                <w:tc>
                  <w:tcPr>
                    <w:tcW w:w="51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highlight w:val="yellow"/>
                      </w:rPr>
                    </w:pPr>
                    <w:r>
                      <w:rPr>
                        <w:color w:val="000000"/>
                      </w:rPr>
                      <w:t>Valstybinio socialinio draudimo fondo valdybos Vilniaus skyrius</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4.13.</w:t>
                    </w:r>
                  </w:p>
                </w:tc>
                <w:tc>
                  <w:tcPr>
                    <w:tcW w:w="36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Specialios neįmokinės išmokos pinigais (Reglamento (EB)</w:t>
                    </w:r>
                  </w:p>
                  <w:p>
                    <w:pPr>
                      <w:widowControl w:val="0"/>
                      <w:suppressAutoHyphens/>
                      <w:spacing w:line="276" w:lineRule="auto"/>
                      <w:rPr>
                        <w:color w:val="000000"/>
                      </w:rPr>
                    </w:pPr>
                    <w:r>
                      <w:rPr>
                        <w:color w:val="000000"/>
                      </w:rPr>
                      <w:t>Nr. 883/2004 70 str.)</w:t>
                    </w:r>
                  </w:p>
                </w:tc>
                <w:tc>
                  <w:tcPr>
                    <w:tcW w:w="51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highlight w:val="yellow"/>
                      </w:rPr>
                    </w:pPr>
                    <w:r>
                      <w:rPr>
                        <w:color w:val="000000"/>
                      </w:rPr>
                      <w:t>Valstybinio socialinio draudimo fondo valdybos Vilniaus skyrius</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4.14.</w:t>
                    </w:r>
                  </w:p>
                </w:tc>
                <w:tc>
                  <w:tcPr>
                    <w:tcW w:w="36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Reglamento (EB) Nr. 987/2009</w:t>
                    </w:r>
                  </w:p>
                  <w:p>
                    <w:pPr>
                      <w:widowControl w:val="0"/>
                      <w:suppressAutoHyphens/>
                      <w:spacing w:line="276" w:lineRule="auto"/>
                      <w:rPr>
                        <w:color w:val="000000"/>
                      </w:rPr>
                    </w:pPr>
                    <w:r>
                      <w:rPr>
                        <w:color w:val="000000"/>
                      </w:rPr>
                      <w:t>IV antraštinės dalies III skyriaus nuostatų dėl sumokėtų, tačiau nepriklausančių išmokų atgavimo, laikinų išmokų ir įmokų atgavimo, kompensacijų ir paramos, tenkinant pretenzijas, taikymas</w:t>
                    </w:r>
                  </w:p>
                </w:tc>
                <w:tc>
                  <w:tcPr>
                    <w:tcW w:w="51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Valstybinio socialinio draudimo fondo valdybos Vilniaus skyrius</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b/>
                        <w:bCs/>
                        <w:color w:val="000000"/>
                      </w:rPr>
                      <w:t>5.</w:t>
                    </w:r>
                  </w:p>
                </w:tc>
                <w:tc>
                  <w:tcPr>
                    <w:tcW w:w="8770" w:type="dxa"/>
                    <w:gridSpan w:val="2"/>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b/>
                        <w:bCs/>
                        <w:color w:val="000000"/>
                      </w:rPr>
                      <w:t>Prieigos centrai</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5.1.</w:t>
                    </w:r>
                  </w:p>
                </w:tc>
                <w:tc>
                  <w:tcPr>
                    <w:tcW w:w="36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Išmokos pinigais, taikytina teisė</w:t>
                    </w:r>
                  </w:p>
                </w:tc>
                <w:tc>
                  <w:tcPr>
                    <w:tcW w:w="51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Valstybinio socialinio draudimo fondo valdyba prie Socialinės apsaugos ir darbo ministerijos</w:t>
                    </w:r>
                  </w:p>
                </w:tc>
              </w:tr>
              <w:tr>
                <w:trPr>
                  <w:trHeight w:val="60"/>
                  <w:jc w:val="center"/>
                </w:trPr>
                <w:tc>
                  <w:tcPr>
                    <w:tcW w:w="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5.2.</w:t>
                    </w:r>
                  </w:p>
                </w:tc>
                <w:tc>
                  <w:tcPr>
                    <w:tcW w:w="36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Išmokos natūra (sveikatos priežiūros paslaugos)</w:t>
                    </w:r>
                  </w:p>
                </w:tc>
                <w:tc>
                  <w:tcPr>
                    <w:tcW w:w="51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spacing w:line="276" w:lineRule="auto"/>
                      <w:rPr>
                        <w:color w:val="000000"/>
                      </w:rPr>
                    </w:pPr>
                    <w:r>
                      <w:rPr>
                        <w:color w:val="000000"/>
                      </w:rPr>
                      <w:t>Valstybinė ligonių kasa prie Sveikatos apsaugos ministerijos</w:t>
                    </w:r>
                  </w:p>
                </w:tc>
              </w:tr>
            </w:tbl>
            <w:p>
              <w:pPr>
                <w:widowControl w:val="0"/>
                <w:tabs>
                  <w:tab w:val="left" w:pos="1418"/>
                </w:tabs>
                <w:suppressAutoHyphens/>
                <w:ind w:left="1134"/>
                <w:jc w:val="both"/>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58090019311ebb74de75171d26d52">
                <w:r w:rsidRPr="00532B9F">
                  <w:rPr>
                    <w:rFonts w:ascii="Times New Roman" w:eastAsia="MS Mincho" w:hAnsi="Times New Roman"/>
                    <w:sz w:val="20"/>
                    <w:i/>
                    <w:iCs/>
                    <w:color w:val="0000FF" w:themeColor="hyperlink"/>
                    <w:u w:val="single"/>
                  </w:rPr>
                  <w:t>A1-896/V-2128</w:t>
                </w:r>
              </w:fldSimple>
              <w:r>
                <w:rPr>
                  <w:rFonts w:ascii="Times New Roman" w:eastAsia="MS Mincho" w:hAnsi="Times New Roman"/>
                  <w:sz w:val="20"/>
                  <w:i/>
                  <w:iCs/>
                </w:rPr>
                <w:t>,
2020-09-28,
paskelbta TAR 2020-09-28, i. k. 2020-20204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8639d0e30611eb9f09e7df20500045">
                <w:r w:rsidRPr="00532B9F">
                  <w:rPr>
                    <w:rFonts w:ascii="Times New Roman" w:eastAsia="MS Mincho" w:hAnsi="Times New Roman"/>
                    <w:sz w:val="20"/>
                    <w:i/>
                    <w:iCs/>
                    <w:color w:val="0000FF" w:themeColor="hyperlink"/>
                    <w:u w:val="single"/>
                  </w:rPr>
                  <w:t>A1-512/V-1644</w:t>
                </w:r>
              </w:fldSimple>
              <w:r>
                <w:rPr>
                  <w:rFonts w:ascii="Times New Roman" w:eastAsia="MS Mincho" w:hAnsi="Times New Roman"/>
                  <w:sz w:val="20"/>
                  <w:i/>
                  <w:iCs/>
                </w:rPr>
                <w:t>,
2021-07-12,
paskelbta TAR 2021-07-12, i. k. 2021-15739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3c20066911edb4cae1b158f98ea5">
                <w:r w:rsidRPr="00532B9F">
                  <w:rPr>
                    <w:rFonts w:ascii="Times New Roman" w:eastAsia="MS Mincho" w:hAnsi="Times New Roman"/>
                    <w:sz w:val="20"/>
                    <w:i/>
                    <w:iCs/>
                    <w:color w:val="0000FF" w:themeColor="hyperlink"/>
                    <w:u w:val="single"/>
                  </w:rPr>
                  <w:t>A1-473/V-1238</w:t>
                </w:r>
              </w:fldSimple>
              <w:r>
                <w:rPr>
                  <w:rFonts w:ascii="Times New Roman" w:eastAsia="MS Mincho" w:hAnsi="Times New Roman"/>
                  <w:sz w:val="20"/>
                  <w:i/>
                  <w:iCs/>
                </w:rPr>
                <w:t>,
2022-07-18,
paskelbta TAR 2022-07-18, i. k. 2022-15746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2588f4d4c511efa5ddd96c482819f5">
                <w:r w:rsidRPr="00532B9F">
                  <w:rPr>
                    <w:rFonts w:ascii="Times New Roman" w:eastAsia="MS Mincho" w:hAnsi="Times New Roman"/>
                    <w:sz w:val="20"/>
                    <w:i/>
                    <w:iCs/>
                    <w:color w:val="0000FF" w:themeColor="hyperlink"/>
                    <w:u w:val="single"/>
                  </w:rPr>
                  <w:t>A1-23/V-28</w:t>
                </w:r>
              </w:fldSimple>
              <w:r>
                <w:rPr>
                  <w:rFonts w:ascii="Times New Roman" w:eastAsia="MS Mincho" w:hAnsi="Times New Roman"/>
                  <w:sz w:val="20"/>
                  <w:i/>
                  <w:iCs/>
                </w:rPr>
                <w:t>,
2025-01-17,
paskelbta TAR 2025-01-17, i. k. 2025-00565            </w:t>
              </w:r>
            </w:p>
            <w:p/>
          </w:sdtContent>
        </w:sdt>
        <w:sdt>
          <w:sdtPr>
            <w:alias w:val="2 p."/>
            <w:tag w:val="part_dfdd9658249d4514b39e52dd0a0eaf2b"/>
            <w:lock w:val="sdtLocked"/>
            <w:richText/>
          </w:sdtPr>
          <w:sdtContent>
            <w:p>
              <w:pPr>
                <w:spacing w:line="276" w:lineRule="auto"/>
                <w:ind w:firstLine="1134"/>
                <w:jc w:val="both"/>
                <w:rPr>
                  <w:color w:val="000000"/>
                </w:rPr>
              </w:pPr>
              <w:sdt>
                <w:sdtPr>
                  <w:alias w:val="Numeris"/>
                  <w:tag w:val="nr_dfdd9658249d4514b39e52dd0a0eaf2b"/>
                  <w:lock w:val="sdtLocked"/>
                  <w:richText/>
                </w:sdtPr>
                <w:sdtContent>
                  <w:r>
                    <w:rPr>
                      <w:color w:val="000000"/>
                    </w:rPr>
                    <w:t>2</w:t>
                  </w:r>
                </w:sdtContent>
              </w:sdt>
              <w:r>
                <w:rPr>
                  <w:color w:val="000000"/>
                </w:rPr>
                <w:t xml:space="preserve">. N u s t a t o m e  šią struktūrizuotų elektroninių dokumentų išdavimo tvarką Reglamento (EB) Nr. 987/2009 95 straipsnyje numatytu pereinamuoju laikotarpiu, kol visos Europos Sąjungos valstybių narių, Europos ekonominės erdvės valstybių ir Šveicarijos Konfederacijos kompetentingos įstaigos prisijungs prie elektroninių socialinės apsaugos informacijos mainų sistemos:</w:t>
              </w:r>
            </w:p>
            <w:sdt>
              <w:sdtPr>
                <w:alias w:val="2.1 pp."/>
                <w:tag w:val="part_676eb8d19da94cc9b04eedae60519e90"/>
                <w:lock w:val="sdtLocked"/>
                <w:richText/>
              </w:sdtPr>
              <w:sdtContent>
                <w:p>
                  <w:pPr>
                    <w:spacing w:line="276" w:lineRule="auto"/>
                    <w:ind w:firstLine="1134"/>
                    <w:jc w:val="both"/>
                    <w:rPr>
                      <w:color w:val="000000"/>
                    </w:rPr>
                  </w:pPr>
                  <w:sdt>
                    <w:sdtPr>
                      <w:alias w:val="Numeris"/>
                      <w:tag w:val="nr_676eb8d19da94cc9b04eedae60519e90"/>
                      <w:lock w:val="sdtLocked"/>
                      <w:richText/>
                    </w:sdtPr>
                    <w:sdtContent>
                      <w:r>
                        <w:rPr>
                          <w:color w:val="000000"/>
                        </w:rPr>
                        <w:t>2.1</w:t>
                      </w:r>
                    </w:sdtContent>
                  </w:sdt>
                  <w:r>
                    <w:rPr>
                      <w:color w:val="000000"/>
                    </w:rPr>
                    <w:t xml:space="preserve">. elektroninius dokumentus dėl ligos, motinystės, tėvystės, vaiko priežiūros, nelaimingų atsitikimų darbe ir profesinės ligos išmokų pinigais, taip pat elektroninius dokumentus, susijusius su </w:t>
                  </w:r>
                  <w:r>
                    <w:rPr>
                      <w:color w:val="000000"/>
                      <w:szCs w:val="24"/>
                      <w:lang w:eastAsia="lt-LT"/>
                    </w:rPr>
                    <w:t>Reglamento (EB) Nr. 987/2009 IV antraštinės dalies III skyriaus nuostatų dėl sumokėtų, tačiau nepriklausančių išmokų atgavimo, laikinų išmokų ir įmokų atgavimo, kompensacijų ir paramos, tenkinant pretenzijas, taikymu, išduoda Valstybinio socialinio draudimo fondo valdybos teritoriniai skyriai;</w:t>
                  </w:r>
                </w:p>
              </w:sdtContent>
            </w:sdt>
            <w:sdt>
              <w:sdtPr>
                <w:alias w:val="2.2 pp."/>
                <w:tag w:val="part_46736edddaa14579acbdc074017f2771"/>
                <w:lock w:val="sdtLocked"/>
                <w:richText/>
              </w:sdtPr>
              <w:sdtContent>
                <w:p>
                  <w:pPr>
                    <w:spacing w:line="276" w:lineRule="auto"/>
                    <w:ind w:firstLine="1134"/>
                    <w:jc w:val="both"/>
                    <w:rPr>
                      <w:color w:val="000000"/>
                      <w:szCs w:val="24"/>
                      <w:lang w:eastAsia="lt-LT"/>
                    </w:rPr>
                  </w:pPr>
                  <w:sdt>
                    <w:sdtPr>
                      <w:alias w:val="Numeris"/>
                      <w:tag w:val="nr_46736edddaa14579acbdc074017f2771"/>
                      <w:lock w:val="sdtLocked"/>
                      <w:richText/>
                    </w:sdtPr>
                    <w:sdtContent>
                      <w:r>
                        <w:rPr>
                          <w:color w:val="000000"/>
                        </w:rPr>
                        <w:t>2.2</w:t>
                      </w:r>
                    </w:sdtContent>
                  </w:sdt>
                  <w:r>
                    <w:rPr>
                      <w:color w:val="000000"/>
                    </w:rPr>
                    <w:t xml:space="preserve">. popierinius dokumentus dėl ligos, motinystės, tėvystės, vaiko priežiūros, nelaimingų atsitikimų darbe ir profesinių ligų išmokų pinigais, taip pat elektroninius dokumentus, susijusius su </w:t>
                  </w:r>
                  <w:r>
                    <w:rPr>
                      <w:color w:val="000000"/>
                      <w:szCs w:val="24"/>
                      <w:lang w:eastAsia="lt-LT"/>
                    </w:rPr>
                    <w:t>Reglamento (EB) Nr. 987/2009 IV antraštinės dalies III skyriaus nuostatų dėl sumokėtų, tačiau nepriklausančių išmokų atgavimo, laikinų išmokų ir įmokų atgavimo, kompensacijų ir paramos, tenkinant pretenzijas, taikymu, išduoda</w:t>
                  </w:r>
                  <w:r>
                    <w:rPr>
                      <w:color w:val="000000"/>
                    </w:rPr>
                    <w:t xml:space="preserve"> </w:t>
                  </w:r>
                  <w:r>
                    <w:rPr>
                      <w:szCs w:val="24"/>
                      <w:lang w:eastAsia="lt-LT"/>
                    </w:rPr>
                    <w:t>Valstybinio socialinio draudimo fondo valdybos Vilniaus skyrius.</w:t>
                  </w:r>
                </w:p>
              </w:sdtContent>
            </w:sdt>
          </w:sdtContent>
        </w:sdt>
        <w:sdt>
          <w:sdtPr>
            <w:alias w:val="3 p."/>
            <w:tag w:val="part_8d8b63b02b0346a498bed1cee1eab17f"/>
            <w:lock w:val="sdtLocked"/>
            <w:richText/>
          </w:sdtPr>
          <w:sdtContent>
            <w:p>
              <w:pPr>
                <w:spacing w:line="276" w:lineRule="auto"/>
                <w:ind w:firstLine="1134"/>
                <w:jc w:val="both"/>
              </w:pPr>
              <w:sdt>
                <w:sdtPr>
                  <w:alias w:val="Numeris"/>
                  <w:tag w:val="nr_8d8b63b02b0346a498bed1cee1eab17f"/>
                  <w:lock w:val="sdtLocked"/>
                  <w:richText/>
                </w:sdtPr>
                <w:sdtContent>
                  <w:r>
                    <w:rPr>
                      <w:color w:val="000000"/>
                    </w:rPr>
                    <w:t>3</w:t>
                  </w:r>
                </w:sdtContent>
              </w:sdt>
              <w:r>
                <w:rPr>
                  <w:color w:val="000000"/>
                </w:rPr>
                <w:t>. Šio įsakymo 1 ir 2 punktuose vartojamų sąvokų reikšmės atitinka Lietuvos Respublikos teisės aktuose, Reglamente (EB) Nr. 883/2004 ir Reglamente (EB) Nr. 987/2009 vartojamų sąvokų reikšmes.</w:t>
              </w:r>
              <w:r>
                <w:t xml:space="preserve"> </w:t>
              </w:r>
            </w:p>
          </w:sdtContent>
        </w:sdt>
        <w:sdt>
          <w:sdtPr>
            <w:alias w:val="signatura"/>
            <w:tag w:val="part_f0ca2b88e00243aa8a241f40fb1b4892"/>
            <w:lock w:val="sdtLocked"/>
            <w:richText/>
          </w:sdtPr>
          <w:sdtContent>
            <w:p>
              <w:pPr>
                <w:widowControl w:val="0"/>
                <w:tabs>
                  <w:tab w:val="right" w:pos="9071"/>
                </w:tabs>
                <w:suppressAutoHyphens/>
                <w:spacing w:line="276" w:lineRule="auto"/>
              </w:pPr>
            </w:p>
            <w:p>
              <w:pPr>
                <w:widowControl w:val="0"/>
                <w:tabs>
                  <w:tab w:val="right" w:pos="9071"/>
                </w:tabs>
                <w:suppressAutoHyphens/>
                <w:spacing w:line="276" w:lineRule="auto"/>
              </w:pPr>
            </w:p>
            <w:p>
              <w:pPr>
                <w:widowControl w:val="0"/>
                <w:tabs>
                  <w:tab w:val="right" w:pos="9071"/>
                </w:tabs>
                <w:suppressAutoHyphens/>
                <w:spacing w:line="276" w:lineRule="auto"/>
              </w:pPr>
            </w:p>
            <w:p>
              <w:pPr>
                <w:widowControl w:val="0"/>
                <w:tabs>
                  <w:tab w:val="right" w:pos="9071"/>
                </w:tabs>
                <w:suppressAutoHyphens/>
                <w:spacing w:line="276" w:lineRule="auto"/>
                <w:rPr>
                  <w:caps/>
                  <w:color w:val="000000"/>
                </w:rPr>
              </w:pPr>
              <w:r>
                <w:rPr>
                  <w:caps/>
                  <w:color w:val="000000"/>
                </w:rPr>
                <w:t>Socialinės apsaugos ir darbo ministras</w:t>
                <w:tab/>
                <w:t xml:space="preserve"> Donatas Jankauskas</w:t>
              </w:r>
            </w:p>
            <w:p>
              <w:pPr>
                <w:widowControl w:val="0"/>
                <w:tabs>
                  <w:tab w:val="right" w:pos="9071"/>
                </w:tabs>
                <w:suppressAutoHyphens/>
                <w:spacing w:line="276" w:lineRule="auto"/>
                <w:jc w:val="center"/>
                <w:rPr>
                  <w:color w:val="000000"/>
                </w:rPr>
              </w:pPr>
            </w:p>
            <w:p>
              <w:pPr>
                <w:widowControl w:val="0"/>
                <w:tabs>
                  <w:tab w:val="right" w:pos="9071"/>
                </w:tabs>
                <w:suppressAutoHyphens/>
                <w:spacing w:line="276" w:lineRule="auto"/>
              </w:pPr>
              <w:r>
                <w:rPr>
                  <w:caps/>
                  <w:color w:val="000000"/>
                </w:rPr>
                <w:t>Sveikatos apsaugos ministras</w:t>
                <w:tab/>
                <w:t>Raimondas Šukys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1cc800b5e511eab9d9cd0c85e0b745">
            <w:r w:rsidRPr="00532B9F">
              <w:rPr>
                <w:rFonts w:ascii="Times New Roman" w:eastAsia="MS Mincho" w:hAnsi="Times New Roman"/>
                <w:sz w:val="20"/>
                <w:iCs/>
                <w:color w:val="0000FF" w:themeColor="hyperlink"/>
                <w:u w:val="single"/>
              </w:rPr>
              <w:t>A1-588/V-1536</w:t>
            </w:r>
          </w:fldSimple>
          <w:r>
            <w:rPr>
              <w:rFonts w:ascii="Times New Roman" w:eastAsia="MS Mincho" w:hAnsi="Times New Roman"/>
              <w:sz w:val="20"/>
              <w:iCs/>
            </w:rPr>
            <w:t>,
2020-06-23,
paskelbta TAR 2020-06-25, i. k. 2020-13817                </w:t>
          </w:r>
        </w:p>
        <w:p>
          <w:pPr>
            <w:jc w:val="both"/>
            <w:rPr>
              <w:rFonts w:ascii="Times New Roman" w:hAnsi="Times New Roman"/>
            </w:rPr>
          </w:pPr>
          <w:r>
            <w:rPr>
              <w:rFonts w:ascii="Times New Roman" w:hAnsi="Times New Roman"/>
              <w:sz w:val="20"/>
            </w:rPr>
            <w:t>Dėl Lietuvos Respublikos socialinės apsaugos ir darbo ministro ir Lietuvos Respublikos sveikatos apsaugos ministro 2010 m. liepos 28 d. įsakymo Nr. A1-376/V-676 „Dėl Institucijų, atsakingų už Europos Sąjungos socialinės apsaugos sistemų koordinavimo reglamentų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3958090019311ebb74de75171d26d52">
            <w:r w:rsidRPr="00532B9F">
              <w:rPr>
                <w:rFonts w:ascii="Times New Roman" w:eastAsia="MS Mincho" w:hAnsi="Times New Roman"/>
                <w:sz w:val="20"/>
                <w:iCs/>
                <w:color w:val="0000FF" w:themeColor="hyperlink"/>
                <w:u w:val="single"/>
              </w:rPr>
              <w:t>A1-896/V-2128</w:t>
            </w:r>
          </w:fldSimple>
          <w:r>
            <w:rPr>
              <w:rFonts w:ascii="Times New Roman" w:eastAsia="MS Mincho" w:hAnsi="Times New Roman"/>
              <w:sz w:val="20"/>
              <w:iCs/>
            </w:rPr>
            <w:t>,
2020-09-28,
paskelbta TAR 2020-09-28, i. k. 2020-20204                </w:t>
          </w:r>
        </w:p>
        <w:p>
          <w:pPr>
            <w:jc w:val="both"/>
            <w:rPr>
              <w:rFonts w:ascii="Times New Roman" w:hAnsi="Times New Roman"/>
            </w:rPr>
          </w:pPr>
          <w:r>
            <w:rPr>
              <w:rFonts w:ascii="Times New Roman" w:hAnsi="Times New Roman"/>
              <w:sz w:val="20"/>
            </w:rPr>
            <w:t>Dėl Lietuvos Respublikos socialinės apsaugos ir darbo ministro ir Lietuvos Respublikos sveikatos apsaugos ministro 2010 m. liepos 28 d. įsakymo Nr. A1-376/V-676 „Dėl institucijų, atsakingų už Europos Sąjungos socialinės apsaugos sistemų koordinavimo reglamentų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78639d0e30611eb9f09e7df20500045">
            <w:r w:rsidRPr="00532B9F">
              <w:rPr>
                <w:rFonts w:ascii="Times New Roman" w:eastAsia="MS Mincho" w:hAnsi="Times New Roman"/>
                <w:sz w:val="20"/>
                <w:iCs/>
                <w:color w:val="0000FF" w:themeColor="hyperlink"/>
                <w:u w:val="single"/>
              </w:rPr>
              <w:t>A1-512/V-1644</w:t>
            </w:r>
          </w:fldSimple>
          <w:r>
            <w:rPr>
              <w:rFonts w:ascii="Times New Roman" w:eastAsia="MS Mincho" w:hAnsi="Times New Roman"/>
              <w:sz w:val="20"/>
              <w:iCs/>
            </w:rPr>
            <w:t>,
2021-07-12,
paskelbta TAR 2021-07-12, i. k. 2021-15739                </w:t>
          </w:r>
        </w:p>
        <w:p>
          <w:pPr>
            <w:jc w:val="both"/>
            <w:rPr>
              <w:rFonts w:ascii="Times New Roman" w:hAnsi="Times New Roman"/>
            </w:rPr>
          </w:pPr>
          <w:r>
            <w:rPr>
              <w:rFonts w:ascii="Times New Roman" w:hAnsi="Times New Roman"/>
              <w:sz w:val="20"/>
            </w:rPr>
            <w:t>Dėl Lietuvos Respublikos socialinės apsaugos ir darbo ministro ir Lietuvos Respublikos sveikatos apsaugos ministro 2010 m. liepos 28 d. įsakymo Nr. A1-376/V-676 „Dėl institucijų, atsakingų už Europos Sąjungos socialinės apsaugos sistemų koordinavimo reglamentų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3c20066911edb4cae1b158f98ea5">
            <w:r w:rsidRPr="00532B9F">
              <w:rPr>
                <w:rFonts w:ascii="Times New Roman" w:eastAsia="MS Mincho" w:hAnsi="Times New Roman"/>
                <w:sz w:val="20"/>
                <w:iCs/>
                <w:color w:val="0000FF" w:themeColor="hyperlink"/>
                <w:u w:val="single"/>
              </w:rPr>
              <w:t>A1-473/V-1238</w:t>
            </w:r>
          </w:fldSimple>
          <w:r>
            <w:rPr>
              <w:rFonts w:ascii="Times New Roman" w:eastAsia="MS Mincho" w:hAnsi="Times New Roman"/>
              <w:sz w:val="20"/>
              <w:iCs/>
            </w:rPr>
            <w:t>,
2022-07-18,
paskelbta TAR 2022-07-18, i. k. 2022-15746                </w:t>
          </w:r>
        </w:p>
        <w:p>
          <w:pPr>
            <w:jc w:val="both"/>
            <w:rPr>
              <w:rFonts w:ascii="Times New Roman" w:hAnsi="Times New Roman"/>
            </w:rPr>
          </w:pPr>
          <w:r>
            <w:rPr>
              <w:rFonts w:ascii="Times New Roman" w:hAnsi="Times New Roman"/>
              <w:sz w:val="20"/>
            </w:rPr>
            <w:t>Dėl Lietuvos Respublikos socialinės apsaugos ir darbo ministro ir Lietuvos Respublikos sveikatos apsaugos ministro 2010 m. liepos 28 d. įsakymo Nr. A1-376/V-676 „Dėl institucijų, atsakingų už Europos Sąjungos socialinės apsaugos sistemų koordinavimo reglamentų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2588f4d4c511efa5ddd96c482819f5">
            <w:r w:rsidRPr="00532B9F">
              <w:rPr>
                <w:rFonts w:ascii="Times New Roman" w:eastAsia="MS Mincho" w:hAnsi="Times New Roman"/>
                <w:sz w:val="20"/>
                <w:iCs/>
                <w:color w:val="0000FF" w:themeColor="hyperlink"/>
                <w:u w:val="single"/>
              </w:rPr>
              <w:t>A1-23/V-28</w:t>
            </w:r>
          </w:fldSimple>
          <w:r>
            <w:rPr>
              <w:rFonts w:ascii="Times New Roman" w:eastAsia="MS Mincho" w:hAnsi="Times New Roman"/>
              <w:sz w:val="20"/>
              <w:iCs/>
            </w:rPr>
            <w:t>,
2025-01-17,
paskelbta TAR 2025-01-17, i. k. 2025-00565                </w:t>
          </w:r>
        </w:p>
        <w:p>
          <w:pPr>
            <w:jc w:val="both"/>
            <w:rPr>
              <w:rFonts w:ascii="Times New Roman" w:hAnsi="Times New Roman"/>
            </w:rPr>
          </w:pPr>
          <w:r>
            <w:rPr>
              <w:rFonts w:ascii="Times New Roman" w:hAnsi="Times New Roman"/>
              <w:sz w:val="20"/>
            </w:rPr>
            <w:t>Dėl Lietuvos Respublikos socialinės apsaugos ir darbo ministro ir Lietuvos Respublikos sveikatos apsaugos ministro 2010 m. liepos 28 d. įsakymo Nr. A1-376/V-676 „Dėl institucijų, atsakingų už Europos Sąjungos socialinės apsaugos sistemų koordinavimo reglamentų įgyvendinimą, paskyrimo“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41E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B5157DE"/>
  <w15:docId w15:val="{19627526-5BF8-4293-BACD-8BBA58BC899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7.wmf"/>
  <Relationship Id="rId15" Type="http://schemas.openxmlformats.org/officeDocument/2006/relationships/control" Target="activeX/activeX8.xml"/>
  <Relationship Id="rId16" Type="http://schemas.openxmlformats.org/officeDocument/2006/relationships/customXml" Target="../customXml/item1.xml"/>
  <Relationship Id="rId2" Type="http://schemas.openxmlformats.org/officeDocument/2006/relationships/header" Target="header17.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9616a9570e347ce9ffd88b391b7323c" PartId="883eff7aa1604b7db9476444baa73a6f">
    <Part Type="preambule" DocPartId="320bd384377c489f936bea7d78cf289a" PartId="d7bf711b521c47d6994c883c80f52e57"/>
    <Part Type="punktas" Nr="1" Abbr="1 p." DocPartId="d5390dd27ed94ec095b5a089413229a7" PartId="61aef90f75d844e5b6f0093e17f94e7d"/>
    <Part Type="punktas" Nr="2" Abbr="2 p." DocPartId="0ab33add966b4262b9220fa1c72cfc46" PartId="dfdd9658249d4514b39e52dd0a0eaf2b">
      <Part Type="papunktis" Nr="2.1" Abbr="2.1 pp." DocPartId="52c2f0852544448794307a2752fa61f3" PartId="676eb8d19da94cc9b04eedae60519e90"/>
      <Part Type="papunktis" Nr="2.2" Abbr="2.2 pp." DocPartId="dca532c6a75c4a5ead3cccf5d28ff449" PartId="46736edddaa14579acbdc074017f2771"/>
    </Part>
    <Part Type="punktas" Nr="3" Abbr="3 p." DocPartId="848a5ce7d87c4daf95a2216d82b9de34" PartId="8d8b63b02b0346a498bed1cee1eab17f"/>
    <Part Type="signatura" DocPartId="4792c015f3a34f09864cd9c483851c47" PartId="f0ca2b88e00243aa8a241f40fb1b4892"/>
  </Part>
</Parts>
</file>

<file path=customXml/itemProps1.xml><?xml version="1.0" encoding="utf-8"?>
<ds:datastoreItem xmlns:ds="http://schemas.openxmlformats.org/officeDocument/2006/customXml" ds:itemID="{AEE98105-1C10-4D1A-B2E4-C8ABAA2711BE}">
  <ds:schemaRefs>
    <ds:schemaRef ds:uri="http://lrs.lt/TAIS/DocParts"/>
  </ds:schemaRefs>
</ds:datastoreItem>
</file>

<file path=docProps/app.xml><?xml version="1.0" encoding="utf-8"?>
<Properties xmlns="http://schemas.openxmlformats.org/officeDocument/2006/extended-properties">
  <Template>Normal.dotm</Template>
  <TotalTime>11</TotalTime>
  <Pages>10</Pages>
  <Words>11523</Words>
  <Characters>6569</Characters>
  <Application>Microsoft Office Word</Application>
  <DocSecurity>0</DocSecurity>
  <Lines>54</Lines>
  <Paragraphs>36</Paragraphs>
  <ScaleCrop>false</ScaleCrop>
  <Company/>
  <LinksUpToDate>false</LinksUpToDate>
  <CharactersWithSpaces>18056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2015-09-18T04:55:00Z</dcterms:created>
  <dc:creator>Rima</dc:creator>
  <lastModifiedBy>TAMALIŪNIENĖ Vilija</lastModifiedBy>
  <dcterms:modified xsi:type="dcterms:W3CDTF">2025-01-19T16:41:00Z</dcterms:modified>
  <revision>10</revision>
  <dc:title>LIETUVOS RESPUBLIKOS SOCIALINĖS APSAUGOS IR DARBO MINISTRO IR</dc:title>
</coreProperties>
</file>