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94b92db7bd432889dc21dbd1dc2649"/>
        <w:lock w:val="sdtLocked"/>
        <w:richText/>
      </w:sdtPr>
      <w:sdtContent>
        <w:p>
          <w:pPr>
            <w:jc w:val="both"/>
            <w:rPr>
              <w:rFonts w:ascii="Times New Roman" w:hAnsi="Times New Roman"/>
            </w:rPr>
          </w:pPr>
          <w:r>
            <w:rPr>
              <w:rFonts w:ascii="Times New Roman" w:hAnsi="Times New Roman"/>
              <w:b/>
              <w:i/>
            </w:rPr>
            <w:t>Suvestinė redakcija nuo 2011-11-01 iki 2012-12-14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75454D9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0" o:title=""/>
              </v:shape>
              <w:control r:id="rId11"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ab94b92db7bd432889dc21dbd1dc2649"/>
            <w:lock w:val="sdtLocked"/>
            <w:richText/>
          </w:sdtPr>
          <w:sdtContent>
            <w:p>
              <w:pPr>
                <w:widowControl w:val="0"/>
                <w:suppressAutoHyphens/>
                <w:jc w:val="center"/>
                <w:rPr>
                  <w:b/>
                  <w:bCs/>
                  <w:caps/>
                  <w:color w:val="000000"/>
                </w:rPr>
              </w:pPr>
              <w:r>
                <w:rPr>
                  <w:b/>
                  <w:bCs/>
                  <w:caps/>
                  <w:color w:val="000000"/>
                </w:rPr>
                <w:t>DĖL INFORMACIJOS, SUSIJUSIOS SU ENERGETIKOS VEIKLA, TEIKIMO VALSTYBĖS INSTITUCIJOMS, ĮSTAIGOMS IR TREČIOSIOMS ŠALIMS TAISYKLIŲ PATVIRTINIMO</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af446eff2ed9421aab3184c3d57133ab"/>
            <w:lock w:val="sdtLocked"/>
            <w:richText/>
          </w:sdtPr>
          <w:sdtContent>
            <w:p>
              <w:pPr>
                <w:widowControl w:val="0"/>
                <w:suppressAutoHyphens/>
                <w:ind w:firstLine="567"/>
                <w:jc w:val="both"/>
                <w:rPr>
                  <w:color w:val="000000"/>
                </w:rPr>
              </w:pPr>
              <w:r>
                <w:rPr>
                  <w:color w:val="000000"/>
                </w:rPr>
                <w:t xml:space="preserve">Vadovaudamasis Lietuvos Respublikos energetikos įstatymo (Žin., 2002, Nr. </w:t>
              </w:r>
              <w:hyperlink r:id="rId12" w:tgtFrame="_blank" w:history="1">
                <w:r>
                  <w:rPr>
                    <w:rStyle w:val="Hipersaitas"/>
                  </w:rPr>
                  <w:t>56-2224</w:t>
                </w:r>
              </w:hyperlink>
              <w:r>
                <w:rPr>
                  <w:color w:val="000000"/>
                </w:rPr>
                <w:t xml:space="preserve">; 2007, Nr. </w:t>
              </w:r>
              <w:hyperlink r:id="rId13" w:tgtFrame="_blank" w:history="1">
                <w:r>
                  <w:rPr>
                    <w:rStyle w:val="Hipersaitas"/>
                  </w:rPr>
                  <w:t>55-2124</w:t>
                </w:r>
              </w:hyperlink>
              <w:r>
                <w:rPr>
                  <w:color w:val="000000"/>
                </w:rPr>
                <w:t xml:space="preserve">; 2009, Nr. </w:t>
              </w:r>
              <w:hyperlink r:id="rId14" w:tgtFrame="_blank" w:history="1">
                <w:r>
                  <w:rPr>
                    <w:rStyle w:val="Hipersaitas"/>
                  </w:rPr>
                  <w:t>10-352</w:t>
                </w:r>
              </w:hyperlink>
              <w:r>
                <w:rPr>
                  <w:color w:val="000000"/>
                </w:rPr>
                <w:t xml:space="preserve">) 6 straipsnio 12 punktu ir 19 straipsnio 1, 4 ir 5 dalimis, Lietuvos Respublikos šilumos ūkio įstatymo (Žin., 2003, Nr. </w:t>
              </w:r>
              <w:hyperlink r:id="rId15" w:tgtFrame="_blank" w:history="1">
                <w:r>
                  <w:rPr>
                    <w:rStyle w:val="Hipersaitas"/>
                  </w:rPr>
                  <w:t>51-2254</w:t>
                </w:r>
              </w:hyperlink>
              <w:r>
                <w:rPr>
                  <w:color w:val="000000"/>
                </w:rPr>
                <w:t xml:space="preserve">; 2007, Nr. </w:t>
              </w:r>
              <w:hyperlink r:id="rId16" w:tgtFrame="_blank" w:history="1">
                <w:r>
                  <w:rPr>
                    <w:rStyle w:val="Hipersaitas"/>
                  </w:rPr>
                  <w:t>130-5259</w:t>
                </w:r>
              </w:hyperlink>
              <w:r>
                <w:rPr>
                  <w:color w:val="000000"/>
                </w:rPr>
                <w:t xml:space="preserve">; 2011, Nr. </w:t>
              </w:r>
              <w:hyperlink r:id="rId17" w:tgtFrame="_blank" w:history="1">
                <w:r>
                  <w:rPr>
                    <w:rStyle w:val="Hipersaitas"/>
                  </w:rPr>
                  <w:t>123-5816</w:t>
                </w:r>
              </w:hyperlink>
              <w:r>
                <w:rPr>
                  <w:color w:val="000000"/>
                </w:rPr>
                <w:t>) 22 straipsnio 5 dalimi, 2010 m. spalio 20 d. Europos Parlamento ir Tarybos Reglamentu (ES) Nr. 994/2010 dėl dujų tiekimo saugumo užtikrinimo priemonių, kuriuo panaikinama Tarybos direktyva 2004/67/EB (OL 2010 L 295, p. 1), (toliau – Europos Parlamento ir Tarybos Reglamentas Nr. 994/2010) ir 2010 m. birželio 24 d. Tarybos Reglamentu (ES Euratomas) Nr. 617/2010 dėl pranešimo Komisijai apie energetikos infrastruktūros investicinius projektus Europos Sąjungoje ir dėl Reglamento (EB) Nr. 736/96 panaikinimo (OL 2010 L 180, p. 10) (toliau – Tarybos Reglamentas Nr. 617/2010) bei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sdtContent>
        </w:sdt>
        <w:sdt>
          <w:sdtPr>
            <w:alias w:val="pastraipa"/>
            <w:tag w:val="part_ba85a623d4c549588b4c5fbff71c3fc4"/>
            <w:lock w:val="sdtLocked"/>
            <w:richText/>
          </w:sdtPr>
          <w:sdtContent>
            <w:p>
              <w:pPr>
                <w:widowControl w:val="0"/>
                <w:suppressAutoHyphens/>
                <w:ind w:firstLine="567"/>
                <w:jc w:val="both"/>
                <w:rPr>
                  <w:caps/>
                  <w:color w:val="000000"/>
                </w:rPr>
              </w:pPr>
              <w:r>
                <w:rPr>
                  <w:color w:val="000000"/>
                </w:rPr>
                <w:t>t v i r t i n u Informacijos, susijusios su energetikos veikla, teikimo valstybės institucijoms, įstaigoms ir trečiosioms šalims taisykles (pridedama).</w:t>
              </w:r>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8c9bf490353d4564b1ac6878a52323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8c9bf490353d4564b1ac6878a5232302"/>
              <w:lock w:val="sdtLocked"/>
              <w:richText/>
            </w:sdtPr>
            <w:sdtContent>
              <w:r>
                <w:rPr>
                  <w:b/>
                  <w:bCs/>
                  <w:caps/>
                  <w:color w:val="000000"/>
                </w:rPr>
                <w:t>INFORMACIJOS, SUSIJUSIOS SU ENERGETIKOS VEIKLA, TEIKIMO VALSTYBĖS INSTITUCIJOMS, ĮSTAIGOMS IR TREČIOSIOMS ŠALIMS TAISYKLĖS</w:t>
              </w:r>
            </w:sdtContent>
          </w:sdt>
        </w:p>
        <w:p>
          <w:pPr>
            <w:widowControl w:val="0"/>
            <w:suppressAutoHyphens/>
            <w:jc w:val="center"/>
            <w:rPr>
              <w:b/>
              <w:bCs/>
              <w:caps/>
              <w:color w:val="000000"/>
            </w:rPr>
          </w:pPr>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d1a39ff97534d849392c77f6292cf5f"/>
                <w:lock w:val="sdtLocked"/>
                <w:richText/>
              </w:sdtPr>
              <w:sdtContent>
                <w:p>
                  <w:pPr>
                    <w:widowControl w:val="0"/>
                    <w:suppressAutoHyphens/>
                    <w:ind w:firstLine="567"/>
                    <w:jc w:val="both"/>
                    <w:rPr>
                      <w:color w:val="000000"/>
                    </w:rPr>
                  </w:pPr>
                  <w:sdt>
                    <w:sdtPr>
                      <w:alias w:val="Numeris"/>
                      <w:tag w:val="nr_cd1a39ff97534d849392c77f6292cf5f"/>
                      <w:lock w:val="sdtLocked"/>
                      <w:richText/>
                    </w:sdtPr>
                    <w:sdtContent>
                      <w:r>
                        <w:rPr>
                          <w:color w:val="000000"/>
                        </w:rPr>
                        <w:t>1</w:t>
                      </w:r>
                    </w:sdtContent>
                  </w:sdt>
                  <w:r>
                    <w:rPr>
                      <w:color w:val="000000"/>
                    </w:rPr>
                    <w:t>. Informacijos, susijusios su energetikos veikla, teikimo valstybės institucijoms, įstaigoms ir trečiosioms šalims taisyklių (toliau – Taisyklės) tikslas – užtikrinti valstybės institucijoms, įstaigoms ir trečiosioms šalims teisę gauti iš energetikos veikla užsiimančių asmenų su energetikos veikla susijusią informaciją ir nustatyti šios informacijos teikimo tvarką.</w:t>
                  </w:r>
                </w:p>
                <w:p>
                  <w:pPr>
                    <w:widowControl w:val="0"/>
                    <w:suppressAutoHyphens/>
                    <w:ind w:firstLine="567"/>
                    <w:jc w:val="both"/>
                    <w:rPr>
                      <w:color w:val="000000"/>
                    </w:rPr>
                  </w:pPr>
                  <w:r>
                    <w:rPr>
                      <w:color w:val="000000"/>
                    </w:rPr>
                    <w:t>Taisyklės nustato su energetikos veikla susijusios informacijos teikimo tvarką, kiekį bei sąlygas, klausėjų, teikėjų ir trečiųjų šalių santykius. Taisyklės taikomos energetikos veikla užsiimantiems asmenims, valstybės institucijoms ir įstaigoms bei atitinkamoms trečiosioms šalims.</w:t>
                  </w:r>
                </w:p>
              </w:sdtContent>
            </w:sdt>
            <w:sdt>
              <w:sdtPr>
                <w:alias w:val="2 p."/>
                <w:tag w:val="part_6ceb11796c5b44ad847ec3b7f20edc1b"/>
                <w:lock w:val="sdtLocked"/>
                <w:richText/>
              </w:sdtPr>
              <w:sdtContent>
                <w:p>
                  <w:pPr>
                    <w:widowControl w:val="0"/>
                    <w:suppressAutoHyphens/>
                    <w:ind w:firstLine="567"/>
                    <w:jc w:val="both"/>
                    <w:rPr>
                      <w:color w:val="000000"/>
                    </w:rPr>
                  </w:pPr>
                  <w:sdt>
                    <w:sdtPr>
                      <w:alias w:val="Numeris"/>
                      <w:tag w:val="nr_6ceb11796c5b44ad847ec3b7f20edc1b"/>
                      <w:lock w:val="sdtLocked"/>
                      <w:richText/>
                    </w:sdtPr>
                    <w:sdtContent>
                      <w:r>
                        <w:rPr>
                          <w:color w:val="000000"/>
                        </w:rPr>
                        <w:t>2</w:t>
                      </w:r>
                    </w:sdtContent>
                  </w:sdt>
                  <w:r>
                    <w:rPr>
                      <w:color w:val="000000"/>
                    </w:rPr>
                    <w:t>. Informacijos, susijusios su energetikos veikla, teikimo kiekį bei sąlygas, klausėjų, teikėjų ir trečiųjų šalių santykius reglamentuoja ir kiti teisės aktai, į kuriuos Taisyklėse pateikiamos nuorodos:</w:t>
                  </w:r>
                </w:p>
                <w:sdt>
                  <w:sdtPr>
                    <w:alias w:val="2.1 p."/>
                    <w:tag w:val="part_219ffdaf7c3444b3815d14e91d1f2839"/>
                    <w:lock w:val="sdtLocked"/>
                    <w:richText/>
                  </w:sdtPr>
                  <w:sdtContent>
                    <w:p>
                      <w:pPr>
                        <w:widowControl w:val="0"/>
                        <w:suppressAutoHyphens/>
                        <w:ind w:firstLine="567"/>
                        <w:jc w:val="both"/>
                        <w:rPr>
                          <w:color w:val="000000"/>
                          <w:spacing w:val="-3"/>
                        </w:rPr>
                      </w:pPr>
                      <w:sdt>
                        <w:sdtPr>
                          <w:alias w:val="Numeris"/>
                          <w:tag w:val="nr_219ffdaf7c3444b3815d14e91d1f2839"/>
                          <w:lock w:val="sdtLocked"/>
                          <w:richText/>
                        </w:sdtPr>
                        <w:sdtContent>
                          <w:r>
                            <w:rPr>
                              <w:color w:val="000000"/>
                              <w:spacing w:val="-3"/>
                            </w:rPr>
                            <w:t>2.1</w:t>
                          </w:r>
                        </w:sdtContent>
                      </w:sdt>
                      <w:r>
                        <w:rPr>
                          <w:color w:val="000000"/>
                          <w:spacing w:val="-3"/>
                        </w:rPr>
                        <w:t xml:space="preserve">. Lietuvos Respublikos elektros energetikos įstatymo (Žin., 2000, Nr. </w:t>
                      </w:r>
                      <w:hyperlink r:id="rId18" w:tgtFrame="_blank" w:history="1">
                        <w:r>
                          <w:rPr>
                            <w:color w:val="0000FF" w:themeColor="hyperlink"/>
                            <w:spacing w:val="-3"/>
                            <w:u w:val="single"/>
                          </w:rPr>
                          <w:t>66-1984</w:t>
                        </w:r>
                      </w:hyperlink>
                      <w:r>
                        <w:rPr>
                          <w:color w:val="000000"/>
                          <w:spacing w:val="-3"/>
                        </w:rPr>
                        <w:t xml:space="preserve">; 2004, Nr. </w:t>
                      </w:r>
                      <w:hyperlink r:id="rId19" w:tgtFrame="_blank" w:history="1">
                        <w:r>
                          <w:rPr>
                            <w:color w:val="0000FF" w:themeColor="hyperlink"/>
                            <w:spacing w:val="-3"/>
                            <w:u w:val="single"/>
                          </w:rPr>
                          <w:t>107-3964</w:t>
                        </w:r>
                      </w:hyperlink>
                      <w:r>
                        <w:rPr>
                          <w:color w:val="000000"/>
                          <w:spacing w:val="-3"/>
                        </w:rPr>
                        <w:t>).</w:t>
                      </w:r>
                    </w:p>
                  </w:sdtContent>
                </w:sdt>
                <w:sdt>
                  <w:sdtPr>
                    <w:alias w:val="2.2 p."/>
                    <w:tag w:val="part_f291280100ee4fbda78f3fac5001de34"/>
                    <w:lock w:val="sdtLocked"/>
                    <w:richText/>
                  </w:sdtPr>
                  <w:sdtContent>
                    <w:p>
                      <w:pPr>
                        <w:widowControl w:val="0"/>
                        <w:suppressAutoHyphens/>
                        <w:ind w:firstLine="567"/>
                        <w:jc w:val="both"/>
                        <w:rPr>
                          <w:color w:val="000000"/>
                        </w:rPr>
                      </w:pPr>
                      <w:sdt>
                        <w:sdtPr>
                          <w:alias w:val="Numeris"/>
                          <w:tag w:val="nr_f291280100ee4fbda78f3fac5001de34"/>
                          <w:lock w:val="sdtLocked"/>
                          <w:richText/>
                        </w:sdtPr>
                        <w:sdtContent>
                          <w:r>
                            <w:rPr>
                              <w:color w:val="000000"/>
                            </w:rPr>
                            <w:t>2.2</w:t>
                          </w:r>
                        </w:sdtContent>
                      </w:sdt>
                      <w:r>
                        <w:rPr>
                          <w:color w:val="000000"/>
                        </w:rPr>
                        <w:t xml:space="preserve">. Lietuvos Respublikos šilumos ūkio įstatymo (Žin., 2003, Nr. </w:t>
                      </w:r>
                      <w:hyperlink r:id="rId20" w:tgtFrame="_blank" w:history="1">
                        <w:r>
                          <w:rPr>
                            <w:color w:val="0000FF" w:themeColor="hyperlink"/>
                            <w:u w:val="single"/>
                          </w:rPr>
                          <w:t>51-2254</w:t>
                        </w:r>
                      </w:hyperlink>
                      <w:r>
                        <w:rPr>
                          <w:color w:val="000000"/>
                        </w:rPr>
                        <w:t xml:space="preserve">; 2007, Nr. </w:t>
                      </w:r>
                      <w:hyperlink r:id="rId21" w:tgtFrame="_blank" w:history="1">
                        <w:r>
                          <w:rPr>
                            <w:color w:val="0000FF" w:themeColor="hyperlink"/>
                            <w:u w:val="single"/>
                          </w:rPr>
                          <w:t>130-5259</w:t>
                        </w:r>
                      </w:hyperlink>
                      <w:r>
                        <w:rPr>
                          <w:color w:val="000000"/>
                          <w:spacing w:val="-3"/>
                        </w:rPr>
                        <w:t xml:space="preserve">; 2009, Nr. </w:t>
                      </w:r>
                      <w:hyperlink r:id="rId22" w:tgtFrame="_blank" w:history="1">
                        <w:r>
                          <w:rPr>
                            <w:color w:val="0000FF" w:themeColor="hyperlink"/>
                            <w:spacing w:val="-3"/>
                            <w:u w:val="single"/>
                          </w:rPr>
                          <w:t>61-2402</w:t>
                        </w:r>
                      </w:hyperlink>
                      <w:r>
                        <w:rPr>
                          <w:color w:val="000000"/>
                        </w:rPr>
                        <w:t>).</w:t>
                      </w:r>
                    </w:p>
                  </w:sdtContent>
                </w:sdt>
                <w:sdt>
                  <w:sdtPr>
                    <w:alias w:val="2.3 p."/>
                    <w:tag w:val="part_8633aca08de446ba9cd5c99f332ad56e"/>
                    <w:lock w:val="sdtLocked"/>
                    <w:richText/>
                  </w:sdtPr>
                  <w:sdtContent>
                    <w:p>
                      <w:pPr>
                        <w:widowControl w:val="0"/>
                        <w:suppressAutoHyphens/>
                        <w:ind w:firstLine="567"/>
                        <w:jc w:val="both"/>
                        <w:rPr>
                          <w:color w:val="000000"/>
                        </w:rPr>
                      </w:pPr>
                      <w:sdt>
                        <w:sdtPr>
                          <w:alias w:val="Numeris"/>
                          <w:tag w:val="nr_8633aca08de446ba9cd5c99f332ad56e"/>
                          <w:lock w:val="sdtLocked"/>
                          <w:richText/>
                        </w:sdtPr>
                        <w:sdtContent>
                          <w:r>
                            <w:rPr>
                              <w:color w:val="000000"/>
                            </w:rPr>
                            <w:t>2.3</w:t>
                          </w:r>
                        </w:sdtContent>
                      </w:sdt>
                      <w:r>
                        <w:rPr>
                          <w:color w:val="000000"/>
                        </w:rPr>
                        <w:t xml:space="preserve">. Lietuvos Respublikos gamtinių dujų įstatymo (Žin., 2000, Nr. </w:t>
                      </w:r>
                      <w:hyperlink r:id="rId23" w:tgtFrame="_blank" w:history="1">
                        <w:r>
                          <w:rPr>
                            <w:color w:val="0000FF" w:themeColor="hyperlink"/>
                            <w:u w:val="single"/>
                          </w:rPr>
                          <w:t>89-2743</w:t>
                        </w:r>
                      </w:hyperlink>
                      <w:r>
                        <w:rPr>
                          <w:color w:val="000000"/>
                        </w:rPr>
                        <w:t xml:space="preserve">; 2007, Nr. </w:t>
                      </w:r>
                      <w:hyperlink r:id="rId24" w:tgtFrame="_blank" w:history="1">
                        <w:r>
                          <w:rPr>
                            <w:color w:val="0000FF" w:themeColor="hyperlink"/>
                            <w:u w:val="single"/>
                          </w:rPr>
                          <w:t>43-1626</w:t>
                        </w:r>
                      </w:hyperlink>
                      <w:r>
                        <w:rPr>
                          <w:color w:val="000000"/>
                        </w:rPr>
                        <w:t xml:space="preserve">; </w:t>
                      </w:r>
                      <w:r>
                        <w:rPr>
                          <w:color w:val="000000"/>
                          <w:spacing w:val="-3"/>
                        </w:rPr>
                        <w:t xml:space="preserve">2009, Nr. </w:t>
                      </w:r>
                      <w:hyperlink r:id="rId25" w:tgtFrame="_blank" w:history="1">
                        <w:r>
                          <w:rPr>
                            <w:color w:val="0000FF" w:themeColor="hyperlink"/>
                            <w:spacing w:val="-3"/>
                            <w:u w:val="single"/>
                          </w:rPr>
                          <w:t>91-3913</w:t>
                        </w:r>
                      </w:hyperlink>
                      <w:r>
                        <w:rPr>
                          <w:color w:val="000000"/>
                        </w:rPr>
                        <w:t>).</w:t>
                      </w:r>
                    </w:p>
                  </w:sdtContent>
                </w:sdt>
                <w:sdt>
                  <w:sdtPr>
                    <w:alias w:val="2.4 p."/>
                    <w:tag w:val="part_39f19fee800e444f8e6611bcdaf2ace3"/>
                    <w:lock w:val="sdtLocked"/>
                    <w:richText/>
                  </w:sdtPr>
                  <w:sdtContent>
                    <w:p>
                      <w:pPr>
                        <w:widowControl w:val="0"/>
                        <w:suppressAutoHyphens/>
                        <w:ind w:firstLine="567"/>
                        <w:jc w:val="both"/>
                        <w:rPr>
                          <w:color w:val="000000"/>
                        </w:rPr>
                      </w:pPr>
                      <w:sdt>
                        <w:sdtPr>
                          <w:alias w:val="Numeris"/>
                          <w:tag w:val="nr_39f19fee800e444f8e6611bcdaf2ace3"/>
                          <w:lock w:val="sdtLocked"/>
                          <w:richText/>
                        </w:sdtPr>
                        <w:sdtContent>
                          <w:r>
                            <w:rPr>
                              <w:color w:val="000000"/>
                            </w:rPr>
                            <w:t>2.4</w:t>
                          </w:r>
                        </w:sdtContent>
                      </w:sdt>
                      <w:r>
                        <w:rPr>
                          <w:color w:val="000000"/>
                        </w:rPr>
                        <w:t xml:space="preserve">. Lietuvos Respublikos paslaugų įstatymo (Žin., 2009, Nr. </w:t>
                      </w:r>
                      <w:hyperlink r:id="rId26" w:tgtFrame="_blank" w:history="1">
                        <w:r>
                          <w:rPr>
                            <w:color w:val="0000FF" w:themeColor="hyperlink"/>
                            <w:u w:val="single"/>
                          </w:rPr>
                          <w:t>153-6901</w:t>
                        </w:r>
                      </w:hyperlink>
                      <w:r>
                        <w:rPr>
                          <w:color w:val="000000"/>
                        </w:rPr>
                        <w:t>).</w:t>
                      </w:r>
                    </w:p>
                  </w:sdtContent>
                </w:sdt>
                <w:sdt>
                  <w:sdtPr>
                    <w:alias w:val="2.5 p."/>
                    <w:tag w:val="part_0f2c33163b02482eb91fc262cab96484"/>
                    <w:lock w:val="sdtLocked"/>
                    <w:richText/>
                  </w:sdtPr>
                  <w:sdtContent>
                    <w:p>
                      <w:pPr>
                        <w:widowControl w:val="0"/>
                        <w:suppressAutoHyphens/>
                        <w:ind w:firstLine="567"/>
                        <w:jc w:val="both"/>
                        <w:rPr>
                          <w:color w:val="000000"/>
                        </w:rPr>
                      </w:pPr>
                      <w:sdt>
                        <w:sdtPr>
                          <w:alias w:val="Numeris"/>
                          <w:tag w:val="nr_0f2c33163b02482eb91fc262cab96484"/>
                          <w:lock w:val="sdtLocked"/>
                          <w:richText/>
                        </w:sdtPr>
                        <w:sdtContent>
                          <w:r>
                            <w:rPr>
                              <w:color w:val="000000"/>
                            </w:rPr>
                            <w:t>2.5</w:t>
                          </w:r>
                        </w:sdtContent>
                      </w:sdt>
                      <w:r>
                        <w:rPr>
                          <w:color w:val="000000"/>
                        </w:rPr>
                        <w:t xml:space="preserve">. Gamtinių dujų perdavimo, skirstymo, laikymo, skystinimo ir tiekimo licencijavimo taisyklės, patvirtintos Lietuvos Respublikos Vyriausybės 2007 m. gruodžio 5 d. nutarimu Nr. 1304 (Žin., 2007, Nr. </w:t>
                      </w:r>
                      <w:hyperlink r:id="rId27" w:tgtFrame="_blank" w:history="1">
                        <w:r>
                          <w:rPr>
                            <w:color w:val="0000FF" w:themeColor="hyperlink"/>
                            <w:u w:val="single"/>
                          </w:rPr>
                          <w:t>132-5379</w:t>
                        </w:r>
                      </w:hyperlink>
                      <w:r>
                        <w:rPr>
                          <w:color w:val="000000"/>
                        </w:rPr>
                        <w:t>).</w:t>
                      </w:r>
                    </w:p>
                  </w:sdtContent>
                </w:sdt>
                <w:sdt>
                  <w:sdtPr>
                    <w:alias w:val="2.6 p."/>
                    <w:tag w:val="part_ce00d2fef4c74233b1d36ccf94768c09"/>
                    <w:lock w:val="sdtLocked"/>
                    <w:richText/>
                  </w:sdtPr>
                  <w:sdtContent>
                    <w:p>
                      <w:pPr>
                        <w:widowControl w:val="0"/>
                        <w:suppressAutoHyphens/>
                        <w:ind w:firstLine="567"/>
                        <w:jc w:val="both"/>
                        <w:rPr>
                          <w:color w:val="000000"/>
                        </w:rPr>
                      </w:pPr>
                      <w:sdt>
                        <w:sdtPr>
                          <w:alias w:val="Numeris"/>
                          <w:tag w:val="nr_ce00d2fef4c74233b1d36ccf94768c09"/>
                          <w:lock w:val="sdtLocked"/>
                          <w:richText/>
                        </w:sdtPr>
                        <w:sdtContent>
                          <w:r>
                            <w:rPr>
                              <w:color w:val="000000"/>
                            </w:rPr>
                            <w:t>2.6</w:t>
                          </w:r>
                        </w:sdtContent>
                      </w:sdt>
                      <w:r>
                        <w:rPr>
                          <w:color w:val="000000"/>
                        </w:rPr>
                        <w:t xml:space="preserve">. Energetikos įmonių informacijos teikimo tvarka, patvirtinta Valstybinės kainų ir energetikos kontrolės komisijos 2008 m. birželio 28 d. nutarimu Nr. O3-80 (Žin., 2008, Nr. </w:t>
                      </w:r>
                      <w:hyperlink r:id="rId28" w:tgtFrame="_blank" w:history="1">
                        <w:r>
                          <w:rPr>
                            <w:color w:val="0000FF" w:themeColor="hyperlink"/>
                            <w:u w:val="single"/>
                          </w:rPr>
                          <w:t>76-3039</w:t>
                        </w:r>
                      </w:hyperlink>
                      <w:r>
                        <w:rPr>
                          <w:color w:val="000000"/>
                        </w:rPr>
                        <w:t>).</w:t>
                      </w:r>
                    </w:p>
                  </w:sdtContent>
                </w:sdt>
                <w:sdt>
                  <w:sdtPr>
                    <w:alias w:val="2.7 p."/>
                    <w:tag w:val="part_e1d68b18a7ce4442bb257ab2aa459618"/>
                    <w:lock w:val="sdtLocked"/>
                    <w:richText/>
                  </w:sdtPr>
                  <w:sdtContent>
                    <w:p>
                      <w:pPr>
                        <w:widowControl w:val="0"/>
                        <w:suppressAutoHyphens/>
                        <w:ind w:firstLine="567"/>
                        <w:jc w:val="both"/>
                        <w:rPr>
                          <w:color w:val="000000"/>
                        </w:rPr>
                      </w:pPr>
                      <w:sdt>
                        <w:sdtPr>
                          <w:alias w:val="Numeris"/>
                          <w:tag w:val="nr_e1d68b18a7ce4442bb257ab2aa459618"/>
                          <w:lock w:val="sdtLocked"/>
                          <w:richText/>
                        </w:sdtPr>
                        <w:sdtContent>
                          <w:r>
                            <w:rPr>
                              <w:color w:val="000000"/>
                            </w:rPr>
                            <w:t>2.7</w:t>
                          </w:r>
                        </w:sdtContent>
                      </w:sdt>
                      <w:r>
                        <w:rPr>
                          <w:color w:val="000000"/>
                        </w:rPr>
                        <w:t xml:space="preserve">. Elektros energijos tiekimo ir naudojimo taisyklės, patvirtintos Lietuvos Respublikos energetikos ministro 2010 m. vasario 11 d. įsakymu Nr. 1-38 (Žin., 2010, Nr. </w:t>
                      </w:r>
                      <w:hyperlink r:id="rId29" w:tgtFrame="_blank" w:history="1">
                        <w:r>
                          <w:rPr>
                            <w:color w:val="0000FF" w:themeColor="hyperlink"/>
                            <w:u w:val="single"/>
                          </w:rPr>
                          <w:t>20-957</w:t>
                        </w:r>
                      </w:hyperlink>
                      <w:r>
                        <w:rPr>
                          <w:color w:val="000000"/>
                        </w:rPr>
                        <w:t>).</w:t>
                      </w:r>
                    </w:p>
                  </w:sdtContent>
                </w:sdt>
                <w:sdt>
                  <w:sdtPr>
                    <w:alias w:val="2.8 p."/>
                    <w:tag w:val="part_02a33c1825f743c3b1c8eb312e1ff5a5"/>
                    <w:lock w:val="sdtLocked"/>
                    <w:richText/>
                  </w:sdtPr>
                  <w:sdtContent>
                    <w:p>
                      <w:pPr>
                        <w:widowControl w:val="0"/>
                        <w:suppressAutoHyphens/>
                        <w:ind w:firstLine="567"/>
                        <w:jc w:val="both"/>
                        <w:rPr>
                          <w:color w:val="000000"/>
                        </w:rPr>
                      </w:pPr>
                      <w:sdt>
                        <w:sdtPr>
                          <w:alias w:val="Numeris"/>
                          <w:tag w:val="nr_02a33c1825f743c3b1c8eb312e1ff5a5"/>
                          <w:lock w:val="sdtLocked"/>
                          <w:richText/>
                        </w:sdtPr>
                        <w:sdtContent>
                          <w:r>
                            <w:rPr>
                              <w:color w:val="000000"/>
                            </w:rPr>
                            <w:t>2.8</w:t>
                          </w:r>
                        </w:sdtContent>
                      </w:sdt>
                      <w:r>
                        <w:rPr>
                          <w:color w:val="000000"/>
                        </w:rPr>
                        <w:t xml:space="preserve">. Šilumos tiekimo ir vartojimo taisyklės, patvirtintos Lietuvos Respublikos ūkio ministro 2003 m. birželio 30 d. įsakymu Nr. 4-258 (Žin., 2003, Nr. </w:t>
                      </w:r>
                      <w:hyperlink r:id="rId30" w:tgtFrame="_blank" w:history="1">
                        <w:r>
                          <w:rPr>
                            <w:color w:val="0000FF" w:themeColor="hyperlink"/>
                            <w:u w:val="single"/>
                          </w:rPr>
                          <w:t>70-3193</w:t>
                        </w:r>
                      </w:hyperlink>
                      <w:r>
                        <w:rPr>
                          <w:color w:val="000000"/>
                        </w:rPr>
                        <w:t xml:space="preserve">; 2009, Nr. </w:t>
                      </w:r>
                      <w:hyperlink r:id="rId31" w:tgtFrame="_blank" w:history="1">
                        <w:r>
                          <w:rPr>
                            <w:color w:val="0000FF" w:themeColor="hyperlink"/>
                            <w:u w:val="single"/>
                          </w:rPr>
                          <w:t>1-14</w:t>
                        </w:r>
                      </w:hyperlink>
                      <w:r>
                        <w:rPr>
                          <w:color w:val="000000"/>
                        </w:rPr>
                        <w:t>).</w:t>
                      </w:r>
                    </w:p>
                  </w:sdtContent>
                </w:sdt>
                <w:sdt>
                  <w:sdtPr>
                    <w:alias w:val="2.9 p."/>
                    <w:tag w:val="part_1cf7469ec6fc4844b7e876d8c2a8fc15"/>
                    <w:lock w:val="sdtLocked"/>
                    <w:richText/>
                  </w:sdtPr>
                  <w:sdtContent>
                    <w:p>
                      <w:pPr>
                        <w:widowControl w:val="0"/>
                        <w:suppressAutoHyphens/>
                        <w:ind w:firstLine="567"/>
                        <w:jc w:val="both"/>
                        <w:rPr>
                          <w:color w:val="000000"/>
                        </w:rPr>
                      </w:pPr>
                      <w:sdt>
                        <w:sdtPr>
                          <w:alias w:val="Numeris"/>
                          <w:tag w:val="nr_1cf7469ec6fc4844b7e876d8c2a8fc15"/>
                          <w:lock w:val="sdtLocked"/>
                          <w:richText/>
                        </w:sdtPr>
                        <w:sdtContent>
                          <w:r>
                            <w:rPr>
                              <w:color w:val="000000"/>
                            </w:rPr>
                            <w:t>2.9</w:t>
                          </w:r>
                        </w:sdtContent>
                      </w:sdt>
                      <w:r>
                        <w:rPr>
                          <w:color w:val="000000"/>
                        </w:rPr>
                        <w:t xml:space="preserve">. Gamtinių dujų perdavimo paskirstymo, laikymo ir tiekimo taisyklės, patvirtintos Lietuvos Respublikos ūkio ministro 2002 m. vasario 5 d. įsakymu Nr. 43 (Žin., 2002, Nr. </w:t>
                      </w:r>
                      <w:hyperlink r:id="rId32" w:tgtFrame="_blank" w:history="1">
                        <w:r>
                          <w:rPr>
                            <w:color w:val="0000FF" w:themeColor="hyperlink"/>
                            <w:u w:val="single"/>
                          </w:rPr>
                          <w:t>15-598</w:t>
                        </w:r>
                      </w:hyperlink>
                      <w:r>
                        <w:rPr>
                          <w:color w:val="000000"/>
                        </w:rPr>
                        <w:t>).</w:t>
                      </w:r>
                    </w:p>
                  </w:sdtContent>
                </w:sdt>
                <w:sdt>
                  <w:sdtPr>
                    <w:alias w:val="2.10 p."/>
                    <w:tag w:val="part_71c4bf9397524a0aa9fa22dd3f0bacfc"/>
                    <w:lock w:val="sdtLocked"/>
                    <w:richText/>
                  </w:sdtPr>
                  <w:sdtContent>
                    <w:p>
                      <w:pPr>
                        <w:widowControl w:val="0"/>
                        <w:suppressAutoHyphens/>
                        <w:ind w:firstLine="567"/>
                        <w:jc w:val="both"/>
                        <w:rPr>
                          <w:color w:val="000000"/>
                        </w:rPr>
                      </w:pPr>
                      <w:sdt>
                        <w:sdtPr>
                          <w:alias w:val="Numeris"/>
                          <w:tag w:val="nr_71c4bf9397524a0aa9fa22dd3f0bacfc"/>
                          <w:lock w:val="sdtLocked"/>
                          <w:richText/>
                        </w:sdtPr>
                        <w:sdtContent>
                          <w:r>
                            <w:rPr>
                              <w:color w:val="000000"/>
                            </w:rPr>
                            <w:t>2.10</w:t>
                          </w:r>
                        </w:sdtContent>
                      </w:sdt>
                      <w:r>
                        <w:rPr>
                          <w:color w:val="000000"/>
                        </w:rPr>
                        <w:t xml:space="preserve">. Prekybos naftos produktais, biokuru, bioalyva ir kitais degiaisiais skystais produktais Lietuvos Respublikoje taisyklės, patvirtintos Lietuvos Respublikos ūkio ministro 2001 m. balandžio 26 d. įsakymu Nr. 147 (Žin., 2001, Nr. </w:t>
                      </w:r>
                      <w:hyperlink r:id="rId33" w:tgtFrame="_blank" w:history="1">
                        <w:r>
                          <w:rPr>
                            <w:color w:val="0000FF" w:themeColor="hyperlink"/>
                            <w:u w:val="single"/>
                          </w:rPr>
                          <w:t>37-1269</w:t>
                        </w:r>
                      </w:hyperlink>
                      <w:r>
                        <w:rPr>
                          <w:color w:val="000000"/>
                        </w:rPr>
                        <w:t>).</w:t>
                      </w:r>
                    </w:p>
                  </w:sdtContent>
                </w:sdt>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3579eeb2d09946e293a1344599e1b86a"/>
                <w:lock w:val="sdtLocked"/>
                <w:richText/>
              </w:sdtPr>
              <w:sdtContent>
                <w:p>
                  <w:pPr>
                    <w:widowControl w:val="0"/>
                    <w:suppressAutoHyphens/>
                    <w:ind w:firstLine="567"/>
                    <w:jc w:val="both"/>
                    <w:rPr>
                      <w:color w:val="000000"/>
                    </w:rPr>
                  </w:pPr>
                  <w:sdt>
                    <w:sdtPr>
                      <w:alias w:val="Numeris"/>
                      <w:tag w:val="nr_3579eeb2d09946e293a1344599e1b86a"/>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color w:val="000000"/>
                    </w:rPr>
                    <w:t xml:space="preserve">Mažas energijos tiekėjas </w:t>
                  </w:r>
                  <w:r>
                    <w:rPr>
                      <w:color w:val="000000"/>
                    </w:rPr>
                    <w:t>– įmonė, kuri per metus galutiniams energijos vartotojams parduoda mažiau negu 75 GWh energijos ar yra įdarbinusi mažiau nei 10 asmenų, arba jos metinė apyvarta neviršija 6 905 600 Lt.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 xml:space="preserve">Trečiosios šalys </w:t>
                  </w:r>
                  <w:r>
                    <w:rPr>
                      <w:color w:val="000000"/>
                    </w:rPr>
                    <w:t>– galutiniai energijos vartotojai, savivaldybės, ES institucijos ir įstaigos.</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rPr>
                      <w:color w:val="000000"/>
                    </w:rPr>
                  </w:pPr>
                  <w:r>
                    <w:rPr>
                      <w:color w:val="000000"/>
                    </w:rPr>
                    <w:t xml:space="preserve">Kitos Taisyklėse vartojamos sąvokos suprantamos taip, kaip apibrėžta Lietuvos Respublikos energetikos įstatyme (Žin., 2002, Nr. </w:t>
                  </w:r>
                  <w:hyperlink r:id="rId34" w:tgtFrame="_blank" w:history="1">
                    <w:r>
                      <w:rPr>
                        <w:color w:val="0000FF" w:themeColor="hyperlink"/>
                        <w:u w:val="single"/>
                      </w:rPr>
                      <w:t>56-2224</w:t>
                    </w:r>
                  </w:hyperlink>
                  <w:r>
                    <w:rPr>
                      <w:color w:val="000000"/>
                    </w:rPr>
                    <w:t>) ir Taisyklių 2 punkte nurodytuose teisės aktuose.</w:t>
                  </w:r>
                </w:p>
                <w:p>
                  <w:pPr>
                    <w:widowControl w:val="0"/>
                    <w:suppressAutoHyphens/>
                    <w:ind w:firstLine="567"/>
                    <w:jc w:val="both"/>
                    <w:rPr>
                      <w:color w:val="000000"/>
                    </w:rPr>
                  </w:pPr>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35"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efd95e4a316147ee91d6d154b334e115"/>
                    <w:lock w:val="sdtLocked"/>
                    <w:richText/>
                  </w:sdtPr>
                  <w:sdtContent>
                    <w:p>
                      <w:pPr>
                        <w:widowControl w:val="0"/>
                        <w:suppressAutoHyphens/>
                        <w:ind w:firstLine="567"/>
                        <w:jc w:val="both"/>
                        <w:rPr>
                          <w:color w:val="000000"/>
                        </w:rPr>
                      </w:pPr>
                      <w:sdt>
                        <w:sdtPr>
                          <w:alias w:val="Numeris"/>
                          <w:tag w:val="nr_efd95e4a316147ee91d6d154b334e115"/>
                          <w:lock w:val="sdtLocked"/>
                          <w:richText/>
                        </w:sdtPr>
                        <w:sdtContent>
                          <w:r>
                            <w:rPr>
                              <w:color w:val="000000"/>
                            </w:rPr>
                            <w:t>26.2</w:t>
                          </w:r>
                        </w:sdtContent>
                      </w:sdt>
                      <w:r>
                        <w:rPr>
                          <w:color w:val="000000"/>
                        </w:rPr>
                        <w:t>. pripažinimo tinkamu naudoti ar naudojimo pradžią (jei jos nesutampa) – ne vėliau kaip per 10 darbo dienų po įvykio.</w:t>
                      </w:r>
                    </w:p>
                  </w:sdtContent>
                </w:sdt>
              </w:sdtContent>
            </w:sdt>
            <w:sdt>
              <w:sdtPr>
                <w:alias w:val="26-1 p."/>
                <w:tag w:val="part_0a5af06521b04589bf5852239840cc35"/>
                <w:lock w:val="sdtLocked"/>
                <w:richText/>
              </w:sdtPr>
              <w:sdtContent>
                <w:p>
                  <w:pPr>
                    <w:widowControl w:val="0"/>
                    <w:suppressAutoHyphens/>
                    <w:ind w:firstLine="567"/>
                    <w:jc w:val="both"/>
                    <w:rPr>
                      <w:color w:val="000000"/>
                    </w:rPr>
                  </w:pPr>
                  <w:sdt>
                    <w:sdtPr>
                      <w:alias w:val="Numeris"/>
                      <w:tag w:val="nr_0a5af06521b04589bf5852239840cc35"/>
                      <w:lock w:val="sdtLocked"/>
                      <w:richText/>
                    </w:sdtPr>
                    <w:sdtContent>
                      <w:r>
                        <w:rPr>
                          <w:color w:val="000000"/>
                        </w:rPr>
                        <w:t>26</w:t>
                      </w:r>
                      <w:r>
                        <w:rPr>
                          <w:color w:val="000000"/>
                          <w:vertAlign w:val="superscript"/>
                        </w:rPr>
                        <w:t>1</w:t>
                      </w:r>
                    </w:sdtContent>
                  </w:sdt>
                  <w:r>
                    <w:rPr>
                      <w:color w:val="000000"/>
                    </w:rPr>
                    <w:t>. Įmonė, kaip apibrėžta Tarybos Reglamento Nr. 617/2010 2 straipsnio 9 punkte, iki ataskaitinių metų birželio 1 d. teikia Energetikos ministerijai informaciją apie energetikos infrastruktūros investicinius projektus. Informacija teikiama vadovaujantis Tarybos Reglamente Nr. 617/2010 nustatytais reikalavimais.</w:t>
                  </w:r>
                </w:p>
                <w:p>
                  <w:pPr>
                    <w:widowControl w:val="0"/>
                    <w:suppressAutoHyphens/>
                    <w:ind w:firstLine="567"/>
                    <w:jc w:val="both"/>
                  </w:pPr>
                  <w:r>
                    <w:rPr>
                      <w:color w:val="000000"/>
                    </w:rPr>
                    <w:t>Duomenys apie investicinius projektus teikiami vadovaujantis 2010 m. rugsėjo 21 d. Komisijos Reglamento (ES, Euratomas) Nr. 833/2010, kuriuo įgyvendinamas Tarybos Reglamentas Nr. 617/2010 dėl pranešimo Komisijai apie energetikos infrastruktūros investicinius projektus Europos Sąjungoje, priede patvirtintomis formomis.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36"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be093677af9b444589aaa5a4956a57d9"/>
                <w:lock w:val="sdtLocked"/>
                <w:richText/>
              </w:sdtPr>
              <w:sdtContent>
                <w:p>
                  <w:pPr>
                    <w:widowControl w:val="0"/>
                    <w:suppressAutoHyphens/>
                    <w:ind w:firstLine="567"/>
                    <w:jc w:val="both"/>
                    <w:rPr>
                      <w:color w:val="000000"/>
                    </w:rPr>
                  </w:pPr>
                  <w:r>
                    <w:rPr>
                      <w:color w:val="000000"/>
                    </w:rPr>
                    <w:t>36¹. Asmenys, vykdantys pastato šildymo ir karšto vandens sistemų prižiūrėtojo (eksploatuotojo) veiklą (toliau – teikėjai), savo veikimo teritorijoje pagal kompetenciją galutiniams energijos vartotojams teikia susijusią su šia veikla informaciją apie:</w:t>
                  </w:r>
                </w:p>
                <w:sdt>
                  <w:sdtPr>
                    <w:alias w:val="36-1.1 p."/>
                    <w:tag w:val="part_9c46b22c88fa4b829ae62905f84a4f03"/>
                    <w:lock w:val="sdtLocked"/>
                    <w:richText/>
                  </w:sdtPr>
                  <w:sdtContent>
                    <w:p>
                      <w:pPr>
                        <w:widowControl w:val="0"/>
                        <w:suppressAutoHyphens/>
                        <w:ind w:firstLine="567"/>
                        <w:jc w:val="both"/>
                        <w:rPr>
                          <w:color w:val="000000"/>
                        </w:rPr>
                      </w:pPr>
                      <w:r>
                        <w:rPr>
                          <w:color w:val="000000"/>
                        </w:rPr>
                        <w:t>36¹.1. veiklos pajamas;</w:t>
                      </w:r>
                    </w:p>
                  </w:sdtContent>
                </w:sdt>
                <w:sdt>
                  <w:sdtPr>
                    <w:alias w:val="36-1.2 p."/>
                    <w:tag w:val="part_8bd7e825ebe94737b8600f2727244cc6"/>
                    <w:lock w:val="sdtLocked"/>
                    <w:richText/>
                  </w:sdtPr>
                  <w:sdtContent>
                    <w:p>
                      <w:pPr>
                        <w:widowControl w:val="0"/>
                        <w:suppressAutoHyphens/>
                        <w:ind w:firstLine="567"/>
                        <w:jc w:val="both"/>
                        <w:rPr>
                          <w:color w:val="000000"/>
                        </w:rPr>
                      </w:pPr>
                      <w:r>
                        <w:rPr>
                          <w:color w:val="000000"/>
                        </w:rPr>
                        <w:t>36¹.2. sąnaudas;</w:t>
                      </w:r>
                    </w:p>
                  </w:sdtContent>
                </w:sdt>
                <w:sdt>
                  <w:sdtPr>
                    <w:alias w:val="36-1.3 p."/>
                    <w:tag w:val="part_b188605793b14806a72000c54140accf"/>
                    <w:lock w:val="sdtLocked"/>
                    <w:richText/>
                  </w:sdtPr>
                  <w:sdtContent>
                    <w:p>
                      <w:pPr>
                        <w:widowControl w:val="0"/>
                        <w:suppressAutoHyphens/>
                        <w:ind w:firstLine="567"/>
                        <w:jc w:val="both"/>
                        <w:rPr>
                          <w:color w:val="000000"/>
                        </w:rPr>
                      </w:pPr>
                      <w:r>
                        <w:rPr>
                          <w:color w:val="000000"/>
                        </w:rPr>
                        <w:t>36¹.3. sistemų eksploatavimą (atliktų darbų sąrašą);</w:t>
                      </w:r>
                    </w:p>
                  </w:sdtContent>
                </w:sdt>
                <w:sdt>
                  <w:sdtPr>
                    <w:alias w:val="36-1.4 p."/>
                    <w:tag w:val="part_2628b8f1cb604922801117aa2cbe93d9"/>
                    <w:lock w:val="sdtLocked"/>
                    <w:richText/>
                  </w:sdtPr>
                  <w:sdtContent>
                    <w:p>
                      <w:pPr>
                        <w:widowControl w:val="0"/>
                        <w:suppressAutoHyphens/>
                        <w:ind w:firstLine="567"/>
                        <w:jc w:val="both"/>
                        <w:rPr>
                          <w:color w:val="000000"/>
                        </w:rPr>
                      </w:pPr>
                      <w:r>
                        <w:rPr>
                          <w:color w:val="000000"/>
                        </w:rPr>
                        <w:t>36¹.4. kainas ir tarifus, jų struktūrą;</w:t>
                      </w:r>
                    </w:p>
                  </w:sdtContent>
                </w:sdt>
                <w:sdt>
                  <w:sdtPr>
                    <w:alias w:val="36-1.5 p."/>
                    <w:tag w:val="part_976fb62238fe496799f43f4024a8d4a6"/>
                    <w:lock w:val="sdtLocked"/>
                    <w:richText/>
                  </w:sdtPr>
                  <w:sdtContent>
                    <w:p>
                      <w:pPr>
                        <w:widowControl w:val="0"/>
                        <w:suppressAutoHyphens/>
                        <w:ind w:firstLine="567"/>
                        <w:jc w:val="both"/>
                        <w:rPr>
                          <w:color w:val="000000"/>
                        </w:rPr>
                      </w:pPr>
                      <w:r>
                        <w:rPr>
                          <w:color w:val="000000"/>
                        </w:rPr>
                        <w:t>36¹.5. paslaugų teikimo sąlygas;</w:t>
                      </w:r>
                    </w:p>
                  </w:sdtContent>
                </w:sdt>
                <w:sdt>
                  <w:sdtPr>
                    <w:alias w:val="36-1.6 p."/>
                    <w:tag w:val="part_9e9073f0fc6c4ae89208a1bdfc066e57"/>
                    <w:lock w:val="sdtLocked"/>
                    <w:richText/>
                  </w:sdtPr>
                  <w:sdtContent>
                    <w:p>
                      <w:pPr>
                        <w:widowControl w:val="0"/>
                        <w:suppressAutoHyphens/>
                        <w:ind w:firstLine="567"/>
                        <w:jc w:val="both"/>
                      </w:pPr>
                      <w:r>
                        <w:rPr>
                          <w:color w:val="000000"/>
                        </w:rPr>
                        <w:t>36¹.6. jeigu pastato šildymo ir karšto vandens sistemų prižiūrėtojo (eksploatuotojo) veiklą vykdo juridinis asmuo – ketvirtinius ir metinius finansinius-balansinius rodiklius, investicijų dydžius, duomenis apie investuotojus, darbuotojų skaičių, savininkams (dalyviams) išmokėtų dividendų ar tantjemų dydį, bendrovės valdymo organų narių ir vadovaujančių darbuotojų (stebėtojų tarybos, valdybos narių, vadovų, jų pavaduotojų, padalinių vadovų, vyriausiųjų finansininkų (buhalterių) ir jų pavaduotojų) darbo užmokesčio dydį bei jiems kitais pagrindais išmokėtas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sdtContent>
            </w:sdt>
            <w:sdt>
              <w:sdtPr>
                <w:alias w:val="37 p."/>
                <w:tag w:val="part_3379f9c36b08480cb8ecbce037347730"/>
                <w:lock w:val="sdtLocked"/>
                <w:richText/>
              </w:sdtPr>
              <w:sdtContent>
                <w:p>
                  <w:pPr>
                    <w:widowControl w:val="0"/>
                    <w:suppressAutoHyphens/>
                    <w:ind w:firstLine="567"/>
                    <w:jc w:val="both"/>
                    <w:rPr>
                      <w:color w:val="000000"/>
                    </w:rPr>
                  </w:pPr>
                  <w:sdt>
                    <w:sdtPr>
                      <w:alias w:val="Numeris"/>
                      <w:tag w:val="nr_3379f9c36b08480cb8ecbce037347730"/>
                      <w:lock w:val="sdtLocked"/>
                      <w:richText/>
                    </w:sdtPr>
                    <w:sdtContent>
                      <w:r>
                        <w:rPr>
                          <w:color w:val="000000"/>
                        </w:rPr>
                        <w:t>37</w:t>
                      </w:r>
                    </w:sdtContent>
                  </w:sdt>
                  <w:r>
                    <w:rPr>
                      <w:color w:val="000000"/>
                    </w:rPr>
                    <w:t>. Energijos teikėjai viešai paskelbia telefonų numerius ir elektroninio pašto adresus, kuriais galutiniai energijos vartotojai gali kreiptis dėl Taisyklių 36 ir (ar) 36¹ punkte nurodytos informacijos.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sdtContent>
            </w:sdt>
            <w:sdt>
              <w:sdtPr>
                <w:alias w:val="38 p."/>
                <w:tag w:val="part_705da2cc4fe547e280863e928b3bbf54"/>
                <w:lock w:val="sdtLocked"/>
                <w:richText/>
              </w:sdtPr>
              <w:sdtContent>
                <w:p>
                  <w:pPr>
                    <w:widowControl w:val="0"/>
                    <w:suppressAutoHyphens/>
                    <w:ind w:firstLine="567"/>
                    <w:jc w:val="both"/>
                    <w:rPr>
                      <w:color w:val="000000"/>
                    </w:rPr>
                  </w:pPr>
                  <w:sdt>
                    <w:sdtPr>
                      <w:alias w:val="Numeris"/>
                      <w:tag w:val="nr_705da2cc4fe547e280863e928b3bbf54"/>
                      <w:lock w:val="sdtLocked"/>
                      <w:richText/>
                    </w:sdtPr>
                    <w:sdtContent>
                      <w:r>
                        <w:rPr>
                          <w:color w:val="000000"/>
                        </w:rPr>
                        <w:t>38</w:t>
                      </w:r>
                    </w:sdtContent>
                  </w:sdt>
                  <w:r>
                    <w:rPr>
                      <w:color w:val="000000"/>
                    </w:rPr>
                    <w:t>. Raštišku galutinio energijos vartotojo prašymu informaciją, nurodytą Taisyklių 36 ir (ar) 36¹ punkte, energijos teikėjai privalo pateikti raštu.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b1ee0e08598141648b8546d8a04a7ba5"/>
                <w:lock w:val="sdtLocked"/>
                <w:richText/>
              </w:sdtPr>
              <w:sdtContent>
                <w:p>
                  <w:pPr>
                    <w:widowControl w:val="0"/>
                    <w:suppressAutoHyphens/>
                    <w:ind w:firstLine="567"/>
                    <w:jc w:val="both"/>
                    <w:rPr>
                      <w:color w:val="000000"/>
                    </w:rPr>
                  </w:pPr>
                  <w:sdt>
                    <w:sdtPr>
                      <w:alias w:val="Numeris"/>
                      <w:tag w:val="nr_b1ee0e08598141648b8546d8a04a7ba5"/>
                      <w:lock w:val="sdtLocked"/>
                      <w:richText/>
                    </w:sdtPr>
                    <w:sdtContent>
                      <w:r>
                        <w:rPr>
                          <w:color w:val="000000"/>
                        </w:rPr>
                        <w:t>44</w:t>
                      </w:r>
                    </w:sdtContent>
                  </w:sdt>
                  <w:r>
                    <w:rPr>
                      <w:color w:val="000000"/>
                    </w:rPr>
                    <w:t>. Informaciją, nurodytą Taisyklių 36</w:t>
                  </w:r>
                  <w:r>
                    <w:rPr>
                      <w:color w:val="000000"/>
                      <w:vertAlign w:val="superscript"/>
                    </w:rPr>
                    <w:t>1</w:t>
                  </w:r>
                  <w:r>
                    <w:rPr>
                      <w:color w:val="000000"/>
                    </w:rPr>
                    <w:t xml:space="preserve"> punkte, galutiniams energijos vartotojams rekomenduojama teikti bet kuriuo iš šių būdų:</w:t>
                  </w:r>
                </w:p>
                <w:sdt>
                  <w:sdtPr>
                    <w:alias w:val="44.1 p."/>
                    <w:tag w:val="part_4ebefb6db6be449aa569db724c192707"/>
                    <w:lock w:val="sdtLocked"/>
                    <w:richText/>
                  </w:sdtPr>
                  <w:sdtContent>
                    <w:p>
                      <w:pPr>
                        <w:widowControl w:val="0"/>
                        <w:suppressAutoHyphens/>
                        <w:ind w:firstLine="567"/>
                        <w:jc w:val="both"/>
                        <w:rPr>
                          <w:color w:val="000000"/>
                        </w:rPr>
                      </w:pPr>
                      <w:sdt>
                        <w:sdtPr>
                          <w:alias w:val="Numeris"/>
                          <w:tag w:val="nr_4ebefb6db6be449aa569db724c192707"/>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c6bac30f289f43e981d027f55e1e2982"/>
                    <w:lock w:val="sdtLocked"/>
                    <w:richText/>
                  </w:sdtPr>
                  <w:sdtContent>
                    <w:p>
                      <w:pPr>
                        <w:widowControl w:val="0"/>
                        <w:suppressAutoHyphens/>
                        <w:ind w:firstLine="567"/>
                        <w:jc w:val="both"/>
                        <w:rPr>
                          <w:color w:val="000000"/>
                        </w:rPr>
                      </w:pPr>
                      <w:sdt>
                        <w:sdtPr>
                          <w:alias w:val="Numeris"/>
                          <w:tag w:val="nr_c6bac30f289f43e981d027f55e1e2982"/>
                          <w:lock w:val="sdtLocked"/>
                          <w:richText/>
                        </w:sdtPr>
                        <w:sdtContent>
                          <w:r>
                            <w:rPr>
                              <w:color w:val="000000"/>
                            </w:rPr>
                            <w:t>44.2</w:t>
                          </w:r>
                        </w:sdtContent>
                      </w:sdt>
                      <w:r>
                        <w:rPr>
                          <w:color w:val="000000"/>
                        </w:rPr>
                        <w:t>. surengti konferencijų, seminarų, paskaitų, susitikimų;</w:t>
                      </w:r>
                    </w:p>
                  </w:sdtContent>
                </w:sdt>
                <w:sdt>
                  <w:sdtPr>
                    <w:alias w:val="44.3 p."/>
                    <w:tag w:val="part_dad9a9def51245fc8ec3e3b3a1e329e8"/>
                    <w:lock w:val="sdtLocked"/>
                    <w:richText/>
                  </w:sdtPr>
                  <w:sdtContent>
                    <w:p>
                      <w:pPr>
                        <w:widowControl w:val="0"/>
                        <w:suppressAutoHyphens/>
                        <w:ind w:firstLine="567"/>
                        <w:jc w:val="both"/>
                        <w:rPr>
                          <w:color w:val="000000"/>
                        </w:rPr>
                      </w:pPr>
                      <w:sdt>
                        <w:sdtPr>
                          <w:alias w:val="Numeris"/>
                          <w:tag w:val="nr_dad9a9def51245fc8ec3e3b3a1e329e8"/>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ada5c2bb216142fcaf4e9844d5102e95"/>
                    <w:lock w:val="sdtLocked"/>
                    <w:richText/>
                  </w:sdtPr>
                  <w:sdtContent>
                    <w:p>
                      <w:pPr>
                        <w:widowControl w:val="0"/>
                        <w:suppressAutoHyphens/>
                        <w:ind w:firstLine="567"/>
                        <w:jc w:val="both"/>
                        <w:rPr>
                          <w:color w:val="000000"/>
                        </w:rPr>
                      </w:pPr>
                      <w:sdt>
                        <w:sdtPr>
                          <w:alias w:val="Numeris"/>
                          <w:tag w:val="nr_ada5c2bb216142fcaf4e9844d5102e95"/>
                          <w:lock w:val="sdtLocked"/>
                          <w:richText/>
                        </w:sdtPr>
                        <w:sdtContent>
                          <w:r>
                            <w:rPr>
                              <w:color w:val="000000"/>
                            </w:rPr>
                            <w:t>44.4</w:t>
                          </w:r>
                        </w:sdtContent>
                      </w:sdt>
                      <w:r>
                        <w:rPr>
                          <w:color w:val="000000"/>
                        </w:rPr>
                        <w:t>. rengti ir teikti straipsnius žiniasklaidos priemonėms;</w:t>
                      </w:r>
                    </w:p>
                  </w:sdtContent>
                </w:sdt>
                <w:sdt>
                  <w:sdtPr>
                    <w:alias w:val="44.5 p."/>
                    <w:tag w:val="part_6b33844d7c3349a28fd002f0f64276e4"/>
                    <w:lock w:val="sdtLocked"/>
                    <w:richText/>
                  </w:sdtPr>
                  <w:sdtContent>
                    <w:p>
                      <w:pPr>
                        <w:widowControl w:val="0"/>
                        <w:suppressAutoHyphens/>
                        <w:ind w:firstLine="567"/>
                        <w:jc w:val="both"/>
                        <w:rPr>
                          <w:color w:val="000000"/>
                        </w:rPr>
                      </w:pPr>
                      <w:sdt>
                        <w:sdtPr>
                          <w:alias w:val="Numeris"/>
                          <w:tag w:val="nr_6b33844d7c3349a28fd002f0f64276e4"/>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cbd45ba68942446f9e1c46df75dba958"/>
            <w:lock w:val="sdtLocked"/>
            <w:richText/>
          </w:sdtPr>
          <w:sdtContent>
            <w:p>
              <w:pPr>
                <w:widowControl w:val="0"/>
                <w:suppressAutoHyphens/>
                <w:jc w:val="center"/>
                <w:rPr>
                  <w:b/>
                  <w:bCs/>
                  <w:caps/>
                  <w:color w:val="000000"/>
                </w:rPr>
              </w:pPr>
              <w:sdt>
                <w:sdtPr>
                  <w:alias w:val="Numeris"/>
                  <w:tag w:val="nr_cbd45ba68942446f9e1c46df75dba958"/>
                  <w:lock w:val="sdtLocked"/>
                  <w:richText/>
                </w:sdtPr>
                <w:sdtContent>
                  <w:r>
                    <w:rPr>
                      <w:b/>
                      <w:bCs/>
                      <w:caps/>
                      <w:color w:val="000000"/>
                    </w:rPr>
                    <w:t>X</w:t>
                  </w:r>
                </w:sdtContent>
              </w:sdt>
              <w:r>
                <w:rPr>
                  <w:b/>
                  <w:bCs/>
                  <w:caps/>
                  <w:color w:val="000000"/>
                </w:rPr>
                <w:t xml:space="preserve">. </w:t>
              </w:r>
              <w:sdt>
                <w:sdtPr>
                  <w:alias w:val="Pavadinimas"/>
                  <w:tag w:val="title_cbd45ba68942446f9e1c46df75dba958"/>
                  <w:lock w:val="sdtLocked"/>
                  <w:richText/>
                </w:sdtPr>
                <w:sdtContent>
                  <w:r>
                    <w:rPr>
                      <w:b/>
                      <w:bCs/>
                      <w:caps/>
                      <w:color w:val="000000"/>
                    </w:rPr>
                    <w:t>Energijos tiekėjo VIEŠOS INFORMACIJOS SKELBIMO TVARKA</w:t>
                  </w:r>
                </w:sdtContent>
              </w:sdt>
            </w:p>
            <w:p>
              <w:pPr>
                <w:widowControl w:val="0"/>
                <w:suppressAutoHyphens/>
                <w:ind w:firstLine="567"/>
                <w:jc w:val="both"/>
                <w:rPr>
                  <w:color w:val="000000"/>
                </w:rPr>
              </w:pPr>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90ec62bbf2434ea485d0ccd27e907c2b"/>
                    <w:lock w:val="sdtLocked"/>
                    <w:richText/>
                  </w:sdtPr>
                  <w:sdtContent>
                    <w:p>
                      <w:pPr>
                        <w:widowControl w:val="0"/>
                        <w:suppressAutoHyphens/>
                        <w:ind w:firstLine="567"/>
                        <w:jc w:val="both"/>
                        <w:rPr>
                          <w:color w:val="000000"/>
                        </w:rPr>
                      </w:pPr>
                      <w:sdt>
                        <w:sdtPr>
                          <w:alias w:val="Numeris"/>
                          <w:tag w:val="nr_90ec62bbf2434ea485d0ccd27e907c2b"/>
                          <w:lock w:val="sdtLocked"/>
                          <w:richText/>
                        </w:sdtPr>
                        <w:sdtContent>
                          <w:r>
                            <w:rPr>
                              <w:color w:val="000000"/>
                            </w:rPr>
                            <w:t>48.1</w:t>
                          </w:r>
                        </w:sdtContent>
                      </w:sdt>
                      <w:r>
                        <w:rPr>
                          <w:color w:val="000000"/>
                        </w:rPr>
                        <w:t>. energijos (šilumos, dujų ir elektros) pirkimo sąnaudos;</w:t>
                      </w:r>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68da0872a8a481fbe15511cc955d331"/>
                    <w:lock w:val="sdtLocked"/>
                    <w:richText/>
                  </w:sdtPr>
                  <w:sdtContent>
                    <w:p>
                      <w:pPr>
                        <w:widowControl w:val="0"/>
                        <w:suppressAutoHyphens/>
                        <w:ind w:firstLine="567"/>
                        <w:jc w:val="both"/>
                        <w:rPr>
                          <w:color w:val="000000"/>
                        </w:rPr>
                      </w:pPr>
                      <w:sdt>
                        <w:sdtPr>
                          <w:alias w:val="Numeris"/>
                          <w:tag w:val="nr_768da0872a8a481fbe15511cc955d331"/>
                          <w:lock w:val="sdtLocked"/>
                          <w:richText/>
                        </w:sdtPr>
                        <w:sdtContent>
                          <w:r>
                            <w:rPr>
                              <w:color w:val="000000"/>
                            </w:rPr>
                            <w:t>49.2</w:t>
                          </w:r>
                        </w:sdtContent>
                      </w:sdt>
                      <w:r>
                        <w:rPr>
                          <w:color w:val="000000"/>
                        </w:rPr>
                        <w:t>. pastatyti, modernizuoti ir rekonstruoti energetikos objektai, kurių statybos vertė yra didesnė kaip 3 mln. Lt (skelbiama šių objektų vieta, investicijų dydis ir pagrindiniai techniniai parametrai).</w:t>
                      </w:r>
                    </w:p>
                    <w:p>
                      <w:pPr>
                        <w:widowControl w:val="0"/>
                        <w:suppressAutoHyphens/>
                        <w:ind w:firstLine="567"/>
                        <w:jc w:val="both"/>
                        <w:rPr>
                          <w:color w:val="000000"/>
                        </w:rPr>
                      </w:pPr>
                      <w:r>
                        <w:rPr>
                          <w:color w:val="000000"/>
                        </w:rPr>
                        <w:t>Energijos tiekėjas privalo kasmet ne vėliau kaip iki einamųjų metų gruodžio 5 d. savo interneto svetainėje paskelbti informaciją apie kitais metais planuojamas investicijas į tinklų ir sistemų plėtrą. Informaciją apie pastatytus, modernizuotus ir rekonstruotus energetikos objektus energetikos įmonės skelbia savo nustatyta tvarka ne vėliau kaip per 30 darbo dienų po šių objektų pripažinimo tinkamais naudoti.</w:t>
                      </w:r>
                    </w:p>
                  </w:sdtContent>
                </w:sdt>
              </w:sdtContent>
            </w:sdt>
            <w:sdt>
              <w:sdtPr>
                <w:alias w:val="50 p."/>
                <w:tag w:val="part_5bc239fb08d14009bae0947887de885d"/>
                <w:lock w:val="sdtLocked"/>
                <w:richText/>
              </w:sdtPr>
              <w:sdtContent>
                <w:p>
                  <w:pPr>
                    <w:widowControl w:val="0"/>
                    <w:suppressAutoHyphens/>
                    <w:ind w:firstLine="567"/>
                    <w:jc w:val="both"/>
                    <w:rPr>
                      <w:color w:val="000000"/>
                    </w:rPr>
                  </w:pPr>
                  <w:sdt>
                    <w:sdtPr>
                      <w:alias w:val="Numeris"/>
                      <w:tag w:val="nr_5bc239fb08d14009bae0947887de885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p>
                  <w:pPr>
                    <w:widowControl w:val="0"/>
                    <w:suppressAutoHyphens/>
                    <w:ind w:firstLine="567"/>
                    <w:jc w:val="both"/>
                    <w:rPr>
                      <w:color w:val="000000"/>
                    </w:rPr>
                  </w:pPr>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F3DF2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image" Target="media/image1.wmf"/>
  <Relationship Id="rId11" Type="http://schemas.openxmlformats.org/officeDocument/2006/relationships/control" Target="activeX/activeX1.xml"/>
  <Relationship Id="rId12" Type="http://schemas.openxmlformats.org/officeDocument/2006/relationships/hyperlink" TargetMode="External" Target="https://www.e-tar.lt/portal/lt/legalAct/TAR.44235B485568"/>
  <Relationship Id="rId13" Type="http://schemas.openxmlformats.org/officeDocument/2006/relationships/hyperlink" TargetMode="External" Target="https://www.e-tar.lt/portal/lt/legalAct/TAR.429CC7FAB351"/>
  <Relationship Id="rId14" Type="http://schemas.openxmlformats.org/officeDocument/2006/relationships/hyperlink" TargetMode="External" Target="https://www.e-tar.lt/portal/lt/legalAct/TAR.C9F8CAA2E2E3"/>
  <Relationship Id="rId15" Type="http://schemas.openxmlformats.org/officeDocument/2006/relationships/hyperlink" TargetMode="External" Target="https://www.e-tar.lt/portal/lt/legalAct/TAR.F62AD965997D"/>
  <Relationship Id="rId16" Type="http://schemas.openxmlformats.org/officeDocument/2006/relationships/hyperlink" TargetMode="External" Target="https://www.e-tar.lt/portal/lt/legalAct/TAR.A601A252F765"/>
  <Relationship Id="rId17" Type="http://schemas.openxmlformats.org/officeDocument/2006/relationships/hyperlink" TargetMode="External" Target="https://www.e-tar.lt/portal/lt/legalAct/TAR.3218F3F7DC5D"/>
  <Relationship Id="rId18" Type="http://schemas.openxmlformats.org/officeDocument/2006/relationships/hyperlink" TargetMode="External" Target="https://www.e-tar.lt/portal/lt/legalAct/TAR.F57794B7899F"/>
  <Relationship Id="rId19" Type="http://schemas.openxmlformats.org/officeDocument/2006/relationships/hyperlink" TargetMode="External" Target="https://www.e-tar.lt/portal/lt/legalAct/TAR.79E5440C1CBD"/>
  <Relationship Id="rId2" Type="http://schemas.openxmlformats.org/officeDocument/2006/relationships/hyperlink" TargetMode="External" Target="https://www.e-tar.lt/portal/lt/legalAct/TAR.429CC7FAB351"/>
  <Relationship Id="rId20" Type="http://schemas.openxmlformats.org/officeDocument/2006/relationships/hyperlink" TargetMode="External" Target="https://www.e-tar.lt/portal/lt/legalAct/TAR.F62AD965997D"/>
  <Relationship Id="rId21" Type="http://schemas.openxmlformats.org/officeDocument/2006/relationships/hyperlink" TargetMode="External" Target="https://www.e-tar.lt/portal/lt/legalAct/TAR.A601A252F765"/>
  <Relationship Id="rId22" Type="http://schemas.openxmlformats.org/officeDocument/2006/relationships/hyperlink" TargetMode="External" Target="https://www.e-tar.lt/portal/lt/legalAct/TAR.43A67B9687BB"/>
  <Relationship Id="rId23" Type="http://schemas.openxmlformats.org/officeDocument/2006/relationships/hyperlink" TargetMode="External" Target="https://www.e-tar.lt/portal/lt/legalAct/TAR.0C5C33AA865C"/>
  <Relationship Id="rId24" Type="http://schemas.openxmlformats.org/officeDocument/2006/relationships/hyperlink" TargetMode="External" Target="https://www.e-tar.lt/portal/lt/legalAct/TAR.9CA9E36B4EA1"/>
  <Relationship Id="rId25" Type="http://schemas.openxmlformats.org/officeDocument/2006/relationships/hyperlink" TargetMode="External" Target="https://www.e-tar.lt/portal/lt/legalAct/TAR.E719E27D0C44"/>
  <Relationship Id="rId26" Type="http://schemas.openxmlformats.org/officeDocument/2006/relationships/hyperlink" TargetMode="External" Target="https://www.e-tar.lt/portal/lt/legalAct/TAR.28F4561D519F"/>
  <Relationship Id="rId27" Type="http://schemas.openxmlformats.org/officeDocument/2006/relationships/hyperlink" TargetMode="External" Target="https://www.e-tar.lt/portal/lt/legalAct/TAR.4642C7CE1C9E"/>
  <Relationship Id="rId28" Type="http://schemas.openxmlformats.org/officeDocument/2006/relationships/hyperlink" TargetMode="External" Target="https://www.e-tar.lt/portal/lt/legalAct/TAR.DF064B6E9656"/>
  <Relationship Id="rId29" Type="http://schemas.openxmlformats.org/officeDocument/2006/relationships/hyperlink" TargetMode="External" Target="https://www.e-tar.lt/portal/lt/legalAct/TAR.77180231C700"/>
  <Relationship Id="rId3" Type="http://schemas.openxmlformats.org/officeDocument/2006/relationships/hyperlink" TargetMode="External" Target="https://www.e-tar.lt/portal/lt/legalAct/TAR.44235B485568"/>
  <Relationship Id="rId30" Type="http://schemas.openxmlformats.org/officeDocument/2006/relationships/hyperlink" TargetMode="External" Target="https://www.e-tar.lt/portal/lt/legalAct/TAR.3258B835B12D"/>
  <Relationship Id="rId31" Type="http://schemas.openxmlformats.org/officeDocument/2006/relationships/hyperlink" TargetMode="External" Target="https://www.e-tar.lt/portal/lt/legalAct/TAR.D0F2AE371A20"/>
  <Relationship Id="rId32" Type="http://schemas.openxmlformats.org/officeDocument/2006/relationships/hyperlink" TargetMode="External" Target="https://www.e-tar.lt/portal/lt/legalAct/TAR.1D30646AA277"/>
  <Relationship Id="rId33" Type="http://schemas.openxmlformats.org/officeDocument/2006/relationships/hyperlink" TargetMode="External" Target="https://www.e-tar.lt/portal/lt/legalAct/TAR.33C61E83111B"/>
  <Relationship Id="rId34" Type="http://schemas.openxmlformats.org/officeDocument/2006/relationships/hyperlink" TargetMode="External" Target="https://www.e-tar.lt/portal/lt/legalAct/TAR.44235B485568"/>
  <Relationship Id="rId35" Type="http://schemas.openxmlformats.org/officeDocument/2006/relationships/hyperlink" TargetMode="External" Target="https://www.e-tar.lt/portal/lt/legalAct/TAR.72B8C3A6A00A"/>
  <Relationship Id="rId36" Type="http://schemas.openxmlformats.org/officeDocument/2006/relationships/hyperlink" TargetMode="External" Target="https://www.e-tar.lt/portal/lt/legalAct/TAR.DB68BCA9E3A0"/>
  <Relationship Id="rId37" Type="http://schemas.openxmlformats.org/officeDocument/2006/relationships/customXml" Target="../customXml/item1.xml"/>
  <Relationship Id="rId4" Type="http://schemas.openxmlformats.org/officeDocument/2006/relationships/hyperlink" TargetMode="External" Target="https://www.e-tar.lt/portal/lt/legalAct/TAR.C9F8CAA2E2E3"/>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INSTITUCIJOMS, ĮSTAIGOMS IR TREČIOSIOMS ŠALIMS TAISYKLIŲ PATVIRTINIMO" DocPartId="213186842ac84e83a4ab7dd0204cc809" PartId="ab94b92db7bd432889dc21dbd1dc2649">
    <Part Type="preambule" Title="" DocPartId="565e241282454189b4ad7ee7408c47b3" PartId="af446eff2ed9421aab3184c3d57133ab"/>
    <Part Type="pastraipa" DocPartId="80fc76c62a374c6ab4335e23551806e5" PartId="ba85a623d4c549588b4c5fbff71c3fc4"/>
    <Part Type="signatura" DocPartId="31e98a2a6ad942648d4dfe4cca3b9045" PartId="231e966aa9ee49bf9f810f89bbc5a1d5"/>
  </Part>
  <Part Type="patvirtinta" Title="INFORMACIJOS, SUSIJUSIOS SU ENERGETIKOS VEIKLA, TEIKIMO VALSTYBĖS INSTITUCIJOMS, ĮSTAIGOMS IR TREČIOSIOMS ŠALIMS TAISYKLĖS" DocPartId="2a621e277f7a4da39014707a15930600" PartId="8c9bf490353d4564b1ac6878a5232302">
    <Part Type="skyrius" Nr="1" Title="BENDROSIOS NUOSTATOS" DocPartId="a485a7c8e54f469b9c09c43ba2c090cf" PartId="c0dddd6f83774f57bb6699fefe8d9d19">
      <Part Type="punktas" Nr="1" Abbr="1 p." DocPartId="6d26a023048743d08bc2568805e7fc49" PartId="cd1a39ff97534d849392c77f6292cf5f"/>
      <Part Type="punktas" Nr="2" Abbr="2 p." DocPartId="06fd072dfefd4b8780eef6307843d236" PartId="6ceb11796c5b44ad847ec3b7f20edc1b">
        <Part Type="punktas" Nr="2.1" Abbr="2.1 p." DocPartId="a5455aeaedd54fa097eb80e3c7a19d36" PartId="219ffdaf7c3444b3815d14e91d1f2839"/>
        <Part Type="punktas" Nr="2.2" Abbr="2.2 p." DocPartId="7843fc6343074e968aea31979e3beebe" PartId="f291280100ee4fbda78f3fac5001de34"/>
        <Part Type="punktas" Nr="2.3" Abbr="2.3 p." DocPartId="1c4cc844c8d64ea6831ace1ac3dbc10f" PartId="8633aca08de446ba9cd5c99f332ad56e"/>
        <Part Type="punktas" Nr="2.4" Abbr="2.4 p." DocPartId="67fc07ccf98a486caa7ed6870ea8e010" PartId="39f19fee800e444f8e6611bcdaf2ace3"/>
        <Part Type="punktas" Nr="2.5" Abbr="2.5 p." DocPartId="378b7be1aa1142388e0198e53152af11" PartId="0f2c33163b02482eb91fc262cab96484"/>
        <Part Type="punktas" Nr="2.6" Abbr="2.6 p." DocPartId="d4424fb8d86d4d4397ab4a864b546e65" PartId="ce00d2fef4c74233b1d36ccf94768c09"/>
        <Part Type="punktas" Nr="2.7" Abbr="2.7 p." DocPartId="4c3bc82013e647c198bdda8a1e08a530" PartId="e1d68b18a7ce4442bb257ab2aa459618"/>
        <Part Type="punktas" Nr="2.8" Abbr="2.8 p." DocPartId="a3705d51044e48acb0185f7037f709fd" PartId="02a33c1825f743c3b1c8eb312e1ff5a5"/>
        <Part Type="punktas" Nr="2.9" Abbr="2.9 p." DocPartId="f319a82b461547fb9a5a8cc8f0c8f362" PartId="1cf7469ec6fc4844b7e876d8c2a8fc15"/>
        <Part Type="punktas" Nr="2.10" Abbr="2.10 p." DocPartId="49b3dc27fa0f49649507dc28690d9a1f" PartId="71c4bf9397524a0aa9fa22dd3f0bacfc"/>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3579eeb2d09946e293a1344599e1b86a"/>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efd95e4a316147ee91d6d154b334e115"/>
      </Part>
      <Part Type="punktas" Nr="26-1" Abbr="26-1 p." Title="" DocPartId="b91dd7c994e64da8b5272f03128c542f" PartId="0a5af06521b04589bf5852239840cc35"/>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be093677af9b444589aaa5a4956a57d9">
        <Part Type="punktas" Nr="36-1.1" Abbr="36-1.1 p." Title="" DocPartId="ac443ffd3edf4d0cab5df85404c413e3" PartId="9c46b22c88fa4b829ae62905f84a4f03"/>
        <Part Type="punktas" Nr="36-1.2" Abbr="36-1.2 p." Title="" DocPartId="50d8f2de2d0b453ba645fe01fccbc244" PartId="8bd7e825ebe94737b8600f2727244cc6"/>
        <Part Type="punktas" Nr="36-1.3" Abbr="36-1.3 p." Title="" DocPartId="1df807f2de03417abecf8ac5a6cf2502" PartId="b188605793b14806a72000c54140accf"/>
        <Part Type="punktas" Nr="36-1.4" Abbr="36-1.4 p." Title="" DocPartId="77117496cc6e466180458ae00822dd90" PartId="2628b8f1cb604922801117aa2cbe93d9"/>
        <Part Type="punktas" Nr="36-1.5" Abbr="36-1.5 p." Title="" DocPartId="29089f207a7a465787633675887fb219" PartId="976fb62238fe496799f43f4024a8d4a6"/>
        <Part Type="punktas" Nr="36-1.6" Abbr="36-1.6 p." Title="" DocPartId="adc2ede60f2247869061b7624b564442" PartId="9e9073f0fc6c4ae89208a1bdfc066e57"/>
      </Part>
      <Part Type="punktas" Nr="37" Abbr="37 p." DocPartId="62b319d1a34749d6a447827a43cee102" PartId="3379f9c36b08480cb8ecbce037347730"/>
      <Part Type="punktas" Nr="38" Abbr="38 p." DocPartId="546a9940cb1841618159f60c161308e3" PartId="705da2cc4fe547e280863e928b3bbf54"/>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b1ee0e08598141648b8546d8a04a7ba5">
        <Part Type="punktas" Nr="44.1" Abbr="44.1 p." DocPartId="4509f6c6c4a841259854541010b917a5" PartId="4ebefb6db6be449aa569db724c192707"/>
        <Part Type="punktas" Nr="44.2" Abbr="44.2 p." DocPartId="b54fde09a4244b9c83d24f3bc443228e" PartId="c6bac30f289f43e981d027f55e1e2982"/>
        <Part Type="punktas" Nr="44.3" Abbr="44.3 p." DocPartId="0db47e806f4349c5bbcb833cd441062d" PartId="dad9a9def51245fc8ec3e3b3a1e329e8"/>
        <Part Type="punktas" Nr="44.4" Abbr="44.4 p." DocPartId="146898804b7d4a0bb0a3e72415be05ec" PartId="ada5c2bb216142fcaf4e9844d5102e95"/>
        <Part Type="punktas" Nr="44.5" Abbr="44.5 p." DocPartId="50d7937668c644b3bfcb83cb7b09b505" PartId="6b33844d7c3349a28fd002f0f64276e4"/>
      </Part>
      <Part Type="punktas" Nr="45" Abbr="45 p." DocPartId="c9379aaf23d1404db16bc02f661da9b8" PartId="d137f53bac7e496c8c603bf8466d3361"/>
    </Part>
    <Part Type="skyrius" Nr="10" Title="ENERGIJOS TIEKĖJO VIEŠOS INFORMACIJOS SKELBIMO TVARKA" DocPartId="5b91c1d4053c40baaacaef65b014b32f" PartId="cbd45ba68942446f9e1c46df75dba958">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90ec62bbf2434ea485d0ccd27e907c2b"/>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68da0872a8a481fbe15511cc955d331"/>
      </Part>
      <Part Type="punktas" Nr="50" Abbr="50 p." DocPartId="8b286d52969b4400b2ee783ddb9f789b" PartId="5bc239fb08d14009bae0947887de885d"/>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62CBAE31-F845-4412-AE8D-0C5B43069A24}">
  <ds:schemaRefs>
    <ds:schemaRef ds:uri="http://lrs.lt/TAIS/DocParts"/>
  </ds:schemaRefs>
</ds:datastoreItem>
</file>

<file path=docProps/app.xml><?xml version="1.0" encoding="utf-8"?>
<Properties xmlns="http://schemas.openxmlformats.org/officeDocument/2006/extended-properties">
  <Template>Normal.dotm</Template>
  <TotalTime>26</TotalTime>
  <Pages>10</Pages>
  <Words>22735</Words>
  <Characters>12959</Characters>
  <Application>Microsoft Office Word</Application>
  <DocSecurity>0</DocSecurity>
  <Lines>107</Lines>
  <Paragraphs>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35623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2015-02-19T12:37:00Z</dcterms:modified>
  <revision>6</revision>
  <dc:title>LIETUVOS RESPUBLIKOS ENERGETIKOS MINISTRO</dc:title>
</coreProperties>
</file>