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2016-07-23 iki 2018-08-31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014df0f71cb4e5489dcb3389e73c070"/>
        <w:lock w:val="sdtLocked"/>
        <w:richText/>
      </w:sdtPr>
      <w:sdtContent>
        <w:p>
          <w:pPr>
            <w:tabs>
              <w:tab w:val="left" w:pos="1304"/>
              <w:tab w:val="left" w:pos="1457"/>
              <w:tab w:val="left" w:pos="1604"/>
              <w:tab w:val="left" w:pos="1757"/>
              <w:tab w:val="left" w:pos="6660"/>
              <w:tab w:val="left" w:pos="9180"/>
              <w:tab w:val="left" w:pos="9360"/>
            </w:tabs>
            <w:ind w:left="5387"/>
          </w:pPr>
          <w:r>
            <w:br w:type="page"/>
          </w:r>
        </w:p>
        <w:p>
          <w:pPr>
            <w:tabs>
              <w:tab w:val="left" w:pos="1304"/>
              <w:tab w:val="left" w:pos="1457"/>
              <w:tab w:val="left" w:pos="1604"/>
              <w:tab w:val="left" w:pos="1757"/>
              <w:tab w:val="left" w:pos="6660"/>
              <w:tab w:val="left" w:pos="9180"/>
              <w:tab w:val="left" w:pos="9360"/>
            </w:tabs>
            <w:ind w:left="5387"/>
            <w:rPr>
              <w:szCs w:val="24"/>
            </w:rPr>
          </w:pPr>
          <w:r>
            <w:rPr>
              <w:szCs w:val="24"/>
            </w:rPr>
            <w:t>PATVIRTINTA</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5387"/>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014df0f71cb4e5489dcb3389e73c070"/>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0fb31dba675143d79d9eb6cdb354ff59"/>
                <w:lock w:val="sdtLocked"/>
                <w:richText/>
              </w:sdtPr>
              <w:sdtContent>
                <w:p>
                  <w:pPr>
                    <w:widowControl w:val="0"/>
                    <w:suppressAutoHyphens/>
                    <w:ind w:firstLine="680"/>
                    <w:jc w:val="both"/>
                    <w:rPr>
                      <w:color w:val="000000"/>
                      <w:szCs w:val="24"/>
                    </w:rPr>
                  </w:pPr>
                  <w:sdt>
                    <w:sdtPr>
                      <w:alias w:val="Numeris"/>
                      <w:tag w:val="nr_0fb31dba675143d79d9eb6cdb354ff59"/>
                      <w:lock w:val="sdtLocked"/>
                      <w:richText/>
                    </w:sdtPr>
                    <w:sdtContent>
                      <w:r>
                        <w:rPr>
                          <w:szCs w:val="24"/>
                        </w:rPr>
                        <w:t>3</w:t>
                      </w:r>
                    </w:sdtContent>
                  </w:sdt>
                  <w:r>
                    <w:rPr>
                      <w:szCs w:val="24"/>
                    </w:rPr>
                    <w:t>. Šioje higienos normoje vartojamos sąvokos apibrėžtos Lietuvos Respublikos švietimo įstatyme [13.1].</w:t>
                  </w:r>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03ab769f33c4d029b45f9408ce9bbbc"/>
                    <w:lock w:val="sdtLocked"/>
                    <w:richText/>
                  </w:sdtPr>
                  <w:sdtContent>
                    <w:p>
                      <w:pPr>
                        <w:widowControl w:val="0"/>
                        <w:suppressAutoHyphens/>
                        <w:ind w:firstLine="680"/>
                        <w:jc w:val="both"/>
                        <w:rPr>
                          <w:color w:val="000000"/>
                          <w:szCs w:val="24"/>
                        </w:rPr>
                      </w:pPr>
                      <w:sdt>
                        <w:sdtPr>
                          <w:alias w:val="Numeris"/>
                          <w:tag w:val="nr_e03ab769f33c4d029b45f9408ce9bbbc"/>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b835094b417c49de8a1a398840afea54"/>
                    <w:lock w:val="sdtLocked"/>
                    <w:richText/>
                  </w:sdtPr>
                  <w:sdtContent>
                    <w:p>
                      <w:pPr>
                        <w:widowControl w:val="0"/>
                        <w:suppressAutoHyphens/>
                        <w:ind w:firstLine="680"/>
                        <w:jc w:val="both"/>
                        <w:rPr>
                          <w:color w:val="000000"/>
                          <w:szCs w:val="24"/>
                        </w:rPr>
                      </w:pPr>
                      <w:sdt>
                        <w:sdtPr>
                          <w:alias w:val="Numeris"/>
                          <w:tag w:val="nr_b835094b417c49de8a1a398840afea54"/>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p>
                      <w:pPr>
                        <w:widowControl w:val="0"/>
                        <w:suppressAutoHyphens/>
                        <w:ind w:firstLine="680"/>
                        <w:jc w:val="both"/>
                        <w:rPr>
                          <w:color w:val="000000"/>
                          <w:szCs w:val="24"/>
                        </w:rPr>
                      </w:pP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3b96940248934c3d8cb5a451231ec6c1"/>
                <w:lock w:val="sdtLocked"/>
                <w:richText/>
              </w:sdtPr>
              <w:sdtContent>
                <w:p>
                  <w:pPr>
                    <w:ind w:firstLine="680"/>
                    <w:jc w:val="both"/>
                    <w:rPr>
                      <w:szCs w:val="24"/>
                      <w:lang w:eastAsia="lt-LT"/>
                    </w:rPr>
                  </w:pPr>
                  <w:sdt>
                    <w:sdtPr>
                      <w:alias w:val="Numeris"/>
                      <w:tag w:val="nr_3b96940248934c3d8cb5a451231ec6c1"/>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ugdymo auklėtojas ar priešmokyklinio ugdymo pedagogas). Savaitinėse grupėse vaikų nakties miego metu turi dirbti ne mažiau kaip vienas darbuotojas.</w:t>
                  </w:r>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fb0f1eb661374072875b30ea05a129f3"/>
                <w:lock w:val="sdtLocked"/>
                <w:richText/>
              </w:sdtPr>
              <w:sdtContent>
                <w:p>
                  <w:pPr>
                    <w:widowControl w:val="0"/>
                    <w:suppressAutoHyphens/>
                    <w:ind w:firstLine="680"/>
                    <w:jc w:val="both"/>
                    <w:rPr>
                      <w:color w:val="000000"/>
                      <w:spacing w:val="-3"/>
                      <w:szCs w:val="24"/>
                    </w:rPr>
                  </w:pPr>
                  <w:sdt>
                    <w:sdtPr>
                      <w:alias w:val="Numeris"/>
                      <w:tag w:val="nr_fb0f1eb661374072875b30ea05a129f3"/>
                      <w:lock w:val="sdtLocked"/>
                      <w:richText/>
                    </w:sdtPr>
                    <w:sdtContent>
                      <w:r>
                        <w:rPr>
                          <w:color w:val="000000"/>
                          <w:spacing w:val="-3"/>
                          <w:szCs w:val="24"/>
                        </w:rPr>
                        <w:t>9</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color w:val="000000"/>
                      <w:szCs w:val="24"/>
                    </w:rPr>
                    <w:t xml:space="preserve">Asmens medicininė knygelė (sveikatos pasas) (forma Nr. F048/a) [13.4] ar jos kopija turi būti laikoma </w:t>
                  </w:r>
                  <w:r>
                    <w:rPr>
                      <w:color w:val="000000"/>
                      <w:spacing w:val="-3"/>
                      <w:szCs w:val="24"/>
                    </w:rPr>
                    <w:t>ikimokyklinio ir (ar) priešmokyklinio ugdymo programos vykdymo vietoje.</w:t>
                  </w:r>
                </w:p>
              </w:sdtContent>
            </w:sdt>
            <w:sdt>
              <w:sdtPr>
                <w:alias w:val="10 p."/>
                <w:tag w:val="part_f6c8fae86f2f47fe8cac64ff5ba6397e"/>
                <w:lock w:val="sdtLocked"/>
                <w:richText/>
              </w:sdtPr>
              <w:sdtContent>
                <w:p>
                  <w:pPr>
                    <w:widowControl w:val="0"/>
                    <w:suppressAutoHyphens/>
                    <w:ind w:firstLine="680"/>
                    <w:jc w:val="both"/>
                    <w:rPr>
                      <w:color w:val="000000"/>
                      <w:spacing w:val="-3"/>
                      <w:szCs w:val="24"/>
                    </w:rPr>
                  </w:pPr>
                  <w:sdt>
                    <w:sdtPr>
                      <w:alias w:val="Numeris"/>
                      <w:tag w:val="nr_f6c8fae86f2f47fe8cac64ff5ba6397e"/>
                      <w:lock w:val="sdtLocked"/>
                      <w:richText/>
                    </w:sdtPr>
                    <w:sdtContent>
                      <w:r>
                        <w:rPr>
                          <w:color w:val="000000"/>
                          <w:spacing w:val="-3"/>
                          <w:szCs w:val="24"/>
                        </w:rPr>
                        <w:t>10</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akto [13.14] nustatyta tvarka </w:t>
                  </w:r>
                  <w:r>
                    <w:rPr>
                      <w:color w:val="000000"/>
                      <w:szCs w:val="24"/>
                    </w:rPr>
                    <w:t xml:space="preserve">įgiję žinių higienos, o pedagoginiai darbuotojai ir pirmosios pagalbos teikimo klausimais. Sveikatos žinių atestavimo pažymėjimai ar jų kopijos laikomi </w:t>
                  </w:r>
                  <w:r>
                    <w:rPr>
                      <w:color w:val="000000"/>
                      <w:spacing w:val="-3"/>
                      <w:szCs w:val="24"/>
                    </w:rPr>
                    <w:t>ikimokyklinio ir (ar) priešmokyklinio ugdymo programos vykdymo vietoje.</w:t>
                  </w:r>
                </w:p>
              </w:sdtContent>
            </w:sdt>
            <w:sdt>
              <w:sdtPr>
                <w:alias w:val="11 p."/>
                <w:tag w:val="part_61753a3a60844a0690653b31fc809f6e"/>
                <w:lock w:val="sdtLocked"/>
                <w:richText/>
              </w:sdtPr>
              <w:sdtContent>
                <w:p>
                  <w:pPr>
                    <w:widowControl w:val="0"/>
                    <w:suppressAutoHyphens/>
                    <w:ind w:firstLine="680"/>
                    <w:jc w:val="both"/>
                    <w:rPr>
                      <w:color w:val="000000"/>
                      <w:szCs w:val="24"/>
                    </w:rPr>
                  </w:pPr>
                  <w:sdt>
                    <w:sdtPr>
                      <w:alias w:val="Numeris"/>
                      <w:tag w:val="nr_61753a3a60844a0690653b31fc809f6e"/>
                      <w:lock w:val="sdtLocked"/>
                      <w:richText/>
                    </w:sdtPr>
                    <w:sdtContent>
                      <w:r>
                        <w:rPr>
                          <w:color w:val="000000"/>
                          <w:spacing w:val="-3"/>
                          <w:szCs w:val="24"/>
                        </w:rPr>
                        <w:t>11</w:t>
                      </w:r>
                    </w:sdtContent>
                  </w:sdt>
                  <w:r>
                    <w:rPr>
                      <w:color w:val="000000"/>
                      <w:spacing w:val="-3"/>
                      <w:szCs w:val="24"/>
                    </w:rPr>
                    <w:t xml:space="preserve">. </w:t>
                  </w:r>
                  <w:r>
                    <w:rPr>
                      <w:color w:val="000000"/>
                      <w:szCs w:val="24"/>
                    </w:rPr>
                    <w:t>Kiekvienoje grupėje turi būti įmonės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943581eff7b542fa851c92701b9eb8a3"/>
                    <w:lock w:val="sdtLocked"/>
                    <w:richText/>
                  </w:sdtPr>
                  <w:sdtContent>
                    <w:p>
                      <w:pPr>
                        <w:widowControl w:val="0"/>
                        <w:suppressAutoHyphens/>
                        <w:ind w:firstLine="680"/>
                        <w:jc w:val="both"/>
                        <w:rPr>
                          <w:color w:val="000000"/>
                          <w:szCs w:val="24"/>
                        </w:rPr>
                      </w:pPr>
                      <w:sdt>
                        <w:sdtPr>
                          <w:alias w:val="Numeris"/>
                          <w:tag w:val="nr_943581eff7b542fa851c92701b9eb8a3"/>
                          <w:lock w:val="sdtLocked"/>
                          <w:richText/>
                        </w:sdtPr>
                        <w:sdtContent>
                          <w:r>
                            <w:rPr>
                              <w:color w:val="000000"/>
                              <w:szCs w:val="24"/>
                            </w:rPr>
                            <w:t>12.2</w:t>
                          </w:r>
                        </w:sdtContent>
                      </w:sdt>
                      <w:r>
                        <w:rPr>
                          <w:color w:val="000000"/>
                          <w:szCs w:val="24"/>
                        </w:rPr>
                        <w:t xml:space="preserve">. sklype / teritorijoje ir patalpose, kuriose vykdoma ikimokyklinio ir (ar) priešmokyklinio ugdymo programa, draudžiama sodinti ir auginti </w:t>
                      </w:r>
                      <w:r>
                        <w:rPr>
                          <w:szCs w:val="24"/>
                        </w:rPr>
                        <w:t>šios higienos normos priede nurodytus nuodinguosius augalus. Šios higienos normos priede nenurodyti augalai, galintys kelti pavojų vaikų sveikatai (apsinuodijimo, susižalojimo ir pan.), gali būti auginami tik vaikams nepasiekiamose vietose.</w:t>
                      </w:r>
                    </w:p>
                    <w:p>
                      <w:pPr>
                        <w:widowControl w:val="0"/>
                        <w:suppressAutoHyphens/>
                        <w:ind w:firstLine="680"/>
                        <w:jc w:val="both"/>
                        <w:rPr>
                          <w:color w:val="000000"/>
                          <w:spacing w:val="-3"/>
                          <w:szCs w:val="24"/>
                        </w:rPr>
                      </w:pPr>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7d4514bd0d5a4ba7b7ff928cde6febdd"/>
                    <w:lock w:val="sdtLocked"/>
                    <w:richText/>
                  </w:sdtPr>
                  <w:sdtContent>
                    <w:p>
                      <w:pPr>
                        <w:ind w:firstLine="680"/>
                        <w:jc w:val="both"/>
                      </w:pPr>
                      <w:sdt>
                        <w:sdtPr>
                          <w:alias w:val="Numeris"/>
                          <w:tag w:val="nr_7d4514bd0d5a4ba7b7ff928cde6febdd"/>
                          <w:lock w:val="sdtLocked"/>
                          <w:richText/>
                        </w:sdtPr>
                        <w:sdtContent>
                          <w:r>
                            <w:rPr>
                              <w:color w:val="000000"/>
                            </w:rPr>
                            <w:t>13.7</w:t>
                          </w:r>
                        </w:sdtContent>
                      </w:sdt>
                      <w:r>
                        <w:rPr>
                          <w:color w:val="000000"/>
                        </w:rPr>
                        <w:t>. Lietuvos Respublikos sveikatos apsaugos ministro 2003 m. liepos 11 d. įsakymas Nr. V-450 „Dėl sveikatos priežiūros ir farmacijos specialistų kompetencijos teikiant pirmąją medicinos pagalbą, pirmosios medicinos pagalbos vaistinėlių ir pirmosios pagalbos rinkinių“;</w:t>
                      </w:r>
                    </w:p>
                  </w:sdtContent>
                </w:sdt>
                <w:sdt>
                  <w:sdtPr>
                    <w:alias w:val="13.8 p."/>
                    <w:tag w:val="part_3b66c4decba8454f8bb8875cab2a4843"/>
                    <w:lock w:val="sdtLocked"/>
                    <w:richText/>
                  </w:sdtPr>
                  <w:sdtContent>
                    <w:p>
                      <w:pPr>
                        <w:ind w:firstLine="680"/>
                        <w:jc w:val="both"/>
                      </w:pPr>
                      <w:sdt>
                        <w:sdtPr>
                          <w:alias w:val="Numeris"/>
                          <w:tag w:val="nr_3b66c4decba8454f8bb8875cab2a4843"/>
                          <w:lock w:val="sdtLocked"/>
                          <w:richText/>
                        </w:sdtPr>
                        <w:sdtContent>
                          <w:r>
                            <w:rPr>
                              <w:color w:val="000000"/>
                            </w:rPr>
                            <w:t>13.8</w:t>
                          </w:r>
                        </w:sdtContent>
                      </w:sdt>
                      <w:r>
                        <w:rPr>
                          <w:color w:val="000000"/>
                        </w:rPr>
                        <w:t>. Lietuvos Respublikos sveikatos apsaugos ministro 2003 m. liepos 23 d. įsakymas Nr. V-455 „Dėl Lietuvos higienos normos HN 24:2003 „Geriamojo vandens saugos ir kokybės reikalavimai“ patvirtinimo“;</w:t>
                      </w:r>
                    </w:p>
                  </w:sdtContent>
                </w:sdt>
                <w:sdt>
                  <w:sdtPr>
                    <w:alias w:val="13.9 p."/>
                    <w:tag w:val="part_98d5fdd253324151822b56c0485f4ddd"/>
                    <w:lock w:val="sdtLocked"/>
                    <w:richText/>
                  </w:sdtPr>
                  <w:sdtContent>
                    <w:p>
                      <w:pPr>
                        <w:ind w:firstLine="680"/>
                        <w:jc w:val="both"/>
                        <w:rPr>
                          <w:color w:val="000000"/>
                        </w:rPr>
                      </w:pPr>
                      <w:sdt>
                        <w:sdtPr>
                          <w:alias w:val="Numeris"/>
                          <w:tag w:val="nr_98d5fdd253324151822b56c0485f4ddd"/>
                          <w:lock w:val="sdtLocked"/>
                          <w:richText/>
                        </w:sdtPr>
                        <w:sdtContent>
                          <w:r>
                            <w:rPr>
                              <w:color w:val="000000"/>
                            </w:rPr>
                            <w:t>13.9</w:t>
                          </w:r>
                        </w:sdtContent>
                      </w:sdt>
                      <w:r>
                        <w:rPr>
                          <w:color w:val="000000"/>
                        </w:rPr>
                        <w:t>. Lietuvos Respublikos sveikatos apsaugos ministro 2004 m. gruodžio 24 d. įsakymas Nr. V-951 „Dėl statistinės apskaitos formos Nr. 027-1/a „Vaiko sveikatos pažymėjimas“ patvirtinimo“;</w:t>
                      </w:r>
                    </w:p>
                  </w:sdtContent>
                </w:sdt>
                <w:sdt>
                  <w:sdtPr>
                    <w:alias w:val="13.10 p."/>
                    <w:tag w:val="part_440fd4a3beaf43a89f6fc256e991a9b2"/>
                    <w:lock w:val="sdtLocked"/>
                    <w:richText/>
                  </w:sdtPr>
                  <w:sdtContent>
                    <w:p>
                      <w:pPr>
                        <w:ind w:firstLine="680"/>
                        <w:jc w:val="both"/>
                        <w:rPr>
                          <w:color w:val="000000"/>
                        </w:rPr>
                      </w:pPr>
                      <w:sdt>
                        <w:sdtPr>
                          <w:alias w:val="Numeris"/>
                          <w:tag w:val="nr_440fd4a3beaf43a89f6fc256e991a9b2"/>
                          <w:lock w:val="sdtLocked"/>
                          <w:richText/>
                        </w:sdtPr>
                        <w:sdtContent>
                          <w:r>
                            <w:rPr>
                              <w:szCs w:val="24"/>
                            </w:rPr>
                            <w:t>13.10</w:t>
                          </w:r>
                        </w:sdtContent>
                      </w:sdt>
                      <w:r>
                        <w:rPr>
                          <w:szCs w:val="24"/>
                        </w:rPr>
                        <w:t>. Lietuvos Respublikos sveikatos apsaugos ministro 2005 m. liepos 12 d. įsakymas Nr. V-572 „Dėl Lietuvos higienos normos HN 109:2005 „Baseinai. Įrengimo ir priežiūros saugos sveikatai reikalavimai“ patvirtinimo“;</w:t>
                      </w:r>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f0c9e2de85eb4c4488a8a30b235b37b5"/>
                    <w:lock w:val="sdtLocked"/>
                    <w:richText/>
                  </w:sdtPr>
                  <w:sdtContent>
                    <w:p>
                      <w:pPr>
                        <w:ind w:firstLine="680"/>
                        <w:jc w:val="both"/>
                        <w:rPr>
                          <w:color w:val="000000"/>
                        </w:rPr>
                      </w:pPr>
                      <w:sdt>
                        <w:sdtPr>
                          <w:alias w:val="Numeris"/>
                          <w:tag w:val="nr_f0c9e2de85eb4c4488a8a30b235b37b5"/>
                          <w:lock w:val="sdtLocked"/>
                          <w:richText/>
                        </w:sdtPr>
                        <w:sdtContent>
                          <w:r>
                            <w:rPr>
                              <w:color w:val="000000"/>
                            </w:rPr>
                            <w:t>13.13</w:t>
                          </w:r>
                        </w:sdtContent>
                      </w:sdt>
                      <w:r>
                        <w:rPr>
                          <w:color w:val="000000"/>
                        </w:rPr>
                        <w:t>. Lietuvos Respublikos sveikatos apsaugos ministro 2007 m. gegužės 10 d. įsakymas Nr. V-362 „Dėl Lietuvos higienos normos HN 35:2007 „Didžiausia leidžiamų cheminių medžiagų (teršalų) koncentracija gyvenamosios aplinkos ore“ patvirtinimo“;</w:t>
                      </w:r>
                    </w:p>
                  </w:sdtContent>
                </w:sdt>
                <w:sdt>
                  <w:sdtPr>
                    <w:alias w:val="13.14 p."/>
                    <w:tag w:val="part_22995d59264340f2ad6520a86632a0f8"/>
                    <w:lock w:val="sdtLocked"/>
                    <w:richText/>
                  </w:sdtPr>
                  <w:sdtContent>
                    <w:p>
                      <w:pPr>
                        <w:ind w:firstLine="680"/>
                        <w:jc w:val="both"/>
                      </w:pPr>
                      <w:sdt>
                        <w:sdtPr>
                          <w:alias w:val="Numeris"/>
                          <w:tag w:val="nr_22995d59264340f2ad6520a86632a0f8"/>
                          <w:lock w:val="sdtLocked"/>
                          <w:richText/>
                        </w:sdtPr>
                        <w:sdtContent>
                          <w:r>
                            <w:rPr>
                              <w:color w:val="000000"/>
                            </w:rPr>
                            <w:t>13.14</w:t>
                          </w:r>
                        </w:sdtContent>
                      </w:sdt>
                      <w:r>
                        <w:rPr>
                          <w:color w:val="000000"/>
                        </w:rPr>
                        <w:t>.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w:t>
                      </w:r>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ec84fea10c554430bb7abd1adfb20952"/>
                <w:lock w:val="sdtLocked"/>
                <w:richText/>
              </w:sdtPr>
              <w:sdtContent>
                <w:p>
                  <w:pPr>
                    <w:widowControl w:val="0"/>
                    <w:suppressAutoHyphens/>
                    <w:ind w:firstLine="680"/>
                    <w:jc w:val="both"/>
                    <w:rPr>
                      <w:color w:val="000000"/>
                    </w:rPr>
                  </w:pPr>
                  <w:sdt>
                    <w:sdtPr>
                      <w:alias w:val="Numeris"/>
                      <w:tag w:val="nr_ec84fea10c554430bb7abd1adfb20952"/>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p>
                  <w:pPr>
                    <w:widowControl w:val="0"/>
                    <w:suppressAutoHyphens/>
                    <w:ind w:firstLine="680"/>
                    <w:jc w:val="both"/>
                    <w:rPr>
                      <w:color w:val="000000"/>
                    </w:rPr>
                  </w:pPr>
                </w:p>
                <w:p>
                  <w:pPr>
                    <w:widowControl w:val="0"/>
                    <w:suppressAutoHyphens/>
                    <w:ind w:firstLine="680"/>
                    <w:jc w:val="both"/>
                    <w:rPr>
                      <w:color w:val="000000"/>
                    </w:rPr>
                  </w:pP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ebd5e0802af24c4db76c738c7ec3c0f6"/>
                <w:lock w:val="sdtLocked"/>
                <w:richText/>
              </w:sdtPr>
              <w:sdtContent>
                <w:p>
                  <w:pPr>
                    <w:widowControl w:val="0"/>
                    <w:suppressAutoHyphens/>
                    <w:ind w:firstLine="680"/>
                    <w:jc w:val="both"/>
                    <w:rPr>
                      <w:color w:val="000000"/>
                      <w:spacing w:val="-3"/>
                    </w:rPr>
                  </w:pPr>
                  <w:sdt>
                    <w:sdtPr>
                      <w:alias w:val="Numeris"/>
                      <w:tag w:val="nr_ebd5e0802af24c4db76c738c7ec3c0f6"/>
                      <w:lock w:val="sdtLocked"/>
                      <w:richText/>
                    </w:sdtPr>
                    <w:sdtContent>
                      <w:r>
                        <w:rPr>
                          <w:color w:val="000000"/>
                          <w:spacing w:val="-3"/>
                        </w:rPr>
                        <w:t>39</w:t>
                      </w:r>
                    </w:sdtContent>
                  </w:sdt>
                  <w:r>
                    <w:rPr>
                      <w:color w:val="000000"/>
                      <w:spacing w:val="-3"/>
                    </w:rPr>
                    <w:t>. Vaikų miego organizavimas:</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653bf52f1dfb464e90ab41d3719510ab"/>
                <w:lock w:val="sdtLocked"/>
                <w:richText/>
              </w:sdtPr>
              <w:sdtContent>
                <w:p>
                  <w:pPr>
                    <w:widowControl w:val="0"/>
                    <w:suppressAutoHyphens/>
                    <w:ind w:firstLine="680"/>
                    <w:jc w:val="both"/>
                    <w:rPr>
                      <w:color w:val="000000"/>
                    </w:rPr>
                  </w:pPr>
                  <w:sdt>
                    <w:sdtPr>
                      <w:alias w:val="Numeris"/>
                      <w:tag w:val="nr_653bf52f1dfb464e90ab41d3719510ab"/>
                      <w:lock w:val="sdtLocked"/>
                      <w:richText/>
                    </w:sdtPr>
                    <w:sdtContent>
                      <w:r>
                        <w:rPr>
                          <w:color w:val="000000"/>
                        </w:rPr>
                        <w:t>40</w:t>
                      </w:r>
                    </w:sdtContent>
                  </w:sdt>
                  <w:r>
                    <w:rPr>
                      <w:color w:val="000000"/>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su lanksčiu dušo rageliu tualeto-prausyklos patalpoje (išskyrus priešmokyklinio ugdymo grupes). Grupės, kurioje ugdomi </w:t>
                  </w:r>
                  <w:r>
                    <w:rPr>
                      <w:szCs w:val="24"/>
                    </w:rPr>
                    <w:t>vaikai iki 3 metų amžiaus, tualeto-prausyklos patalpoje įrengiama ne mažiau kaip 1 unitazas.</w:t>
                  </w:r>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dbeda2a12915447f90817d7b3a80d4bc"/>
                <w:lock w:val="sdtLocked"/>
                <w:richText/>
              </w:sdtPr>
              <w:sdtContent>
                <w:p>
                  <w:pPr>
                    <w:widowControl w:val="0"/>
                    <w:suppressAutoHyphens/>
                    <w:ind w:firstLine="680"/>
                    <w:jc w:val="both"/>
                    <w:rPr>
                      <w:color w:val="000000"/>
                    </w:rPr>
                  </w:pPr>
                  <w:sdt>
                    <w:sdtPr>
                      <w:alias w:val="Numeris"/>
                      <w:tag w:val="nr_dbeda2a12915447f90817d7b3a80d4bc"/>
                      <w:lock w:val="sdtLocked"/>
                      <w:richText/>
                    </w:sdtPr>
                    <w:sdtContent>
                      <w:r>
                        <w:rPr>
                          <w:color w:val="000000"/>
                        </w:rPr>
                        <w:t>43</w:t>
                      </w:r>
                    </w:sdtContent>
                  </w:sdt>
                  <w:r>
                    <w:rPr>
                      <w:color w:val="000000"/>
                    </w:rPr>
                    <w:t xml:space="preserve">. Tualetuose-prausyklose turi būti asmens higienos priemonių: tualetinio popieriaus, muilo, </w:t>
                  </w:r>
                  <w:r>
                    <w:rPr>
                      <w:szCs w:val="24"/>
                    </w:rPr>
                    <w:t>rankšluostinė</w:t>
                  </w:r>
                  <w:r>
                    <w:rPr>
                      <w:color w:val="000000"/>
                    </w:rPr>
                    <w:t xml:space="preserve"> ir individualūs daugkartinio naudojimo rankšluosčiai arba </w:t>
                  </w:r>
                  <w:r>
                    <w:t>vienkartinių rankšluosčių dėtuvė su vienkartiniais rankšluosčiais.</w:t>
                  </w:r>
                </w:p>
              </w:sdtContent>
            </w:sdt>
            <w:sdt>
              <w:sdtPr>
                <w:alias w:val="44 p."/>
                <w:tag w:val="part_c3028ecbaa3c4a6fbfcf3aadd1814371"/>
                <w:lock w:val="sdtLocked"/>
                <w:richText/>
              </w:sdtPr>
              <w:sdtContent>
                <w:p>
                  <w:pPr>
                    <w:widowControl w:val="0"/>
                    <w:suppressAutoHyphens/>
                    <w:ind w:firstLine="680"/>
                    <w:jc w:val="both"/>
                    <w:rPr>
                      <w:color w:val="000000"/>
                    </w:rPr>
                  </w:pPr>
                  <w:sdt>
                    <w:sdtPr>
                      <w:alias w:val="Numeris"/>
                      <w:tag w:val="nr_c3028ecbaa3c4a6fbfcf3aadd1814371"/>
                      <w:lock w:val="sdtLocked"/>
                      <w:richText/>
                    </w:sdtPr>
                    <w:sdtContent>
                      <w:r>
                        <w:rPr>
                          <w:color w:val="000000"/>
                        </w:rPr>
                        <w:t>44</w:t>
                      </w:r>
                    </w:sdtContent>
                  </w:sdt>
                  <w:r>
                    <w:rPr>
                      <w:color w:val="000000"/>
                    </w:rPr>
                    <w:t>. Vaikams skirtos praustuvės įrengiamos tokiame aukštyje, kad skirtingo amžiaus vaikai galėtų patogiai ir saugiai jomis naudotis.</w:t>
                  </w:r>
                </w:p>
              </w:sdtContent>
            </w:sdt>
            <w:sdt>
              <w:sdtPr>
                <w:alias w:val="45 p."/>
                <w:tag w:val="part_66f2d675e48141fe84dcae9cfa477b5e"/>
                <w:lock w:val="sdtLocked"/>
                <w:richText/>
              </w:sdtPr>
              <w:sdtContent>
                <w:p>
                  <w:pPr>
                    <w:widowControl w:val="0"/>
                    <w:suppressAutoHyphens/>
                    <w:ind w:firstLine="680"/>
                    <w:jc w:val="both"/>
                    <w:rPr>
                      <w:color w:val="000000"/>
                    </w:rPr>
                  </w:pPr>
                  <w:sdt>
                    <w:sdtPr>
                      <w:alias w:val="Numeris"/>
                      <w:tag w:val="nr_66f2d675e48141fe84dcae9cfa477b5e"/>
                      <w:lock w:val="sdtLocked"/>
                      <w:richText/>
                    </w:sdtPr>
                    <w:sdtContent>
                      <w:r>
                        <w:rPr>
                          <w:color w:val="000000"/>
                        </w:rPr>
                        <w:t>45</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 Grupėse, kuriose ugdomi 3 metų ir vyresni vaikai, kabinos turi būti su durimis ar kita uždanga.</w:t>
                  </w:r>
                </w:p>
              </w:sdtContent>
            </w:sdt>
            <w:sdt>
              <w:sdtPr>
                <w:alias w:val="46 p."/>
                <w:tag w:val="part_726c5cce76654401aa8f98f21092857d"/>
                <w:lock w:val="sdtLocked"/>
                <w:richText/>
              </w:sdtPr>
              <w:sdtContent>
                <w:p>
                  <w:pPr>
                    <w:widowControl w:val="0"/>
                    <w:suppressAutoHyphens/>
                    <w:ind w:firstLine="680"/>
                    <w:jc w:val="both"/>
                    <w:rPr>
                      <w:color w:val="000000"/>
                    </w:rPr>
                  </w:pPr>
                  <w:sdt>
                    <w:sdtPr>
                      <w:alias w:val="Numeris"/>
                      <w:tag w:val="nr_726c5cce76654401aa8f98f21092857d"/>
                      <w:lock w:val="sdtLocked"/>
                      <w:richText/>
                    </w:sdtPr>
                    <w:sdtContent>
                      <w:r>
                        <w:rPr>
                          <w:color w:val="000000"/>
                        </w:rPr>
                        <w:t>46</w:t>
                      </w:r>
                    </w:sdtContent>
                  </w:sdt>
                  <w:r>
                    <w:rPr>
                      <w:color w:val="000000"/>
                    </w:rPr>
                    <w:t>. Tualetai darbuotojams įrengiami ne grupės tualeto-prausyklos patalpose. Tualeto patalpoje ar šalia jos turi būti praustuvė ir asmens higienos priemonių (tualetinio popieriaus, muilo, vienkartinių rankšluosčių ar rankų džiovintuvas).</w:t>
                  </w:r>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71ff5524922c4238a96b2192e2eda2d3"/>
                    <w:lock w:val="sdtLocked"/>
                    <w:richText/>
                  </w:sdtPr>
                  <w:sdtContent>
                    <w:p>
                      <w:pPr>
                        <w:widowControl w:val="0"/>
                        <w:suppressAutoHyphens/>
                        <w:ind w:firstLine="680"/>
                        <w:jc w:val="both"/>
                        <w:rPr>
                          <w:color w:val="000000"/>
                        </w:rPr>
                      </w:pPr>
                      <w:sdt>
                        <w:sdtPr>
                          <w:alias w:val="Numeris"/>
                          <w:tag w:val="nr_71ff5524922c4238a96b2192e2eda2d3"/>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p>
                      <w:pPr>
                        <w:widowControl w:val="0"/>
                        <w:suppressAutoHyphens/>
                        <w:ind w:firstLine="680"/>
                        <w:jc w:val="both"/>
                        <w:rPr>
                          <w:color w:val="000000"/>
                        </w:rPr>
                      </w:pP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93c37d2ceedd429b927c2d8a2b2ac46c"/>
                    <w:lock w:val="sdtLocked"/>
                    <w:richText/>
                  </w:sdtPr>
                  <w:sdtContent>
                    <w:p>
                      <w:pPr>
                        <w:ind w:firstLine="680"/>
                        <w:jc w:val="both"/>
                        <w:rPr>
                          <w:color w:val="000000"/>
                          <w:lang w:eastAsia="lt-LT"/>
                        </w:rPr>
                      </w:pPr>
                      <w:sdt>
                        <w:sdtPr>
                          <w:alias w:val="Numeris"/>
                          <w:tag w:val="nr_93c37d2ceedd429b927c2d8a2b2ac46c"/>
                          <w:lock w:val="sdtLocked"/>
                          <w:richText/>
                        </w:sdtPr>
                        <w:sdtContent>
                          <w:r>
                            <w:rPr>
                              <w:color w:val="000000"/>
                              <w:lang w:eastAsia="lt-LT"/>
                            </w:rPr>
                            <w:t>55.3</w:t>
                          </w:r>
                        </w:sdtContent>
                      </w:sdt>
                      <w:r>
                        <w:rPr>
                          <w:color w:val="000000"/>
                          <w:lang w:eastAsia="lt-LT"/>
                        </w:rPr>
                        <w:t>. temperatūra šaltuoju metų laiku turi atitikti dydžius, nurodytus šios higienos normos 2 lentelėje;</w:t>
                      </w:r>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07e28860a9a44adb82459be8484e0b87"/>
                <w:lock w:val="sdtLocked"/>
                <w:richText/>
              </w:sdtPr>
              <w:sdtContent>
                <w:p>
                  <w:pPr>
                    <w:ind w:firstLine="680"/>
                    <w:jc w:val="both"/>
                    <w:rPr>
                      <w:szCs w:val="24"/>
                      <w:lang w:eastAsia="lt-LT"/>
                    </w:rPr>
                  </w:pPr>
                  <w:sdt>
                    <w:sdtPr>
                      <w:alias w:val="Numeris"/>
                      <w:tag w:val="nr_07e28860a9a44adb82459be8484e0b87"/>
                      <w:lock w:val="sdtLocked"/>
                      <w:richText/>
                    </w:sdtPr>
                    <w:sdtContent>
                      <w:r>
                        <w:rPr>
                          <w:szCs w:val="24"/>
                          <w:lang w:eastAsia="lt-LT"/>
                        </w:rPr>
                        <w:t>56</w:t>
                      </w:r>
                    </w:sdtContent>
                  </w:sdt>
                  <w:r>
                    <w:rPr>
                      <w:szCs w:val="24"/>
                      <w:lang w:eastAsia="lt-LT"/>
                    </w:rPr>
                    <w:t xml:space="preserve">. </w:t>
                  </w:r>
                  <w:r>
                    <w:rPr>
                      <w:color w:val="000000"/>
                      <w:lang w:eastAsia="lt-LT"/>
                    </w:rPr>
                    <w:t xml:space="preserve">Statant naujus statinius, kuriuose bus vykdoma ikimokyklinio ir (ar) priešmokyklinio ugdymo programa, </w:t>
                  </w:r>
                  <w:r>
                    <w:rPr>
                      <w:szCs w:val="24"/>
                      <w:lang w:eastAsia="lt-LT"/>
                    </w:rPr>
                    <w:t>pirmo aukšto grupių persirengimo, žaidimų ir miegamojo patalpose / erdvėse ir specialiųjų grupių, skirtų vaikams, turintiems judesio ir padėties sutrikimų, persirengimo ir miegamosiose patalpose / erdvėse turi būti įrengiamos šildomos grindys, šaltuoju metų laikotarpiu palaikančios ne žemesnę kaip 23</w:t>
                  </w:r>
                  <w:r>
                    <w:rPr>
                      <w:color w:val="000000"/>
                      <w:szCs w:val="24"/>
                      <w:lang w:eastAsia="lt-LT"/>
                    </w:rPr>
                    <w:t xml:space="preserve"> °C temperatūrą.</w:t>
                  </w:r>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43a4b5d8294246e5b52447ab0605dcae"/>
                <w:lock w:val="sdtLocked"/>
                <w:richText/>
              </w:sdtPr>
              <w:sdtContent>
                <w:p>
                  <w:pPr>
                    <w:widowControl w:val="0"/>
                    <w:suppressAutoHyphens/>
                    <w:ind w:firstLine="567"/>
                    <w:jc w:val="both"/>
                  </w:pPr>
                  <w:sdt>
                    <w:sdtPr>
                      <w:alias w:val="Numeris"/>
                      <w:tag w:val="nr_43a4b5d8294246e5b52447ab0605dcae"/>
                      <w:lock w:val="sdtLocked"/>
                      <w:richText/>
                    </w:sdtPr>
                    <w:sdtContent>
                      <w:r>
                        <w:t>71</w:t>
                      </w:r>
                    </w:sdtContent>
                  </w:sdt>
                  <w:r>
                    <w:t>. Vaikų žaidimų aikštelių, žaidimų įrangos įrengimas ir priežiūra turi atitikti teisės akto [13.18] reikalavimus.</w:t>
                  </w:r>
                </w:p>
                <w:p>
                  <w:pPr>
                    <w:widowControl w:val="0"/>
                    <w:suppressAutoHyphens/>
                    <w:jc w:val="both"/>
                    <w:rPr>
                      <w:sz w:val="20"/>
                    </w:rPr>
                  </w:pPr>
                  <w:r>
                    <w:rPr>
                      <w:b/>
                      <w:i/>
                      <w:sz w:val="20"/>
                    </w:rPr>
                    <w:t>TAR pastaba:</w:t>
                  </w:r>
                  <w:r>
                    <w:rPr>
                      <w:sz w:val="20"/>
                    </w:rPr>
                    <w:t xml:space="preserve"> 71 punktas įsigalioja 2016-11-01</w:t>
                  </w:r>
                </w:p>
                <w:p>
                  <w:pPr>
                    <w:widowControl w:val="0"/>
                    <w:suppressAutoHyphens/>
                    <w:jc w:val="both"/>
                  </w:pP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c3fce8ee1ae84e4e9aca5a70d0594e0c"/>
                <w:lock w:val="sdtLocked"/>
                <w:richText/>
              </w:sdtPr>
              <w:sdtContent>
                <w:p>
                  <w:pPr>
                    <w:spacing w:line="281" w:lineRule="auto"/>
                    <w:ind w:firstLine="680"/>
                    <w:jc w:val="both"/>
                  </w:pPr>
                  <w:sdt>
                    <w:sdtPr>
                      <w:alias w:val="Numeris"/>
                      <w:tag w:val="nr_c3fce8ee1ae84e4e9aca5a70d0594e0c"/>
                      <w:lock w:val="sdtLocked"/>
                      <w:richText/>
                    </w:sdtPr>
                    <w:sdtContent>
                      <w:r>
                        <w:rPr>
                          <w:szCs w:val="24"/>
                          <w:lang w:eastAsia="lt-LT"/>
                        </w:rPr>
                        <w:t>79</w:t>
                      </w:r>
                    </w:sdtContent>
                  </w:sdt>
                  <w:r>
                    <w:rPr>
                      <w:szCs w:val="24"/>
                      <w:lang w:eastAsia="lt-LT"/>
                    </w:rPr>
                    <w:t>. Priimant vaiką ugdyti pagal ikimokyklinio ir (ar) priešmokyklinio ugdymo programą ir vėliau kiekvienais metais vaiko tėvai (globėjai) švietimo teikėjui pateikia vaiko sveikatos pažymėjimą (forma Nr. 027-1/a) [13.9].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sdtContent>
            </w:sdt>
            <w:sdt>
              <w:sdtPr>
                <w:alias w:val="80 p."/>
                <w:tag w:val="part_a9610a63ddda480b9370e145ef8d3a94"/>
                <w:lock w:val="sdtLocked"/>
                <w:richText/>
              </w:sdtPr>
              <w:sdtContent>
                <w:p>
                  <w:pPr>
                    <w:widowControl w:val="0"/>
                    <w:suppressAutoHyphens/>
                    <w:ind w:firstLine="680"/>
                    <w:jc w:val="both"/>
                    <w:rPr>
                      <w:color w:val="000000"/>
                    </w:rPr>
                  </w:pPr>
                  <w:sdt>
                    <w:sdtPr>
                      <w:alias w:val="Numeris"/>
                      <w:tag w:val="nr_a9610a63ddda480b9370e145ef8d3a94"/>
                      <w:lock w:val="sdtLocked"/>
                      <w:richText/>
                    </w:sdtPr>
                    <w:sdtContent>
                      <w:r>
                        <w:rPr>
                          <w:color w:val="000000"/>
                        </w:rPr>
                        <w:t>80</w:t>
                      </w:r>
                    </w:sdtContent>
                  </w:sdt>
                  <w:r>
                    <w:rPr>
                      <w:color w:val="000000"/>
                    </w:rPr>
                    <w:t>. Draudžiama priimti sergančius ar (ir) turinčius užkrečiamųjų ligų požymių (karščiuoja ir yra išskyrų iš nosies, kosti, skundžiasi skausmu, viduriuoja, vemia, turi užkrečiamosioms ligoms būdingų bėrimo elementų ir kt.), taip pat turinčius utėlių ar glindų vaikus.</w:t>
                  </w:r>
                </w:p>
              </w:sdtContent>
            </w:sdt>
            <w:sdt>
              <w:sdtPr>
                <w:alias w:val="81 p."/>
                <w:tag w:val="part_e07d5794111c471aa7e2b2d8bfff1d9b"/>
                <w:lock w:val="sdtLocked"/>
                <w:richText/>
              </w:sdtPr>
              <w:sdtContent>
                <w:p>
                  <w:pPr>
                    <w:widowControl w:val="0"/>
                    <w:suppressAutoHyphens/>
                    <w:ind w:firstLine="680"/>
                    <w:jc w:val="both"/>
                    <w:rPr>
                      <w:color w:val="000000"/>
                    </w:rPr>
                  </w:pPr>
                  <w:sdt>
                    <w:sdtPr>
                      <w:alias w:val="Numeris"/>
                      <w:tag w:val="nr_e07d5794111c471aa7e2b2d8bfff1d9b"/>
                      <w:lock w:val="sdtLocked"/>
                      <w:richText/>
                    </w:sdtPr>
                    <w:sdtContent>
                      <w:r>
                        <w:rPr>
                          <w:color w:val="000000"/>
                        </w:rPr>
                        <w:t>81</w:t>
                      </w:r>
                    </w:sdtContent>
                  </w:sdt>
                  <w:r>
                    <w:rPr>
                      <w:color w:val="000000"/>
                    </w:rPr>
                    <w:t>. Vaikui sunegalavus ugdymo proceso metu, jis izoliuojamas, kol atvyks tėvai, o esant būtinumui nedelsiant kviečiama greitoji medicinos pagalba.</w:t>
                  </w:r>
                </w:p>
              </w:sdtContent>
            </w:sdt>
            <w:sdt>
              <w:sdtPr>
                <w:alias w:val="82 p."/>
                <w:tag w:val="part_57fb2992ef49492ea56378a5b4f5da81"/>
                <w:lock w:val="sdtLocked"/>
                <w:richText/>
              </w:sdtPr>
              <w:sdtContent>
                <w:p>
                  <w:pPr>
                    <w:widowControl w:val="0"/>
                    <w:suppressAutoHyphens/>
                    <w:ind w:firstLine="680"/>
                    <w:jc w:val="both"/>
                    <w:rPr>
                      <w:color w:val="000000"/>
                    </w:rPr>
                  </w:pPr>
                  <w:sdt>
                    <w:sdtPr>
                      <w:alias w:val="Numeris"/>
                      <w:tag w:val="nr_57fb2992ef49492ea56378a5b4f5da81"/>
                      <w:lock w:val="sdtLocked"/>
                      <w:richText/>
                    </w:sdtPr>
                    <w:sdtContent>
                      <w:r>
                        <w:rPr>
                          <w:color w:val="000000"/>
                        </w:rPr>
                        <w:t>82</w:t>
                      </w:r>
                    </w:sdtContent>
                  </w:sdt>
                  <w:r>
                    <w:rPr>
                      <w:color w:val="000000"/>
                    </w:rPr>
                    <w:t>. Po ligos vaikas gali būti priimtas tik tėvams (globėjams) pateikus gydytojo pažymą (F 094/a ) [13.4].</w:t>
                  </w:r>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c2fc18865f8f4e3182a16e669ff5e756"/>
                    <w:lock w:val="sdtLocked"/>
                    <w:richText/>
                  </w:sdtPr>
                  <w:sdtContent>
                    <w:p>
                      <w:pPr>
                        <w:ind w:firstLine="680"/>
                        <w:jc w:val="both"/>
                        <w:rPr>
                          <w:szCs w:val="24"/>
                          <w:lang w:eastAsia="lt-LT"/>
                        </w:rPr>
                      </w:pPr>
                      <w:sdt>
                        <w:sdtPr>
                          <w:alias w:val="Numeris"/>
                          <w:tag w:val="nr_c2fc18865f8f4e3182a16e669ff5e756"/>
                          <w:lock w:val="sdtLocked"/>
                          <w:richText/>
                        </w:sdtPr>
                        <w:sdtContent>
                          <w:r>
                            <w:rPr>
                              <w:szCs w:val="24"/>
                              <w:lang w:eastAsia="lt-LT"/>
                            </w:rPr>
                            <w:t>85.4</w:t>
                          </w:r>
                        </w:sdtContent>
                      </w:sdt>
                      <w:r>
                        <w:rPr>
                          <w:szCs w:val="24"/>
                          <w:lang w:eastAsia="lt-LT"/>
                        </w:rPr>
                        <w:t>. oro temperatūra lauke 32</w:t>
                      </w:r>
                      <w:r>
                        <w:rPr>
                          <w:position w:val="6"/>
                          <w:szCs w:val="24"/>
                          <w:vertAlign w:val="superscript"/>
                          <w:lang w:eastAsia="lt-LT"/>
                        </w:rPr>
                        <w:t xml:space="preserve"> o</w:t>
                      </w:r>
                      <w:r>
                        <w:rPr>
                          <w:szCs w:val="24"/>
                          <w:lang w:eastAsia="lt-LT"/>
                        </w:rPr>
                        <w:t>C ar aukštesnė;</w:t>
                      </w:r>
                    </w:p>
                  </w:sdtContent>
                </w:sdt>
                <w:sdt>
                  <w:sdtPr>
                    <w:alias w:val="85.5 p."/>
                    <w:tag w:val="part_4a7f0b5461504af0a25fe928f7758c33"/>
                    <w:lock w:val="sdtLocked"/>
                    <w:richText/>
                  </w:sdtPr>
                  <w:sdtContent>
                    <w:p>
                      <w:pPr>
                        <w:ind w:firstLine="680"/>
                        <w:jc w:val="both"/>
                        <w:rPr>
                          <w:szCs w:val="24"/>
                          <w:lang w:eastAsia="lt-LT"/>
                        </w:rPr>
                      </w:pPr>
                      <w:sdt>
                        <w:sdtPr>
                          <w:alias w:val="Numeris"/>
                          <w:tag w:val="nr_4a7f0b5461504af0a25fe928f7758c33"/>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p>
                      <w:pPr>
                        <w:ind w:firstLine="680"/>
                        <w:jc w:val="both"/>
                        <w:rPr>
                          <w:szCs w:val="24"/>
                          <w:lang w:eastAsia="lt-LT"/>
                        </w:rPr>
                      </w:pPr>
                    </w:p>
                  </w:sdtContent>
                </w:sdt>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737d6f28ff244f5f97e1348b926c3f13"/>
        <w:lock w:val="sdtLocked"/>
        <w:richText/>
      </w:sdtPr>
      <w:sdtContent>
        <w:p>
          <w:pPr>
            <w:ind w:left="6521"/>
          </w:pPr>
          <w:r>
            <w:br w:type="page"/>
          </w: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737d6f28ff244f5f97e1348b926c3f13"/>
              <w:lock w:val="sdtLocked"/>
              <w:richText/>
            </w:sdtPr>
            <w:sdtContent>
              <w:r>
                <w:rPr>
                  <w:b/>
                  <w:bCs/>
                  <w:caps/>
                  <w:color w:val="000000"/>
                  <w:szCs w:val="24"/>
                </w:rPr>
                <w:t>NUODINGŲJŲ AUGALŲ, DRAUDŽIAMŲ SODINTI IR AUGINTI SKLYPE / TERITORIJOJE BEI PATALPOSE, KURIOSE VYKDOMA IKIMOKYKLINIO IR (AR) PRIEŠMOKYKLINIO UGDYMO PROGRAMA, SĄRAŠAS</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center"/>
            <w:rPr>
              <w:szCs w:val="24"/>
            </w:rPr>
          </w:pPr>
        </w:p>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Maitinimo organizavimo ikimokyklinio ugdymo, bendrojo ugdymo mokyklose ir vaikų socialinės globos įstaigose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928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014df0f71cb4e5489dcb3389e73c070">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0fb31dba675143d79d9eb6cdb354ff59"/>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03ab769f33c4d029b45f9408ce9bbbc"/>
      </Part>
      <Part Type="punktas" Nr="6" Abbr="6 p." DocPartId="df9e0adddb9643dcbe43cd20ca659c2c" PartId="2f2b913012b648419563c3fd92663648">
        <Part Type="punktas" Nr="6.1" Abbr="6.1 p." DocPartId="1e4f0e8eb96b42b29fbf04ce5d518117" PartId="b835094b417c49de8a1a398840afea54"/>
        <Part Type="punktas" Nr="6.2" Abbr="6.2 p." DocPartId="227e7be97aa3471bad9c9e18d5947cd6" PartId="490d7b41664f470a808c5fe26ebbd863"/>
      </Part>
      <Part Type="punktas" Nr="7" Abbr="7 p." DocPartId="f7525a23301e4637a064fbe4c0772f5e" PartId="3b96940248934c3d8cb5a451231ec6c1"/>
      <Part Type="punktas" Nr="8" Abbr="8 p." DocPartId="c9f18db6d8b544988097856105776585" PartId="cdcb43d4ee6d4f069cbfccd4af0c1e33"/>
      <Part Type="punktas" Nr="9" Abbr="9 p." DocPartId="2112742ac52944cdbea794f205f83cda" PartId="fb0f1eb661374072875b30ea05a129f3"/>
      <Part Type="punktas" Nr="10" Abbr="10 p." DocPartId="e9367ca40a4943f0a095c5b36f3484a4" PartId="f6c8fae86f2f47fe8cac64ff5ba6397e"/>
      <Part Type="punktas" Nr="11" Abbr="11 p." DocPartId="fda106687cb3438faa7583f28461ca5c" PartId="61753a3a60844a0690653b31fc809f6e"/>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943581eff7b542fa851c92701b9eb8a3"/>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7d4514bd0d5a4ba7b7ff928cde6febdd"/>
        <Part Type="punktas" Nr="13.8" Abbr="13.8 p." DocPartId="6e2f9ee99b0b48d88ecaf77a4d4a557a" PartId="3b66c4decba8454f8bb8875cab2a4843"/>
        <Part Type="punktas" Nr="13.9" Abbr="13.9 p." DocPartId="2c8c15e670a54e4095cb485269cb038e" PartId="98d5fdd253324151822b56c0485f4ddd"/>
        <Part Type="punktas" Nr="13.10" Abbr="13.10 p." DocPartId="d5cdbb17ba6744fd9f6bb3e02038308d" PartId="440fd4a3beaf43a89f6fc256e991a9b2"/>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f0c9e2de85eb4c4488a8a30b235b37b5"/>
        <Part Type="punktas" Nr="13.14" Abbr="13.14 p." DocPartId="17ff4182911545849c3223ee92f098f7" PartId="22995d59264340f2ad6520a86632a0f8"/>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ec84fea10c554430bb7abd1adfb20952"/>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ebd5e0802af24c4db76c738c7ec3c0f6">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653bf52f1dfb464e90ab41d3719510ab"/>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dbeda2a12915447f90817d7b3a80d4bc"/>
      <Part Type="punktas" Nr="44" Abbr="44 p." DocPartId="b9ecde77025246ad9d304bb018db966e" PartId="c3028ecbaa3c4a6fbfcf3aadd1814371"/>
      <Part Type="punktas" Nr="45" Abbr="45 p." DocPartId="375ab80bbf0742929f43ab7f54cc09ec" PartId="66f2d675e48141fe84dcae9cfa477b5e"/>
      <Part Type="punktas" Nr="46" Abbr="46 p." DocPartId="050c33f2d64f40e782e199f2b60f0822" PartId="726c5cce76654401aa8f98f21092857d"/>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71ff5524922c4238a96b2192e2eda2d3"/>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93c37d2ceedd429b927c2d8a2b2ac46c"/>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07e28860a9a44adb82459be8484e0b87"/>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43a4b5d8294246e5b52447ab0605dca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c3fce8ee1ae84e4e9aca5a70d0594e0c"/>
      <Part Type="punktas" Nr="80" Abbr="80 p." DocPartId="cbf2a1c397e4414faee714bba75ff7f6" PartId="a9610a63ddda480b9370e145ef8d3a94"/>
      <Part Type="punktas" Nr="81" Abbr="81 p." DocPartId="17bcdd05fb7c4e0a9e036075525e6c75" PartId="e07d5794111c471aa7e2b2d8bfff1d9b"/>
      <Part Type="punktas" Nr="82" Abbr="82 p." DocPartId="2ba24a2929be478bad119505232c3d02" PartId="57fb2992ef49492ea56378a5b4f5da81"/>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c2fc18865f8f4e3182a16e669ff5e756"/>
        <Part Type="punktas" Nr="85.5" Abbr="85.5 p." DocPartId="b33006a0352f4010b16b16faf0b30392" PartId="4a7f0b5461504af0a25fe928f7758c33"/>
      </Part>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pabaiga" DocPartId="ce06ecf3eb2f404ab3d9972d58930f18" PartId="f177fbc8ea0b41fb9dedc1b1f4b004ab"/>
  </Part>
  <Part Type="priedas" Abbr="pr." Title="NUODINGŲJŲ AUGALŲ, DRAUDŽIAMŲ SODINTI IR AUGINTI SKLYPE / TERITORIJOJE BEI PATALPOSE, KURIOSE VYKDOMA IKIMOKYKLINIO IR (AR) PRIEŠMOKYKLINIO UGDYMO PROGRAMA, SĄRAŠAS" DocPartId="c12a88f133314c8994b06c871b0eda63" PartId="737d6f28ff244f5f97e1348b926c3f13"/>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B9C8CD6E-359B-4171-AC25-FF71D10F1137}">
  <ds:schemaRefs>
    <ds:schemaRef ds:uri="http://lrs.lt/TAIS/DocParts"/>
  </ds:schemaRefs>
</ds:datastoreItem>
</file>

<file path=docProps/app.xml><?xml version="1.0" encoding="utf-8"?>
<Properties xmlns="http://schemas.openxmlformats.org/officeDocument/2006/extended-properties">
  <Template>Normal.dotm</Template>
  <TotalTime>11</TotalTime>
  <Pages>15</Pages>
  <Words>25852</Words>
  <Characters>14737</Characters>
  <Application>Microsoft Office Word</Application>
  <DocSecurity>0</DocSecurity>
  <Lines>122</Lines>
  <Paragraphs>81</Paragraphs>
  <ScaleCrop>false</ScaleCrop>
  <Company>Teisines informacijos centras</Company>
  <LinksUpToDate>false</LinksUpToDate>
  <CharactersWithSpaces>40508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PETRAUSKAITĖ Girmantė</lastModifiedBy>
  <dcterms:modified xsi:type="dcterms:W3CDTF">2016-07-25T13:42:00Z</dcterms:modified>
  <revision>10</revision>
  <dc:title>LIETUVOS RESPUBLIKOS SVEIKATOS APSAUGOS MINISTRO</dc:title>
</coreProperties>
</file>