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2023-03-02 iki 2024-02-05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d87de49f1e4493fb9747a60b87f63e4"/>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d87de49f1e4493fb9747a60b87f63e4"/>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d6579c3294314eca901db0fea30396bf"/>
                    <w:lock w:val="sdtLocked"/>
                    <w:richText/>
                  </w:sdtPr>
                  <w:sdtContent>
                    <w:p>
                      <w:pPr>
                        <w:widowControl w:val="0"/>
                        <w:suppressAutoHyphens/>
                        <w:ind w:firstLine="680"/>
                        <w:jc w:val="both"/>
                      </w:pPr>
                      <w:sdt>
                        <w:sdtPr>
                          <w:alias w:val="Numeris"/>
                          <w:tag w:val="nr_d6579c3294314eca901db0fea30396bf"/>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integruotai, prilyginamas dviem tos grupės, kurioje ugdomas, vaikams, todėl atitinkamai mažinamas 5.1–5.8 papunkčiuose nustatytas grupės vaikų skaičius;</w:t>
                      </w:r>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4697cccc38c841ee80b5c6944f10860f"/>
                    <w:lock w:val="sdtLocked"/>
                    <w:richText/>
                  </w:sdtPr>
                  <w:sdtContent>
                    <w:p>
                      <w:pPr>
                        <w:ind w:firstLine="680"/>
                        <w:jc w:val="both"/>
                        <w:rPr>
                          <w:color w:val="000000"/>
                        </w:rPr>
                      </w:pPr>
                      <w:sdt>
                        <w:sdtPr>
                          <w:alias w:val="Numeris"/>
                          <w:tag w:val="nr_4697cccc38c841ee80b5c6944f10860f"/>
                          <w:lock w:val="sdtLocked"/>
                          <w:richText/>
                        </w:sdtPr>
                        <w:sdtContent>
                          <w:r>
                            <w:rPr>
                              <w:color w:val="000000"/>
                            </w:rPr>
                            <w:t>13.2</w:t>
                          </w:r>
                        </w:sdtContent>
                      </w:sdt>
                      <w:r>
                        <w:rPr>
                          <w:color w:val="000000"/>
                        </w:rPr>
                        <w:t>. Lietuvos Respublikos Vyriausybės 1999 m. gegužės 7 d. nutarimas Nr. 544 „Dėl Darbų ir veiklos sričių, kuriose leidžiama dirbti darbuotojams, tik iš anksto pasitikrinusiems ir vėliau periodiškai besitikrinantiems, ar neserga užkrečiamosiomis ligomis, sąrašo ir šių darbuotojų sveikatos tikrinimosi tvarkos patvirtinimo“;</w:t>
                      </w:r>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80a739ae095546fa864f19cb0ac71e3d"/>
                    <w:lock w:val="sdtLocked"/>
                    <w:richText/>
                  </w:sdtPr>
                  <w:sdtContent>
                    <w:p>
                      <w:pPr>
                        <w:ind w:firstLine="720"/>
                        <w:jc w:val="both"/>
                      </w:pPr>
                      <w:sdt>
                        <w:sdtPr>
                          <w:alias w:val="Numeris"/>
                          <w:tag w:val="nr_80a739ae095546fa864f19cb0ac71e3d"/>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24:2017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cc28132a40734150b11bdbc869f8b35d"/>
                    <w:lock w:val="sdtLocked"/>
                    <w:richText/>
                  </w:sdtPr>
                  <w:sdtContent>
                    <w:p>
                      <w:pPr>
                        <w:ind w:firstLine="680"/>
                        <w:jc w:val="both"/>
                        <w:rPr>
                          <w:color w:val="000000"/>
                        </w:rPr>
                      </w:pPr>
                      <w:sdt>
                        <w:sdtPr>
                          <w:alias w:val="Numeris"/>
                          <w:tag w:val="nr_cc28132a40734150b11bdbc869f8b35d"/>
                          <w:lock w:val="sdtLocked"/>
                          <w:richText/>
                        </w:sdtPr>
                        <w:sdtContent>
                          <w:r>
                            <w:t>13.12</w:t>
                          </w:r>
                        </w:sdtContent>
                      </w:sdt>
                      <w:r>
                        <w:t>. Lietuvos Respublikos aplinkos ministro 2006 m. vasario 1 d. įsakymas Nr. D1-62 „Dėl statybos techninio reglamento STR 2.05.20:2006 „Langai ir išorinės įėjimo durys“ patvirtinimo“;</w:t>
                      </w:r>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7e9a791425434649888bb2550945d45a"/>
                    <w:lock w:val="sdtLocked"/>
                    <w:richText/>
                  </w:sdtPr>
                  <w:sdtContent>
                    <w:p>
                      <w:pPr>
                        <w:widowControl w:val="0"/>
                        <w:suppressAutoHyphens/>
                        <w:ind w:firstLine="720"/>
                        <w:jc w:val="both"/>
                      </w:pPr>
                      <w:sdt>
                        <w:sdtPr>
                          <w:alias w:val="Numeris"/>
                          <w:tag w:val="nr_7e9a791425434649888bb2550945d45a"/>
                          <w:lock w:val="sdtLocked"/>
                          <w:richText/>
                        </w:sdtPr>
                        <w:sdtContent>
                          <w:r>
                            <w:rPr>
                              <w:color w:val="000000"/>
                              <w:szCs w:val="24"/>
                            </w:rPr>
                            <w:t>13.14</w:t>
                          </w:r>
                        </w:sdtContent>
                      </w:sdt>
                      <w:r>
                        <w:rPr>
                          <w:color w:val="000000"/>
                          <w:szCs w:val="24"/>
                        </w:rPr>
                        <w:t>. Lietuvos Respublikos sveikatos apsaugos ministro 2008 m. sausio 28 d. įsakymas Nr. V-69 „Dėl 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31f0302c4add4acfaef7810f40122011"/>
                    <w:lock w:val="sdtLocked"/>
                    <w:richText/>
                  </w:sdtPr>
                  <w:sdtContent>
                    <w:p>
                      <w:pPr>
                        <w:ind w:firstLine="680"/>
                        <w:jc w:val="both"/>
                      </w:pPr>
                      <w:sdt>
                        <w:sdtPr>
                          <w:alias w:val="Numeris"/>
                          <w:tag w:val="nr_31f0302c4add4acfaef7810f40122011"/>
                          <w:lock w:val="sdtLocked"/>
                          <w:richText/>
                        </w:sdtPr>
                        <w:sdtContent>
                          <w:r>
                            <w:rPr>
                              <w:szCs w:val="24"/>
                            </w:rPr>
                            <w:t>13.18</w:t>
                          </w:r>
                        </w:sdtContent>
                      </w:sdt>
                      <w:r>
                        <w:rPr>
                          <w:szCs w:val="24"/>
                        </w:rPr>
                        <w:t>. Lietuvos Respublikos sveikatos apsaugos ministro 2015 m. spalio 30 d. įsakymas Nr. V-1208 „Dėl Lietuvos higienos normos HN 131:2015 „Vaikų žaidimų aikštelės ir patalpos. Bendrieji sveikatos saugos reikalavimai“ patvirtinimo“.</w:t>
                      </w:r>
                    </w:p>
                    <w:p>
                      <w:pPr>
                        <w:ind w:firstLine="680"/>
                        <w:jc w:val="both"/>
                        <w:rPr>
                          <w:sz w:val="16"/>
                          <w:szCs w:val="16"/>
                        </w:rPr>
                      </w:pPr>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87c9481e60074d65a4f6ced4c1eb5cc8"/>
                <w:lock w:val="sdtLocked"/>
                <w:richText/>
              </w:sdtPr>
              <w:sdtContent>
                <w:p>
                  <w:pPr>
                    <w:widowControl w:val="0"/>
                    <w:suppressAutoHyphens/>
                    <w:ind w:firstLine="680"/>
                    <w:jc w:val="both"/>
                    <w:rPr>
                      <w:color w:val="000000"/>
                    </w:rPr>
                  </w:pPr>
                  <w:sdt>
                    <w:sdtPr>
                      <w:alias w:val="Numeris"/>
                      <w:tag w:val="nr_87c9481e60074d65a4f6ced4c1eb5cc8"/>
                      <w:lock w:val="sdtLocked"/>
                      <w:richText/>
                    </w:sdtPr>
                    <w:sdtContent>
                      <w:r>
                        <w:rPr>
                          <w:color w:val="000000"/>
                        </w:rPr>
                        <w:t>60</w:t>
                      </w:r>
                    </w:sdtContent>
                  </w:sdt>
                  <w:r>
                    <w:rPr>
                      <w:color w:val="000000"/>
                    </w:rPr>
                    <w:t>. Geriamojo vandens kokybė turi atitikti teisės akto [13.8] reikalavimus.</w:t>
                  </w:r>
                </w:p>
              </w:sdtContent>
            </w:sdt>
            <w:sdt>
              <w:sdtPr>
                <w:alias w:val="61 p."/>
                <w:tag w:val="part_c07fb87dd7d14eedba703b161610b9f8"/>
                <w:lock w:val="sdtLocked"/>
                <w:richText/>
              </w:sdtPr>
              <w:sdtContent>
                <w:p>
                  <w:pPr>
                    <w:widowControl w:val="0"/>
                    <w:suppressAutoHyphens/>
                    <w:ind w:firstLine="680"/>
                    <w:jc w:val="both"/>
                    <w:rPr>
                      <w:color w:val="000000"/>
                    </w:rPr>
                  </w:pPr>
                  <w:sdt>
                    <w:sdtPr>
                      <w:alias w:val="Numeris"/>
                      <w:tag w:val="nr_c07fb87dd7d14eedba703b161610b9f8"/>
                      <w:lock w:val="sdtLocked"/>
                      <w:richText/>
                    </w:sdtPr>
                    <w:sdtContent>
                      <w:r>
                        <w:rPr>
                          <w:color w:val="000000"/>
                        </w:rPr>
                        <w:t>61</w:t>
                      </w:r>
                    </w:sdtContent>
                  </w:sdt>
                  <w:r>
                    <w:rPr>
                      <w:color w:val="000000"/>
                    </w:rPr>
                    <w:t xml:space="preserve">. Karštas ir šaltas vanduo turi būti tiekiamas nuolat grupių indų plovyklose, tualetuose-prausyklose, tualetuose ir, jei yra įrengta, </w:t>
                  </w:r>
                  <w:r>
                    <w:rPr>
                      <w:szCs w:val="24"/>
                    </w:rPr>
                    <w:t>maisto gamybos patalpose</w:t>
                  </w:r>
                  <w:r>
                    <w:rPr>
                      <w:color w:val="000000"/>
                    </w:rPr>
                    <w:t>, skalbykloje, sveikatos, logopedo kabinetuose, gyvūnų laikymo patalpoje, grupės, kurioje yra ugdomų vaikų iki 1 metų amžiaus, žaidimų patalpoje / erdvėje.</w:t>
                  </w:r>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d87de49f1e4493fb9747a60b87f63e4">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d6579c3294314eca901db0fea30396bf"/>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4697cccc38c841ee80b5c6944f10860f"/>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80a739ae095546fa864f19cb0ac71e3d"/>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cc28132a40734150b11bdbc869f8b35d"/>
        <Part Type="punktas" Nr="13.13" Abbr="13.13 p." DocPartId="99367ae543ac49b8b359e633c18cdfd6" PartId="416668a51e9d4049a773290d4dff487a"/>
        <Part Type="punktas" Nr="13.14" Abbr="13.14 p." DocPartId="17ff4182911545849c3223ee92f098f7" PartId="7e9a791425434649888bb2550945d45a"/>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31f0302c4add4acfaef7810f4012201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87c9481e60074d65a4f6ced4c1eb5cc8"/>
      <Part Type="punktas" Nr="61" Abbr="61 p." DocPartId="c52637d79c494ae8b651a50e3ca1d023" PartId="c07fb87dd7d14eedba703b161610b9f8"/>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047FABEB-0C65-4571-AC4F-1F80EF7DF4D6}">
  <ds:schemaRefs>
    <ds:schemaRef ds:uri="http://lrs.lt/TAIS/DocParts"/>
  </ds:schemaRefs>
</ds:datastoreItem>
</file>

<file path=docProps/app.xml><?xml version="1.0" encoding="utf-8"?>
<Properties xmlns="http://schemas.openxmlformats.org/officeDocument/2006/extended-properties">
  <Template>Normal.dotm</Template>
  <TotalTime>30</TotalTime>
  <Pages>15</Pages>
  <Words>29829</Words>
  <Characters>17003</Characters>
  <Application>Microsoft Office Word</Application>
  <DocSecurity>0</DocSecurity>
  <Lines>141</Lines>
  <Paragraphs>93</Paragraphs>
  <ScaleCrop>false</ScaleCrop>
  <Company>Teisines informacijos centras</Company>
  <LinksUpToDate>false</LinksUpToDate>
  <CharactersWithSpaces>46739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ŠAULYTĖ SKAIRIENĖ Dalia</lastModifiedBy>
  <dcterms:modified xsi:type="dcterms:W3CDTF">2024-02-07T09:40:00Z</dcterms:modified>
  <revision>26</revision>
  <dc:title>LIETUVOS RESPUBLIKOS SVEIKATOS APSAUGOS MINISTRO</dc:title>
</coreProperties>
</file>