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2025-09-01 iki 2026-02-13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4e05828e1864ebb98e1c25ffd995b2f"/>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4e05828e1864ebb98e1c25ffd995b2f"/>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35fbc8659724a7d9b12ac74b5b48292"/>
                    <w:lock w:val="sdtLocked"/>
                    <w:richText/>
                  </w:sdtPr>
                  <w:sdtContent>
                    <w:p>
                      <w:pPr>
                        <w:ind w:firstLine="720"/>
                        <w:jc w:val="both"/>
                        <w:textAlignment w:val="center"/>
                      </w:pPr>
                      <w:sdt>
                        <w:sdtPr>
                          <w:alias w:val="Numeris"/>
                          <w:tag w:val="nr_e35fbc8659724a7d9b12ac74b5b48292"/>
                          <w:lock w:val="sdtLocked"/>
                          <w:richText/>
                        </w:sdtPr>
                        <w:sdtContent>
                          <w:r>
                            <w:rPr>
                              <w:color w:val="000000"/>
                              <w:szCs w:val="24"/>
                            </w:rPr>
                            <w:t>5.9</w:t>
                          </w:r>
                        </w:sdtContent>
                      </w:sdt>
                      <w:r>
                        <w:rPr>
                          <w:color w:val="000000"/>
                          <w:szCs w:val="24"/>
                        </w:rPr>
                        <w:t>. vienas didelių ar labai didelių specialiųjų ugdymosi poreikių turintis vaikas, ugdomas bendrosios paskirties grupėje (kartu su vaikais, neturinčiais specialiųjų ugdymosi poreikių), prilyginamas dviem tos grupės, kurioje ugdomas, vaikams, todėl atitinkamai mažinamas šios higienos normos 5.1–5.8 papunkčiuose nustatytas grupės vaikų skaičius. Bendrosios paskirties g</w:t>
                      </w:r>
                      <w:r>
                        <w:rPr>
                          <w:color w:val="000000"/>
                        </w:rPr>
                        <w:t xml:space="preserve">rupėje gali būti ugdomi ne daugiau kaip trys didelių ar labai didelių specialiųjų ugdymosi poreikių turintys vaikai. </w:t>
                      </w:r>
                      <w:r>
                        <w:rPr>
                          <w:color w:val="000000"/>
                          <w:szCs w:val="24"/>
                        </w:rPr>
                        <w:t>Jei vaikui dideli ar labai dideli specialieji ugdymosi poreikiai nustatyti jau po grupės suformavimo, grupės vaikų skaičius turi būti sumažintas, laikantis šiame papunktyje nustatytų reikalavimų, ne vėliau negu iki kitų metų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f31913a01dad4d4aae5b22ad22a06df0"/>
                <w:lock w:val="sdtLocked"/>
                <w:richText/>
              </w:sdtPr>
              <w:sdtContent>
                <w:p>
                  <w:pPr>
                    <w:ind w:firstLine="720"/>
                    <w:jc w:val="both"/>
                    <w:rPr>
                      <w:color w:val="000000"/>
                      <w:szCs w:val="24"/>
                      <w:lang w:eastAsia="lt-LT"/>
                    </w:rPr>
                  </w:pPr>
                  <w:sdt>
                    <w:sdtPr>
                      <w:alias w:val="Numeris"/>
                      <w:tag w:val="nr_f31913a01dad4d4aae5b22ad22a06df0"/>
                      <w:lock w:val="sdtLocked"/>
                      <w:richText/>
                    </w:sdtPr>
                    <w:sdtContent>
                      <w:r>
                        <w:rPr>
                          <w:color w:val="000000"/>
                          <w:szCs w:val="24"/>
                          <w:lang w:eastAsia="lt-LT"/>
                        </w:rPr>
                        <w:t>6</w:t>
                      </w:r>
                    </w:sdtContent>
                  </w:sdt>
                  <w:r>
                    <w:rPr>
                      <w:color w:val="000000"/>
                      <w:szCs w:val="24"/>
                      <w:lang w:eastAsia="lt-LT"/>
                    </w:rPr>
                    <w:t>. Specialiosios grupės formuojamos taip:</w:t>
                  </w:r>
                </w:p>
                <w:sdt>
                  <w:sdtPr>
                    <w:alias w:val="6.1 pp."/>
                    <w:tag w:val="part_6dce80358814445f8010d4ba0420bf11"/>
                    <w:lock w:val="sdtLocked"/>
                    <w:richText/>
                  </w:sdtPr>
                  <w:sdtContent>
                    <w:p>
                      <w:pPr>
                        <w:ind w:firstLine="720"/>
                        <w:jc w:val="both"/>
                        <w:rPr>
                          <w:color w:val="000000"/>
                          <w:szCs w:val="24"/>
                          <w:lang w:eastAsia="lt-LT"/>
                        </w:rPr>
                      </w:pPr>
                      <w:sdt>
                        <w:sdtPr>
                          <w:alias w:val="Numeris"/>
                          <w:tag w:val="nr_6dce80358814445f8010d4ba0420bf11"/>
                          <w:lock w:val="sdtLocked"/>
                          <w:richText/>
                        </w:sdtPr>
                        <w:sdtContent>
                          <w:r>
                            <w:rPr>
                              <w:color w:val="000000"/>
                              <w:szCs w:val="24"/>
                              <w:lang w:eastAsia="lt-LT"/>
                            </w:rPr>
                            <w:t>6.1</w:t>
                          </w:r>
                        </w:sdtContent>
                      </w:sdt>
                      <w:r>
                        <w:rPr>
                          <w:color w:val="000000"/>
                          <w:szCs w:val="24"/>
                          <w:lang w:eastAsia="lt-LT"/>
                        </w:rPr>
                        <w:t xml:space="preserve">. turinčių vidutinį, žymų ir labai žymų intelekto sutrikimą – ne daugiau kaip 6 vaikai; turinčių </w:t>
                      </w:r>
                      <w:r>
                        <w:rPr>
                          <w:szCs w:val="24"/>
                          <w:lang w:eastAsia="lt-LT"/>
                        </w:rPr>
                        <w:t xml:space="preserve">žymią silpnaregystę, </w:t>
                      </w:r>
                      <w:r>
                        <w:rPr>
                          <w:color w:val="000000"/>
                          <w:szCs w:val="24"/>
                          <w:lang w:eastAsia="lt-LT"/>
                        </w:rPr>
                        <w:t xml:space="preserve">aklumą su regėjimo likučiu, praktišką aklumą ar visišką aklumą – ne daugiau kaip 6 vaikai; turinčių </w:t>
                      </w:r>
                      <w:r>
                        <w:rPr>
                          <w:szCs w:val="24"/>
                          <w:lang w:eastAsia="lt-LT"/>
                        </w:rPr>
                        <w:t>vidutinę</w:t>
                      </w:r>
                      <w:r>
                        <w:rPr>
                          <w:color w:val="000000"/>
                          <w:szCs w:val="24"/>
                          <w:lang w:eastAsia="lt-LT"/>
                        </w:rPr>
                        <w:t xml:space="preserve"> silpnaregystę – ne daugiau kaip 10 vaikų; turinčių vidutinį, žymų, labai žymų, gilų klausos sutrikimą ar kochlearinius implantus – ne daugiau kaip 6 vaikai; turinčių kalbėjimo ir kalbos sutrikimų – ne daugiau kaip 10 vaikų; turinčių judesio ir padėties bei neurologinių sutrikimų  – ne daugiau kaip 8 vaikai; turinčių įvairiapusių raidos sutrikimų, kompleksinę negalią ar kompleksinių sutrikimų – ne daugiau kaip 6 vaikai; turinčių kurčneregystę, kompleksinę negalią, kurios dalis yra judesio ir padėties sutrikimas, – ne daugiau kaip 3 vaikai;</w:t>
                      </w:r>
                    </w:p>
                  </w:sdtContent>
                </w:sdt>
                <w:sdt>
                  <w:sdtPr>
                    <w:alias w:val="6.2 pp."/>
                    <w:tag w:val="part_cf931c38485f446a8a0e694a9baccfed"/>
                    <w:lock w:val="sdtLocked"/>
                    <w:richText/>
                  </w:sdtPr>
                  <w:sdtContent>
                    <w:p>
                      <w:pPr>
                        <w:ind w:firstLine="720"/>
                        <w:jc w:val="both"/>
                        <w:rPr>
                          <w:color w:val="000000"/>
                          <w:szCs w:val="24"/>
                        </w:rPr>
                      </w:pPr>
                      <w:sdt>
                        <w:sdtPr>
                          <w:alias w:val="Numeris"/>
                          <w:tag w:val="nr_cf931c38485f446a8a0e694a9baccfed"/>
                          <w:lock w:val="sdtLocked"/>
                          <w:richText/>
                        </w:sdtPr>
                        <w:sdtContent>
                          <w:r>
                            <w:rPr>
                              <w:color w:val="000000"/>
                              <w:szCs w:val="24"/>
                              <w:lang w:eastAsia="lt-LT"/>
                            </w:rPr>
                            <w:t>6.2</w:t>
                          </w:r>
                        </w:sdtContent>
                      </w:sdt>
                      <w:r>
                        <w:rPr>
                          <w:color w:val="000000"/>
                          <w:szCs w:val="24"/>
                          <w:lang w:eastAsia="lt-LT"/>
                        </w:rPr>
                        <w:t>. mišrioje specialiojoje grupėje – ne daugiau kaip 10 vaikų. Vienas vaikas, turintis įvairiapusių raidos sutrikimų ar kompleksinę negalią, turintis aklumą su regėjimo likučiu, praktišką aklumą ar visišką aklumą, ugdomas mišrioje specialiojoje grupėje, prilyginamas dviem šios grupės vaikams, o turintis kurčneregystę, kompleksinę negalią, kurios dalis yra judesio ir padėties sutrikimas, – trims grupės vaikams, todėl atitinkamai mažinamas grupės vaikų skaičius.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9ae5558894db4053b7c3a2a38b01343a"/>
                <w:lock w:val="sdtLocked"/>
                <w:richText/>
              </w:sdtPr>
              <w:sdtContent>
                <w:p>
                  <w:pPr>
                    <w:ind w:firstLine="720"/>
                    <w:jc w:val="both"/>
                    <w:rPr>
                      <w:color w:val="000000"/>
                      <w:spacing w:val="-6"/>
                      <w:szCs w:val="24"/>
                    </w:rPr>
                  </w:pPr>
                  <w:sdt>
                    <w:sdtPr>
                      <w:alias w:val="Numeris"/>
                      <w:tag w:val="nr_9ae5558894db4053b7c3a2a38b01343a"/>
                      <w:lock w:val="sdtLocked"/>
                      <w:richText/>
                    </w:sdtPr>
                    <w:sdtContent>
                      <w:r>
                        <w:rPr>
                          <w:color w:val="000000"/>
                          <w:szCs w:val="24"/>
                        </w:rPr>
                        <w:t>8</w:t>
                      </w:r>
                    </w:sdtContent>
                  </w:sdt>
                  <w:r>
                    <w:rPr>
                      <w:color w:val="000000"/>
                      <w:szCs w:val="24"/>
                    </w:rPr>
                    <w:t xml:space="preserve">. Jei vaikų ugdymas vykdomas ilgiau nei 4 val., turi būti organizuojamas vaikų maitinimas ir poilsis (miegas ir (ar) ramios veiklos) tam skirtose patalpose ir (ar) pritaikytose erdvėse. </w:t>
                  </w:r>
                  <w:r>
                    <w:rPr>
                      <w:szCs w:val="24"/>
                    </w:rPr>
                    <w:t>Visiems vaikams turi būti užtikrinta jų fiziologinius poreikius atitinkanti poilsio forma (miegas arba rami veikla) ir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83ff27031ed1473483ec8efeb0510b60"/>
                    <w:lock w:val="sdtLocked"/>
                    <w:richText/>
                  </w:sdtPr>
                  <w:sdtContent>
                    <w:p>
                      <w:pPr>
                        <w:ind w:firstLine="720"/>
                        <w:jc w:val="both"/>
                        <w:rPr>
                          <w:color w:val="000000"/>
                        </w:rPr>
                      </w:pPr>
                      <w:sdt>
                        <w:sdtPr>
                          <w:alias w:val="Numeris"/>
                          <w:tag w:val="nr_83ff27031ed1473483ec8efeb0510b60"/>
                          <w:lock w:val="sdtLocked"/>
                          <w:richText/>
                        </w:sdtPr>
                        <w:sdtContent>
                          <w:r>
                            <w:rPr>
                              <w:color w:val="000000"/>
                              <w:szCs w:val="24"/>
                            </w:rPr>
                            <w:t>13.2</w:t>
                          </w:r>
                        </w:sdtContent>
                      </w:sdt>
                      <w:r>
                        <w:rPr>
                          <w:color w:val="000000"/>
                          <w:szCs w:val="24"/>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w:t>
                      </w:r>
                      <w:r>
                        <w:rPr>
                          <w:color w:val="333333"/>
                          <w:szCs w:val="24"/>
                          <w:shd w:val="clear" w:color="auto" w:fill="FFFFFF"/>
                        </w:rPr>
                        <w:t xml:space="preserve">Darbų ir veiklos sričių, kuriose leidžiama dirbti darbuotojams, pasitikrinusiems ir (ar) periodiškai besitikrinantiems, ar neserga užkrečiamąja liga, dėl kurios yra paskelbta valstybės lygio ekstremalioji situacija ir (ar) karantinas, sąrašo </w:t>
                      </w:r>
                      <w:r>
                        <w:rPr>
                          <w:color w:val="000000"/>
                          <w:szCs w:val="24"/>
                        </w:rPr>
                        <w:t>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b1adf76fc39243cda2f07152b86a7dfe"/>
                    <w:lock w:val="sdtLocked"/>
                    <w:richText/>
                  </w:sdtPr>
                  <w:sdtContent>
                    <w:p>
                      <w:pPr>
                        <w:ind w:firstLine="720"/>
                        <w:jc w:val="both"/>
                      </w:pPr>
                      <w:sdt>
                        <w:sdtPr>
                          <w:alias w:val="Numeris"/>
                          <w:tag w:val="nr_b1adf76fc39243cda2f07152b86a7dfe"/>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ed44ae03d7be4a7ebceb11baa0bd29a2"/>
                    <w:lock w:val="sdtLocked"/>
                    <w:richText/>
                  </w:sdtPr>
                  <w:sdtContent>
                    <w:p>
                      <w:pPr>
                        <w:ind w:firstLine="720"/>
                        <w:jc w:val="both"/>
                        <w:rPr>
                          <w:color w:val="000000"/>
                        </w:rPr>
                      </w:pPr>
                      <w:sdt>
                        <w:sdtPr>
                          <w:alias w:val="Numeris"/>
                          <w:tag w:val="nr_ed44ae03d7be4a7ebceb11baa0bd29a2"/>
                          <w:lock w:val="sdtLocked"/>
                          <w:richText/>
                        </w:sdtPr>
                        <w:sdtContent>
                          <w:r>
                            <w:rPr>
                              <w:color w:val="000000"/>
                              <w:szCs w:val="24"/>
                            </w:rPr>
                            <w:t>13.12</w:t>
                          </w:r>
                        </w:sdtContent>
                      </w:sdt>
                      <w:r>
                        <w:rPr>
                          <w:color w:val="000000"/>
                          <w:szCs w:val="24"/>
                        </w:rPr>
                        <w:t xml:space="preserve">. Lietuvos Respublikos aplinkos ministro 2019 m. kovo 29 d. įsakymas Nr. D1-186 „Dėl </w:t>
                      </w:r>
                      <w:r>
                        <w:rPr>
                          <w:color w:val="000000"/>
                          <w:szCs w:val="24"/>
                          <w:lang w:eastAsia="lt-LT"/>
                        </w:rPr>
                        <w:t>statybos techninio reglamento STR 2.04.01:2018 „Pastatų atitvaros. Sienos, stogai, langai ir išorinės įėjimo durys“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ea6c9b221a084660b2b27402c6fcf6b3"/>
                    <w:lock w:val="sdtLocked"/>
                    <w:richText/>
                  </w:sdtPr>
                  <w:sdtContent>
                    <w:p>
                      <w:pPr>
                        <w:ind w:firstLine="720"/>
                        <w:jc w:val="both"/>
                      </w:pPr>
                      <w:sdt>
                        <w:sdtPr>
                          <w:alias w:val="Numeris"/>
                          <w:tag w:val="nr_ea6c9b221a084660b2b27402c6fcf6b3"/>
                          <w:lock w:val="sdtLocked"/>
                          <w:richText/>
                        </w:sdtPr>
                        <w:sdtContent>
                          <w:r>
                            <w:rPr>
                              <w:color w:val="000000"/>
                              <w:szCs w:val="24"/>
                            </w:rPr>
                            <w:t>13.14</w:t>
                          </w:r>
                        </w:sdtContent>
                      </w:sdt>
                      <w:r>
                        <w:rPr>
                          <w:color w:val="000000"/>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b2b3fed20f2646b5ac772a529270bd6c"/>
                    <w:lock w:val="sdtLocked"/>
                    <w:richText/>
                  </w:sdtPr>
                  <w:sdtContent>
                    <w:p>
                      <w:pPr>
                        <w:ind w:firstLine="720"/>
                        <w:jc w:val="both"/>
                      </w:pPr>
                      <w:sdt>
                        <w:sdtPr>
                          <w:alias w:val="Numeris"/>
                          <w:tag w:val="nr_b2b3fed20f2646b5ac772a529270bd6c"/>
                          <w:lock w:val="sdtLocked"/>
                          <w:richText/>
                        </w:sdtPr>
                        <w:sdtContent>
                          <w:r>
                            <w:rPr>
                              <w:color w:val="000000"/>
                              <w:szCs w:val="24"/>
                            </w:rPr>
                            <w:t>13.18</w:t>
                          </w:r>
                        </w:sdtContent>
                      </w:sdt>
                      <w:r>
                        <w:rPr>
                          <w:color w:val="000000"/>
                          <w:szCs w:val="24"/>
                        </w:rPr>
                        <w:t>. Lietuvos Respublikos sveikatos apsaugos ministro 2015 m. spalio 30 d. įsakymas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9 pp."/>
                    <w:tag w:val="part_ea942aeb2950496f901133f39b7518e1"/>
                    <w:lock w:val="sdtLocked"/>
                    <w:richText/>
                  </w:sdtPr>
                  <w:sdtContent>
                    <w:p>
                      <w:pPr>
                        <w:ind w:firstLine="720"/>
                        <w:jc w:val="both"/>
                        <w:rPr>
                          <w:sz w:val="16"/>
                          <w:szCs w:val="16"/>
                        </w:rPr>
                      </w:pPr>
                      <w:sdt>
                        <w:sdtPr>
                          <w:alias w:val="Numeris"/>
                          <w:tag w:val="nr_ea942aeb2950496f901133f39b7518e1"/>
                          <w:lock w:val="sdtLocked"/>
                          <w:richText/>
                        </w:sdtPr>
                        <w:sdtContent>
                          <w:r>
                            <w:rPr>
                              <w:szCs w:val="24"/>
                            </w:rPr>
                            <w:t>13.19</w:t>
                          </w:r>
                        </w:sdtContent>
                      </w:sdt>
                      <w:r>
                        <w:rPr>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39-1 p."/>
                <w:tag w:val="part_fd2907b1af8d4b8ba0d8af59aa8a54a3"/>
                <w:lock w:val="sdtLocked"/>
                <w:richText/>
              </w:sdtPr>
              <w:sdtContent>
                <w:p>
                  <w:pPr>
                    <w:ind w:firstLine="720"/>
                    <w:jc w:val="both"/>
                    <w:rPr>
                      <w:color w:val="000000"/>
                      <w:szCs w:val="24"/>
                    </w:rPr>
                  </w:pPr>
                  <w:sdt>
                    <w:sdtPr>
                      <w:alias w:val="Numeris"/>
                      <w:tag w:val="nr_fd2907b1af8d4b8ba0d8af59aa8a54a3"/>
                      <w:lock w:val="sdtLocked"/>
                      <w:richText/>
                    </w:sdtPr>
                    <w:sdtContent>
                      <w:r>
                        <w:rPr>
                          <w:color w:val="000000"/>
                          <w:szCs w:val="24"/>
                        </w:rPr>
                        <w:t>39</w:t>
                      </w:r>
                      <w:r>
                        <w:rPr>
                          <w:color w:val="000000"/>
                          <w:szCs w:val="24"/>
                          <w:vertAlign w:val="superscript"/>
                        </w:rPr>
                        <w:t>1</w:t>
                      </w:r>
                    </w:sdtContent>
                  </w:sdt>
                  <w:r>
                    <w:rPr>
                      <w:color w:val="000000"/>
                      <w:szCs w:val="24"/>
                    </w:rPr>
                    <w:t>. Poilsio metu nemiegantiems vaikams ramios veiklos organizuojamos:</w:t>
                  </w:r>
                </w:p>
                <w:sdt>
                  <w:sdtPr>
                    <w:alias w:val="39-1.1 pp."/>
                    <w:tag w:val="part_791998ae84334f67b745b817dc19bfa7"/>
                    <w:lock w:val="sdtLocked"/>
                    <w:richText/>
                  </w:sdtPr>
                  <w:sdtContent>
                    <w:p>
                      <w:pPr>
                        <w:ind w:firstLine="720"/>
                        <w:jc w:val="both"/>
                        <w:rPr>
                          <w:color w:val="000000"/>
                          <w:szCs w:val="24"/>
                        </w:rPr>
                      </w:pPr>
                      <w:sdt>
                        <w:sdtPr>
                          <w:alias w:val="Numeris"/>
                          <w:tag w:val="nr_791998ae84334f67b745b817dc19bfa7"/>
                          <w:lock w:val="sdtLocked"/>
                          <w:richText/>
                        </w:sdtPr>
                        <w:sdtContent>
                          <w:r>
                            <w:rPr>
                              <w:color w:val="000000"/>
                              <w:szCs w:val="24"/>
                            </w:rPr>
                            <w:t>39</w:t>
                          </w:r>
                          <w:r>
                            <w:rPr>
                              <w:color w:val="000000"/>
                              <w:szCs w:val="24"/>
                              <w:vertAlign w:val="superscript"/>
                            </w:rPr>
                            <w:t>1</w:t>
                          </w:r>
                          <w:r>
                            <w:rPr>
                              <w:color w:val="000000"/>
                              <w:szCs w:val="24"/>
                            </w:rPr>
                            <w:t>.1</w:t>
                          </w:r>
                        </w:sdtContent>
                      </w:sdt>
                      <w:r>
                        <w:rPr>
                          <w:color w:val="000000"/>
                          <w:szCs w:val="24"/>
                        </w:rPr>
                        <w:t xml:space="preserve">. grupės </w:t>
                      </w:r>
                      <w:r>
                        <w:rPr>
                          <w:szCs w:val="24"/>
                        </w:rPr>
                        <w:t xml:space="preserve">žaidimų-miegamojo / poilsio patalpoje / erdvėje ar kitoje patalpoje ar erdvėje, </w:t>
                      </w:r>
                      <w:r>
                        <w:rPr>
                          <w:color w:val="000000"/>
                          <w:szCs w:val="24"/>
                        </w:rPr>
                        <w:t xml:space="preserve">atitinkančioje šioje higienos normoje nustatytus įrengimo, apšvietimo, mikroklimato, vėdinimo reikalavimus </w:t>
                      </w:r>
                      <w:r>
                        <w:rPr>
                          <w:szCs w:val="24"/>
                        </w:rPr>
                        <w:t>žaidimų-miegamojo / poilsio patalpai / erdvei</w:t>
                      </w:r>
                      <w:r>
                        <w:rPr>
                          <w:color w:val="000000"/>
                          <w:szCs w:val="24"/>
                        </w:rPr>
                        <w:t>;</w:t>
                      </w:r>
                    </w:p>
                  </w:sdtContent>
                </w:sdt>
                <w:sdt>
                  <w:sdtPr>
                    <w:alias w:val="39-1.2 pp."/>
                    <w:tag w:val="part_c40a5922b9574a1cb061cdabdc066630"/>
                    <w:lock w:val="sdtLocked"/>
                    <w:richText/>
                  </w:sdtPr>
                  <w:sdtContent>
                    <w:p>
                      <w:pPr>
                        <w:ind w:firstLine="720"/>
                        <w:jc w:val="both"/>
                        <w:rPr>
                          <w:szCs w:val="24"/>
                        </w:rPr>
                      </w:pPr>
                      <w:sdt>
                        <w:sdtPr>
                          <w:alias w:val="Numeris"/>
                          <w:tag w:val="nr_c40a5922b9574a1cb061cdabdc066630"/>
                          <w:lock w:val="sdtLocked"/>
                          <w:richText/>
                        </w:sdtPr>
                        <w:sdtContent>
                          <w:r>
                            <w:rPr>
                              <w:color w:val="000000"/>
                              <w:szCs w:val="24"/>
                            </w:rPr>
                            <w:t>39</w:t>
                          </w:r>
                          <w:r>
                            <w:rPr>
                              <w:color w:val="000000"/>
                              <w:szCs w:val="24"/>
                              <w:vertAlign w:val="superscript"/>
                            </w:rPr>
                            <w:t>1</w:t>
                          </w:r>
                          <w:r>
                            <w:rPr>
                              <w:color w:val="000000"/>
                              <w:szCs w:val="24"/>
                            </w:rPr>
                            <w:t>.2</w:t>
                          </w:r>
                        </w:sdtContent>
                      </w:sdt>
                      <w:r>
                        <w:rPr>
                          <w:color w:val="000000"/>
                          <w:szCs w:val="24"/>
                        </w:rPr>
                        <w:t xml:space="preserve">. jei miegas ir ramios veiklos vaikams organizuojamos toje pačioje </w:t>
                      </w:r>
                      <w:r>
                        <w:rPr>
                          <w:szCs w:val="24"/>
                        </w:rPr>
                        <w:t>žaidimų-miegamojo / poilsio patalpoje / erdvėje:</w:t>
                      </w:r>
                    </w:p>
                    <w:sdt>
                      <w:sdtPr>
                        <w:alias w:val="39-1.2.1 pp."/>
                        <w:tag w:val="part_4ff70dfcfb354e45b9ba8a92a7cf0c40"/>
                        <w:lock w:val="sdtLocked"/>
                        <w:richText/>
                      </w:sdtPr>
                      <w:sdtContent>
                        <w:p>
                          <w:pPr>
                            <w:ind w:firstLine="720"/>
                            <w:jc w:val="both"/>
                            <w:rPr>
                              <w:szCs w:val="24"/>
                            </w:rPr>
                          </w:pPr>
                          <w:sdt>
                            <w:sdtPr>
                              <w:alias w:val="Numeris"/>
                              <w:tag w:val="nr_4ff70dfcfb354e45b9ba8a92a7cf0c40"/>
                              <w:lock w:val="sdtLocked"/>
                              <w:richText/>
                            </w:sdtPr>
                            <w:sdtContent>
                              <w:r>
                                <w:rPr>
                                  <w:szCs w:val="24"/>
                                </w:rPr>
                                <w:t>39</w:t>
                              </w:r>
                              <w:r>
                                <w:rPr>
                                  <w:color w:val="000000"/>
                                  <w:szCs w:val="24"/>
                                  <w:vertAlign w:val="superscript"/>
                                </w:rPr>
                                <w:t>1</w:t>
                              </w:r>
                              <w:r>
                                <w:rPr>
                                  <w:szCs w:val="24"/>
                                </w:rPr>
                                <w:t>.2.1</w:t>
                              </w:r>
                            </w:sdtContent>
                          </w:sdt>
                          <w:r>
                            <w:rPr>
                              <w:szCs w:val="24"/>
                            </w:rPr>
                            <w:t>. numatyta erdvė ramioms veikloms organizuoti turi būti pakankama, kad vaikai veiklas prie stalo, jei vaikams organizuojamos ramios veiklos prie stalo, galėtų pakeisti kita ramia veikla;</w:t>
                          </w:r>
                        </w:p>
                      </w:sdtContent>
                    </w:sdt>
                    <w:sdt>
                      <w:sdtPr>
                        <w:alias w:val="39-1.2.2 pp."/>
                        <w:tag w:val="part_9df2cc68f8d34b7b8576e0aa8d2022f2"/>
                        <w:lock w:val="sdtLocked"/>
                        <w:richText/>
                      </w:sdtPr>
                      <w:sdtContent>
                        <w:p>
                          <w:pPr>
                            <w:ind w:firstLine="720"/>
                            <w:jc w:val="both"/>
                            <w:rPr>
                              <w:szCs w:val="24"/>
                            </w:rPr>
                          </w:pPr>
                          <w:sdt>
                            <w:sdtPr>
                              <w:alias w:val="Numeris"/>
                              <w:tag w:val="nr_9df2cc68f8d34b7b8576e0aa8d2022f2"/>
                              <w:lock w:val="sdtLocked"/>
                              <w:richText/>
                            </w:sdtPr>
                            <w:sdtContent>
                              <w:r>
                                <w:rPr>
                                  <w:szCs w:val="24"/>
                                </w:rPr>
                                <w:t>39</w:t>
                              </w:r>
                              <w:r>
                                <w:rPr>
                                  <w:color w:val="000000"/>
                                  <w:szCs w:val="24"/>
                                  <w:vertAlign w:val="superscript"/>
                                </w:rPr>
                                <w:t>1</w:t>
                              </w:r>
                              <w:r>
                                <w:rPr>
                                  <w:szCs w:val="24"/>
                                </w:rPr>
                                <w:t>.2.2</w:t>
                              </w:r>
                            </w:sdtContent>
                          </w:sdt>
                          <w:r>
                            <w:rPr>
                              <w:szCs w:val="24"/>
                            </w:rPr>
                            <w:t>. jei patalpa pritemdoma, ramių veiklų organizavimo erdvėje turi būti numatytas vietinis apšvietimas;</w:t>
                          </w:r>
                        </w:p>
                      </w:sdtContent>
                    </w:sdt>
                  </w:sdtContent>
                </w:sdt>
                <w:sdt>
                  <w:sdtPr>
                    <w:alias w:val="39-1.3 pp."/>
                    <w:tag w:val="part_29578dffb8334476aff1586a4c3204b1"/>
                    <w:lock w:val="sdtLocked"/>
                    <w:richText/>
                  </w:sdtPr>
                  <w:sdtContent>
                    <w:p>
                      <w:pPr>
                        <w:ind w:firstLine="720"/>
                        <w:jc w:val="both"/>
                        <w:rPr>
                          <w:szCs w:val="24"/>
                        </w:rPr>
                      </w:pPr>
                      <w:sdt>
                        <w:sdtPr>
                          <w:alias w:val="Numeris"/>
                          <w:tag w:val="nr_29578dffb8334476aff1586a4c3204b1"/>
                          <w:lock w:val="sdtLocked"/>
                          <w:richText/>
                        </w:sdtPr>
                        <w:sdtContent>
                          <w:r>
                            <w:rPr>
                              <w:szCs w:val="24"/>
                            </w:rPr>
                            <w:t>39</w:t>
                          </w:r>
                          <w:r>
                            <w:rPr>
                              <w:color w:val="000000"/>
                              <w:szCs w:val="24"/>
                              <w:vertAlign w:val="superscript"/>
                            </w:rPr>
                            <w:t>1</w:t>
                          </w:r>
                          <w:r>
                            <w:rPr>
                              <w:szCs w:val="24"/>
                            </w:rPr>
                            <w:t>.3</w:t>
                          </w:r>
                        </w:sdtContent>
                      </w:sdt>
                      <w:r>
                        <w:rPr>
                          <w:szCs w:val="24"/>
                        </w:rPr>
                        <w:t>. kai nemiegančių vaikų poilsis organizuojamas ne grupės žaidimų-miegamojo / poilsio patalpoje / erdvėje, kiekvienam vaikui šioje patalpoje / erdvėje turi būti skirta ne mažiau kaip 1,7 kv. m. ploto;</w:t>
                      </w:r>
                    </w:p>
                  </w:sdtContent>
                </w:sdt>
                <w:sdt>
                  <w:sdtPr>
                    <w:alias w:val="39-1.4 pp."/>
                    <w:tag w:val="part_7ece457feea14b76bd470bf865b227e5"/>
                    <w:lock w:val="sdtLocked"/>
                    <w:richText/>
                  </w:sdtPr>
                  <w:sdtContent>
                    <w:p>
                      <w:pPr>
                        <w:ind w:firstLine="720"/>
                        <w:jc w:val="both"/>
                        <w:rPr>
                          <w:color w:val="000000"/>
                        </w:rPr>
                      </w:pPr>
                      <w:sdt>
                        <w:sdtPr>
                          <w:alias w:val="Numeris"/>
                          <w:tag w:val="nr_7ece457feea14b76bd470bf865b227e5"/>
                          <w:lock w:val="sdtLocked"/>
                          <w:richText/>
                        </w:sdtPr>
                        <w:sdtContent>
                          <w:r>
                            <w:rPr>
                              <w:szCs w:val="24"/>
                            </w:rPr>
                            <w:t>39</w:t>
                          </w:r>
                          <w:r>
                            <w:rPr>
                              <w:color w:val="000000"/>
                              <w:szCs w:val="24"/>
                              <w:vertAlign w:val="superscript"/>
                            </w:rPr>
                            <w:t>1</w:t>
                          </w:r>
                          <w:r>
                            <w:rPr>
                              <w:szCs w:val="24"/>
                            </w:rPr>
                            <w:t>.4</w:t>
                          </w:r>
                        </w:sdtContent>
                      </w:sdt>
                      <w:r>
                        <w:rPr>
                          <w:szCs w:val="24"/>
                        </w:rPr>
                        <w:t>. vaikų poilsis taip pat gali būti organizuojamas lauke, kai oro sąlygos atitinka šios higienos normos 85 punkte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1688920422b641c7b1196d86e24ca4bd"/>
                <w:lock w:val="sdtLocked"/>
                <w:richText/>
              </w:sdtPr>
              <w:sdtContent>
                <w:p>
                  <w:pPr>
                    <w:ind w:firstLine="720"/>
                    <w:jc w:val="both"/>
                    <w:rPr>
                      <w:color w:val="000000"/>
                    </w:rPr>
                  </w:pPr>
                  <w:sdt>
                    <w:sdtPr>
                      <w:alias w:val="Numeris"/>
                      <w:tag w:val="nr_1688920422b641c7b1196d86e24ca4bd"/>
                      <w:lock w:val="sdtLocked"/>
                      <w:richText/>
                    </w:sdtPr>
                    <w:sdtContent>
                      <w:r>
                        <w:rPr>
                          <w:szCs w:val="24"/>
                        </w:rPr>
                        <w:t>60</w:t>
                      </w:r>
                    </w:sdtContent>
                  </w:sdt>
                  <w:r>
                    <w:rPr>
                      <w:szCs w:val="24"/>
                    </w:rPr>
                    <w:t>. Tiekiamas geriamasis ir karštas vanduo turi atitikti teisės aktų [13.8, 13.19]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1 p."/>
                <w:tag w:val="part_1661a048766848b2be11e11cab0270b5"/>
                <w:lock w:val="sdtLocked"/>
                <w:richText/>
              </w:sdtPr>
              <w:sdtContent>
                <w:p>
                  <w:pPr>
                    <w:ind w:firstLine="720"/>
                    <w:jc w:val="both"/>
                    <w:rPr>
                      <w:color w:val="000000"/>
                    </w:rPr>
                  </w:pPr>
                  <w:sdt>
                    <w:sdtPr>
                      <w:alias w:val="Numeris"/>
                      <w:tag w:val="nr_1661a048766848b2be11e11cab0270b5"/>
                      <w:lock w:val="sdtLocked"/>
                      <w:richText/>
                    </w:sdtPr>
                    <w:sdtContent>
                      <w:r>
                        <w:rPr>
                          <w:szCs w:val="24"/>
                        </w:rPr>
                        <w:t>61</w:t>
                      </w:r>
                    </w:sdtContent>
                  </w:sdt>
                  <w:r>
                    <w:rPr>
                      <w:szCs w:val="24"/>
                    </w:rPr>
                    <w:t>. Geriamasis ir karštas vanduo turi būti tiekiamas nuolat grupių indų plovyklose, tualetuose-prausyklose, tualetuose ir, jei yra įrengta, maisto gamybos patalpose, skalbykloje, sveikatos, logopedo kabinetuose, gyvūnų laikymo patalpoje, grupės, kurioje yra ugdomų vaikų iki 1 metų amžiaus, žaidimų patalpoje /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fd4f68a35a3549f699435ee68454e6dd"/>
                <w:lock w:val="sdtLocked"/>
                <w:richText/>
              </w:sdtPr>
              <w:sdtContent>
                <w:p>
                  <w:pPr>
                    <w:ind w:firstLine="720"/>
                    <w:jc w:val="both"/>
                    <w:rPr>
                      <w:color w:val="000000"/>
                    </w:rPr>
                  </w:pPr>
                  <w:sdt>
                    <w:sdtPr>
                      <w:alias w:val="Numeris"/>
                      <w:tag w:val="nr_fd4f68a35a3549f699435ee68454e6dd"/>
                      <w:lock w:val="sdtLocked"/>
                      <w:richText/>
                    </w:sdtPr>
                    <w:sdtContent>
                      <w:r>
                        <w:rPr>
                          <w:color w:val="000000"/>
                        </w:rPr>
                        <w:t>64</w:t>
                      </w:r>
                    </w:sdtContent>
                  </w:sdt>
                  <w:r>
                    <w:rPr>
                      <w:color w:val="000000"/>
                    </w:rPr>
                    <w:t>. Smėlis vaikų žaidimų aikštelėse įrengtose smėlio dėžėse turi būti pakeičiamas jį užteršus šiukšlėmis ar kitomis priemaišomis, taip pat kiekvieną pavasarį (išskyrus atvejus, jei žaidimų aikštelėse įrengtose smėlio dėžėse pavasarį atlikus smėlio parazitologinį tyrimą nenustatyta helmintų kiaušinių). Smėlyje neturi būti askaridžių, plaukagalvių, toksokarų, echinokokų ir kitų helmintų kiaušinių. Pakeitus smėlį smėlio dėžėse ar papildžius smėliu smėlio dėžes turi būti atliekamas smėlio parazitologinis tyrimas, jei smėlio tyrimo rezultatų nepateikė smėlio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552420c3f3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2024-02-05,
paskelbta TAR 2024-02-05, i. k. 2024-02071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ac2d519fee11efa605b9842742bf37">
            <w:r w:rsidRPr="00532B9F">
              <w:rPr>
                <w:rFonts w:ascii="Times New Roman" w:eastAsia="MS Mincho" w:hAnsi="Times New Roman"/>
                <w:sz w:val="20"/>
                <w:iCs/>
                <w:color w:val="0000FF" w:themeColor="hyperlink"/>
                <w:u w:val="single"/>
              </w:rPr>
              <w:t>V-1090</w:t>
            </w:r>
          </w:fldSimple>
          <w:r>
            <w:rPr>
              <w:rFonts w:ascii="Times New Roman" w:eastAsia="MS Mincho" w:hAnsi="Times New Roman"/>
              <w:sz w:val="20"/>
              <w:iCs/>
            </w:rPr>
            <w:t>,
2024-11-08,
paskelbta TAR 2024-11-11, i. k. 2024-19569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50c256dfae11ef84c3a3cb4f439b27">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2025-01-31,
paskelbta TAR 2025-01-31, i. k. 2025-01458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4e05828e1864ebb98e1c25ffd995b2f">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35fbc8659724a7d9b12ac74b5b48292"/>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f31913a01dad4d4aae5b22ad22a06df0">
        <Part Type="papunktis" Nr="6.1" Abbr="6.1 pp." DocPartId="c3bd42040c0f475da32f4310b5554c76" PartId="6dce80358814445f8010d4ba0420bf11"/>
        <Part Type="papunktis" Nr="6.2" Abbr="6.2 pp." DocPartId="1ac73c348a2e42d5bcdef7ecbe824ee8" PartId="cf931c38485f446a8a0e694a9baccfed"/>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9ae5558894db4053b7c3a2a38b01343a"/>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83ff27031ed1473483ec8efeb0510b60"/>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b1adf76fc39243cda2f07152b86a7dfe"/>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ed44ae03d7be4a7ebceb11baa0bd29a2"/>
        <Part Type="punktas" Nr="13.13" Abbr="13.13 p." DocPartId="99367ae543ac49b8b359e633c18cdfd6" PartId="416668a51e9d4049a773290d4dff487a"/>
        <Part Type="punktas" Nr="13.14" Abbr="13.14 p." DocPartId="17ff4182911545849c3223ee92f098f7" PartId="ea6c9b221a084660b2b27402c6fcf6b3"/>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b2b3fed20f2646b5ac772a529270bd6c"/>
        <Part Type="papunktis" Nr="13.19" Abbr="13.19 pp." DocPartId="b34e19a2f8bf4ab797bb29d669928ad8" PartId="ea942aeb2950496f901133f39b7518e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39-1" Abbr="39-1 p." DocPartId="57bebeffa8a24a5d840b703e69540337" PartId="fd2907b1af8d4b8ba0d8af59aa8a54a3">
        <Part Type="papunktis" Nr="39-1.1" Abbr="39-1.1 pp." DocPartId="32d1fc1ce83949259d246a2a17d905f5" PartId="791998ae84334f67b745b817dc19bfa7"/>
        <Part Type="papunktis" Nr="39-1.2" Abbr="39-1.2 pp." DocPartId="1c477dfb170e4665b2cda34fee675e14" PartId="c40a5922b9574a1cb061cdabdc066630">
          <Part Type="papunktis" Nr="39-1.2.1" Abbr="39-1.2.1 pp." DocPartId="1143f2c3eec94e4cba15d6c637fa5628" PartId="4ff70dfcfb354e45b9ba8a92a7cf0c40"/>
          <Part Type="papunktis" Nr="39-1.2.2" Abbr="39-1.2.2 pp." DocPartId="1943c4dc424545a989b375433d8bd566" PartId="9df2cc68f8d34b7b8576e0aa8d2022f2"/>
        </Part>
        <Part Type="papunktis" Nr="39-1.3" Abbr="39-1.3 pp." DocPartId="5eb6c88dd5e14aba8b441cc30355e578" PartId="29578dffb8334476aff1586a4c3204b1"/>
        <Part Type="papunktis" Nr="39-1.4" Abbr="39-1.4 pp." DocPartId="dfeb60ebee8740689041095640488463" PartId="7ece457feea14b76bd470bf865b227e5"/>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1688920422b641c7b1196d86e24ca4bd"/>
      <Part Type="punktas" Nr="61" Abbr="61 p." DocPartId="c52637d79c494ae8b651a50e3ca1d023" PartId="1661a048766848b2be11e11cab0270b5"/>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fd4f68a35a3549f699435ee68454e6dd"/>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42292F15-2E37-4AA2-B0B8-D39FB68C7331}">
  <ds:schemaRefs>
    <ds:schemaRef ds:uri="http://lrs.lt/TAIS/DocParts"/>
  </ds:schemaRefs>
</ds:datastoreItem>
</file>

<file path=docProps/app.xml><?xml version="1.0" encoding="utf-8"?>
<Properties xmlns="http://schemas.openxmlformats.org/officeDocument/2006/extended-properties">
  <Template>Normal.dotm</Template>
  <TotalTime>32</TotalTime>
  <Pages>16</Pages>
  <Words>31279</Words>
  <Characters>17830</Characters>
  <Application>Microsoft Office Word</Application>
  <DocSecurity>0</DocSecurity>
  <Lines>148</Lines>
  <Paragraphs>98</Paragraphs>
  <ScaleCrop>false</ScaleCrop>
  <Company>Teisines informacijos centras</Company>
  <LinksUpToDate>false</LinksUpToDate>
  <CharactersWithSpaces>49011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TAMALIŪNIENĖ Vilija</lastModifiedBy>
  <dcterms:modified xsi:type="dcterms:W3CDTF">2025-02-03T14:31:00Z</dcterms:modified>
  <revision>31</revision>
  <dc:title>LIETUVOS RESPUBLIKOS SVEIKATOS APSAUGOS MINISTRO</dc:title>
</coreProperties>
</file>