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2018-11-03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042038c8afa14fc79385b5110cea9864"/>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 w:val="left" w:pos="6660"/>
              <w:tab w:val="left" w:pos="9180"/>
              <w:tab w:val="left" w:pos="9360"/>
            </w:tabs>
            <w:ind w:left="5387"/>
            <w:rPr>
              <w:szCs w:val="24"/>
            </w:rPr>
          </w:pPr>
          <w:r>
            <w:rPr>
              <w:szCs w:val="24"/>
            </w:rPr>
            <w:t>PATVIRTINTA</w:t>
          </w:r>
        </w:p>
        <w:p>
          <w:pPr>
            <w:tabs>
              <w:tab w:val="left" w:pos="1304"/>
              <w:tab w:val="left" w:pos="1457"/>
              <w:tab w:val="left" w:pos="1604"/>
              <w:tab w:val="left" w:pos="1757"/>
              <w:tab w:val="left" w:pos="6660"/>
              <w:tab w:val="left" w:pos="9180"/>
              <w:tab w:val="left" w:pos="9360"/>
            </w:tabs>
            <w:ind w:left="5387"/>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387"/>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387"/>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5387"/>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387"/>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387"/>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5387"/>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42038c8afa14fc79385b5110cea9864"/>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0fb31dba675143d79d9eb6cdb354ff59"/>
                <w:lock w:val="sdtLocked"/>
                <w:richText/>
              </w:sdtPr>
              <w:sdtContent>
                <w:p>
                  <w:pPr>
                    <w:widowControl w:val="0"/>
                    <w:suppressAutoHyphens/>
                    <w:ind w:firstLine="680"/>
                    <w:jc w:val="both"/>
                    <w:rPr>
                      <w:color w:val="000000"/>
                      <w:szCs w:val="24"/>
                    </w:rPr>
                  </w:pPr>
                  <w:sdt>
                    <w:sdtPr>
                      <w:alias w:val="Numeris"/>
                      <w:tag w:val="nr_0fb31dba675143d79d9eb6cdb354ff59"/>
                      <w:lock w:val="sdtLocked"/>
                      <w:richText/>
                    </w:sdtPr>
                    <w:sdtContent>
                      <w:r>
                        <w:rPr>
                          <w:szCs w:val="24"/>
                        </w:rPr>
                        <w:t>3</w:t>
                      </w:r>
                    </w:sdtContent>
                  </w:sdt>
                  <w:r>
                    <w:rPr>
                      <w:szCs w:val="24"/>
                    </w:rPr>
                    <w:t>. Šioje higienos normoje vartojamos sąvokos apibrėžtos Lietuvos Respublikos švietimo įstatyme [13.1].</w:t>
                  </w:r>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e03ab769f33c4d029b45f9408ce9bbbc"/>
                    <w:lock w:val="sdtLocked"/>
                    <w:richText/>
                  </w:sdtPr>
                  <w:sdtContent>
                    <w:p>
                      <w:pPr>
                        <w:widowControl w:val="0"/>
                        <w:suppressAutoHyphens/>
                        <w:ind w:firstLine="680"/>
                        <w:jc w:val="both"/>
                        <w:rPr>
                          <w:color w:val="000000"/>
                          <w:szCs w:val="24"/>
                        </w:rPr>
                      </w:pPr>
                      <w:sdt>
                        <w:sdtPr>
                          <w:alias w:val="Numeris"/>
                          <w:tag w:val="nr_e03ab769f33c4d029b45f9408ce9bbbc"/>
                          <w:lock w:val="sdtLocked"/>
                          <w:richText/>
                        </w:sdtPr>
                        <w:sdtContent>
                          <w:r>
                            <w:rPr>
                              <w:color w:val="000000"/>
                              <w:szCs w:val="24"/>
                            </w:rPr>
                            <w:t>5.9</w:t>
                          </w:r>
                        </w:sdtContent>
                      </w:sdt>
                      <w:r>
                        <w:rPr>
                          <w:color w:val="000000"/>
                          <w:szCs w:val="24"/>
                        </w:rPr>
                        <w:t>. vienas sutrikusio intelekto, kurčias, neprigirdintis, aklas, silpnaregis, turintis judesio ir padėties, elgesio, žymių kalbos ar kitų komunikacijos, įvairiapusių raidos sutrikimų ar kompleksinę negalią vaikas, ugdomas integruotai, prilyginamas dviem tos grupės, kurioje ugdomas, vaikams, todėl atitinkamai mažinamas 5.1–5.8 papunkčiuose nustatytas grupės vaikų skaičius.</w:t>
                      </w:r>
                    </w:p>
                  </w:sdtContent>
                </w:sdt>
              </w:sdtContent>
            </w:sdt>
            <w:sdt>
              <w:sdtPr>
                <w:alias w:val="6 p."/>
                <w:tag w:val="part_2f2b913012b648419563c3fd92663648"/>
                <w:lock w:val="sdtLocked"/>
                <w:richText/>
              </w:sdtPr>
              <w:sdtContent>
                <w:p>
                  <w:pPr>
                    <w:widowControl w:val="0"/>
                    <w:suppressAutoHyphens/>
                    <w:ind w:firstLine="680"/>
                    <w:jc w:val="both"/>
                    <w:rPr>
                      <w:color w:val="000000"/>
                      <w:szCs w:val="24"/>
                    </w:rPr>
                  </w:pPr>
                  <w:sdt>
                    <w:sdtPr>
                      <w:alias w:val="Numeris"/>
                      <w:tag w:val="nr_2f2b913012b648419563c3fd92663648"/>
                      <w:lock w:val="sdtLocked"/>
                      <w:richText/>
                    </w:sdtPr>
                    <w:sdtContent>
                      <w:r>
                        <w:rPr>
                          <w:color w:val="000000"/>
                          <w:szCs w:val="24"/>
                        </w:rPr>
                        <w:t>6</w:t>
                      </w:r>
                    </w:sdtContent>
                  </w:sdt>
                  <w:r>
                    <w:rPr>
                      <w:color w:val="000000"/>
                      <w:szCs w:val="24"/>
                    </w:rPr>
                    <w:t>. Specialiosios grupės formuojamos taip:</w:t>
                  </w:r>
                </w:p>
                <w:sdt>
                  <w:sdtPr>
                    <w:alias w:val="6.1 p."/>
                    <w:tag w:val="part_b835094b417c49de8a1a398840afea54"/>
                    <w:lock w:val="sdtLocked"/>
                    <w:richText/>
                  </w:sdtPr>
                  <w:sdtContent>
                    <w:p>
                      <w:pPr>
                        <w:widowControl w:val="0"/>
                        <w:suppressAutoHyphens/>
                        <w:ind w:firstLine="680"/>
                        <w:jc w:val="both"/>
                        <w:rPr>
                          <w:color w:val="000000"/>
                          <w:szCs w:val="24"/>
                        </w:rPr>
                      </w:pPr>
                      <w:sdt>
                        <w:sdtPr>
                          <w:alias w:val="Numeris"/>
                          <w:tag w:val="nr_b835094b417c49de8a1a398840afea54"/>
                          <w:lock w:val="sdtLocked"/>
                          <w:richText/>
                        </w:sdtPr>
                        <w:sdtContent>
                          <w:r>
                            <w:rPr>
                              <w:color w:val="000000"/>
                              <w:szCs w:val="24"/>
                            </w:rPr>
                            <w:t>6.1</w:t>
                          </w:r>
                        </w:sdtContent>
                      </w:sdt>
                      <w:r>
                        <w:rPr>
                          <w:color w:val="000000"/>
                          <w:szCs w:val="24"/>
                        </w:rPr>
                        <w:t xml:space="preserve">.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įvairiapusių raidos sutrikimų ar kompleksinę negalią – ne daugiau kaip 6 vaikai; turinčių kompleksinę negalią (ir judesio bei padėties sutrikimų) – ne daugiau kaip 3 vaikai;</w:t>
                      </w:r>
                    </w:p>
                    <w:p>
                      <w:pPr>
                        <w:widowControl w:val="0"/>
                        <w:suppressAutoHyphens/>
                        <w:ind w:firstLine="680"/>
                        <w:jc w:val="both"/>
                        <w:rPr>
                          <w:color w:val="000000"/>
                          <w:szCs w:val="24"/>
                        </w:rPr>
                      </w:pPr>
                    </w:p>
                  </w:sdtContent>
                </w:sdt>
                <w:sdt>
                  <w:sdtPr>
                    <w:alias w:val="6.2 p."/>
                    <w:tag w:val="part_490d7b41664f470a808c5fe26ebbd863"/>
                    <w:lock w:val="sdtLocked"/>
                    <w:richText/>
                  </w:sdtPr>
                  <w:sdtContent>
                    <w:p>
                      <w:pPr>
                        <w:widowControl w:val="0"/>
                        <w:suppressAutoHyphens/>
                        <w:ind w:firstLine="680"/>
                        <w:jc w:val="both"/>
                        <w:rPr>
                          <w:color w:val="000000"/>
                          <w:szCs w:val="24"/>
                        </w:rPr>
                      </w:pPr>
                      <w:sdt>
                        <w:sdtPr>
                          <w:alias w:val="Numeris"/>
                          <w:tag w:val="nr_490d7b41664f470a808c5fe26ebbd863"/>
                          <w:lock w:val="sdtLocked"/>
                          <w:richText/>
                        </w:sdtPr>
                        <w:sdtContent>
                          <w:r>
                            <w:rPr>
                              <w:color w:val="000000"/>
                              <w:szCs w:val="24"/>
                            </w:rPr>
                            <w:t>6.2</w:t>
                          </w:r>
                        </w:sdtContent>
                      </w:sdt>
                      <w:r>
                        <w:rPr>
                          <w:color w:val="000000"/>
                          <w:szCs w:val="24"/>
                        </w:rPr>
                        <w:t>. mišrioje specialiojoje grupėje – ne daugiau kaip 10 vaikų. Vienas vaikas, turintis įvairiapusių raidos sutrikimų ar kompleksinę negalią, aklasis, ugdomas mišrioje specialiojoje grupėje, prilyginamas dviem šios grupės vaikams, o turintis kompleksinę negalią (ir judesio bei padėties sutrikimų) – trims grupės vaikams, todėl atitinkamai mažinamas grupės vaikų skaičius.</w:t>
                      </w:r>
                    </w:p>
                  </w:sdtContent>
                </w:sdt>
              </w:sdtContent>
            </w:sdt>
            <w:sdt>
              <w:sdtPr>
                <w:alias w:val="7 p."/>
                <w:tag w:val="part_3b96940248934c3d8cb5a451231ec6c1"/>
                <w:lock w:val="sdtLocked"/>
                <w:richText/>
              </w:sdtPr>
              <w:sdtContent>
                <w:p>
                  <w:pPr>
                    <w:ind w:firstLine="680"/>
                    <w:jc w:val="both"/>
                    <w:rPr>
                      <w:szCs w:val="24"/>
                      <w:lang w:eastAsia="lt-LT"/>
                    </w:rPr>
                  </w:pPr>
                  <w:sdt>
                    <w:sdtPr>
                      <w:alias w:val="Numeris"/>
                      <w:tag w:val="nr_3b96940248934c3d8cb5a451231ec6c1"/>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ugdymo auklėtojas ar priešmokyklinio ugdymo pedagogas). Savaitinėse grupėse vaikų nakties miego metu turi dirbti ne mažiau kaip vienas darbuotojas.</w:t>
                  </w:r>
                </w:p>
              </w:sdtContent>
            </w:sdt>
            <w:sdt>
              <w:sdtPr>
                <w:alias w:val="8 p."/>
                <w:tag w:val="part_cdcb43d4ee6d4f069cbfccd4af0c1e33"/>
                <w:lock w:val="sdtLocked"/>
                <w:richText/>
              </w:sdtPr>
              <w:sdtContent>
                <w:p>
                  <w:pPr>
                    <w:widowControl w:val="0"/>
                    <w:suppressAutoHyphens/>
                    <w:ind w:firstLine="680"/>
                    <w:jc w:val="both"/>
                    <w:rPr>
                      <w:color w:val="000000"/>
                      <w:spacing w:val="-6"/>
                      <w:szCs w:val="24"/>
                    </w:rPr>
                  </w:pPr>
                  <w:sdt>
                    <w:sdtPr>
                      <w:alias w:val="Numeris"/>
                      <w:tag w:val="nr_cdcb43d4ee6d4f069cbfccd4af0c1e33"/>
                      <w:lock w:val="sdtLocked"/>
                      <w:richText/>
                    </w:sdtPr>
                    <w:sdtContent>
                      <w:r>
                        <w:rPr>
                          <w:color w:val="000000"/>
                          <w:spacing w:val="-6"/>
                          <w:szCs w:val="24"/>
                        </w:rPr>
                        <w:t>8</w:t>
                      </w:r>
                    </w:sdtContent>
                  </w:sdt>
                  <w:r>
                    <w:rPr>
                      <w:color w:val="000000"/>
                      <w:spacing w:val="-6"/>
                      <w:szCs w:val="24"/>
                    </w:rPr>
                    <w:t>. Jei vaikų ugdymas vykdomas ilgiau nei 4 val., turi būti organizuojamas vaikų maitinimas ir poilsis tam skirtose patalpose ir (ar) pritaikytose erdvėse.</w:t>
                  </w:r>
                </w:p>
              </w:sdtContent>
            </w:sdt>
            <w:sdt>
              <w:sdtPr>
                <w:alias w:val="9 p."/>
                <w:tag w:val="part_fb0f1eb661374072875b30ea05a129f3"/>
                <w:lock w:val="sdtLocked"/>
                <w:richText/>
              </w:sdtPr>
              <w:sdtContent>
                <w:p>
                  <w:pPr>
                    <w:widowControl w:val="0"/>
                    <w:suppressAutoHyphens/>
                    <w:ind w:firstLine="680"/>
                    <w:jc w:val="both"/>
                    <w:rPr>
                      <w:color w:val="000000"/>
                      <w:spacing w:val="-3"/>
                      <w:szCs w:val="24"/>
                    </w:rPr>
                  </w:pPr>
                  <w:sdt>
                    <w:sdtPr>
                      <w:alias w:val="Numeris"/>
                      <w:tag w:val="nr_fb0f1eb661374072875b30ea05a129f3"/>
                      <w:lock w:val="sdtLocked"/>
                      <w:richText/>
                    </w:sdtPr>
                    <w:sdtContent>
                      <w:r>
                        <w:rPr>
                          <w:color w:val="000000"/>
                          <w:spacing w:val="-3"/>
                          <w:szCs w:val="24"/>
                        </w:rPr>
                        <w:t>9</w:t>
                      </w:r>
                    </w:sdtContent>
                  </w:sdt>
                  <w:r>
                    <w:rPr>
                      <w:color w:val="000000"/>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color w:val="000000"/>
                      <w:szCs w:val="24"/>
                    </w:rPr>
                    <w:t xml:space="preserve">Asmens medicininė knygelė (sveikatos pasas) (forma Nr. F048/a) [13.4] ar jos kopija turi būti laikoma </w:t>
                  </w:r>
                  <w:r>
                    <w:rPr>
                      <w:color w:val="000000"/>
                      <w:spacing w:val="-3"/>
                      <w:szCs w:val="24"/>
                    </w:rPr>
                    <w:t>ikimokyklinio ir (ar) priešmokyklinio ugdymo programos vykdymo vietoje.</w:t>
                  </w:r>
                </w:p>
              </w:sdtContent>
            </w:sdt>
            <w:sdt>
              <w:sdtPr>
                <w:alias w:val="10 p."/>
                <w:tag w:val="part_171906ee5a2e418787c26c5a4371277d"/>
                <w:lock w:val="sdtLocked"/>
                <w:richText/>
              </w:sdtPr>
              <w:sdtContent>
                <w:p>
                  <w:pPr>
                    <w:ind w:firstLine="720"/>
                    <w:jc w:val="both"/>
                    <w:rPr>
                      <w:color w:val="000000"/>
                      <w:spacing w:val="-3"/>
                      <w:szCs w:val="24"/>
                    </w:rPr>
                  </w:pPr>
                  <w:sdt>
                    <w:sdtPr>
                      <w:alias w:val="Numeris"/>
                      <w:tag w:val="nr_171906ee5a2e418787c26c5a4371277d"/>
                      <w:lock w:val="sdtLocked"/>
                      <w:richText/>
                    </w:sdtPr>
                    <w:sdtContent>
                      <w:r>
                        <w:rPr>
                          <w:color w:val="000000"/>
                          <w:spacing w:val="-3"/>
                          <w:szCs w:val="24"/>
                        </w:rPr>
                        <w:t>10</w:t>
                      </w:r>
                    </w:sdtContent>
                  </w:sdt>
                  <w:r>
                    <w:rPr>
                      <w:color w:val="000000"/>
                      <w:spacing w:val="-3"/>
                      <w:szCs w:val="24"/>
                    </w:rPr>
                    <w:t xml:space="preserve">. Teisės akte [13.14] nurodyti švietimo teikėjo, vykdančio ikimokyklinio ir (ar) priešmokyklinio ugdymo programą, darbuotojai, laisvasis mokytojas, vykdantis ikimokyklinio ir (ar) priešmokyklinio ugdymo programą, šiame teisės akte nustatyta tvarka </w:t>
                  </w:r>
                  <w:r>
                    <w:rPr>
                      <w:color w:val="000000"/>
                      <w:szCs w:val="24"/>
                    </w:rPr>
                    <w:t xml:space="preserve">privalo gauti Sveikatos žinių ir įgūdžių atestavimo pažymėjimus. Sveikatos žinių ir įgūdžių atestavimo pažymėjimai ar jų kopijos laikomi </w:t>
                  </w:r>
                  <w:r>
                    <w:rPr>
                      <w:color w:val="000000"/>
                      <w:spacing w:val="-3"/>
                      <w:szCs w:val="24"/>
                    </w:rPr>
                    <w:t>švietimo teikėjo nustatytoje vietoje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1 p."/>
                <w:tag w:val="part_61753a3a60844a0690653b31fc809f6e"/>
                <w:lock w:val="sdtLocked"/>
                <w:richText/>
              </w:sdtPr>
              <w:sdtContent>
                <w:p>
                  <w:pPr>
                    <w:widowControl w:val="0"/>
                    <w:suppressAutoHyphens/>
                    <w:ind w:firstLine="680"/>
                    <w:jc w:val="both"/>
                    <w:rPr>
                      <w:color w:val="000000"/>
                      <w:szCs w:val="24"/>
                    </w:rPr>
                  </w:pPr>
                  <w:sdt>
                    <w:sdtPr>
                      <w:alias w:val="Numeris"/>
                      <w:tag w:val="nr_61753a3a60844a0690653b31fc809f6e"/>
                      <w:lock w:val="sdtLocked"/>
                      <w:richText/>
                    </w:sdtPr>
                    <w:sdtContent>
                      <w:r>
                        <w:rPr>
                          <w:color w:val="000000"/>
                          <w:spacing w:val="-3"/>
                          <w:szCs w:val="24"/>
                        </w:rPr>
                        <w:t>11</w:t>
                      </w:r>
                    </w:sdtContent>
                  </w:sdt>
                  <w:r>
                    <w:rPr>
                      <w:color w:val="000000"/>
                      <w:spacing w:val="-3"/>
                      <w:szCs w:val="24"/>
                    </w:rPr>
                    <w:t xml:space="preserve">. </w:t>
                  </w:r>
                  <w:r>
                    <w:rPr>
                      <w:color w:val="000000"/>
                      <w:szCs w:val="24"/>
                    </w:rPr>
                    <w:t>Kiekvienoje grupėje turi būti įmonės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943581eff7b542fa851c92701b9eb8a3"/>
                    <w:lock w:val="sdtLocked"/>
                    <w:richText/>
                  </w:sdtPr>
                  <w:sdtContent>
                    <w:p>
                      <w:pPr>
                        <w:widowControl w:val="0"/>
                        <w:suppressAutoHyphens/>
                        <w:ind w:firstLine="680"/>
                        <w:jc w:val="both"/>
                        <w:rPr>
                          <w:color w:val="000000"/>
                          <w:szCs w:val="24"/>
                        </w:rPr>
                      </w:pPr>
                      <w:sdt>
                        <w:sdtPr>
                          <w:alias w:val="Numeris"/>
                          <w:tag w:val="nr_943581eff7b542fa851c92701b9eb8a3"/>
                          <w:lock w:val="sdtLocked"/>
                          <w:richText/>
                        </w:sdtPr>
                        <w:sdtContent>
                          <w:r>
                            <w:rPr>
                              <w:color w:val="000000"/>
                              <w:szCs w:val="24"/>
                            </w:rPr>
                            <w:t>12.2</w:t>
                          </w:r>
                        </w:sdtContent>
                      </w:sdt>
                      <w:r>
                        <w:rPr>
                          <w:color w:val="000000"/>
                          <w:szCs w:val="24"/>
                        </w:rPr>
                        <w:t xml:space="preserve">. sklype / teritorijoje ir patalpose, kuriose vykdoma ikimokyklinio ir (ar) priešmokyklinio ugdymo programa, draudžiama sodinti ir auginti </w:t>
                      </w:r>
                      <w:r>
                        <w:rPr>
                          <w:szCs w:val="24"/>
                        </w:rPr>
                        <w:t>šios higienos normos priede nurodytus nuodinguosius augalus. Šios higienos normos priede nenurodyti augalai, galintys kelti pavojų vaikų sveikatai (apsinuodijimo, susižalojimo ir pan.), gali būti auginami tik vaikams nepasiekiamose vietose.</w:t>
                      </w:r>
                    </w:p>
                    <w:p>
                      <w:pPr>
                        <w:widowControl w:val="0"/>
                        <w:suppressAutoHyphens/>
                        <w:ind w:firstLine="680"/>
                        <w:jc w:val="both"/>
                        <w:rPr>
                          <w:color w:val="000000"/>
                          <w:spacing w:val="-3"/>
                          <w:szCs w:val="24"/>
                        </w:rPr>
                      </w:pPr>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2 p."/>
                    <w:tag w:val="part_4697cccc38c841ee80b5c6944f10860f"/>
                    <w:lock w:val="sdtLocked"/>
                    <w:richText/>
                  </w:sdtPr>
                  <w:sdtContent>
                    <w:p>
                      <w:pPr>
                        <w:ind w:firstLine="680"/>
                        <w:jc w:val="both"/>
                        <w:rPr>
                          <w:color w:val="000000"/>
                        </w:rPr>
                      </w:pPr>
                      <w:sdt>
                        <w:sdtPr>
                          <w:alias w:val="Numeris"/>
                          <w:tag w:val="nr_4697cccc38c841ee80b5c6944f10860f"/>
                          <w:lock w:val="sdtLocked"/>
                          <w:richText/>
                        </w:sdtPr>
                        <w:sdtContent>
                          <w:r>
                            <w:rPr>
                              <w:color w:val="000000"/>
                            </w:rPr>
                            <w:t>13.2</w:t>
                          </w:r>
                        </w:sdtContent>
                      </w:sdt>
                      <w:r>
                        <w:rPr>
                          <w:color w:val="000000"/>
                        </w:rPr>
                        <w:t>. 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w:t>
                      </w:r>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7d4514bd0d5a4ba7b7ff928cde6febdd"/>
                    <w:lock w:val="sdtLocked"/>
                    <w:richText/>
                  </w:sdtPr>
                  <w:sdtContent>
                    <w:p>
                      <w:pPr>
                        <w:ind w:firstLine="680"/>
                        <w:jc w:val="both"/>
                      </w:pPr>
                      <w:sdt>
                        <w:sdtPr>
                          <w:alias w:val="Numeris"/>
                          <w:tag w:val="nr_7d4514bd0d5a4ba7b7ff928cde6febdd"/>
                          <w:lock w:val="sdtLocked"/>
                          <w:richText/>
                        </w:sdtPr>
                        <w:sdtContent>
                          <w:r>
                            <w:rPr>
                              <w:color w:val="000000"/>
                            </w:rPr>
                            <w:t>13.7</w:t>
                          </w:r>
                        </w:sdtContent>
                      </w:sdt>
                      <w:r>
                        <w:rPr>
                          <w:color w:val="000000"/>
                        </w:rPr>
                        <w:t>. Lietuvos Respublikos sveikatos apsaugos ministro 2003 m. liepos 11 d. įsakymas Nr. V-450 „Dėl sveikatos priežiūros ir farmacijos specialistų kompetencijos teikiant pirmąją medicinos pagalbą, pirmosios medicinos pagalbos vaistinėlių ir pirmosios pagalbos rinkinių“;</w:t>
                      </w:r>
                    </w:p>
                  </w:sdtContent>
                </w:sdt>
                <w:sdt>
                  <w:sdtPr>
                    <w:alias w:val="13.8 p."/>
                    <w:tag w:val="part_80a739ae095546fa864f19cb0ac71e3d"/>
                    <w:lock w:val="sdtLocked"/>
                    <w:richText/>
                  </w:sdtPr>
                  <w:sdtContent>
                    <w:p>
                      <w:pPr>
                        <w:ind w:firstLine="720"/>
                        <w:jc w:val="both"/>
                      </w:pPr>
                      <w:sdt>
                        <w:sdtPr>
                          <w:alias w:val="Numeris"/>
                          <w:tag w:val="nr_80a739ae095546fa864f19cb0ac71e3d"/>
                          <w:lock w:val="sdtLocked"/>
                          <w:richText/>
                        </w:sdtPr>
                        <w:sdtContent>
                          <w:r>
                            <w:rPr>
                              <w:color w:val="000000"/>
                              <w:szCs w:val="24"/>
                            </w:rPr>
                            <w:t>13.8</w:t>
                          </w:r>
                        </w:sdtContent>
                      </w:sdt>
                      <w:r>
                        <w:rPr>
                          <w:color w:val="000000"/>
                          <w:szCs w:val="24"/>
                        </w:rPr>
                        <w:t>. Lietuvos Respublikos sveikatos apsaugos ministro 2003 m. liepos 23 d. įsakymas Nr. V-455 „Dėl Lietuvos higienos normos HN 24:2017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9 p."/>
                    <w:tag w:val="part_6063ef5f08a9417184df6c8a615d8f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13.10 p."/>
                    <w:tag w:val="part_425a7da1e07d4ac4a1b3d3341cb79403"/>
                    <w:lock w:val="sdtLocked"/>
                    <w:richText/>
                  </w:sdtPr>
                  <w:sdtContent>
                    <w:p>
                      <w:pPr>
                        <w:widowControl w:val="0"/>
                        <w:suppressAutoHyphens/>
                        <w:ind w:firstLine="720"/>
                        <w:jc w:val="both"/>
                        <w:rPr>
                          <w:color w:val="000000"/>
                        </w:rPr>
                      </w:pPr>
                      <w:sdt>
                        <w:sdtPr>
                          <w:alias w:val="Numeris"/>
                          <w:tag w:val="nr_425a7da1e07d4ac4a1b3d3341cb79403"/>
                          <w:lock w:val="sdtLocked"/>
                          <w:richText/>
                        </w:sdtPr>
                        <w:sdtContent>
                          <w:r>
                            <w:rPr>
                              <w:szCs w:val="24"/>
                            </w:rPr>
                            <w:t>13.10</w:t>
                          </w:r>
                        </w:sdtContent>
                      </w:sdt>
                      <w:r>
                        <w:rPr>
                          <w:szCs w:val="24"/>
                        </w:rPr>
                        <w:t>. Lietuvos Respublikos sveikatos apsaugos ministro 2005 m. liepos 12 d. įsakymas Nr. V-572 „Dėl Lietuvos higienos normos HN 109:2016 „Baseinų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cc28132a40734150b11bdbc869f8b35d"/>
                    <w:lock w:val="sdtLocked"/>
                    <w:richText/>
                  </w:sdtPr>
                  <w:sdtContent>
                    <w:p>
                      <w:pPr>
                        <w:ind w:firstLine="680"/>
                        <w:jc w:val="both"/>
                        <w:rPr>
                          <w:color w:val="000000"/>
                        </w:rPr>
                      </w:pPr>
                      <w:sdt>
                        <w:sdtPr>
                          <w:alias w:val="Numeris"/>
                          <w:tag w:val="nr_cc28132a40734150b11bdbc869f8b35d"/>
                          <w:lock w:val="sdtLocked"/>
                          <w:richText/>
                        </w:sdtPr>
                        <w:sdtContent>
                          <w:r>
                            <w:t>13.12</w:t>
                          </w:r>
                        </w:sdtContent>
                      </w:sdt>
                      <w:r>
                        <w:t>. Lietuvos Respublikos aplinkos ministro 2006 m. vasario 1 d. įsakymas Nr. D1-62 „Dėl statybos techninio reglamento STR 2.05.20:2006 „Langai ir išorinės įėjimo durys“ patvirtinimo“;</w:t>
                      </w:r>
                    </w:p>
                  </w:sdtContent>
                </w:sdt>
                <w:sdt>
                  <w:sdtPr>
                    <w:alias w:val="13.13 p."/>
                    <w:tag w:val="part_416668a51e9d4049a773290d4dff487a"/>
                    <w:lock w:val="sdtLocked"/>
                    <w:richText/>
                  </w:sdtPr>
                  <w:sdtContent>
                    <w:p>
                      <w:pPr>
                        <w:widowControl w:val="0"/>
                        <w:suppressAutoHyphens/>
                        <w:ind w:firstLine="720"/>
                        <w:jc w:val="both"/>
                        <w:rPr>
                          <w:color w:val="000000"/>
                        </w:rPr>
                      </w:pPr>
                      <w:sdt>
                        <w:sdtPr>
                          <w:alias w:val="Numeris"/>
                          <w:tag w:val="nr_416668a51e9d4049a773290d4dff487a"/>
                          <w:lock w:val="sdtLocked"/>
                          <w:richText/>
                        </w:sdtPr>
                        <w:sdtContent>
                          <w:r>
                            <w:rPr>
                              <w:color w:val="000000"/>
                              <w:szCs w:val="24"/>
                            </w:rPr>
                            <w:t>13.13</w:t>
                          </w:r>
                        </w:sdtContent>
                      </w:sdt>
                      <w:r>
                        <w:rPr>
                          <w:color w:val="000000"/>
                          <w:szCs w:val="24"/>
                        </w:rPr>
                        <w:t>. Lietuvos Respublikos sveikatos apsaugos ministro 2007 m. gegužės 10 d. įsakymas Nr. V-362 „Dėl Lietuvos higienos normos HN 35:2007 „Didžiausia leidžiama cheminių medžiagų (teršalų) koncentracija gyvenamosios ir visuomeninės paskirties pastatų patalpų ore“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4 p."/>
                    <w:tag w:val="part_7e9a791425434649888bb2550945d45a"/>
                    <w:lock w:val="sdtLocked"/>
                    <w:richText/>
                  </w:sdtPr>
                  <w:sdtContent>
                    <w:p>
                      <w:pPr>
                        <w:widowControl w:val="0"/>
                        <w:suppressAutoHyphens/>
                        <w:ind w:firstLine="720"/>
                        <w:jc w:val="both"/>
                      </w:pPr>
                      <w:sdt>
                        <w:sdtPr>
                          <w:alias w:val="Numeris"/>
                          <w:tag w:val="nr_7e9a791425434649888bb2550945d45a"/>
                          <w:lock w:val="sdtLocked"/>
                          <w:richText/>
                        </w:sdtPr>
                        <w:sdtContent>
                          <w:r>
                            <w:rPr>
                              <w:color w:val="000000"/>
                              <w:szCs w:val="24"/>
                            </w:rPr>
                            <w:t>13.14</w:t>
                          </w:r>
                        </w:sdtContent>
                      </w:sdt>
                      <w:r>
                        <w:rPr>
                          <w:color w:val="000000"/>
                          <w:szCs w:val="24"/>
                        </w:rPr>
                        <w:t>. Lietuvos Respublikos sveikatos apsaugos ministro 2008 m. sausio 28 d. įsakymas Nr. V-69 „Dėl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31f0302c4add4acfaef7810f40122011"/>
                    <w:lock w:val="sdtLocked"/>
                    <w:richText/>
                  </w:sdtPr>
                  <w:sdtContent>
                    <w:p>
                      <w:pPr>
                        <w:ind w:firstLine="680"/>
                        <w:jc w:val="both"/>
                      </w:pPr>
                      <w:sdt>
                        <w:sdtPr>
                          <w:alias w:val="Numeris"/>
                          <w:tag w:val="nr_31f0302c4add4acfaef7810f40122011"/>
                          <w:lock w:val="sdtLocked"/>
                          <w:richText/>
                        </w:sdtPr>
                        <w:sdtContent>
                          <w:r>
                            <w:rPr>
                              <w:szCs w:val="24"/>
                            </w:rPr>
                            <w:t>13.18</w:t>
                          </w:r>
                        </w:sdtContent>
                      </w:sdt>
                      <w:r>
                        <w:rPr>
                          <w:szCs w:val="24"/>
                        </w:rPr>
                        <w:t>. Lietuvos Respublikos sveikatos apsaugos ministro 2015 m. spalio 30 d. įsakymas Nr. V-1208 „Dėl Lietuvos higienos normos HN 131:2015 „Vaikų žaidimų aikštelės ir patalpos. Bendrieji sveikatos saugos reikalavimai“ patvirtinimo“.</w:t>
                      </w:r>
                    </w:p>
                    <w:p>
                      <w:pPr>
                        <w:ind w:firstLine="680"/>
                        <w:jc w:val="both"/>
                        <w:rPr>
                          <w:sz w:val="16"/>
                          <w:szCs w:val="16"/>
                        </w:rPr>
                      </w:pPr>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ec84fea10c554430bb7abd1adfb20952"/>
                <w:lock w:val="sdtLocked"/>
                <w:richText/>
              </w:sdtPr>
              <w:sdtContent>
                <w:p>
                  <w:pPr>
                    <w:widowControl w:val="0"/>
                    <w:suppressAutoHyphens/>
                    <w:ind w:firstLine="680"/>
                    <w:jc w:val="both"/>
                    <w:rPr>
                      <w:color w:val="000000"/>
                    </w:rPr>
                  </w:pPr>
                  <w:sdt>
                    <w:sdtPr>
                      <w:alias w:val="Numeris"/>
                      <w:tag w:val="nr_ec84fea10c554430bb7abd1adfb20952"/>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p>
                  <w:pPr>
                    <w:widowControl w:val="0"/>
                    <w:suppressAutoHyphens/>
                    <w:ind w:firstLine="680"/>
                    <w:jc w:val="both"/>
                    <w:rPr>
                      <w:color w:val="000000"/>
                    </w:rPr>
                  </w:pPr>
                </w:p>
                <w:p>
                  <w:pPr>
                    <w:widowControl w:val="0"/>
                    <w:suppressAutoHyphens/>
                    <w:ind w:firstLine="680"/>
                    <w:jc w:val="both"/>
                    <w:rPr>
                      <w:color w:val="000000"/>
                    </w:rPr>
                  </w:pP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ebd5e0802af24c4db76c738c7ec3c0f6"/>
                <w:lock w:val="sdtLocked"/>
                <w:richText/>
              </w:sdtPr>
              <w:sdtContent>
                <w:p>
                  <w:pPr>
                    <w:widowControl w:val="0"/>
                    <w:suppressAutoHyphens/>
                    <w:ind w:firstLine="680"/>
                    <w:jc w:val="both"/>
                    <w:rPr>
                      <w:color w:val="000000"/>
                      <w:spacing w:val="-3"/>
                    </w:rPr>
                  </w:pPr>
                  <w:sdt>
                    <w:sdtPr>
                      <w:alias w:val="Numeris"/>
                      <w:tag w:val="nr_ebd5e0802af24c4db76c738c7ec3c0f6"/>
                      <w:lock w:val="sdtLocked"/>
                      <w:richText/>
                    </w:sdtPr>
                    <w:sdtContent>
                      <w:r>
                        <w:rPr>
                          <w:color w:val="000000"/>
                          <w:spacing w:val="-3"/>
                        </w:rPr>
                        <w:t>39</w:t>
                      </w:r>
                    </w:sdtContent>
                  </w:sdt>
                  <w:r>
                    <w:rPr>
                      <w:color w:val="000000"/>
                      <w:spacing w:val="-3"/>
                    </w:rPr>
                    <w:t>. Vaikų miego organizavimas:</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40 p."/>
                <w:tag w:val="part_653bf52f1dfb464e90ab41d3719510ab"/>
                <w:lock w:val="sdtLocked"/>
                <w:richText/>
              </w:sdtPr>
              <w:sdtContent>
                <w:p>
                  <w:pPr>
                    <w:widowControl w:val="0"/>
                    <w:suppressAutoHyphens/>
                    <w:ind w:firstLine="680"/>
                    <w:jc w:val="both"/>
                    <w:rPr>
                      <w:color w:val="000000"/>
                    </w:rPr>
                  </w:pPr>
                  <w:sdt>
                    <w:sdtPr>
                      <w:alias w:val="Numeris"/>
                      <w:tag w:val="nr_653bf52f1dfb464e90ab41d3719510ab"/>
                      <w:lock w:val="sdtLocked"/>
                      <w:richText/>
                    </w:sdtPr>
                    <w:sdtContent>
                      <w:r>
                        <w:rPr>
                          <w:color w:val="000000"/>
                        </w:rPr>
                        <w:t>40</w:t>
                      </w:r>
                    </w:sdtContent>
                  </w:sdt>
                  <w:r>
                    <w:rPr>
                      <w:color w:val="000000"/>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su lanksčiu dušo rageliu tualeto-prausyklos patalpoje (išskyrus priešmokyklinio ugdymo grupes). Grupės, kurioje ugdomi </w:t>
                  </w:r>
                  <w:r>
                    <w:rPr>
                      <w:szCs w:val="24"/>
                    </w:rPr>
                    <w:t>vaikai iki 3 metų amžiaus, tualeto-prausyklos patalpoje įrengiama ne mažiau kaip 1 unitazas.</w:t>
                  </w:r>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dbeda2a12915447f90817d7b3a80d4bc"/>
                <w:lock w:val="sdtLocked"/>
                <w:richText/>
              </w:sdtPr>
              <w:sdtContent>
                <w:p>
                  <w:pPr>
                    <w:widowControl w:val="0"/>
                    <w:suppressAutoHyphens/>
                    <w:ind w:firstLine="680"/>
                    <w:jc w:val="both"/>
                    <w:rPr>
                      <w:color w:val="000000"/>
                    </w:rPr>
                  </w:pPr>
                  <w:sdt>
                    <w:sdtPr>
                      <w:alias w:val="Numeris"/>
                      <w:tag w:val="nr_dbeda2a12915447f90817d7b3a80d4bc"/>
                      <w:lock w:val="sdtLocked"/>
                      <w:richText/>
                    </w:sdtPr>
                    <w:sdtContent>
                      <w:r>
                        <w:rPr>
                          <w:color w:val="000000"/>
                        </w:rPr>
                        <w:t>43</w:t>
                      </w:r>
                    </w:sdtContent>
                  </w:sdt>
                  <w:r>
                    <w:rPr>
                      <w:color w:val="000000"/>
                    </w:rPr>
                    <w:t xml:space="preserve">. Tualetuose-prausyklose turi būti asmens higienos priemonių: tualetinio popieriaus, muilo, </w:t>
                  </w:r>
                  <w:r>
                    <w:rPr>
                      <w:szCs w:val="24"/>
                    </w:rPr>
                    <w:t>rankšluostinė</w:t>
                  </w:r>
                  <w:r>
                    <w:rPr>
                      <w:color w:val="000000"/>
                    </w:rPr>
                    <w:t xml:space="preserve"> ir individualūs daugkartinio naudojimo rankšluosčiai arba </w:t>
                  </w:r>
                  <w:r>
                    <w:t>vienkartinių rankšluosčių dėtuvė su vienkartiniais rankšluosčiais.</w:t>
                  </w:r>
                </w:p>
              </w:sdtContent>
            </w:sdt>
            <w:sdt>
              <w:sdtPr>
                <w:alias w:val="44 p."/>
                <w:tag w:val="part_c3028ecbaa3c4a6fbfcf3aadd1814371"/>
                <w:lock w:val="sdtLocked"/>
                <w:richText/>
              </w:sdtPr>
              <w:sdtContent>
                <w:p>
                  <w:pPr>
                    <w:widowControl w:val="0"/>
                    <w:suppressAutoHyphens/>
                    <w:ind w:firstLine="680"/>
                    <w:jc w:val="both"/>
                    <w:rPr>
                      <w:color w:val="000000"/>
                    </w:rPr>
                  </w:pPr>
                  <w:sdt>
                    <w:sdtPr>
                      <w:alias w:val="Numeris"/>
                      <w:tag w:val="nr_c3028ecbaa3c4a6fbfcf3aadd1814371"/>
                      <w:lock w:val="sdtLocked"/>
                      <w:richText/>
                    </w:sdtPr>
                    <w:sdtContent>
                      <w:r>
                        <w:rPr>
                          <w:color w:val="000000"/>
                        </w:rPr>
                        <w:t>44</w:t>
                      </w:r>
                    </w:sdtContent>
                  </w:sdt>
                  <w:r>
                    <w:rPr>
                      <w:color w:val="000000"/>
                    </w:rPr>
                    <w:t>. Vaikams skirtos praustuvės įrengiamos tokiame aukštyje, kad skirtingo amžiaus vaikai galėtų patogiai ir saugiai jomis naudotis.</w:t>
                  </w:r>
                </w:p>
              </w:sdtContent>
            </w:sdt>
            <w:sdt>
              <w:sdtPr>
                <w:alias w:val="45 p."/>
                <w:tag w:val="part_66f2d675e48141fe84dcae9cfa477b5e"/>
                <w:lock w:val="sdtLocked"/>
                <w:richText/>
              </w:sdtPr>
              <w:sdtContent>
                <w:p>
                  <w:pPr>
                    <w:widowControl w:val="0"/>
                    <w:suppressAutoHyphens/>
                    <w:ind w:firstLine="680"/>
                    <w:jc w:val="both"/>
                    <w:rPr>
                      <w:color w:val="000000"/>
                    </w:rPr>
                  </w:pPr>
                  <w:sdt>
                    <w:sdtPr>
                      <w:alias w:val="Numeris"/>
                      <w:tag w:val="nr_66f2d675e48141fe84dcae9cfa477b5e"/>
                      <w:lock w:val="sdtLocked"/>
                      <w:richText/>
                    </w:sdtPr>
                    <w:sdtContent>
                      <w:r>
                        <w:rPr>
                          <w:color w:val="000000"/>
                        </w:rPr>
                        <w:t>45</w:t>
                      </w:r>
                    </w:sdtContent>
                  </w:sdt>
                  <w:r>
                    <w:rPr>
                      <w:color w:val="000000"/>
                    </w:rPr>
                    <w:t>. Vaikams unitazai įrengiami ne mažesnėse kaip 0,6</w:t>
                  </w:r>
                  <w:r>
                    <w:rPr>
                      <w:color w:val="000000"/>
                      <w:vertAlign w:val="superscript"/>
                    </w:rPr>
                    <w:t xml:space="preserve"> </w:t>
                  </w:r>
                  <w:r>
                    <w:rPr>
                      <w:color w:val="000000"/>
                    </w:rPr>
                    <w:t>kv. m kabinose. Tarp kabinų turi būti ne žemesnė kaip 1,2 m aukščio pertvara su 0,15 m tarpu nuo grindų. Grupėse, kuriose ugdomi 3 metų ir vyresni vaikai, kabinos turi būti su durimis ar kita uždanga.</w:t>
                  </w:r>
                </w:p>
              </w:sdtContent>
            </w:sdt>
            <w:sdt>
              <w:sdtPr>
                <w:alias w:val="46 p."/>
                <w:tag w:val="part_726c5cce76654401aa8f98f21092857d"/>
                <w:lock w:val="sdtLocked"/>
                <w:richText/>
              </w:sdtPr>
              <w:sdtContent>
                <w:p>
                  <w:pPr>
                    <w:widowControl w:val="0"/>
                    <w:suppressAutoHyphens/>
                    <w:ind w:firstLine="680"/>
                    <w:jc w:val="both"/>
                    <w:rPr>
                      <w:color w:val="000000"/>
                    </w:rPr>
                  </w:pPr>
                  <w:sdt>
                    <w:sdtPr>
                      <w:alias w:val="Numeris"/>
                      <w:tag w:val="nr_726c5cce76654401aa8f98f21092857d"/>
                      <w:lock w:val="sdtLocked"/>
                      <w:richText/>
                    </w:sdtPr>
                    <w:sdtContent>
                      <w:r>
                        <w:rPr>
                          <w:color w:val="000000"/>
                        </w:rPr>
                        <w:t>46</w:t>
                      </w:r>
                    </w:sdtContent>
                  </w:sdt>
                  <w:r>
                    <w:rPr>
                      <w:color w:val="000000"/>
                    </w:rPr>
                    <w:t>. Tualetai darbuotojams įrengiami ne grupės tualeto-prausyklos patalpose. Tualeto patalpoje ar šalia jos turi būti praustuvė ir asmens higienos priemonių (tualetinio popieriaus, muilo, vienkartinių rankšluosčių ar rankų džiovintuvas).</w:t>
                  </w:r>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71ff5524922c4238a96b2192e2eda2d3"/>
                    <w:lock w:val="sdtLocked"/>
                    <w:richText/>
                  </w:sdtPr>
                  <w:sdtContent>
                    <w:p>
                      <w:pPr>
                        <w:widowControl w:val="0"/>
                        <w:suppressAutoHyphens/>
                        <w:ind w:firstLine="680"/>
                        <w:jc w:val="both"/>
                        <w:rPr>
                          <w:color w:val="000000"/>
                        </w:rPr>
                      </w:pPr>
                      <w:sdt>
                        <w:sdtPr>
                          <w:alias w:val="Numeris"/>
                          <w:tag w:val="nr_71ff5524922c4238a96b2192e2eda2d3"/>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p>
                      <w:pPr>
                        <w:widowControl w:val="0"/>
                        <w:suppressAutoHyphens/>
                        <w:ind w:firstLine="680"/>
                        <w:jc w:val="both"/>
                        <w:rPr>
                          <w:color w:val="000000"/>
                        </w:rPr>
                      </w:pP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93c37d2ceedd429b927c2d8a2b2ac46c"/>
                    <w:lock w:val="sdtLocked"/>
                    <w:richText/>
                  </w:sdtPr>
                  <w:sdtContent>
                    <w:p>
                      <w:pPr>
                        <w:ind w:firstLine="680"/>
                        <w:jc w:val="both"/>
                        <w:rPr>
                          <w:color w:val="000000"/>
                          <w:lang w:eastAsia="lt-LT"/>
                        </w:rPr>
                      </w:pPr>
                      <w:sdt>
                        <w:sdtPr>
                          <w:alias w:val="Numeris"/>
                          <w:tag w:val="nr_93c37d2ceedd429b927c2d8a2b2ac46c"/>
                          <w:lock w:val="sdtLocked"/>
                          <w:richText/>
                        </w:sdtPr>
                        <w:sdtContent>
                          <w:r>
                            <w:rPr>
                              <w:color w:val="000000"/>
                              <w:lang w:eastAsia="lt-LT"/>
                            </w:rPr>
                            <w:t>55.3</w:t>
                          </w:r>
                        </w:sdtContent>
                      </w:sdt>
                      <w:r>
                        <w:rPr>
                          <w:color w:val="000000"/>
                          <w:lang w:eastAsia="lt-LT"/>
                        </w:rPr>
                        <w:t>. temperatūra šaltuoju metų laiku turi atitikti dydžius, nurodytus šios higienos normos 2 lentelėje;</w:t>
                      </w:r>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f4d8b83831ab4e4fbd27289965bbb2be"/>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87c9481e60074d65a4f6ced4c1eb5cc8"/>
                <w:lock w:val="sdtLocked"/>
                <w:richText/>
              </w:sdtPr>
              <w:sdtContent>
                <w:p>
                  <w:pPr>
                    <w:widowControl w:val="0"/>
                    <w:suppressAutoHyphens/>
                    <w:ind w:firstLine="680"/>
                    <w:jc w:val="both"/>
                    <w:rPr>
                      <w:color w:val="000000"/>
                    </w:rPr>
                  </w:pPr>
                  <w:sdt>
                    <w:sdtPr>
                      <w:alias w:val="Numeris"/>
                      <w:tag w:val="nr_87c9481e60074d65a4f6ced4c1eb5cc8"/>
                      <w:lock w:val="sdtLocked"/>
                      <w:richText/>
                    </w:sdtPr>
                    <w:sdtContent>
                      <w:r>
                        <w:rPr>
                          <w:color w:val="000000"/>
                        </w:rPr>
                        <w:t>60</w:t>
                      </w:r>
                    </w:sdtContent>
                  </w:sdt>
                  <w:r>
                    <w:rPr>
                      <w:color w:val="000000"/>
                    </w:rPr>
                    <w:t>. Geriamojo vandens kokybė turi atitikti teisės akto [13.8] reikalavimus.</w:t>
                  </w:r>
                </w:p>
              </w:sdtContent>
            </w:sdt>
            <w:sdt>
              <w:sdtPr>
                <w:alias w:val="61 p."/>
                <w:tag w:val="part_c07fb87dd7d14eedba703b161610b9f8"/>
                <w:lock w:val="sdtLocked"/>
                <w:richText/>
              </w:sdtPr>
              <w:sdtContent>
                <w:p>
                  <w:pPr>
                    <w:widowControl w:val="0"/>
                    <w:suppressAutoHyphens/>
                    <w:ind w:firstLine="680"/>
                    <w:jc w:val="both"/>
                    <w:rPr>
                      <w:color w:val="000000"/>
                    </w:rPr>
                  </w:pPr>
                  <w:sdt>
                    <w:sdtPr>
                      <w:alias w:val="Numeris"/>
                      <w:tag w:val="nr_c07fb87dd7d14eedba703b161610b9f8"/>
                      <w:lock w:val="sdtLocked"/>
                      <w:richText/>
                    </w:sdtPr>
                    <w:sdtContent>
                      <w:r>
                        <w:rPr>
                          <w:color w:val="000000"/>
                        </w:rPr>
                        <w:t>61</w:t>
                      </w:r>
                    </w:sdtContent>
                  </w:sdt>
                  <w:r>
                    <w:rPr>
                      <w:color w:val="000000"/>
                    </w:rPr>
                    <w:t xml:space="preserve">. Karštas ir šaltas vanduo turi būti tiekiamas nuolat grupių indų plovyklose, tualetuose-prausyklose, tualetuose ir, jei yra įrengta, </w:t>
                  </w:r>
                  <w:r>
                    <w:rPr>
                      <w:szCs w:val="24"/>
                    </w:rPr>
                    <w:t>maisto gamybos patalpose</w:t>
                  </w:r>
                  <w:r>
                    <w:rPr>
                      <w:color w:val="000000"/>
                    </w:rPr>
                    <w:t>, skalbykloje, sveikatos, logopedo kabinetuose, gyvūnų laikymo patalpoje, grupės, kurioje yra ugdomų vaikų iki 1 metų amžiaus, žaidimų patalpoje / erdvėje.</w:t>
                  </w:r>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ad6d22ebab5d468190bb7ecf48866d90"/>
                <w:lock w:val="sdtLocked"/>
                <w:richText/>
              </w:sdtPr>
              <w:sdtContent>
                <w:p>
                  <w:pPr>
                    <w:widowControl w:val="0"/>
                    <w:suppressAutoHyphens/>
                    <w:ind w:firstLine="567"/>
                    <w:jc w:val="both"/>
                    <w:rPr>
                      <w:color w:val="000000"/>
                    </w:rPr>
                  </w:pPr>
                  <w:sdt>
                    <w:sdtPr>
                      <w:alias w:val="Numeris"/>
                      <w:tag w:val="nr_ad6d22ebab5d468190bb7ecf48866d90"/>
                      <w:lock w:val="sdtLocked"/>
                      <w:richText/>
                    </w:sdtPr>
                    <w:sdtContent>
                      <w:r>
                        <w:rPr>
                          <w:color w:val="000000"/>
                        </w:rPr>
                        <w:t>64</w:t>
                      </w:r>
                    </w:sdtContent>
                  </w:sdt>
                  <w:r>
                    <w:rPr>
                      <w:color w:val="000000"/>
                    </w:rPr>
                    <w:t xml:space="preserve">. Smėlis vaikų žaidimų aikštelių smėlio dėžėse turi būti keičiamas ar atnaujinamas kiekvieną pavasarį ir pagal epidemiologines reikmes. Smėlyje neturi būti askaridžių, plaukagalvių, toksokarų kiaušinių. Pakeitus ar atnaujinus smėlį smėlio dėžėse turi būti atliekamas smėlio parazitologinis tyrimas, jei smėlio tyrimo rezultatų nepateikė smėlio tiekėjas. </w:t>
                  </w:r>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43a4b5d8294246e5b52447ab0605dcae"/>
                <w:lock w:val="sdtLocked"/>
                <w:richText/>
              </w:sdtPr>
              <w:sdtContent>
                <w:p>
                  <w:pPr>
                    <w:widowControl w:val="0"/>
                    <w:suppressAutoHyphens/>
                    <w:ind w:firstLine="567"/>
                    <w:jc w:val="both"/>
                  </w:pPr>
                  <w:sdt>
                    <w:sdtPr>
                      <w:alias w:val="Numeris"/>
                      <w:tag w:val="nr_43a4b5d8294246e5b52447ab0605dcae"/>
                      <w:lock w:val="sdtLocked"/>
                      <w:richText/>
                    </w:sdtPr>
                    <w:sdtContent>
                      <w:r>
                        <w:t>71</w:t>
                      </w:r>
                    </w:sdtContent>
                  </w:sdt>
                  <w:r>
                    <w:t>. Vaikų žaidimų aikštelių, žaidimų įrangos įrengimas ir priežiūra turi atitikti teisės akto [13.18] reikalavimus.</w:t>
                  </w:r>
                </w:p>
                <w:p>
                  <w:pPr>
                    <w:widowControl w:val="0"/>
                    <w:suppressAutoHyphens/>
                    <w:jc w:val="both"/>
                    <w:rPr>
                      <w:sz w:val="20"/>
                    </w:rPr>
                  </w:pPr>
                  <w:r>
                    <w:rPr>
                      <w:b/>
                      <w:i/>
                      <w:sz w:val="20"/>
                    </w:rPr>
                    <w:t>TAR pastaba:</w:t>
                  </w:r>
                  <w:r>
                    <w:rPr>
                      <w:sz w:val="20"/>
                    </w:rPr>
                    <w:t xml:space="preserve"> 71 punktas įsigalioja 2016-11-01</w:t>
                  </w:r>
                </w:p>
                <w:p>
                  <w:pPr>
                    <w:widowControl w:val="0"/>
                    <w:suppressAutoHyphens/>
                    <w:jc w:val="both"/>
                  </w:pP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7be2f9fe9e8142be82af29a95bf29330"/>
                <w:lock w:val="sdtLocked"/>
                <w:richText/>
              </w:sdtPr>
              <w:sdtContent>
                <w:p>
                  <w:pPr>
                    <w:ind w:firstLine="567"/>
                    <w:jc w:val="both"/>
                  </w:pPr>
                  <w:sdt>
                    <w:sdtPr>
                      <w:alias w:val="Numeris"/>
                      <w:tag w:val="nr_7be2f9fe9e8142be82af29a95bf29330"/>
                      <w:lock w:val="sdtLocked"/>
                      <w:richText/>
                    </w:sdtPr>
                    <w:sdtContent>
                      <w:r>
                        <w:rPr>
                          <w:color w:val="000000"/>
                          <w:szCs w:val="24"/>
                          <w:lang w:eastAsia="lt-LT"/>
                        </w:rPr>
                        <w:t>79</w:t>
                      </w:r>
                    </w:sdtContent>
                  </w:sdt>
                  <w:r>
                    <w:rPr>
                      <w:color w:val="000000"/>
                      <w:szCs w:val="24"/>
                      <w:lang w:eastAsia="lt-LT"/>
                    </w:rPr>
                    <w:t xml:space="preserve">. </w:t>
                  </w:r>
                  <w:r>
                    <w:rPr>
                      <w:bCs/>
                      <w:color w:val="000000"/>
                      <w:szCs w:val="24"/>
                      <w:lang w:eastAsia="lt-LT"/>
                    </w:rPr>
                    <w:t>Š</w:t>
                  </w:r>
                  <w:r>
                    <w:rPr>
                      <w:bCs/>
                      <w:color w:val="000000"/>
                      <w:szCs w:val="24"/>
                    </w:rPr>
                    <w:t xml:space="preserve">vietimo teikėjas, vykdantis </w:t>
                  </w:r>
                  <w:r>
                    <w:rPr>
                      <w:bCs/>
                      <w:color w:val="000000"/>
                      <w:szCs w:val="24"/>
                      <w:lang w:eastAsia="lt-LT"/>
                    </w:rPr>
                    <w:t>ikimokyklinio ir (ar) priešmokyklinio ugdymo programą</w:t>
                  </w:r>
                  <w:r>
                    <w:rPr>
                      <w:color w:val="000000"/>
                      <w:szCs w:val="24"/>
                    </w:rPr>
                    <w:t xml:space="preserve">, </w:t>
                  </w:r>
                  <w:r>
                    <w:rPr>
                      <w:bCs/>
                      <w:color w:val="000000"/>
                      <w:szCs w:val="24"/>
                    </w:rPr>
                    <w:t>turi užtikrinti, kad</w:t>
                  </w:r>
                  <w:r>
                    <w:rPr>
                      <w:color w:val="000000"/>
                      <w:szCs w:val="24"/>
                    </w:rPr>
                    <w:t xml:space="preserve"> </w:t>
                  </w:r>
                  <w:r>
                    <w:rPr>
                      <w:bCs/>
                      <w:color w:val="000000"/>
                      <w:szCs w:val="24"/>
                    </w:rPr>
                    <w:t>vaikai ugdymo procese dalyvautų tik teisės akto [13.5]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80 p."/>
                <w:tag w:val="part_c93bbe01e43645d19f1703f1a29fe66b"/>
                <w:lock w:val="sdtLocked"/>
                <w:richText/>
              </w:sdtPr>
              <w:sdtContent>
                <w:p>
                  <w:pPr>
                    <w:ind w:firstLine="720"/>
                    <w:jc w:val="both"/>
                    <w:rPr>
                      <w:color w:val="000000"/>
                    </w:rPr>
                  </w:pPr>
                  <w:sdt>
                    <w:sdtPr>
                      <w:alias w:val="Numeris"/>
                      <w:tag w:val="nr_c93bbe01e43645d19f1703f1a29fe66b"/>
                      <w:lock w:val="sdtLocked"/>
                      <w:richText/>
                    </w:sdtPr>
                    <w:sdtContent>
                      <w:r>
                        <w:rPr>
                          <w:color w:val="000000"/>
                          <w:szCs w:val="24"/>
                        </w:rPr>
                        <w:t>80</w:t>
                      </w:r>
                    </w:sdtContent>
                  </w:sdt>
                  <w:r>
                    <w:rPr>
                      <w:color w:val="000000"/>
                      <w:szCs w:val="24"/>
                    </w:rPr>
                    <w:t>. Vaikai ugdyti pagal ikimokyklinio ir (ar) priešmokyklinio ugdymo programą nepriimami, jei turi užkrečiamųjų ligų ar kitų ūmių sveikatos sutrikimų požymių (karščiuoja, dūsta, skundžiasi skausmu, viduriuoja, vemia, turi nežinomos kilmės bėrimo elementų), taip pat turi utėlių ar glindų.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1 p."/>
                <w:tag w:val="part_0e84c48ef6de4069980fdba55af70424"/>
                <w:lock w:val="sdtLocked"/>
                <w:richText/>
              </w:sdtPr>
              <w:sdtContent>
                <w:p>
                  <w:pPr>
                    <w:ind w:firstLine="720"/>
                    <w:jc w:val="both"/>
                    <w:rPr>
                      <w:color w:val="000000"/>
                    </w:rPr>
                  </w:pPr>
                  <w:sdt>
                    <w:sdtPr>
                      <w:alias w:val="Numeris"/>
                      <w:tag w:val="nr_0e84c48ef6de4069980fdba55af70424"/>
                      <w:lock w:val="sdtLocked"/>
                      <w:richText/>
                    </w:sdtPr>
                    <w:sdtContent>
                      <w:r>
                        <w:rPr>
                          <w:color w:val="000000"/>
                          <w:szCs w:val="24"/>
                        </w:rPr>
                        <w:t>81</w:t>
                      </w:r>
                    </w:sdtContent>
                  </w:sdt>
                  <w:r>
                    <w:rPr>
                      <w:color w:val="000000"/>
                      <w:szCs w:val="24"/>
                    </w:rPr>
                    <w:t>. Vaikui sunegalavus ugdymo proceso metu informuojami jo tėvai (globėjai, rūpintojai), o esant būtinumui nedelsiant kviečiama greitoji medicinos pagalba. Jei vaikui ugdymo proceso metu pasireiškė užkrečiamųjų ligų požymiai, jis izoliuojamas, kol jo tėvai (globėjai, rūpintojai) atvyks.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2 p."/>
                <w:tag w:val="part_2aa5304a219d430b9bb47bffb44f54a7"/>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c2fc18865f8f4e3182a16e669ff5e756"/>
                    <w:lock w:val="sdtLocked"/>
                    <w:richText/>
                  </w:sdtPr>
                  <w:sdtContent>
                    <w:p>
                      <w:pPr>
                        <w:ind w:firstLine="680"/>
                        <w:jc w:val="both"/>
                        <w:rPr>
                          <w:szCs w:val="24"/>
                          <w:lang w:eastAsia="lt-LT"/>
                        </w:rPr>
                      </w:pPr>
                      <w:sdt>
                        <w:sdtPr>
                          <w:alias w:val="Numeris"/>
                          <w:tag w:val="nr_c2fc18865f8f4e3182a16e669ff5e756"/>
                          <w:lock w:val="sdtLocked"/>
                          <w:richText/>
                        </w:sdtPr>
                        <w:sdtContent>
                          <w:r>
                            <w:rPr>
                              <w:szCs w:val="24"/>
                              <w:lang w:eastAsia="lt-LT"/>
                            </w:rPr>
                            <w:t>85.4</w:t>
                          </w:r>
                        </w:sdtContent>
                      </w:sdt>
                      <w:r>
                        <w:rPr>
                          <w:szCs w:val="24"/>
                          <w:lang w:eastAsia="lt-LT"/>
                        </w:rPr>
                        <w:t>. oro temperatūra lauke 32</w:t>
                      </w:r>
                      <w:r>
                        <w:rPr>
                          <w:position w:val="6"/>
                          <w:szCs w:val="24"/>
                          <w:vertAlign w:val="superscript"/>
                          <w:lang w:eastAsia="lt-LT"/>
                        </w:rPr>
                        <w:t xml:space="preserve"> o</w:t>
                      </w:r>
                      <w:r>
                        <w:rPr>
                          <w:szCs w:val="24"/>
                          <w:lang w:eastAsia="lt-LT"/>
                        </w:rPr>
                        <w:t>C ar aukštesnė;</w:t>
                      </w:r>
                    </w:p>
                  </w:sdtContent>
                </w:sdt>
                <w:sdt>
                  <w:sdtPr>
                    <w:alias w:val="85.5 p."/>
                    <w:tag w:val="part_4a7f0b5461504af0a25fe928f7758c33"/>
                    <w:lock w:val="sdtLocked"/>
                    <w:richText/>
                  </w:sdtPr>
                  <w:sdtContent>
                    <w:p>
                      <w:pPr>
                        <w:ind w:firstLine="680"/>
                        <w:jc w:val="both"/>
                        <w:rPr>
                          <w:szCs w:val="24"/>
                          <w:lang w:eastAsia="lt-LT"/>
                        </w:rPr>
                      </w:pPr>
                      <w:sdt>
                        <w:sdtPr>
                          <w:alias w:val="Numeris"/>
                          <w:tag w:val="nr_4a7f0b5461504af0a25fe928f7758c33"/>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p>
                      <w:pPr>
                        <w:ind w:firstLine="680"/>
                        <w:jc w:val="both"/>
                        <w:rPr>
                          <w:szCs w:val="24"/>
                          <w:lang w:eastAsia="lt-LT"/>
                        </w:rPr>
                      </w:pPr>
                    </w:p>
                  </w:sdtContent>
                </w:sdt>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737d6f28ff244f5f97e1348b926c3f13"/>
        <w:lock w:val="sdtLocked"/>
        <w:richText/>
      </w:sdtPr>
      <w:sdtContent>
        <w:p>
          <w:pPr>
            <w:ind w:left="6521"/>
          </w:pPr>
          <w:r>
            <w:br w:type="page"/>
          </w: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737d6f28ff244f5f97e1348b926c3f13"/>
              <w:lock w:val="sdtLocked"/>
              <w:richText/>
            </w:sdtPr>
            <w:sdtContent>
              <w:r>
                <w:rPr>
                  <w:b/>
                  <w:bCs/>
                  <w:caps/>
                  <w:color w:val="000000"/>
                  <w:szCs w:val="24"/>
                </w:rPr>
                <w:t>NUODINGŲJŲ AUGALŲ, DRAUDŽIAMŲ SODINTI IR AUGINTI SKLYPE / TERITORIJOJE BEI PATALPOSE, KURIOSE VYKDOMA IKIMOKYKLINIO IR (AR) PRIEŠMOKYKLINIO UGDYMO PROGRAMA, SĄRAŠAS</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center"/>
            <w:rPr>
              <w:szCs w:val="24"/>
            </w:rPr>
          </w:pPr>
        </w:p>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Vaikų maitinimo organizavimo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557ee0a1fb11e8b93ad15b34c9248c">
            <w:r w:rsidRPr="00532B9F">
              <w:rPr>
                <w:rFonts w:ascii="Times New Roman" w:eastAsia="MS Mincho" w:hAnsi="Times New Roman"/>
                <w:sz w:val="20"/>
                <w:iCs/>
                <w:color w:val="0000FF" w:themeColor="hyperlink"/>
                <w:u w:val="single"/>
              </w:rPr>
              <w:t>V-906</w:t>
            </w:r>
          </w:fldSimple>
          <w:r>
            <w:rPr>
              <w:rFonts w:ascii="Times New Roman" w:eastAsia="MS Mincho" w:hAnsi="Times New Roman"/>
              <w:sz w:val="20"/>
              <w:iCs/>
            </w:rPr>
            <w:t>,
2018-08-13,
paskelbta TAR 2018-08-17, i. k. 2018-13176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f3f720dd1411e89a31865acf012092">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2018-10-31,
paskelbta TAR 2018-11-02, i. k. 2018-17650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15325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042038c8afa14fc79385b5110cea9864">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0fb31dba675143d79d9eb6cdb354ff59"/>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e03ab769f33c4d029b45f9408ce9bbbc"/>
      </Part>
      <Part Type="punktas" Nr="6" Abbr="6 p." DocPartId="df9e0adddb9643dcbe43cd20ca659c2c" PartId="2f2b913012b648419563c3fd92663648">
        <Part Type="punktas" Nr="6.1" Abbr="6.1 p." DocPartId="1e4f0e8eb96b42b29fbf04ce5d518117" PartId="b835094b417c49de8a1a398840afea54"/>
        <Part Type="punktas" Nr="6.2" Abbr="6.2 p." DocPartId="227e7be97aa3471bad9c9e18d5947cd6" PartId="490d7b41664f470a808c5fe26ebbd863"/>
      </Part>
      <Part Type="punktas" Nr="7" Abbr="7 p." DocPartId="f7525a23301e4637a064fbe4c0772f5e" PartId="3b96940248934c3d8cb5a451231ec6c1"/>
      <Part Type="punktas" Nr="8" Abbr="8 p." DocPartId="c9f18db6d8b544988097856105776585" PartId="cdcb43d4ee6d4f069cbfccd4af0c1e33"/>
      <Part Type="punktas" Nr="9" Abbr="9 p." DocPartId="2112742ac52944cdbea794f205f83cda" PartId="fb0f1eb661374072875b30ea05a129f3"/>
      <Part Type="punktas" Nr="10" Abbr="10 p." DocPartId="e9367ca40a4943f0a095c5b36f3484a4" PartId="171906ee5a2e418787c26c5a4371277d"/>
      <Part Type="punktas" Nr="11" Abbr="11 p." DocPartId="fda106687cb3438faa7583f28461ca5c" PartId="61753a3a60844a0690653b31fc809f6e"/>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943581eff7b542fa851c92701b9eb8a3"/>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unktas" Nr="13.2" Abbr="13.2 p." DocPartId="4b76bdd056ed44cfa810fd1cf80e1b78" PartId="4697cccc38c841ee80b5c6944f10860f"/>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7d4514bd0d5a4ba7b7ff928cde6febdd"/>
        <Part Type="punktas" Nr="13.8" Abbr="13.8 p." DocPartId="6e2f9ee99b0b48d88ecaf77a4d4a557a" PartId="80a739ae095546fa864f19cb0ac71e3d"/>
        <Part Type="punktas" Nr="13.9" Abbr="13.9 p." DocPartId="2c8c15e670a54e4095cb485269cb038e" PartId="6063ef5f08a9417184df6c8a615d8ff2"/>
        <Part Type="punktas" Nr="13.10" Abbr="13.10 p." DocPartId="d5cdbb17ba6744fd9f6bb3e02038308d" PartId="425a7da1e07d4ac4a1b3d3341cb79403"/>
        <Part Type="punktas" Nr="13.11" Abbr="13.11 p." DocPartId="4b1d49ce0ed14376b5b424c7a85ef174" PartId="2638ea6172c24d00804d622482d06b05"/>
        <Part Type="punktas" Nr="13.12" Abbr="13.12 p." DocPartId="8d1862c9e30544f5afd79e3331928586" PartId="cc28132a40734150b11bdbc869f8b35d"/>
        <Part Type="punktas" Nr="13.13" Abbr="13.13 p." DocPartId="99367ae543ac49b8b359e633c18cdfd6" PartId="416668a51e9d4049a773290d4dff487a"/>
        <Part Type="punktas" Nr="13.14" Abbr="13.14 p." DocPartId="17ff4182911545849c3223ee92f098f7" PartId="7e9a791425434649888bb2550945d45a"/>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31f0302c4add4acfaef7810f4012201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ec84fea10c554430bb7abd1adfb20952"/>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ebd5e0802af24c4db76c738c7ec3c0f6">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40" Abbr="40 p." DocPartId="3b1640e3c36a424dbb126e49d287dcd2" PartId="653bf52f1dfb464e90ab41d3719510ab"/>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dbeda2a12915447f90817d7b3a80d4bc"/>
      <Part Type="punktas" Nr="44" Abbr="44 p." DocPartId="b9ecde77025246ad9d304bb018db966e" PartId="c3028ecbaa3c4a6fbfcf3aadd1814371"/>
      <Part Type="punktas" Nr="45" Abbr="45 p." DocPartId="375ab80bbf0742929f43ab7f54cc09ec" PartId="66f2d675e48141fe84dcae9cfa477b5e"/>
      <Part Type="punktas" Nr="46" Abbr="46 p." DocPartId="050c33f2d64f40e782e199f2b60f0822" PartId="726c5cce76654401aa8f98f21092857d"/>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71ff5524922c4238a96b2192e2eda2d3"/>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93c37d2ceedd429b927c2d8a2b2ac46c"/>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f4d8b83831ab4e4fbd27289965bbb2be"/>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87c9481e60074d65a4f6ced4c1eb5cc8"/>
      <Part Type="punktas" Nr="61" Abbr="61 p." DocPartId="c52637d79c494ae8b651a50e3ca1d023" PartId="c07fb87dd7d14eedba703b161610b9f8"/>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ad6d22ebab5d468190bb7ecf48866d90"/>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43a4b5d8294246e5b52447ab0605dca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7be2f9fe9e8142be82af29a95bf29330"/>
      <Part Type="punktas" Nr="80" Abbr="80 p." DocPartId="cbf2a1c397e4414faee714bba75ff7f6" PartId="c93bbe01e43645d19f1703f1a29fe66b"/>
      <Part Type="punktas" Nr="81" Abbr="81 p." DocPartId="17bcdd05fb7c4e0a9e036075525e6c75" PartId="0e84c48ef6de4069980fdba55af70424"/>
      <Part Type="punktas" Nr="82" Abbr="82 p." DocPartId="2ba24a2929be478bad119505232c3d02" PartId="2aa5304a219d430b9bb47bffb44f54a7"/>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c2fc18865f8f4e3182a16e669ff5e756"/>
        <Part Type="punktas" Nr="85.5" Abbr="85.5 p." DocPartId="b33006a0352f4010b16b16faf0b30392" PartId="4a7f0b5461504af0a25fe928f7758c33"/>
      </Part>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pabaiga" DocPartId="ce06ecf3eb2f404ab3d9972d58930f18" PartId="f177fbc8ea0b41fb9dedc1b1f4b004ab"/>
  </Part>
  <Part Type="priedas" Abbr="pr." Title="NUODINGŲJŲ AUGALŲ, DRAUDŽIAMŲ SODINTI IR AUGINTI SKLYPE / TERITORIJOJE BEI PATALPOSE, KURIOSE VYKDOMA IKIMOKYKLINIO IR (AR) PRIEŠMOKYKLINIO UGDYMO PROGRAMA, SĄRAŠAS" DocPartId="c12a88f133314c8994b06c871b0eda63" PartId="737d6f28ff244f5f97e1348b926c3f13"/>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E49D9DE7-24A1-48DD-93EA-0A4B39173D7E}">
  <ds:schemaRefs>
    <ds:schemaRef ds:uri="http://lrs.lt/TAIS/DocParts"/>
  </ds:schemaRefs>
</ds:datastoreItem>
</file>

<file path=docProps/app.xml><?xml version="1.0" encoding="utf-8"?>
<Properties xmlns="http://schemas.openxmlformats.org/officeDocument/2006/extended-properties">
  <Template>Normal.dotm</Template>
  <TotalTime>12</TotalTime>
  <Pages>15</Pages>
  <Words>26743</Words>
  <Characters>15245</Characters>
  <Application>Microsoft Office Word</Application>
  <DocSecurity>0</DocSecurity>
  <Lines>127</Lines>
  <Paragraphs>83</Paragraphs>
  <ScaleCrop>false</ScaleCrop>
  <Company>Teisines informacijos centras</Company>
  <LinksUpToDate>false</LinksUpToDate>
  <CharactersWithSpaces>41905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PETRAUSKAITĖ Girmantė</lastModifiedBy>
  <dcterms:modified xsi:type="dcterms:W3CDTF">2018-11-07T08:50:00Z</dcterms:modified>
  <revision>14</revision>
  <dc:title>LIETUVOS RESPUBLIKOS SVEIKATOS APSAUGOS MINISTRO</dc:title>
</coreProperties>
</file>