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bdbef031da74d98911eca4e13e5977a"/>
        <w:lock w:val="sdtLocked"/>
        <w:richText/>
      </w:sdtPr>
      <w:sdtContent>
        <w:p>
          <w:pPr>
            <w:jc w:val="both"/>
            <w:rPr>
              <w:rFonts w:ascii="Times New Roman" w:hAnsi="Times New Roman"/>
            </w:rPr>
          </w:pPr>
          <w:r>
            <w:rPr>
              <w:rFonts w:ascii="Times New Roman" w:hAnsi="Times New Roman"/>
              <w:b/>
              <w:i/>
            </w:rPr>
            <w:t>Suvestinė redakcija nuo 2016-12-31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2010, Nr. </w:t>
          </w:r>
          <w:fldSimple w:instr="HYPERLINK https://www.e-tar.lt/portal/legalAct.html?documentId=TAR.4B0ED7841756">
            <w:r w:rsidRPr="00532B9F">
              <w:rPr>
                <w:rFonts w:ascii="Times New Roman" w:eastAsia="MS Mincho" w:hAnsi="Times New Roman"/>
                <w:sz w:val="20"/>
                <w:i/>
                <w:iCs/>
                <w:color w:val="0000FF" w:themeColor="hyperlink"/>
                <w:u w:val="single"/>
              </w:rPr>
              <w:t>42-2042</w:t>
            </w:r>
          </w:fldSimple>
          <w:r>
            <w:rPr>
              <w:rFonts w:ascii="Times New Roman" w:eastAsia="MS Mincho" w:hAnsi="Times New Roman"/>
              <w:sz w:val="20"/>
              <w:i/>
              <w:iCs/>
            </w:rPr>
            <w:t>, i. k. 110301MISAK00D1-279</w:t>
          </w:r>
        </w:p>
        <w:p>
          <w:pPr>
            <w:jc w:val="both"/>
            <w:rPr>
              <w:rFonts w:ascii="Times New Roman" w:hAnsi="Times New Roman"/>
              <w:sz w:val="20"/>
            </w:rPr>
          </w:pPr>
        </w:p>
        <w:p>
          <w:pPr>
            <w:widowControl w:val="0"/>
            <w:suppressAutoHyphens/>
            <w:jc w:val="center"/>
            <w:rPr>
              <w:color w:val="000000"/>
            </w:rPr>
          </w:pPr>
          <w:r>
            <w:rPr>
              <w:color w:val="000000"/>
              <w:lang w:val="en-US"/>
            </w:rPr>
            <w:pict>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15" o:title=""/>
              </v:shape>
              <w:control r:id="rId16" w:name="Control 2" w:shapeid="_x0000_s1026"/>
            </w:pict>
          </w:r>
          <w:r>
            <w:rPr>
              <w:color w:val="000000"/>
            </w:rPr>
            <w:t>LIETUVOS RESPUBLIKOS APLINKOS MINISTRO</w:t>
          </w:r>
        </w:p>
        <w:p>
          <w:pPr>
            <w:widowControl w:val="0"/>
            <w:suppressAutoHyphens/>
            <w:jc w:val="center"/>
            <w:rPr>
              <w:color w:val="000000"/>
              <w:spacing w:val="60"/>
            </w:rPr>
          </w:pPr>
          <w:r>
            <w:rPr>
              <w:color w:val="000000"/>
              <w:spacing w:val="60"/>
            </w:rPr>
            <w:t>ĮSAKYMAS</w:t>
          </w:r>
        </w:p>
        <w:p>
          <w:pPr>
            <w:widowControl w:val="0"/>
            <w:suppressAutoHyphens/>
            <w:jc w:val="center"/>
            <w:rPr>
              <w:b/>
              <w:bCs/>
              <w:color w:val="000000"/>
            </w:rPr>
          </w:pPr>
        </w:p>
        <w:p>
          <w:pPr>
            <w:widowControl w:val="0"/>
            <w:suppressAutoHyphens/>
            <w:jc w:val="center"/>
            <w:rPr>
              <w:b/>
              <w:bCs/>
              <w:caps/>
              <w:color w:val="000000"/>
            </w:rPr>
          </w:pPr>
          <w:r>
            <w:rPr>
              <w:b/>
              <w:bCs/>
              <w:caps/>
              <w:color w:val="000000"/>
            </w:rPr>
            <w:t>DĖL Aplinkos ministro 2001 m. gruodžio 12 d. įsakymo Nr. 596 „DĖL APLINKOS ORO kokybės vertinimo“ PAKEITIMO</w:t>
          </w:r>
        </w:p>
        <w:p>
          <w:pPr>
            <w:widowControl w:val="0"/>
            <w:suppressAutoHyphens/>
            <w:jc w:val="center"/>
            <w:rPr>
              <w:b/>
              <w:bCs/>
              <w:color w:val="000000"/>
            </w:rPr>
          </w:pPr>
        </w:p>
        <w:p>
          <w:pPr>
            <w:widowControl w:val="0"/>
            <w:suppressAutoHyphens/>
            <w:jc w:val="center"/>
            <w:rPr>
              <w:color w:val="000000"/>
            </w:rPr>
          </w:pPr>
          <w:r>
            <w:rPr>
              <w:color w:val="000000"/>
            </w:rPr>
            <w:t>2010 m. balandžio 6 d. Nr. D1-279</w:t>
          </w:r>
        </w:p>
        <w:p>
          <w:pPr>
            <w:widowControl w:val="0"/>
            <w:suppressAutoHyphens/>
            <w:jc w:val="center"/>
            <w:rPr>
              <w:color w:val="000000"/>
            </w:rPr>
          </w:pPr>
          <w:r>
            <w:rPr>
              <w:color w:val="000000"/>
            </w:rPr>
            <w:t>Vilnius</w:t>
          </w:r>
        </w:p>
        <w:p>
          <w:pPr>
            <w:widowControl w:val="0"/>
            <w:suppressAutoHyphens/>
            <w:jc w:val="both"/>
            <w:rPr>
              <w:color w:val="000000"/>
            </w:rPr>
          </w:pPr>
        </w:p>
        <w:sdt>
          <w:sdtPr>
            <w:alias w:val="preambule"/>
            <w:tag w:val="part_75fbb747e59d4316a2e022577721dd10"/>
            <w:lock w:val="sdtLocked"/>
            <w:richText/>
          </w:sdtPr>
          <w:sdtContent>
            <w:p>
              <w:pPr>
                <w:widowControl w:val="0"/>
                <w:suppressAutoHyphens/>
                <w:ind w:firstLine="567"/>
                <w:jc w:val="both"/>
                <w:rPr>
                  <w:color w:val="000000"/>
                </w:rPr>
              </w:pPr>
              <w:r>
                <w:rPr>
                  <w:color w:val="000000"/>
                </w:rPr>
                <w:t xml:space="preserve">Vadovaudamasis Lietuvos Respublikos aplinkos oro apsaugos įstatymo (Žin., 1999, Nr. </w:t>
              </w:r>
              <w:hyperlink r:id="rId17" w:tgtFrame="_blank" w:history="1">
                <w:r>
                  <w:rPr>
                    <w:color w:val="0000FF" w:themeColor="hyperlink"/>
                    <w:u w:val="single"/>
                  </w:rPr>
                  <w:t>98-2813</w:t>
                </w:r>
              </w:hyperlink>
              <w:r>
                <w:rPr>
                  <w:color w:val="000000"/>
                </w:rPr>
                <w:t>) 5 straipsnio 3 dalimi ir siekdamas, kad aplinkos oro kokybės vertinimas atitiktų 2008 m. gegužės 21 d. Europos Parlamento ir Tarybos direktyvoje 2008/50/EB dėl aplinkos oro kokybės ir švaresnio oro Europoje (OL 2008 L 152, p. 1) nustatytus aplinkos oro kokybės vertinimo reikalavimus:</w:t>
              </w:r>
            </w:p>
          </w:sdtContent>
        </w:sdt>
        <w:sdt>
          <w:sdtPr>
            <w:alias w:val="1 p."/>
            <w:tag w:val="part_43eb0c50d0f74146a602bd4a79a2eb82"/>
            <w:lock w:val="sdtLocked"/>
            <w:richText/>
          </w:sdtPr>
          <w:sdtContent>
            <w:p>
              <w:pPr>
                <w:widowControl w:val="0"/>
                <w:suppressAutoHyphens/>
                <w:ind w:firstLine="567"/>
                <w:jc w:val="both"/>
                <w:rPr>
                  <w:color w:val="000000"/>
                </w:rPr>
              </w:pPr>
              <w:sdt>
                <w:sdtPr>
                  <w:alias w:val="Numeris"/>
                  <w:tag w:val="nr_43eb0c50d0f74146a602bd4a79a2eb82"/>
                  <w:lock w:val="sdtLocked"/>
                  <w:richText/>
                </w:sdtPr>
                <w:sdtContent>
                  <w:r>
                    <w:rPr>
                      <w:color w:val="000000"/>
                    </w:rPr>
                    <w:t>1</w:t>
                  </w:r>
                </w:sdtContent>
              </w:sdt>
              <w:r>
                <w:rPr>
                  <w:color w:val="000000"/>
                </w:rPr>
                <w:t xml:space="preserve">. </w:t>
              </w:r>
              <w:r>
                <w:rPr>
                  <w:color w:val="000000"/>
                  <w:spacing w:val="60"/>
                </w:rPr>
                <w:t>Pakeičiu</w:t>
              </w:r>
              <w:r>
                <w:rPr>
                  <w:color w:val="000000"/>
                </w:rPr>
                <w:t xml:space="preserve"> Aplinkos oro kokybės vertinimo taisykles, patvirtintas Lietuvos Respublikos aplinkos ministro 2001 m. gruodžio 12 d. įsakymu Nr. 596 „Dėl aplinkos oro kokybės vertinimo“ (Žin., 2001, Nr. </w:t>
              </w:r>
              <w:hyperlink r:id="rId18" w:tgtFrame="_blank" w:history="1">
                <w:r>
                  <w:rPr>
                    <w:color w:val="0000FF" w:themeColor="hyperlink"/>
                    <w:u w:val="single"/>
                  </w:rPr>
                  <w:t>106-3828</w:t>
                </w:r>
              </w:hyperlink>
              <w:r>
                <w:rPr>
                  <w:color w:val="000000"/>
                </w:rPr>
                <w:t>; 2002; Nr. 81-3499), ir išdėstau jas nauja redakcija (toliau – Tvarkos aprašas) (pridedama).</w:t>
              </w:r>
            </w:p>
          </w:sdtContent>
        </w:sdt>
        <w:sdt>
          <w:sdtPr>
            <w:alias w:val="2 p."/>
            <w:tag w:val="part_902aaeff56cd400ea3bb23412f96ff43"/>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2016-12-31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6435708b9b11e6b969d7ae07280e89">
                <w:r w:rsidRPr="00532B9F">
                  <w:rPr>
                    <w:rFonts w:ascii="Times New Roman" w:eastAsia="MS Mincho" w:hAnsi="Times New Roman"/>
                    <w:sz w:val="20"/>
                    <w:i/>
                    <w:iCs/>
                    <w:color w:val="0000FF" w:themeColor="hyperlink"/>
                    <w:u w:val="single"/>
                  </w:rPr>
                  <w:t>D1-654</w:t>
                </w:r>
              </w:fldSimple>
              <w:r>
                <w:rPr>
                  <w:rFonts w:ascii="Times New Roman" w:eastAsia="MS Mincho" w:hAnsi="Times New Roman"/>
                  <w:sz w:val="20"/>
                  <w:i/>
                  <w:iCs/>
                </w:rPr>
                <w:t>,
2016-10-03,
paskelbta TAR 2016-10-06, i. k. 2016-24713        </w:t>
              </w:r>
            </w:p>
            <w:p/>
          </w:sdtContent>
        </w:sdt>
        <w:sdt>
          <w:sdtPr>
            <w:alias w:val="3 p."/>
            <w:tag w:val="part_1af5445bb4c443888f105da05c75f0e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2016-12-31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6435708b9b11e6b969d7ae07280e89">
                <w:r w:rsidRPr="00532B9F">
                  <w:rPr>
                    <w:rFonts w:ascii="Times New Roman" w:eastAsia="MS Mincho" w:hAnsi="Times New Roman"/>
                    <w:sz w:val="20"/>
                    <w:i/>
                    <w:iCs/>
                    <w:color w:val="0000FF" w:themeColor="hyperlink"/>
                    <w:u w:val="single"/>
                  </w:rPr>
                  <w:t>D1-654</w:t>
                </w:r>
              </w:fldSimple>
              <w:r>
                <w:rPr>
                  <w:rFonts w:ascii="Times New Roman" w:eastAsia="MS Mincho" w:hAnsi="Times New Roman"/>
                  <w:sz w:val="20"/>
                  <w:i/>
                  <w:iCs/>
                </w:rPr>
                <w:t>,
2016-10-03,
paskelbta TAR 2016-10-06, i. k. 2016-24713        </w:t>
              </w:r>
            </w:p>
            <w:p/>
          </w:sdtContent>
        </w:sdt>
        <w:sdt>
          <w:sdtPr>
            <w:alias w:val="4 p."/>
            <w:tag w:val="part_048ad139da844fa5b4c11a02811eeaa3"/>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2016-12-31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6435708b9b11e6b969d7ae07280e89">
                <w:r w:rsidRPr="00532B9F">
                  <w:rPr>
                    <w:rFonts w:ascii="Times New Roman" w:eastAsia="MS Mincho" w:hAnsi="Times New Roman"/>
                    <w:sz w:val="20"/>
                    <w:i/>
                    <w:iCs/>
                    <w:color w:val="0000FF" w:themeColor="hyperlink"/>
                    <w:u w:val="single"/>
                  </w:rPr>
                  <w:t>D1-654</w:t>
                </w:r>
              </w:fldSimple>
              <w:r>
                <w:rPr>
                  <w:rFonts w:ascii="Times New Roman" w:eastAsia="MS Mincho" w:hAnsi="Times New Roman"/>
                  <w:sz w:val="20"/>
                  <w:i/>
                  <w:iCs/>
                </w:rPr>
                <w:t>,
2016-10-03,
paskelbta TAR 2016-10-06, i. k. 2016-24713        </w:t>
              </w:r>
            </w:p>
            <w:p/>
          </w:sdtContent>
        </w:sdt>
        <w:sdt>
          <w:sdtPr>
            <w:alias w:val="5 p."/>
            <w:tag w:val="part_b98a33cc53494976ab87590092a11cea"/>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2016-12-31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6435708b9b11e6b969d7ae07280e89">
                <w:r w:rsidRPr="00532B9F">
                  <w:rPr>
                    <w:rFonts w:ascii="Times New Roman" w:eastAsia="MS Mincho" w:hAnsi="Times New Roman"/>
                    <w:sz w:val="20"/>
                    <w:i/>
                    <w:iCs/>
                    <w:color w:val="0000FF" w:themeColor="hyperlink"/>
                    <w:u w:val="single"/>
                  </w:rPr>
                  <w:t>D1-654</w:t>
                </w:r>
              </w:fldSimple>
              <w:r>
                <w:rPr>
                  <w:rFonts w:ascii="Times New Roman" w:eastAsia="MS Mincho" w:hAnsi="Times New Roman"/>
                  <w:sz w:val="20"/>
                  <w:i/>
                  <w:iCs/>
                </w:rPr>
                <w:t>,
2016-10-03,
paskelbta TAR 2016-10-06, i. k. 2016-24713        </w:t>
              </w:r>
            </w:p>
            <w:p/>
          </w:sdtContent>
        </w:sdt>
        <w:sdt>
          <w:sdtPr>
            <w:alias w:val="6 p."/>
            <w:tag w:val="part_6dcb2aea801f422ea587f4aa52ec97f3"/>
            <w:lock w:val="sdtLocked"/>
            <w:richText/>
          </w:sdtPr>
          <w:sdtContent>
            <w:p>
              <w:pPr>
                <w:widowControl w:val="0"/>
                <w:suppressAutoHyphens/>
                <w:ind w:firstLine="567"/>
                <w:jc w:val="both"/>
                <w:rPr>
                  <w:color w:val="000000"/>
                </w:rPr>
              </w:pPr>
              <w:sdt>
                <w:sdtPr>
                  <w:alias w:val="Numeris"/>
                  <w:tag w:val="nr_6dcb2aea801f422ea587f4aa52ec97f3"/>
                  <w:lock w:val="sdtLocked"/>
                  <w:richText/>
                </w:sdtPr>
                <w:sdtContent>
                  <w:r>
                    <w:rPr>
                      <w:color w:val="000000"/>
                    </w:rPr>
                    <w:t>6</w:t>
                  </w:r>
                </w:sdtContent>
              </w:sdt>
              <w:r>
                <w:rPr>
                  <w:color w:val="000000"/>
                </w:rPr>
                <w:t xml:space="preserve">. </w:t>
              </w:r>
              <w:r>
                <w:rPr>
                  <w:color w:val="000000"/>
                  <w:spacing w:val="60"/>
                </w:rPr>
                <w:t>Nustata</w:t>
              </w:r>
              <w:r>
                <w:rPr>
                  <w:color w:val="000000"/>
                </w:rPr>
                <w:t>u, kad šiuo įsakymu patvirtin</w:t>
              </w:r>
              <w:r>
                <w:rPr>
                  <w:color w:val="000000"/>
                  <w:spacing w:val="-2"/>
                </w:rPr>
                <w:t xml:space="preserve">tas Tvarkos aprašas įsigalioja 2010 m. birželio 11 d. ir nuo šios datos </w:t>
              </w:r>
              <w:r>
                <w:rPr>
                  <w:color w:val="000000"/>
                  <w:spacing w:val="60"/>
                </w:rPr>
                <w:t>pripažįstu</w:t>
              </w:r>
              <w:r>
                <w:rPr>
                  <w:color w:val="000000"/>
                </w:rPr>
                <w:t xml:space="preserve"> netekusiais galios:</w:t>
              </w:r>
            </w:p>
            <w:sdt>
              <w:sdtPr>
                <w:alias w:val="6.1 p."/>
                <w:tag w:val="part_1ebeb34f48e24ea98c192cbc28b1d08a"/>
                <w:lock w:val="sdtLocked"/>
                <w:richText/>
              </w:sdtPr>
              <w:sdtContent>
                <w:p>
                  <w:pPr>
                    <w:widowControl w:val="0"/>
                    <w:suppressAutoHyphens/>
                    <w:ind w:firstLine="567"/>
                    <w:jc w:val="both"/>
                    <w:rPr>
                      <w:color w:val="000000"/>
                    </w:rPr>
                  </w:pPr>
                  <w:sdt>
                    <w:sdtPr>
                      <w:alias w:val="Numeris"/>
                      <w:tag w:val="nr_1ebeb34f48e24ea98c192cbc28b1d08a"/>
                      <w:lock w:val="sdtLocked"/>
                      <w:richText/>
                    </w:sdtPr>
                    <w:sdtContent>
                      <w:r>
                        <w:rPr>
                          <w:color w:val="000000"/>
                        </w:rPr>
                        <w:t>6.1</w:t>
                      </w:r>
                    </w:sdtContent>
                  </w:sdt>
                  <w:r>
                    <w:rPr>
                      <w:color w:val="000000"/>
                    </w:rPr>
                    <w:t xml:space="preserve">. Lietuvos Respublikos aplinkos ministro 2003 m. spalio 23 d. įsakymą Nr. 517 „Dėl aplinkos oro kokybės vertinimo programos patvirtinimo“ (Žin., 2003, Nr. </w:t>
                  </w:r>
                  <w:hyperlink r:id="rId19" w:tgtFrame="_blank" w:history="1">
                    <w:r>
                      <w:rPr>
                        <w:color w:val="0000FF" w:themeColor="hyperlink"/>
                        <w:u w:val="single"/>
                      </w:rPr>
                      <w:t>103-4618</w:t>
                    </w:r>
                  </w:hyperlink>
                  <w:r>
                    <w:rPr>
                      <w:color w:val="000000"/>
                    </w:rPr>
                    <w:t>);</w:t>
                  </w:r>
                </w:p>
              </w:sdtContent>
            </w:sdt>
            <w:sdt>
              <w:sdtPr>
                <w:alias w:val="6.2 p."/>
                <w:tag w:val="part_9e403b4474f142ffbb51f2b215d14768"/>
                <w:lock w:val="sdtLocked"/>
                <w:richText/>
              </w:sdtPr>
              <w:sdtContent>
                <w:p>
                  <w:pPr>
                    <w:widowControl w:val="0"/>
                    <w:suppressAutoHyphens/>
                    <w:ind w:firstLine="567"/>
                    <w:jc w:val="both"/>
                    <w:rPr>
                      <w:color w:val="000000"/>
                    </w:rPr>
                  </w:pPr>
                  <w:sdt>
                    <w:sdtPr>
                      <w:alias w:val="Numeris"/>
                      <w:tag w:val="nr_9e403b4474f142ffbb51f2b215d14768"/>
                      <w:lock w:val="sdtLocked"/>
                      <w:richText/>
                    </w:sdtPr>
                    <w:sdtContent>
                      <w:r>
                        <w:rPr>
                          <w:color w:val="000000"/>
                        </w:rPr>
                        <w:t>6.2</w:t>
                      </w:r>
                    </w:sdtContent>
                  </w:sdt>
                  <w:r>
                    <w:rPr>
                      <w:color w:val="000000"/>
                    </w:rPr>
                    <w:t xml:space="preserve">. Lietuvos Respublikos aplinkos ministro 2005 m. sausio 17 d. įsakymą Nr. D1-30 „Dėl aplinkos ministro 2003 m. spalio 23 d. įsakymo Nr. 517 „Dėl aplinkos oro kokybės vertinimo programos patvirtinimo“ pakeitimo“ (Žin., 2005, Nr. </w:t>
                  </w:r>
                  <w:hyperlink r:id="rId20" w:tgtFrame="_blank" w:history="1">
                    <w:r>
                      <w:rPr>
                        <w:color w:val="0000FF" w:themeColor="hyperlink"/>
                        <w:u w:val="single"/>
                      </w:rPr>
                      <w:t>14-440</w:t>
                    </w:r>
                  </w:hyperlink>
                  <w:r>
                    <w:rPr>
                      <w:color w:val="000000"/>
                    </w:rPr>
                    <w:t>).</w:t>
                  </w:r>
                </w:p>
                <w:p>
                  <w:pPr>
                    <w:widowControl w:val="0"/>
                    <w:suppressAutoHyphens/>
                    <w:jc w:val="both"/>
                    <w:rPr>
                      <w:color w:val="000000"/>
                    </w:rPr>
                  </w:pPr>
                </w:p>
                <w:p>
                  <w:pPr>
                    <w:widowControl w:val="0"/>
                    <w:suppressAutoHyphens/>
                    <w:jc w:val="both"/>
                    <w:rPr>
                      <w:color w:val="000000"/>
                    </w:rPr>
                  </w:pPr>
                </w:p>
              </w:sdtContent>
            </w:sdt>
          </w:sdtContent>
        </w:sdt>
        <w:sdt>
          <w:sdtPr>
            <w:alias w:val="signatura"/>
            <w:tag w:val="part_ad289ac9e8c04ddfb5bd02130aaa2af5"/>
            <w:lock w:val="sdtLocked"/>
            <w:richText/>
          </w:sdtPr>
          <w:sdtContent>
            <w:p>
              <w:pPr>
                <w:widowControl w:val="0"/>
                <w:tabs>
                  <w:tab w:val="right" w:pos="9071"/>
                </w:tabs>
                <w:suppressAutoHyphens/>
                <w:rPr>
                  <w:caps/>
                  <w:color w:val="000000"/>
                </w:rPr>
              </w:pPr>
              <w:r>
                <w:rPr>
                  <w:caps/>
                  <w:color w:val="000000"/>
                </w:rPr>
                <w:t xml:space="preserve">Aplinkos ministras </w:t>
                <w:tab/>
                <w:t>Gediminas Kazlauskas</w:t>
              </w:r>
            </w:p>
          </w:sdtContent>
        </w:sdt>
      </w:sdtContent>
    </w:sdt>
    <w:sdt>
      <w:sdtPr>
        <w:alias w:val="patvirtinta"/>
        <w:tag w:val="part_ad105fb3d9c74a839b37e645707e6ddd"/>
        <w:lock w:val="sdtLocked"/>
        <w:richText/>
      </w:sdtPr>
      <w:sdtContent>
        <w:p>
          <w:pPr>
            <w:widowControl w:val="0"/>
            <w:suppressAutoHyphens/>
            <w:ind w:firstLine="5102"/>
            <w:rPr>
              <w:color w:val="000000"/>
            </w:rPr>
          </w:pPr>
          <w:r>
            <w:rPr>
              <w:color w:val="000000"/>
            </w:rPr>
            <w:br w:type="page"/>
          </w:r>
        </w:p>
        <w:p>
          <w:pPr>
            <w:widowControl w:val="0"/>
            <w:suppressAutoHyphens/>
            <w:ind w:firstLine="5102"/>
            <w:rPr>
              <w:color w:val="000000"/>
            </w:rPr>
          </w:pPr>
          <w:r>
            <w:rPr>
              <w:color w:val="000000"/>
            </w:rPr>
            <w:t>PATVIRTINTA</w:t>
          </w:r>
        </w:p>
        <w:p>
          <w:pPr>
            <w:widowControl w:val="0"/>
            <w:suppressAutoHyphens/>
            <w:ind w:firstLine="5102"/>
            <w:rPr>
              <w:color w:val="000000"/>
            </w:rPr>
          </w:pPr>
          <w:r>
            <w:rPr>
              <w:color w:val="000000"/>
            </w:rPr>
            <w:t xml:space="preserve">Lietuvos Respublikos aplinkos ministro </w:t>
          </w:r>
        </w:p>
        <w:p>
          <w:pPr>
            <w:widowControl w:val="0"/>
            <w:suppressAutoHyphens/>
            <w:ind w:firstLine="5102"/>
            <w:rPr>
              <w:color w:val="000000"/>
            </w:rPr>
          </w:pPr>
          <w:r>
            <w:rPr>
              <w:color w:val="000000"/>
            </w:rPr>
            <w:t>2001 m. gruodžio 12 d. įsakymu Nr. 596</w:t>
          </w:r>
        </w:p>
        <w:p>
          <w:pPr>
            <w:widowControl w:val="0"/>
            <w:suppressAutoHyphens/>
            <w:ind w:firstLine="5102"/>
            <w:rPr>
              <w:color w:val="000000"/>
            </w:rPr>
          </w:pPr>
          <w:r>
            <w:rPr>
              <w:color w:val="000000"/>
            </w:rPr>
            <w:t xml:space="preserve">(Lietuvos Respublikos aplinkos ministro </w:t>
          </w:r>
        </w:p>
        <w:p>
          <w:pPr>
            <w:widowControl w:val="0"/>
            <w:suppressAutoHyphens/>
            <w:ind w:firstLine="5102"/>
            <w:rPr>
              <w:color w:val="000000"/>
            </w:rPr>
          </w:pPr>
          <w:r>
            <w:rPr>
              <w:color w:val="000000"/>
            </w:rPr>
            <w:t xml:space="preserve">2010 m. balandžio 6 d. </w:t>
          </w:r>
        </w:p>
        <w:p>
          <w:pPr>
            <w:widowControl w:val="0"/>
            <w:suppressAutoHyphens/>
            <w:ind w:firstLine="5102"/>
            <w:rPr>
              <w:color w:val="000000"/>
            </w:rPr>
          </w:pPr>
          <w:r>
            <w:rPr>
              <w:color w:val="000000"/>
            </w:rPr>
            <w:t>įsakymo Nr. D1-279 redakcija)</w:t>
          </w:r>
        </w:p>
        <w:p>
          <w:pPr>
            <w:widowControl w:val="0"/>
            <w:suppressAutoHyphens/>
            <w:jc w:val="both"/>
            <w:rPr>
              <w:color w:val="000000"/>
            </w:rPr>
          </w:pPr>
        </w:p>
        <w:p>
          <w:pPr>
            <w:widowControl w:val="0"/>
            <w:suppressAutoHyphens/>
            <w:jc w:val="center"/>
            <w:rPr>
              <w:b/>
              <w:bCs/>
              <w:caps/>
              <w:color w:val="000000"/>
            </w:rPr>
          </w:pPr>
          <w:sdt>
            <w:sdtPr>
              <w:alias w:val="Pavadinimas"/>
              <w:tag w:val="title_ad105fb3d9c74a839b37e645707e6ddd"/>
              <w:lock w:val="sdtLocked"/>
              <w:richText/>
            </w:sdtPr>
            <w:sdtContent>
              <w:r>
                <w:rPr>
                  <w:b/>
                  <w:bCs/>
                  <w:caps/>
                  <w:color w:val="000000"/>
                </w:rPr>
                <w:t>APLINKOS ORO kokybės vertinimo tvarkos aprašas</w:t>
              </w:r>
            </w:sdtContent>
          </w:sdt>
        </w:p>
        <w:p>
          <w:pPr>
            <w:widowControl w:val="0"/>
            <w:suppressAutoHyphens/>
            <w:jc w:val="center"/>
            <w:rPr>
              <w:b/>
              <w:bCs/>
              <w:caps/>
              <w:color w:val="000000"/>
            </w:rPr>
          </w:pPr>
        </w:p>
        <w:sdt>
          <w:sdtPr>
            <w:alias w:val="skyrius"/>
            <w:tag w:val="part_e8bb65bb3f3b4ea585594078e7dc4bae"/>
            <w:lock w:val="sdtLocked"/>
            <w:richText/>
          </w:sdtPr>
          <w:sdtContent>
            <w:p>
              <w:pPr>
                <w:widowControl w:val="0"/>
                <w:suppressAutoHyphens/>
                <w:jc w:val="center"/>
                <w:rPr>
                  <w:b/>
                  <w:bCs/>
                  <w:caps/>
                  <w:color w:val="000000"/>
                </w:rPr>
              </w:pPr>
              <w:sdt>
                <w:sdtPr>
                  <w:alias w:val="Numeris"/>
                  <w:tag w:val="nr_e8bb65bb3f3b4ea585594078e7dc4bae"/>
                  <w:lock w:val="sdtLocked"/>
                  <w:richText/>
                </w:sdtPr>
                <w:sdtContent>
                  <w:r>
                    <w:rPr>
                      <w:b/>
                      <w:bCs/>
                      <w:caps/>
                      <w:color w:val="000000"/>
                    </w:rPr>
                    <w:t>I</w:t>
                  </w:r>
                </w:sdtContent>
              </w:sdt>
              <w:r>
                <w:rPr>
                  <w:b/>
                  <w:bCs/>
                  <w:caps/>
                  <w:color w:val="000000"/>
                </w:rPr>
                <w:t xml:space="preserve"> SKYRIUS. </w:t>
              </w:r>
              <w:sdt>
                <w:sdtPr>
                  <w:alias w:val="Pavadinimas"/>
                  <w:tag w:val="title_e8bb65bb3f3b4ea585594078e7dc4bae"/>
                  <w:lock w:val="sdtLocked"/>
                  <w:richText/>
                </w:sdtPr>
                <w:sdtContent>
                  <w:r>
                    <w:rPr>
                      <w:b/>
                      <w:bCs/>
                      <w:caps/>
                      <w:color w:val="000000"/>
                    </w:rPr>
                    <w:t>BENDROSios nuostatos</w:t>
                  </w:r>
                </w:sdtContent>
              </w:sdt>
            </w:p>
            <w:p>
              <w:pPr>
                <w:widowControl w:val="0"/>
                <w:suppressAutoHyphens/>
                <w:jc w:val="both"/>
                <w:rPr>
                  <w:color w:val="000000"/>
                </w:rPr>
              </w:pPr>
            </w:p>
            <w:sdt>
              <w:sdtPr>
                <w:alias w:val="1 p."/>
                <w:tag w:val="part_237265e6d82941e88309e6aabf772db6"/>
                <w:lock w:val="sdtLocked"/>
                <w:richText/>
              </w:sdtPr>
              <w:sdtContent>
                <w:p>
                  <w:pPr>
                    <w:widowControl w:val="0"/>
                    <w:suppressAutoHyphens/>
                    <w:ind w:firstLine="567"/>
                    <w:jc w:val="both"/>
                    <w:rPr>
                      <w:color w:val="000000"/>
                    </w:rPr>
                  </w:pPr>
                  <w:sdt>
                    <w:sdtPr>
                      <w:alias w:val="Numeris"/>
                      <w:tag w:val="nr_237265e6d82941e88309e6aabf772db6"/>
                      <w:lock w:val="sdtLocked"/>
                      <w:richText/>
                    </w:sdtPr>
                    <w:sdtContent>
                      <w:r>
                        <w:rPr>
                          <w:color w:val="000000"/>
                        </w:rPr>
                        <w:t>1</w:t>
                      </w:r>
                    </w:sdtContent>
                  </w:sdt>
                  <w:r>
                    <w:rPr>
                      <w:color w:val="000000"/>
                    </w:rPr>
                    <w:t>. Aplinkos oro kokybės vertinimo tvarkos aprašas (toliau – Tvarkos aprašas), parengtas pagal 2008 m. gegužės 21 d. Europos Parlamento ir Tarybos direktyvą 2008/50/EB dėl aplinkos oro kokybės ir švaresnio oro Europoje (OL 2008 L 152, p. 1) (toliau – Oro kokybės direktyva), nustato reikalavimus aplinkos oro užterštumo tam tikrais teršalais lygio vertinimui (vertinimo tvarką, vertinimo kriterijus, reikalavimus ėminių ėmimo vietų parinkimui, pamatinių matavimo metodų taikymui, taršos iš gamtinių teršimo šaltinių ir dėl kietųjų dalelių resuspensijos, kai žiemą keliai barstomi smėliu ar druska, vertinimui), visuomenės informavimui ir su vertinimu susijusios informacijos ir duomenų teikimui Europos Komisijai (toliau – Komisija). Toks aplinkos oro kokybės vertinimas reikalingas:</w:t>
                  </w:r>
                </w:p>
                <w:sdt>
                  <w:sdtPr>
                    <w:alias w:val="1.1 p."/>
                    <w:tag w:val="part_9d66078ee2c9460597944288e8505d9d"/>
                    <w:lock w:val="sdtLocked"/>
                    <w:richText/>
                  </w:sdtPr>
                  <w:sdtContent>
                    <w:p>
                      <w:pPr>
                        <w:widowControl w:val="0"/>
                        <w:suppressAutoHyphens/>
                        <w:ind w:firstLine="567"/>
                        <w:jc w:val="both"/>
                        <w:rPr>
                          <w:color w:val="000000"/>
                        </w:rPr>
                      </w:pPr>
                      <w:sdt>
                        <w:sdtPr>
                          <w:alias w:val="Numeris"/>
                          <w:tag w:val="nr_9d66078ee2c9460597944288e8505d9d"/>
                          <w:lock w:val="sdtLocked"/>
                          <w:richText/>
                        </w:sdtPr>
                        <w:sdtContent>
                          <w:r>
                            <w:rPr>
                              <w:color w:val="000000"/>
                            </w:rPr>
                            <w:t>1.1</w:t>
                          </w:r>
                        </w:sdtContent>
                      </w:sdt>
                      <w:r>
                        <w:rPr>
                          <w:color w:val="000000"/>
                        </w:rPr>
                        <w:t xml:space="preserve">. gauti informaciją apie aplinkos oro kokybę siekiant ją valdyti, įskaitant aplinkos oro kokybės gerinimą ten, kur yra viršijamos arba kyla grėsmė viršyti aplinkos oro užterštumo normas, nustatytas Aplinkos oro užterštumo normose, patvirtintose Lietuvos Respublikos aplinkos ministro ir Lietuvos Respublikos sveikatos apsaugos ministro 2001 m. gruodžio 11 d. įsakymu Nr. 591/640 (Žin., 2001, Nr. </w:t>
                      </w:r>
                      <w:hyperlink r:id="rId21" w:tgtFrame="_blank" w:history="1">
                        <w:r>
                          <w:rPr>
                            <w:color w:val="0000FF" w:themeColor="hyperlink"/>
                            <w:u w:val="single"/>
                          </w:rPr>
                          <w:t>106-3827</w:t>
                        </w:r>
                      </w:hyperlink>
                      <w:r>
                        <w:rPr>
                          <w:color w:val="000000"/>
                        </w:rPr>
                        <w:t xml:space="preserve">; 2010, Nr. </w:t>
                      </w:r>
                      <w:hyperlink r:id="rId22" w:tgtFrame="_blank" w:history="1">
                        <w:r>
                          <w:rPr>
                            <w:color w:val="0000FF" w:themeColor="hyperlink"/>
                            <w:u w:val="single"/>
                          </w:rPr>
                          <w:t>2-87</w:t>
                        </w:r>
                      </w:hyperlink>
                      <w:r>
                        <w:rPr>
                          <w:color w:val="000000"/>
                        </w:rPr>
                        <w:t xml:space="preserve">), ir Ozono aplinkos ore normose ir vertinimo taisyklėse, patvirtintose Lietuvos Respublikos aplinkos ministro ir Lietuvos Respublikos sveikatos apsaugos ministro 2002 m. spalio 17 d. įsakymu Nr. 544/508 (Žin., 2002, Nr. </w:t>
                      </w:r>
                      <w:hyperlink r:id="rId23" w:tgtFrame="_blank" w:history="1">
                        <w:r>
                          <w:rPr>
                            <w:color w:val="0000FF" w:themeColor="hyperlink"/>
                            <w:u w:val="single"/>
                          </w:rPr>
                          <w:t>105-4731</w:t>
                        </w:r>
                      </w:hyperlink>
                      <w:r>
                        <w:rPr>
                          <w:color w:val="000000"/>
                        </w:rPr>
                        <w:t>) (toliau – Normos (kai kalbama apie abu minėtus dokumentus), Ozono normos (kai kalbama apie Ozono aplinkos ore normas ir vertinimo taisykles), aplinkos oro užterštumo normos (kai kalbama apie aplinkos oro užterštumo lygius), ir kiek galima geresnės aplinkos oro kokybės palaikymą ten, kur užterštumo lygis nesiekia aplinkos oro užterštumo normų;</w:t>
                      </w:r>
                    </w:p>
                  </w:sdtContent>
                </w:sdt>
                <w:sdt>
                  <w:sdtPr>
                    <w:alias w:val="1.2 p."/>
                    <w:tag w:val="part_2c0dbea9654c496fbff6e74bd63fc45f"/>
                    <w:lock w:val="sdtLocked"/>
                    <w:richText/>
                  </w:sdtPr>
                  <w:sdtContent>
                    <w:p>
                      <w:pPr>
                        <w:widowControl w:val="0"/>
                        <w:suppressAutoHyphens/>
                        <w:ind w:firstLine="567"/>
                        <w:jc w:val="both"/>
                        <w:rPr>
                          <w:color w:val="000000"/>
                        </w:rPr>
                      </w:pPr>
                      <w:sdt>
                        <w:sdtPr>
                          <w:alias w:val="Numeris"/>
                          <w:tag w:val="nr_2c0dbea9654c496fbff6e74bd63fc45f"/>
                          <w:lock w:val="sdtLocked"/>
                          <w:richText/>
                        </w:sdtPr>
                        <w:sdtContent>
                          <w:r>
                            <w:rPr>
                              <w:color w:val="000000"/>
                            </w:rPr>
                            <w:t>1.2</w:t>
                          </w:r>
                        </w:sdtContent>
                      </w:sdt>
                      <w:r>
                        <w:rPr>
                          <w:color w:val="000000"/>
                        </w:rPr>
                        <w:t>. informuoti visuomenę apie aplinkos oro užterštumo lygį.</w:t>
                      </w:r>
                    </w:p>
                  </w:sdtContent>
                </w:sdt>
              </w:sdtContent>
            </w:sdt>
            <w:sdt>
              <w:sdtPr>
                <w:alias w:val="2 p."/>
                <w:tag w:val="part_719d80b65a5c4b9ca4a34a6be91a0bba"/>
                <w:lock w:val="sdtLocked"/>
                <w:richText/>
              </w:sdtPr>
              <w:sdtContent>
                <w:p>
                  <w:pPr>
                    <w:widowControl w:val="0"/>
                    <w:suppressAutoHyphens/>
                    <w:ind w:firstLine="567"/>
                    <w:jc w:val="both"/>
                    <w:rPr>
                      <w:color w:val="000000"/>
                    </w:rPr>
                  </w:pPr>
                  <w:sdt>
                    <w:sdtPr>
                      <w:alias w:val="Numeris"/>
                      <w:tag w:val="nr_719d80b65a5c4b9ca4a34a6be91a0bba"/>
                      <w:lock w:val="sdtLocked"/>
                      <w:richText/>
                    </w:sdtPr>
                    <w:sdtContent>
                      <w:r>
                        <w:rPr>
                          <w:color w:val="000000"/>
                        </w:rPr>
                        <w:t>2</w:t>
                      </w:r>
                    </w:sdtContent>
                  </w:sdt>
                  <w:r>
                    <w:rPr>
                      <w:color w:val="000000"/>
                    </w:rPr>
                    <w:t>. Tvarkos apraše vartojamos sąvokos:</w:t>
                  </w:r>
                </w:p>
                <w:p>
                  <w:pPr>
                    <w:widowControl w:val="0"/>
                    <w:suppressAutoHyphens/>
                    <w:ind w:firstLine="567"/>
                    <w:jc w:val="both"/>
                    <w:rPr>
                      <w:b/>
                      <w:bCs/>
                      <w:color w:val="000000"/>
                    </w:rPr>
                  </w:pPr>
                  <w:r>
                    <w:rPr>
                      <w:b/>
                      <w:bCs/>
                      <w:color w:val="000000"/>
                    </w:rPr>
                    <w:t>aglomeracija</w:t>
                  </w:r>
                  <w:r>
                    <w:rPr>
                      <w:color w:val="000000"/>
                    </w:rPr>
                    <w:t xml:space="preserve"> – zona, kuri yra miesto teritorija ir kurioje gyvena daugiau nei 250 000 gyventojų arba kurioje dėl gyventojų tankumo (gyventojų skaičiaus kvadratiniame kilometre) būtina vertinti ir valdyti aplinkos oro kokybę;</w:t>
                  </w:r>
                </w:p>
                <w:p>
                  <w:pPr>
                    <w:widowControl w:val="0"/>
                    <w:suppressAutoHyphens/>
                    <w:ind w:firstLine="567"/>
                    <w:jc w:val="both"/>
                    <w:rPr>
                      <w:i/>
                      <w:iCs/>
                      <w:color w:val="000000"/>
                    </w:rPr>
                  </w:pPr>
                  <w:r>
                    <w:rPr>
                      <w:b/>
                      <w:bCs/>
                      <w:color w:val="000000"/>
                    </w:rPr>
                    <w:t xml:space="preserve">aplinkos oras </w:t>
                  </w:r>
                  <w:r>
                    <w:rPr>
                      <w:color w:val="000000"/>
                    </w:rPr>
                    <w:t xml:space="preserve">– troposferos oras (ne patalpų), išskyrus darbo aplinkos (darbovietės), apibrėžtos Darboviečių įrengimo bendruosiuose nuostatuose, patvirtintuose Lietuvos Respublikos socialinės apsaugos ir darbo ministro ir Lietuvos Respublikos sveikatos apsaugos ministro 1998 m. gegužės 5 d. įsakymu Nr. 85/233 (Žin., 1998, Nr. </w:t>
                  </w:r>
                  <w:hyperlink r:id="rId24" w:tgtFrame="_blank" w:history="1">
                    <w:r>
                      <w:rPr>
                        <w:color w:val="0000FF" w:themeColor="hyperlink"/>
                        <w:u w:val="single"/>
                      </w:rPr>
                      <w:t>44-1224</w:t>
                    </w:r>
                  </w:hyperlink>
                  <w:r>
                    <w:rPr>
                      <w:color w:val="000000"/>
                    </w:rPr>
                    <w:t>), kuriai taikomos nuostatos dėl sveikatos apsaugos ir saugos darbe ir su kuriuo visuomenė neturi reguliaraus sąlyčio, orą;</w:t>
                  </w:r>
                </w:p>
                <w:p>
                  <w:pPr>
                    <w:widowControl w:val="0"/>
                    <w:suppressAutoHyphens/>
                    <w:ind w:firstLine="567"/>
                    <w:jc w:val="both"/>
                    <w:rPr>
                      <w:color w:val="000000"/>
                    </w:rPr>
                  </w:pPr>
                  <w:r>
                    <w:rPr>
                      <w:b/>
                      <w:bCs/>
                      <w:color w:val="000000"/>
                    </w:rPr>
                    <w:t xml:space="preserve">azoto oksidai </w:t>
                  </w:r>
                  <w:r>
                    <w:rPr>
                      <w:color w:val="000000"/>
                    </w:rPr>
                    <w:t>– azoto monoksido (azoto oksido) ir azoto dioksido milijardinių tūrio santykinių dalių suma, išreikšta azoto dioksido masės koncentracijos vienetais</w:t>
                  </w:r>
                  <w:r>
                    <w:rPr>
                      <w:b/>
                      <w:bCs/>
                      <w:color w:val="000000"/>
                    </w:rPr>
                    <w:t xml:space="preserve"> </w:t>
                  </w:r>
                  <w:r>
                    <w:rPr>
                      <w:color w:val="000000"/>
                    </w:rPr>
                    <w:t>(mikrogramais kubiniame metre);</w:t>
                  </w:r>
                </w:p>
                <w:p>
                  <w:pPr>
                    <w:widowControl w:val="0"/>
                    <w:suppressAutoHyphens/>
                    <w:ind w:firstLine="567"/>
                    <w:jc w:val="both"/>
                    <w:rPr>
                      <w:color w:val="000000"/>
                    </w:rPr>
                  </w:pPr>
                  <w:r>
                    <w:rPr>
                      <w:b/>
                      <w:bCs/>
                      <w:color w:val="000000"/>
                    </w:rPr>
                    <w:t xml:space="preserve">fiksuoti matavimai – </w:t>
                  </w:r>
                  <w:r>
                    <w:rPr>
                      <w:color w:val="000000"/>
                    </w:rPr>
                    <w:t>matavimai, atliekami nustatytose vietose imant mėginius ištisai arba atsitiktinai, siekiant nustatyti užterštumo lygį pagal atitinkamus duomenų kokybės tikslus (matavimų skaičius turi būti pakankamas, kad leistų nustatyti esamą užterštumo lygį);</w:t>
                  </w:r>
                </w:p>
                <w:p>
                  <w:pPr>
                    <w:widowControl w:val="0"/>
                    <w:suppressAutoHyphens/>
                    <w:ind w:firstLine="567"/>
                    <w:jc w:val="both"/>
                    <w:rPr>
                      <w:b/>
                      <w:bCs/>
                      <w:color w:val="000000"/>
                    </w:rPr>
                  </w:pPr>
                  <w:r>
                    <w:rPr>
                      <w:b/>
                      <w:bCs/>
                      <w:color w:val="000000"/>
                    </w:rPr>
                    <w:t>ilgalaikis tikslas</w:t>
                  </w:r>
                  <w:r>
                    <w:rPr>
                      <w:color w:val="000000"/>
                    </w:rPr>
                    <w:t xml:space="preserve"> – aplinkos oro užterštumo lygis, kuris, siekiant apsaugoti žmonių sveikatą ir aplinką, turi būti pasiektas per ilgą laiką, išskyrus atvejus, kai jo neįmanoma pasiekti naudojant proporcingas priemones;</w:t>
                  </w:r>
                </w:p>
                <w:p>
                  <w:pPr>
                    <w:widowControl w:val="0"/>
                    <w:suppressAutoHyphens/>
                    <w:ind w:firstLine="567"/>
                    <w:jc w:val="both"/>
                    <w:rPr>
                      <w:color w:val="000000"/>
                    </w:rPr>
                  </w:pPr>
                  <w:r>
                    <w:rPr>
                      <w:b/>
                      <w:bCs/>
                      <w:color w:val="000000"/>
                    </w:rPr>
                    <w:t>indikatoriniai matavimai</w:t>
                  </w:r>
                  <w:r>
                    <w:rPr>
                      <w:color w:val="000000"/>
                    </w:rPr>
                    <w:t xml:space="preserve"> – matavimai, kurie atitinka mažiau griežtus duomenų kokybės tikslus nei tie, kurie taikomi fiksuotiems matavimams;</w:t>
                  </w:r>
                </w:p>
                <w:p>
                  <w:pPr>
                    <w:widowControl w:val="0"/>
                    <w:suppressAutoHyphens/>
                    <w:ind w:firstLine="567"/>
                    <w:jc w:val="both"/>
                    <w:rPr>
                      <w:b/>
                      <w:bCs/>
                      <w:color w:val="000000"/>
                    </w:rPr>
                  </w:pPr>
                  <w:r>
                    <w:rPr>
                      <w:b/>
                      <w:bCs/>
                      <w:color w:val="000000"/>
                    </w:rPr>
                    <w:t>informavimo slenkstis</w:t>
                  </w:r>
                  <w:r>
                    <w:rPr>
                      <w:color w:val="000000"/>
                    </w:rPr>
                    <w:t xml:space="preserve"> – užterštumo lygis, kurį viršijus kyla pavojus ypatingai jautrioms aplinkos oro užterštumui gyventojų grupėms net dėl trumpalaikio poveikio ir kuriam esant būtina skubiai pateikti tinkamą informaciją visuomenei;</w:t>
                  </w:r>
                </w:p>
                <w:p>
                  <w:pPr>
                    <w:widowControl w:val="0"/>
                    <w:suppressAutoHyphens/>
                    <w:ind w:firstLine="567"/>
                    <w:jc w:val="both"/>
                    <w:rPr>
                      <w:i/>
                      <w:iCs/>
                      <w:color w:val="000000"/>
                    </w:rPr>
                  </w:pPr>
                  <w:r>
                    <w:rPr>
                      <w:b/>
                      <w:bCs/>
                      <w:color w:val="000000"/>
                    </w:rPr>
                    <w:t>įsipareigojimas dėl poveikio koncentracijos</w:t>
                  </w:r>
                  <w:r>
                    <w:rPr>
                      <w:color w:val="000000"/>
                    </w:rPr>
                    <w:t xml:space="preserve"> – remiantis vidutinio poveikio rodikliu nustatytas aplinkos oro užterštumo lygis, iki kurio per nustatytą laikotarpį turi būti sumažintas aplinkos oro užterštumo lygis siekiant sumažinti kenksmingą poveikį žmonių sveikatai;</w:t>
                  </w:r>
                </w:p>
                <w:p>
                  <w:pPr>
                    <w:widowControl w:val="0"/>
                    <w:suppressAutoHyphens/>
                    <w:ind w:firstLine="567"/>
                    <w:jc w:val="both"/>
                    <w:rPr>
                      <w:color w:val="000000"/>
                    </w:rPr>
                  </w:pPr>
                  <w:r>
                    <w:rPr>
                      <w:b/>
                      <w:bCs/>
                      <w:color w:val="000000"/>
                    </w:rPr>
                    <w:t>kietosios dalelės KD</w:t>
                  </w:r>
                  <w:r>
                    <w:rPr>
                      <w:b/>
                      <w:bCs/>
                      <w:color w:val="000000"/>
                      <w:vertAlign w:val="subscript"/>
                    </w:rPr>
                    <w:t>10</w:t>
                  </w:r>
                  <w:r>
                    <w:rPr>
                      <w:b/>
                      <w:bCs/>
                      <w:color w:val="000000"/>
                    </w:rPr>
                    <w:t xml:space="preserve"> </w:t>
                  </w:r>
                  <w:r>
                    <w:rPr>
                      <w:color w:val="000000"/>
                    </w:rPr>
                    <w:t>– kietosios dalelės, kurių 50 % praeina pro joms pralaidžią 10 µm aerodinaminio diametro angą</w:t>
                  </w:r>
                  <w:r>
                    <w:rPr>
                      <w:b/>
                      <w:bCs/>
                      <w:color w:val="000000"/>
                    </w:rPr>
                    <w:t xml:space="preserve">, </w:t>
                  </w:r>
                  <w:r>
                    <w:rPr>
                      <w:color w:val="000000"/>
                    </w:rPr>
                    <w:t>kaip nustatyta pamatiniu KD</w:t>
                  </w:r>
                  <w:r>
                    <w:rPr>
                      <w:color w:val="000000"/>
                      <w:vertAlign w:val="subscript"/>
                    </w:rPr>
                    <w:t>10</w:t>
                  </w:r>
                  <w:r>
                    <w:rPr>
                      <w:color w:val="000000"/>
                    </w:rPr>
                    <w:t xml:space="preserve"> ėminių ėmimo ir matavimo metodu, LST EN 12341:2000;</w:t>
                  </w:r>
                </w:p>
                <w:p>
                  <w:pPr>
                    <w:widowControl w:val="0"/>
                    <w:suppressAutoHyphens/>
                    <w:ind w:firstLine="567"/>
                    <w:jc w:val="both"/>
                    <w:rPr>
                      <w:b/>
                      <w:bCs/>
                      <w:color w:val="000000"/>
                    </w:rPr>
                  </w:pPr>
                  <w:r>
                    <w:rPr>
                      <w:b/>
                      <w:bCs/>
                      <w:color w:val="000000"/>
                    </w:rPr>
                    <w:t>kietosios dalelės KD</w:t>
                  </w:r>
                  <w:r>
                    <w:rPr>
                      <w:b/>
                      <w:bCs/>
                      <w:color w:val="000000"/>
                      <w:vertAlign w:val="subscript"/>
                    </w:rPr>
                    <w:t>2,5</w:t>
                  </w:r>
                  <w:r>
                    <w:rPr>
                      <w:b/>
                      <w:bCs/>
                      <w:color w:val="000000"/>
                    </w:rPr>
                    <w:t xml:space="preserve"> </w:t>
                  </w:r>
                  <w:r>
                    <w:rPr>
                      <w:color w:val="000000"/>
                    </w:rPr>
                    <w:t>– kietosios dalelės, kurių 50 % praeina pro joms pralaidžią 2,5 µm aerodinaminio diametro angą</w:t>
                  </w:r>
                  <w:r>
                    <w:rPr>
                      <w:b/>
                      <w:bCs/>
                      <w:color w:val="000000"/>
                    </w:rPr>
                    <w:t xml:space="preserve">, </w:t>
                  </w:r>
                  <w:r>
                    <w:rPr>
                      <w:color w:val="000000"/>
                    </w:rPr>
                    <w:t>kaip nustatyta pamatiniu KD</w:t>
                  </w:r>
                  <w:r>
                    <w:rPr>
                      <w:color w:val="000000"/>
                      <w:vertAlign w:val="subscript"/>
                    </w:rPr>
                    <w:t>2,5</w:t>
                  </w:r>
                  <w:r>
                    <w:rPr>
                      <w:color w:val="000000"/>
                    </w:rPr>
                    <w:t xml:space="preserve"> ėminių ėmimo ir matavimo metodu, LST EN 14907:2005;</w:t>
                  </w:r>
                </w:p>
                <w:p>
                  <w:pPr>
                    <w:widowControl w:val="0"/>
                    <w:suppressAutoHyphens/>
                    <w:ind w:firstLine="567"/>
                    <w:jc w:val="both"/>
                    <w:rPr>
                      <w:b/>
                      <w:bCs/>
                      <w:color w:val="000000"/>
                    </w:rPr>
                  </w:pPr>
                  <w:r>
                    <w:rPr>
                      <w:b/>
                      <w:bCs/>
                      <w:color w:val="000000"/>
                    </w:rPr>
                    <w:t>kritinis užterštumo lygis</w:t>
                  </w:r>
                  <w:r>
                    <w:rPr>
                      <w:color w:val="000000"/>
                    </w:rPr>
                    <w:t xml:space="preserve"> – remiantis mokslo žiniomis nustatytas aplinkos oro užterštumo lygis, kurį viršijus kai kurie receptoriai, pavyzdžiui, medžiai, kiti augalai arba natūralios ekosistemos, bet ne žmonės, gali patirti tiesioginį neigiamą poveikį;</w:t>
                  </w:r>
                </w:p>
                <w:p>
                  <w:pPr>
                    <w:widowControl w:val="0"/>
                    <w:suppressAutoHyphens/>
                    <w:ind w:firstLine="567"/>
                    <w:jc w:val="both"/>
                    <w:rPr>
                      <w:b/>
                      <w:bCs/>
                      <w:color w:val="000000"/>
                    </w:rPr>
                  </w:pPr>
                  <w:r>
                    <w:rPr>
                      <w:b/>
                      <w:bCs/>
                      <w:color w:val="000000"/>
                    </w:rPr>
                    <w:t xml:space="preserve">leistinas nukrypimo dydis </w:t>
                  </w:r>
                  <w:r>
                    <w:rPr>
                      <w:color w:val="000000"/>
                    </w:rPr>
                    <w:t>– procentinė ribinės vertės dalis, kuria leidžiama viršyti šią ribinę vertę, esant Normose nustatytoms sąlygoms;</w:t>
                  </w:r>
                </w:p>
                <w:p>
                  <w:pPr>
                    <w:widowControl w:val="0"/>
                    <w:suppressAutoHyphens/>
                    <w:ind w:firstLine="567"/>
                    <w:jc w:val="both"/>
                    <w:rPr>
                      <w:b/>
                      <w:bCs/>
                      <w:color w:val="000000"/>
                    </w:rPr>
                  </w:pPr>
                  <w:r>
                    <w:rPr>
                      <w:b/>
                      <w:bCs/>
                      <w:color w:val="000000"/>
                    </w:rPr>
                    <w:t>miesto foninės vietovės</w:t>
                  </w:r>
                  <w:r>
                    <w:rPr>
                      <w:color w:val="000000"/>
                    </w:rPr>
                    <w:t xml:space="preserve"> – vietos miesto teritorijoje, kur lygiai atspindi tipinį aplinkos oro kokybės poveikį visiems miesto gyventojams;</w:t>
                  </w:r>
                </w:p>
                <w:p>
                  <w:pPr>
                    <w:widowControl w:val="0"/>
                    <w:suppressAutoHyphens/>
                    <w:ind w:firstLine="567"/>
                    <w:jc w:val="both"/>
                    <w:rPr>
                      <w:color w:val="000000"/>
                    </w:rPr>
                  </w:pPr>
                  <w:r>
                    <w:rPr>
                      <w:b/>
                      <w:bCs/>
                      <w:color w:val="000000"/>
                    </w:rPr>
                    <w:t xml:space="preserve">nacionalinis poveikio sumažinimo uždavinys </w:t>
                  </w:r>
                  <w:r>
                    <w:rPr>
                      <w:color w:val="000000"/>
                    </w:rPr>
                    <w:t>– procentais išreikštas ataskaitiniams metams nustatyto vidutinio poveikio rodiklio sumažinimas,</w:t>
                  </w:r>
                  <w:r>
                    <w:rPr>
                      <w:i/>
                      <w:iCs/>
                      <w:color w:val="000000"/>
                    </w:rPr>
                    <w:t xml:space="preserve"> </w:t>
                  </w:r>
                  <w:r>
                    <w:rPr>
                      <w:color w:val="000000"/>
                    </w:rPr>
                    <w:t>kuris, siekiant sumažinti kenksmingą poveikį žmonių sveikatai, kur įmanoma, turi būti įvykdytas per nustatytą laikotarpį;</w:t>
                  </w:r>
                </w:p>
                <w:p>
                  <w:pPr>
                    <w:widowControl w:val="0"/>
                    <w:suppressAutoHyphens/>
                    <w:ind w:firstLine="567"/>
                    <w:jc w:val="both"/>
                    <w:rPr>
                      <w:color w:val="000000"/>
                    </w:rPr>
                  </w:pPr>
                  <w:r>
                    <w:rPr>
                      <w:b/>
                      <w:bCs/>
                      <w:color w:val="000000"/>
                    </w:rPr>
                    <w:t>ozono pirmtakų (prekursorių) medžiagos</w:t>
                  </w:r>
                  <w:r>
                    <w:rPr>
                      <w:color w:val="000000"/>
                    </w:rPr>
                    <w:t xml:space="preserve"> – medžiagos, kurių dalis yra išvardyta šio Tvarkos aprašo 10 priede, turinčios įtakos pažemio ozono susidarymui;</w:t>
                  </w:r>
                </w:p>
                <w:p>
                  <w:pPr>
                    <w:widowControl w:val="0"/>
                    <w:suppressAutoHyphens/>
                    <w:ind w:firstLine="567"/>
                    <w:jc w:val="both"/>
                    <w:rPr>
                      <w:color w:val="000000"/>
                    </w:rPr>
                  </w:pPr>
                  <w:r>
                    <w:rPr>
                      <w:b/>
                      <w:bCs/>
                      <w:color w:val="000000"/>
                    </w:rPr>
                    <w:t xml:space="preserve">pavojaus slenkstis </w:t>
                  </w:r>
                  <w:r>
                    <w:rPr>
                      <w:color w:val="000000"/>
                    </w:rPr>
                    <w:t>– aplinkos oro užterštumo lygis, kurį viršijus kyla pavojus žmonių sveikatai net dėl trumpalaikio poveikio ir kuriam esant atsakingos institucijos turi imtis skubių priemonių;</w:t>
                  </w:r>
                </w:p>
                <w:p>
                  <w:pPr>
                    <w:widowControl w:val="0"/>
                    <w:suppressAutoHyphens/>
                    <w:ind w:firstLine="567"/>
                    <w:jc w:val="both"/>
                    <w:rPr>
                      <w:color w:val="000000"/>
                    </w:rPr>
                  </w:pPr>
                  <w:r>
                    <w:rPr>
                      <w:b/>
                      <w:bCs/>
                      <w:color w:val="000000"/>
                    </w:rPr>
                    <w:t>ribinė vertė</w:t>
                  </w:r>
                  <w:r>
                    <w:rPr>
                      <w:color w:val="000000"/>
                    </w:rPr>
                    <w:t xml:space="preserve"> – mokslinėmis žiniomis pagrįstas aplinkos oro užterštumo lygis, nustatytas siekiant išvengti, užkirsti kelią ar sumažinti kenksmingą poveikį žmogaus sveikatai ir (ar) aplinkai, kuris turi būti pasiektas per nustatytą laiką, o pasiekus neturi būti viršijamas;</w:t>
                  </w:r>
                </w:p>
                <w:p>
                  <w:pPr>
                    <w:widowControl w:val="0"/>
                    <w:suppressAutoHyphens/>
                    <w:ind w:firstLine="567"/>
                    <w:jc w:val="both"/>
                    <w:rPr>
                      <w:b/>
                      <w:bCs/>
                      <w:color w:val="000000"/>
                    </w:rPr>
                  </w:pPr>
                  <w:r>
                    <w:rPr>
                      <w:b/>
                      <w:bCs/>
                      <w:color w:val="000000"/>
                    </w:rPr>
                    <w:t xml:space="preserve">siektina vertė </w:t>
                  </w:r>
                  <w:r>
                    <w:rPr>
                      <w:color w:val="000000"/>
                    </w:rPr>
                    <w:t>– aplinkos</w:t>
                  </w:r>
                  <w:r>
                    <w:rPr>
                      <w:b/>
                      <w:bCs/>
                      <w:color w:val="000000"/>
                    </w:rPr>
                    <w:t xml:space="preserve"> </w:t>
                  </w:r>
                  <w:r>
                    <w:rPr>
                      <w:color w:val="000000"/>
                    </w:rPr>
                    <w:t>oro užterštumo lygis, nustatytas siekiant išvengti, užkirsti kelią ar sumažinti kenksmingą poveikį žmonių sveikatai ir (arba) aplinkai, kuris turi būti pasiektas, jei įmanoma, per nustatytą laiką;</w:t>
                  </w:r>
                </w:p>
                <w:p>
                  <w:pPr>
                    <w:widowControl w:val="0"/>
                    <w:suppressAutoHyphens/>
                    <w:ind w:firstLine="567"/>
                    <w:jc w:val="both"/>
                    <w:rPr>
                      <w:color w:val="000000"/>
                    </w:rPr>
                  </w:pPr>
                  <w:r>
                    <w:rPr>
                      <w:b/>
                      <w:bCs/>
                      <w:color w:val="000000"/>
                    </w:rPr>
                    <w:t xml:space="preserve">teršalas </w:t>
                  </w:r>
                  <w:r>
                    <w:rPr>
                      <w:color w:val="000000"/>
                    </w:rPr>
                    <w:t>–</w:t>
                  </w:r>
                  <w:r>
                    <w:rPr>
                      <w:b/>
                      <w:bCs/>
                      <w:color w:val="000000"/>
                    </w:rPr>
                    <w:t xml:space="preserve"> </w:t>
                  </w:r>
                  <w:r>
                    <w:rPr>
                      <w:color w:val="000000"/>
                    </w:rPr>
                    <w:t>medžiaga, esanti aplinkos ore ir galinti pakenkti žmonių sveikatai ir (arba) aplinkai;</w:t>
                  </w:r>
                </w:p>
                <w:p>
                  <w:pPr>
                    <w:widowControl w:val="0"/>
                    <w:suppressAutoHyphens/>
                    <w:ind w:firstLine="567"/>
                    <w:jc w:val="both"/>
                    <w:rPr>
                      <w:color w:val="000000"/>
                    </w:rPr>
                  </w:pPr>
                  <w:r>
                    <w:rPr>
                      <w:b/>
                      <w:bCs/>
                      <w:color w:val="000000"/>
                    </w:rPr>
                    <w:t>teršimas iš gamtinių šaltinių</w:t>
                  </w:r>
                  <w:r>
                    <w:rPr>
                      <w:color w:val="000000"/>
                    </w:rPr>
                    <w:t xml:space="preserve"> – teršalų išmetimas į atmosferą ne dėl tiesioginės ar netiesioginės žmonių veiklos, bet dėl gamtinių įvykių, pavyzdžiui, ugnikalnių išsiveržimo, seisminių reiškinių, geoterminių reiškinių, laukinės gamtos plotų gaisrų, vėjo audrų, bangomūšos, atmosferinės resuspensijos arba natūralių dalelių pernešimo iš sauso klimato regionų;</w:t>
                  </w:r>
                </w:p>
                <w:p>
                  <w:pPr>
                    <w:widowControl w:val="0"/>
                    <w:suppressAutoHyphens/>
                    <w:ind w:firstLine="567"/>
                    <w:jc w:val="both"/>
                    <w:rPr>
                      <w:color w:val="000000"/>
                    </w:rPr>
                  </w:pPr>
                  <w:r>
                    <w:rPr>
                      <w:b/>
                      <w:bCs/>
                      <w:color w:val="000000"/>
                    </w:rPr>
                    <w:t xml:space="preserve">užterštumo lygis </w:t>
                  </w:r>
                  <w:r>
                    <w:rPr>
                      <w:color w:val="000000"/>
                    </w:rPr>
                    <w:t>– teršalo koncentracija aplinkos ore arba jo nusėdimo dydis paviršiuje per tam tikrą laiką;</w:t>
                  </w:r>
                </w:p>
                <w:p>
                  <w:pPr>
                    <w:widowControl w:val="0"/>
                    <w:suppressAutoHyphens/>
                    <w:ind w:firstLine="567"/>
                    <w:jc w:val="both"/>
                    <w:rPr>
                      <w:color w:val="000000"/>
                    </w:rPr>
                  </w:pPr>
                  <w:r>
                    <w:rPr>
                      <w:b/>
                      <w:bCs/>
                      <w:color w:val="000000"/>
                    </w:rPr>
                    <w:t xml:space="preserve">vertinimas </w:t>
                  </w:r>
                  <w:r>
                    <w:rPr>
                      <w:color w:val="000000"/>
                    </w:rPr>
                    <w:t>– bet koks</w:t>
                  </w:r>
                  <w:r>
                    <w:rPr>
                      <w:b/>
                      <w:bCs/>
                      <w:color w:val="000000"/>
                    </w:rPr>
                    <w:t xml:space="preserve"> </w:t>
                  </w:r>
                  <w:r>
                    <w:rPr>
                      <w:color w:val="000000"/>
                    </w:rPr>
                    <w:t>metodas, naudojamas pamatuoti, apskaičiuoti, numatyti (prognozuoti) ar įvertinti aplinkos oro užterštumo lygį;</w:t>
                  </w:r>
                </w:p>
                <w:p>
                  <w:pPr>
                    <w:widowControl w:val="0"/>
                    <w:suppressAutoHyphens/>
                    <w:ind w:firstLine="567"/>
                    <w:jc w:val="both"/>
                    <w:rPr>
                      <w:color w:val="000000"/>
                    </w:rPr>
                  </w:pPr>
                  <w:r>
                    <w:rPr>
                      <w:b/>
                      <w:bCs/>
                      <w:color w:val="000000"/>
                    </w:rPr>
                    <w:t xml:space="preserve">vidutinio poveikio rodiklis </w:t>
                  </w:r>
                  <w:r>
                    <w:rPr>
                      <w:color w:val="000000"/>
                    </w:rPr>
                    <w:t>– vidutinis aplinkos oro užterštumo lygis, nustatomas pagal matavimus foninėse miesto vietovėse visoje šalies teritorijoje ir kuris atspindi taršos poveikį šalies gyventojams. Juo remiantis apskaičiuojamas nacionalinis poveikio sumažinimo uždavinys ir įsipareigojimas dėl poveikio koncentracijos;</w:t>
                  </w:r>
                </w:p>
                <w:p>
                  <w:pPr>
                    <w:widowControl w:val="0"/>
                    <w:suppressAutoHyphens/>
                    <w:ind w:firstLine="567"/>
                    <w:jc w:val="both"/>
                    <w:rPr>
                      <w:color w:val="000000"/>
                    </w:rPr>
                  </w:pPr>
                  <w:r>
                    <w:rPr>
                      <w:b/>
                      <w:bCs/>
                      <w:color w:val="000000"/>
                    </w:rPr>
                    <w:t xml:space="preserve">viršutinė vertinimo riba </w:t>
                  </w:r>
                  <w:r>
                    <w:rPr>
                      <w:color w:val="000000"/>
                    </w:rPr>
                    <w:t>–</w:t>
                  </w:r>
                  <w:r>
                    <w:rPr>
                      <w:b/>
                      <w:bCs/>
                      <w:color w:val="000000"/>
                    </w:rPr>
                    <w:t xml:space="preserve"> </w:t>
                  </w:r>
                  <w:r>
                    <w:rPr>
                      <w:color w:val="000000"/>
                    </w:rPr>
                    <w:t>užterštumo lygis, žemiau kurio galima aplinkos oro kokybę vertinti naudojant fiksuotų matavimų ir modeliavimo metodų ir (arba) indikatorinių matavimų derinį;</w:t>
                  </w:r>
                </w:p>
                <w:p>
                  <w:pPr>
                    <w:widowControl w:val="0"/>
                    <w:suppressAutoHyphens/>
                    <w:ind w:firstLine="567"/>
                    <w:jc w:val="both"/>
                    <w:rPr>
                      <w:color w:val="000000"/>
                    </w:rPr>
                  </w:pPr>
                  <w:r>
                    <w:rPr>
                      <w:b/>
                      <w:bCs/>
                      <w:color w:val="000000"/>
                    </w:rPr>
                    <w:t xml:space="preserve">zona </w:t>
                  </w:r>
                  <w:r>
                    <w:rPr>
                      <w:color w:val="000000"/>
                    </w:rPr>
                    <w:t>– aplinkos oro kokybės vertinimui ir valdymui Lietuvos Respublikos aplinkos ministro ir Lietuvos Respublikos sveikatos apsaugos ministro įsakymu nustatyta šalies teritorijos dalis;</w:t>
                  </w:r>
                </w:p>
                <w:p>
                  <w:pPr>
                    <w:widowControl w:val="0"/>
                    <w:suppressAutoHyphens/>
                    <w:ind w:firstLine="567"/>
                    <w:jc w:val="both"/>
                    <w:rPr>
                      <w:color w:val="000000"/>
                    </w:rPr>
                  </w:pPr>
                  <w:r>
                    <w:rPr>
                      <w:b/>
                      <w:bCs/>
                      <w:color w:val="000000"/>
                    </w:rPr>
                    <w:t xml:space="preserve">žemutinė vertinimo riba </w:t>
                  </w:r>
                  <w:r>
                    <w:rPr>
                      <w:color w:val="000000"/>
                    </w:rPr>
                    <w:t>– užterštumo lygis, žemiau kurio galima aplinkos oro kokybę vertinti naudojant vien tik modeliavimo arba objektyvaus vertinimo metodą.</w:t>
                  </w:r>
                </w:p>
                <w:p>
                  <w:pPr>
                    <w:widowControl w:val="0"/>
                    <w:suppressAutoHyphens/>
                    <w:ind w:firstLine="567"/>
                    <w:jc w:val="both"/>
                    <w:rPr>
                      <w:color w:val="000000"/>
                    </w:rPr>
                  </w:pPr>
                </w:p>
              </w:sdtContent>
            </w:sdt>
          </w:sdtContent>
        </w:sdt>
        <w:sdt>
          <w:sdtPr>
            <w:alias w:val="skyrius"/>
            <w:tag w:val="part_0e5ccfea6c2e4797bc4bcdf2939f64f6"/>
            <w:lock w:val="sdtLocked"/>
            <w:richText/>
          </w:sdtPr>
          <w:sdtContent>
            <w:p>
              <w:pPr>
                <w:widowControl w:val="0"/>
                <w:suppressAutoHyphens/>
                <w:jc w:val="center"/>
                <w:rPr>
                  <w:b/>
                  <w:bCs/>
                  <w:caps/>
                  <w:color w:val="000000"/>
                </w:rPr>
              </w:pPr>
              <w:sdt>
                <w:sdtPr>
                  <w:alias w:val="Numeris"/>
                  <w:tag w:val="nr_0e5ccfea6c2e4797bc4bcdf2939f64f6"/>
                  <w:lock w:val="sdtLocked"/>
                  <w:richText/>
                </w:sdtPr>
                <w:sdtContent>
                  <w:r>
                    <w:rPr>
                      <w:b/>
                      <w:bCs/>
                      <w:caps/>
                      <w:color w:val="000000"/>
                    </w:rPr>
                    <w:t>II</w:t>
                  </w:r>
                </w:sdtContent>
              </w:sdt>
              <w:r>
                <w:rPr>
                  <w:b/>
                  <w:bCs/>
                  <w:caps/>
                  <w:color w:val="000000"/>
                </w:rPr>
                <w:t xml:space="preserve"> SKYRIUS. </w:t>
              </w:r>
              <w:sdt>
                <w:sdtPr>
                  <w:alias w:val="Pavadinimas"/>
                  <w:tag w:val="title_0e5ccfea6c2e4797bc4bcdf2939f64f6"/>
                  <w:lock w:val="sdtLocked"/>
                  <w:richText/>
                </w:sdtPr>
                <w:sdtContent>
                  <w:r>
                    <w:rPr>
                      <w:b/>
                      <w:bCs/>
                      <w:caps/>
                      <w:color w:val="000000"/>
                    </w:rPr>
                    <w:t>REIKALAVIMAI APLINKOS ORO UŽTERŠTUMO SIEROS DIOKSIDU, AZOTO DIOKSIDU IR AZOTO OKSIDAIS, BENZENU, ANGLIES MONOKSIDU, ŠVINU IR KIETOSIOMIS DALELĖMIS VERTINIMUI</w:t>
                  </w:r>
                </w:sdtContent>
              </w:sdt>
            </w:p>
            <w:p>
              <w:pPr>
                <w:widowControl w:val="0"/>
                <w:suppressAutoHyphens/>
                <w:jc w:val="center"/>
                <w:rPr>
                  <w:b/>
                  <w:bCs/>
                  <w:caps/>
                  <w:color w:val="000000"/>
                </w:rPr>
              </w:pPr>
            </w:p>
          </w:sdtContent>
        </w:sdt>
        <w:sdt>
          <w:sdtPr>
            <w:alias w:val="skyrius"/>
            <w:tag w:val="part_cbef144dd05f420789b62d3c7821199d"/>
            <w:lock w:val="sdtLocked"/>
            <w:richText/>
          </w:sdtPr>
          <w:sdtContent>
            <w:p>
              <w:pPr>
                <w:widowControl w:val="0"/>
                <w:suppressAutoHyphens/>
                <w:jc w:val="center"/>
                <w:rPr>
                  <w:b/>
                  <w:bCs/>
                  <w:caps/>
                  <w:color w:val="000000"/>
                </w:rPr>
              </w:pPr>
              <w:sdt>
                <w:sdtPr>
                  <w:alias w:val="Numeris"/>
                  <w:tag w:val="nr_cbef144dd05f420789b62d3c7821199d"/>
                  <w:lock w:val="sdtLocked"/>
                  <w:richText/>
                </w:sdtPr>
                <w:sdtContent>
                  <w:r>
                    <w:rPr>
                      <w:b/>
                      <w:bCs/>
                      <w:caps/>
                      <w:color w:val="000000"/>
                    </w:rPr>
                    <w:t>I</w:t>
                  </w:r>
                </w:sdtContent>
              </w:sdt>
              <w:r>
                <w:rPr>
                  <w:b/>
                  <w:bCs/>
                  <w:caps/>
                  <w:color w:val="000000"/>
                </w:rPr>
                <w:t xml:space="preserve">. </w:t>
              </w:r>
              <w:sdt>
                <w:sdtPr>
                  <w:alias w:val="Pavadinimas"/>
                  <w:tag w:val="title_cbef144dd05f420789b62d3c7821199d"/>
                  <w:lock w:val="sdtLocked"/>
                  <w:richText/>
                </w:sdtPr>
                <w:sdtContent>
                  <w:r>
                    <w:rPr>
                      <w:b/>
                      <w:bCs/>
                      <w:caps/>
                      <w:color w:val="000000"/>
                    </w:rPr>
                    <w:t>VERTINIMO TVARKA</w:t>
                  </w:r>
                </w:sdtContent>
              </w:sdt>
            </w:p>
            <w:p>
              <w:pPr>
                <w:widowControl w:val="0"/>
                <w:suppressAutoHyphens/>
                <w:ind w:firstLine="567"/>
                <w:jc w:val="both"/>
                <w:rPr>
                  <w:color w:val="000000"/>
                </w:rPr>
              </w:pPr>
            </w:p>
            <w:sdt>
              <w:sdtPr>
                <w:alias w:val="3 p."/>
                <w:tag w:val="part_f71d2a39a5c044afa457932cd19b4c04"/>
                <w:lock w:val="sdtLocked"/>
                <w:richText/>
              </w:sdtPr>
              <w:sdtContent>
                <w:p>
                  <w:pPr>
                    <w:widowControl w:val="0"/>
                    <w:suppressAutoHyphens/>
                    <w:ind w:firstLine="567"/>
                    <w:jc w:val="both"/>
                    <w:rPr>
                      <w:color w:val="000000"/>
                    </w:rPr>
                  </w:pPr>
                  <w:sdt>
                    <w:sdtPr>
                      <w:alias w:val="Numeris"/>
                      <w:tag w:val="nr_f71d2a39a5c044afa457932cd19b4c04"/>
                      <w:lock w:val="sdtLocked"/>
                      <w:richText/>
                    </w:sdtPr>
                    <w:sdtContent>
                      <w:r>
                        <w:rPr>
                          <w:color w:val="000000"/>
                        </w:rPr>
                        <w:t>3</w:t>
                      </w:r>
                    </w:sdtContent>
                  </w:sdt>
                  <w:r>
                    <w:rPr>
                      <w:color w:val="000000"/>
                    </w:rPr>
                    <w:t>. Sieros dioksido, azoto dioksido ir azoto oksidų, benzeno, anglies monoksido, švino ir kietųjų dalelių (KD</w:t>
                  </w:r>
                  <w:r>
                    <w:rPr>
                      <w:color w:val="000000"/>
                      <w:vertAlign w:val="subscript"/>
                    </w:rPr>
                    <w:t>10</w:t>
                  </w:r>
                  <w:r>
                    <w:rPr>
                      <w:color w:val="000000"/>
                    </w:rPr>
                    <w:t xml:space="preserve"> ir KD</w:t>
                  </w:r>
                  <w:r>
                    <w:rPr>
                      <w:color w:val="000000"/>
                      <w:vertAlign w:val="subscript"/>
                    </w:rPr>
                    <w:t>2,5</w:t>
                  </w:r>
                  <w:r>
                    <w:rPr>
                      <w:color w:val="000000"/>
                    </w:rPr>
                    <w:t>) (toliau – 3 punkte nurodyti teršalai) vertinimui taikomos viršutinė ir žemutinė vertinimo ribos, nustatytos Tvarkos aprašo 2 priedo I skyriuje.</w:t>
                  </w:r>
                </w:p>
              </w:sdtContent>
            </w:sdt>
            <w:sdt>
              <w:sdtPr>
                <w:alias w:val="4 p."/>
                <w:tag w:val="part_fe72646fceb6479db5888d7535b21364"/>
                <w:lock w:val="sdtLocked"/>
                <w:richText/>
              </w:sdtPr>
              <w:sdtContent>
                <w:p>
                  <w:pPr>
                    <w:widowControl w:val="0"/>
                    <w:suppressAutoHyphens/>
                    <w:ind w:firstLine="567"/>
                    <w:jc w:val="both"/>
                    <w:rPr>
                      <w:color w:val="000000"/>
                    </w:rPr>
                  </w:pPr>
                  <w:sdt>
                    <w:sdtPr>
                      <w:alias w:val="Numeris"/>
                      <w:tag w:val="nr_fe72646fceb6479db5888d7535b21364"/>
                      <w:lock w:val="sdtLocked"/>
                      <w:richText/>
                    </w:sdtPr>
                    <w:sdtContent>
                      <w:r>
                        <w:rPr>
                          <w:color w:val="000000"/>
                        </w:rPr>
                        <w:t>4</w:t>
                      </w:r>
                    </w:sdtContent>
                  </w:sdt>
                  <w:r>
                    <w:rPr>
                      <w:color w:val="000000"/>
                    </w:rPr>
                    <w:t>. Zonų ir aglomeracijų teritorijos 3 punkte nurodytiems teršalams vertinti ir valdyti klasifikuojamos ir jų ribos nustatomos pagal viršutinę ir žemutinę vertinimo ribas.</w:t>
                  </w:r>
                </w:p>
              </w:sdtContent>
            </w:sdt>
            <w:sdt>
              <w:sdtPr>
                <w:alias w:val="5 p."/>
                <w:tag w:val="part_b9a4f32cdc234dc1bcd2328283ade853"/>
                <w:lock w:val="sdtLocked"/>
                <w:richText/>
              </w:sdtPr>
              <w:sdtContent>
                <w:p>
                  <w:pPr>
                    <w:widowControl w:val="0"/>
                    <w:suppressAutoHyphens/>
                    <w:ind w:firstLine="567"/>
                    <w:jc w:val="both"/>
                    <w:rPr>
                      <w:color w:val="000000"/>
                    </w:rPr>
                  </w:pPr>
                  <w:sdt>
                    <w:sdtPr>
                      <w:alias w:val="Numeris"/>
                      <w:tag w:val="nr_b9a4f32cdc234dc1bcd2328283ade853"/>
                      <w:lock w:val="sdtLocked"/>
                      <w:richText/>
                    </w:sdtPr>
                    <w:sdtContent>
                      <w:r>
                        <w:rPr>
                          <w:color w:val="000000"/>
                        </w:rPr>
                        <w:t>5</w:t>
                      </w:r>
                    </w:sdtContent>
                  </w:sdt>
                  <w:r>
                    <w:rPr>
                      <w:color w:val="000000"/>
                    </w:rPr>
                    <w:t>. Zonų ir aglomeracijų teritorijos peržiūrimos ir sąrašai tikslinami mažiausiai kartą per penkerius metus Tvarkos aprašo 2 priedo II skyriuje nustatyta tvarka. Tais atvejais, kai dėl ūkinės veiklos labai pasikeičia 3 punkte nurodytų teršalų koncentracija aplinkos ore, zonų ir aglomeracijų klasifikacija pagal aplinkos oro užterštumo lygį turi būti peržiūrima dažniau.</w:t>
                  </w:r>
                </w:p>
              </w:sdtContent>
            </w:sdt>
            <w:sdt>
              <w:sdtPr>
                <w:alias w:val="6 p."/>
                <w:tag w:val="part_d8a5896783ae478bb5144018e0b61f80"/>
                <w:lock w:val="sdtLocked"/>
                <w:richText/>
              </w:sdtPr>
              <w:sdtContent>
                <w:p>
                  <w:pPr>
                    <w:widowControl w:val="0"/>
                    <w:suppressAutoHyphens/>
                    <w:ind w:firstLine="567"/>
                    <w:jc w:val="both"/>
                    <w:rPr>
                      <w:color w:val="000000"/>
                    </w:rPr>
                  </w:pPr>
                  <w:sdt>
                    <w:sdtPr>
                      <w:alias w:val="Numeris"/>
                      <w:tag w:val="nr_d8a5896783ae478bb5144018e0b61f80"/>
                      <w:lock w:val="sdtLocked"/>
                      <w:richText/>
                    </w:sdtPr>
                    <w:sdtContent>
                      <w:r>
                        <w:rPr>
                          <w:color w:val="000000"/>
                        </w:rPr>
                        <w:t>6</w:t>
                      </w:r>
                    </w:sdtContent>
                  </w:sdt>
                  <w:r>
                    <w:rPr>
                      <w:color w:val="000000"/>
                    </w:rPr>
                    <w:t>. Aplinkos oro užterštumo sieros dioksidu ir azoto oksidais lygiui įvertinti šiems teršalams nustatytų kritinių užterštumo lygių atžvilgiu, kai fiksuoti matavimai yra vienintelis oro kokybės vertinimo informacijos šaltinis, ėminių ėmimo vietų skaičius turi būti ne mažesnis už mažiausią Tvarkos aprašo 5 priedo III skyriuje nustatytą skaičių. Kai šią informaciją papildo indikatoriniai matavimai arba modeliavimas, mažiausią ėminių ėmimo vietų skaičių galima sumažinti iki 50 %, jeigu atitinkamo teršalo koncentraciją galima nustatyti pagal Tvarkos aprašo 1 priedo I skyriuje nustatytus duomenų kokybės tikslus.</w:t>
                  </w:r>
                </w:p>
              </w:sdtContent>
            </w:sdt>
            <w:sdt>
              <w:sdtPr>
                <w:alias w:val="7 p."/>
                <w:tag w:val="part_56eff790f38a4964bc7aaf5524f502e2"/>
                <w:lock w:val="sdtLocked"/>
                <w:richText/>
              </w:sdtPr>
              <w:sdtContent>
                <w:p>
                  <w:pPr>
                    <w:widowControl w:val="0"/>
                    <w:suppressAutoHyphens/>
                    <w:ind w:firstLine="567"/>
                    <w:jc w:val="both"/>
                    <w:rPr>
                      <w:color w:val="000000"/>
                    </w:rPr>
                  </w:pPr>
                  <w:sdt>
                    <w:sdtPr>
                      <w:alias w:val="Numeris"/>
                      <w:tag w:val="nr_56eff790f38a4964bc7aaf5524f502e2"/>
                      <w:lock w:val="sdtLocked"/>
                      <w:richText/>
                    </w:sdtPr>
                    <w:sdtContent>
                      <w:r>
                        <w:rPr>
                          <w:color w:val="000000"/>
                        </w:rPr>
                        <w:t>7</w:t>
                      </w:r>
                    </w:sdtContent>
                  </w:sdt>
                  <w:r>
                    <w:rPr>
                      <w:color w:val="000000"/>
                    </w:rPr>
                    <w:t>. Turi būti pagal Tvarkos aprašo 12 priedą nustatomas vidutinio (kietųjų dalelių KD</w:t>
                  </w:r>
                  <w:r>
                    <w:rPr>
                      <w:color w:val="000000"/>
                      <w:vertAlign w:val="subscript"/>
                    </w:rPr>
                    <w:t>2,5</w:t>
                  </w:r>
                  <w:r>
                    <w:rPr>
                      <w:color w:val="000000"/>
                    </w:rPr>
                    <w:t>) poveikio rodiklis.</w:t>
                  </w:r>
                </w:p>
              </w:sdtContent>
            </w:sdt>
            <w:sdt>
              <w:sdtPr>
                <w:alias w:val="8 p."/>
                <w:tag w:val="part_9a141e9cfeef4ce683304ae72e1c2dbf"/>
                <w:lock w:val="sdtLocked"/>
                <w:richText/>
              </w:sdtPr>
              <w:sdtContent>
                <w:p>
                  <w:pPr>
                    <w:widowControl w:val="0"/>
                    <w:suppressAutoHyphens/>
                    <w:ind w:firstLine="567"/>
                    <w:jc w:val="both"/>
                    <w:rPr>
                      <w:color w:val="000000"/>
                    </w:rPr>
                  </w:pPr>
                  <w:sdt>
                    <w:sdtPr>
                      <w:alias w:val="Numeris"/>
                      <w:tag w:val="nr_9a141e9cfeef4ce683304ae72e1c2dbf"/>
                      <w:lock w:val="sdtLocked"/>
                      <w:richText/>
                    </w:sdtPr>
                    <w:sdtContent>
                      <w:r>
                        <w:rPr>
                          <w:color w:val="000000"/>
                        </w:rPr>
                        <w:t>8</w:t>
                      </w:r>
                    </w:sdtContent>
                  </w:sdt>
                  <w:r>
                    <w:rPr>
                      <w:color w:val="000000"/>
                    </w:rPr>
                    <w:t>. Pagal Tvarkos aprašo 3 priedo reikalavimus turi būti užtikrinama, kad ėminių ėmimo vietų, iš kurių gautais duomenimis remiantis nustatomas vidutinio (kietųjų dalelių KD</w:t>
                  </w:r>
                  <w:r>
                    <w:rPr>
                      <w:color w:val="000000"/>
                      <w:vertAlign w:val="subscript"/>
                    </w:rPr>
                    <w:t>2,5</w:t>
                  </w:r>
                  <w:r>
                    <w:rPr>
                      <w:color w:val="000000"/>
                    </w:rPr>
                    <w:t>) poveikio rodiklis, pasiskirstymas ir skaičius tinkamai atspindėtų poveikį visiems gyventojams. Siekiant laikytis Tvarkos aprašo 12 priede nurodytų terminų ir sąlygų, ėminių ėmimo vietų turi būti pakankamai ir ne mažiau negu reikalaujama 5 priedo II skyriuje.</w:t>
                  </w:r>
                </w:p>
                <w:p>
                  <w:pPr>
                    <w:widowControl w:val="0"/>
                    <w:suppressAutoHyphens/>
                    <w:ind w:firstLine="567"/>
                    <w:jc w:val="both"/>
                    <w:rPr>
                      <w:color w:val="000000"/>
                    </w:rPr>
                  </w:pPr>
                </w:p>
              </w:sdtContent>
            </w:sdt>
          </w:sdtContent>
        </w:sdt>
        <w:sdt>
          <w:sdtPr>
            <w:alias w:val="skyrius"/>
            <w:tag w:val="part_8a392c805de0469eb3d3cd2b326bb32c"/>
            <w:lock w:val="sdtLocked"/>
            <w:richText/>
          </w:sdtPr>
          <w:sdtContent>
            <w:p>
              <w:pPr>
                <w:widowControl w:val="0"/>
                <w:suppressAutoHyphens/>
                <w:jc w:val="center"/>
                <w:rPr>
                  <w:b/>
                  <w:bCs/>
                  <w:caps/>
                  <w:color w:val="000000"/>
                </w:rPr>
              </w:pPr>
              <w:sdt>
                <w:sdtPr>
                  <w:alias w:val="Numeris"/>
                  <w:tag w:val="nr_8a392c805de0469eb3d3cd2b326bb32c"/>
                  <w:lock w:val="sdtLocked"/>
                  <w:richText/>
                </w:sdtPr>
                <w:sdtContent>
                  <w:r>
                    <w:rPr>
                      <w:b/>
                      <w:bCs/>
                      <w:caps/>
                      <w:color w:val="000000"/>
                    </w:rPr>
                    <w:t>II</w:t>
                  </w:r>
                </w:sdtContent>
              </w:sdt>
              <w:r>
                <w:rPr>
                  <w:b/>
                  <w:bCs/>
                  <w:caps/>
                  <w:color w:val="000000"/>
                </w:rPr>
                <w:t xml:space="preserve">. </w:t>
              </w:r>
              <w:sdt>
                <w:sdtPr>
                  <w:alias w:val="Pavadinimas"/>
                  <w:tag w:val="title_8a392c805de0469eb3d3cd2b326bb32c"/>
                  <w:lock w:val="sdtLocked"/>
                  <w:richText/>
                </w:sdtPr>
                <w:sdtContent>
                  <w:r>
                    <w:rPr>
                      <w:b/>
                      <w:bCs/>
                      <w:caps/>
                      <w:color w:val="000000"/>
                    </w:rPr>
                    <w:t>VERTINIMO KRITERIJAI</w:t>
                  </w:r>
                </w:sdtContent>
              </w:sdt>
            </w:p>
            <w:p>
              <w:pPr>
                <w:widowControl w:val="0"/>
                <w:suppressAutoHyphens/>
                <w:ind w:firstLine="567"/>
                <w:jc w:val="both"/>
                <w:rPr>
                  <w:color w:val="000000"/>
                </w:rPr>
              </w:pPr>
            </w:p>
            <w:sdt>
              <w:sdtPr>
                <w:alias w:val="9 p."/>
                <w:tag w:val="part_b0d7d8dd11e94dbaac294fe35904afbf"/>
                <w:lock w:val="sdtLocked"/>
                <w:richText/>
              </w:sdtPr>
              <w:sdtContent>
                <w:p>
                  <w:pPr>
                    <w:widowControl w:val="0"/>
                    <w:suppressAutoHyphens/>
                    <w:ind w:firstLine="567"/>
                    <w:jc w:val="both"/>
                    <w:rPr>
                      <w:color w:val="000000"/>
                    </w:rPr>
                  </w:pPr>
                  <w:sdt>
                    <w:sdtPr>
                      <w:alias w:val="Numeris"/>
                      <w:tag w:val="nr_b0d7d8dd11e94dbaac294fe35904afbf"/>
                      <w:lock w:val="sdtLocked"/>
                      <w:richText/>
                    </w:sdtPr>
                    <w:sdtContent>
                      <w:r>
                        <w:rPr>
                          <w:color w:val="000000"/>
                        </w:rPr>
                        <w:t>9</w:t>
                      </w:r>
                    </w:sdtContent>
                  </w:sdt>
                  <w:r>
                    <w:rPr>
                      <w:color w:val="000000"/>
                    </w:rPr>
                    <w:t>. Aplinkos oro užterštumo lygis 3 punkte nurodytais teršalais turi būti vertinamas taikant Tvarkos aprašo 3 priede nustatytus ir toliau (9.1–9.3 punktuose) pateiktus kriterijus:</w:t>
                  </w:r>
                </w:p>
                <w:sdt>
                  <w:sdtPr>
                    <w:alias w:val="9.1 p."/>
                    <w:tag w:val="part_80cc506456fa4433b283e573fbdd3de3"/>
                    <w:lock w:val="sdtLocked"/>
                    <w:richText/>
                  </w:sdtPr>
                  <w:sdtContent>
                    <w:p>
                      <w:pPr>
                        <w:widowControl w:val="0"/>
                        <w:suppressAutoHyphens/>
                        <w:ind w:firstLine="567"/>
                        <w:jc w:val="both"/>
                        <w:rPr>
                          <w:color w:val="000000"/>
                        </w:rPr>
                      </w:pPr>
                      <w:sdt>
                        <w:sdtPr>
                          <w:alias w:val="Numeris"/>
                          <w:tag w:val="nr_80cc506456fa4433b283e573fbdd3de3"/>
                          <w:lock w:val="sdtLocked"/>
                          <w:richText/>
                        </w:sdtPr>
                        <w:sdtContent>
                          <w:r>
                            <w:rPr>
                              <w:color w:val="000000"/>
                            </w:rPr>
                            <w:t>9.1</w:t>
                          </w:r>
                        </w:sdtContent>
                      </w:sdt>
                      <w:r>
                        <w:rPr>
                          <w:color w:val="000000"/>
                        </w:rPr>
                        <w:t>. zonose ir aglomeracijose, kuriose aplinkos oro užterštumo lygis viršija tiems teršalams nustatytą viršutinę vertinimo ribą, aplinkos oro kokybė vertinama atliekant fiksuotus matavimus. Fiksuoti matavimai gali būti papildyti modeliavimo metodais ir (arba) indikatoriniais matavimais, kurie suteiktų tinkamos informacijos apie aplinkos oro kokybės geografinį pasiskirstymą;</w:t>
                      </w:r>
                    </w:p>
                  </w:sdtContent>
                </w:sdt>
                <w:sdt>
                  <w:sdtPr>
                    <w:alias w:val="9.2 p."/>
                    <w:tag w:val="part_6fb71b6ab1754190b0889b4eeb7ee309"/>
                    <w:lock w:val="sdtLocked"/>
                    <w:richText/>
                  </w:sdtPr>
                  <w:sdtContent>
                    <w:p>
                      <w:pPr>
                        <w:widowControl w:val="0"/>
                        <w:suppressAutoHyphens/>
                        <w:ind w:firstLine="567"/>
                        <w:jc w:val="both"/>
                        <w:rPr>
                          <w:color w:val="000000"/>
                        </w:rPr>
                      </w:pPr>
                      <w:sdt>
                        <w:sdtPr>
                          <w:alias w:val="Numeris"/>
                          <w:tag w:val="nr_6fb71b6ab1754190b0889b4eeb7ee309"/>
                          <w:lock w:val="sdtLocked"/>
                          <w:richText/>
                        </w:sdtPr>
                        <w:sdtContent>
                          <w:r>
                            <w:rPr>
                              <w:color w:val="000000"/>
                            </w:rPr>
                            <w:t>9.2</w:t>
                          </w:r>
                        </w:sdtContent>
                      </w:sdt>
                      <w:r>
                        <w:rPr>
                          <w:color w:val="000000"/>
                        </w:rPr>
                        <w:t>. zonose ir aglomeracijose, kuriose aplinkos oro užterštumo lygis yra žemesnis už tiems teršalams nustatytą viršutinę vertinimo ribą, vertinant aplinkos oro kokybę galima derinti fiksuotus matavimus ir modeliavimo metodus ir (arba) indikatorinius matavimus;</w:t>
                      </w:r>
                    </w:p>
                  </w:sdtContent>
                </w:sdt>
                <w:sdt>
                  <w:sdtPr>
                    <w:alias w:val="9.3 p."/>
                    <w:tag w:val="part_805d9eb22c4b47bdb074f89d382d9944"/>
                    <w:lock w:val="sdtLocked"/>
                    <w:richText/>
                  </w:sdtPr>
                  <w:sdtContent>
                    <w:p>
                      <w:pPr>
                        <w:widowControl w:val="0"/>
                        <w:suppressAutoHyphens/>
                        <w:ind w:firstLine="567"/>
                        <w:jc w:val="both"/>
                        <w:rPr>
                          <w:color w:val="000000"/>
                        </w:rPr>
                      </w:pPr>
                      <w:sdt>
                        <w:sdtPr>
                          <w:alias w:val="Numeris"/>
                          <w:tag w:val="nr_805d9eb22c4b47bdb074f89d382d9944"/>
                          <w:lock w:val="sdtLocked"/>
                          <w:richText/>
                        </w:sdtPr>
                        <w:sdtContent>
                          <w:r>
                            <w:rPr>
                              <w:color w:val="000000"/>
                            </w:rPr>
                            <w:t>9.3</w:t>
                          </w:r>
                        </w:sdtContent>
                      </w:sdt>
                      <w:r>
                        <w:rPr>
                          <w:color w:val="000000"/>
                        </w:rPr>
                        <w:t>. zonose ir aglomeracijose, kuriose aplinkos oro užterštumo lygis yra žemesnis už tiems teršalams nustatytą žemutinę vertinimo ribą, vertinant aplinkos oro kokybę pakanka naudoti modeliavimo arba objektyvaus vertinimo metodą arba naudoti šiuos metodus kartu.</w:t>
                      </w:r>
                    </w:p>
                  </w:sdtContent>
                </w:sdt>
              </w:sdtContent>
            </w:sdt>
            <w:sdt>
              <w:sdtPr>
                <w:alias w:val="10 p."/>
                <w:tag w:val="part_3914174f703d4ff79a8dd5d686e2dcf6"/>
                <w:lock w:val="sdtLocked"/>
                <w:richText/>
              </w:sdtPr>
              <w:sdtContent>
                <w:p>
                  <w:pPr>
                    <w:widowControl w:val="0"/>
                    <w:suppressAutoHyphens/>
                    <w:ind w:firstLine="567"/>
                    <w:jc w:val="both"/>
                    <w:rPr>
                      <w:color w:val="000000"/>
                    </w:rPr>
                  </w:pPr>
                  <w:sdt>
                    <w:sdtPr>
                      <w:alias w:val="Numeris"/>
                      <w:tag w:val="nr_3914174f703d4ff79a8dd5d686e2dcf6"/>
                      <w:lock w:val="sdtLocked"/>
                      <w:richText/>
                    </w:sdtPr>
                    <w:sdtContent>
                      <w:r>
                        <w:rPr>
                          <w:color w:val="000000"/>
                        </w:rPr>
                        <w:t>10</w:t>
                      </w:r>
                    </w:sdtContent>
                  </w:sdt>
                  <w:r>
                    <w:rPr>
                      <w:color w:val="000000"/>
                    </w:rPr>
                    <w:t>. Be 9.1–9.3 punktuose nurodytų kriterijų matavimai turi būti atliekami foninėse kaimo vietovėse, esančiose toliau nuo didelių oro taršos šaltinių, siekiant bent jau gauti informaciją apie kietųjų dalelių KD</w:t>
                  </w:r>
                  <w:r>
                    <w:rPr>
                      <w:color w:val="000000"/>
                      <w:vertAlign w:val="subscript"/>
                    </w:rPr>
                    <w:t>2,5</w:t>
                  </w:r>
                  <w:r>
                    <w:rPr>
                      <w:color w:val="000000"/>
                    </w:rPr>
                    <w:t xml:space="preserve"> bendrą masės koncentraciją ir jų cheminių sudedamųjų medžiagų koncentraciją (metinį vidurkį) ir atliekami taikant tokius kriterijus:</w:t>
                  </w:r>
                </w:p>
                <w:sdt>
                  <w:sdtPr>
                    <w:alias w:val="10.1 p."/>
                    <w:tag w:val="part_7b9647fd9e7a433086bbdf18a9677d45"/>
                    <w:lock w:val="sdtLocked"/>
                    <w:richText/>
                  </w:sdtPr>
                  <w:sdtContent>
                    <w:p>
                      <w:pPr>
                        <w:widowControl w:val="0"/>
                        <w:suppressAutoHyphens/>
                        <w:ind w:firstLine="567"/>
                        <w:jc w:val="both"/>
                        <w:rPr>
                          <w:color w:val="000000"/>
                        </w:rPr>
                      </w:pPr>
                      <w:sdt>
                        <w:sdtPr>
                          <w:alias w:val="Numeris"/>
                          <w:tag w:val="nr_7b9647fd9e7a433086bbdf18a9677d45"/>
                          <w:lock w:val="sdtLocked"/>
                          <w:richText/>
                        </w:sdtPr>
                        <w:sdtContent>
                          <w:r>
                            <w:rPr>
                              <w:color w:val="000000"/>
                            </w:rPr>
                            <w:t>10.1</w:t>
                          </w:r>
                        </w:sdtContent>
                      </w:sdt>
                      <w:r>
                        <w:rPr>
                          <w:color w:val="000000"/>
                        </w:rPr>
                        <w:t>. kiekvienuose 100 000 km</w:t>
                      </w:r>
                      <w:r>
                        <w:rPr>
                          <w:color w:val="000000"/>
                          <w:vertAlign w:val="superscript"/>
                        </w:rPr>
                        <w:t>2</w:t>
                      </w:r>
                      <w:r>
                        <w:rPr>
                          <w:color w:val="000000"/>
                        </w:rPr>
                        <w:t xml:space="preserve"> įsteigiama viena ėminių ėmimo vieta;</w:t>
                      </w:r>
                    </w:p>
                  </w:sdtContent>
                </w:sdt>
                <w:sdt>
                  <w:sdtPr>
                    <w:alias w:val="10.2 p."/>
                    <w:tag w:val="part_65e10198418348d2b85cacd759da984b"/>
                    <w:lock w:val="sdtLocked"/>
                    <w:richText/>
                  </w:sdtPr>
                  <w:sdtContent>
                    <w:p>
                      <w:pPr>
                        <w:widowControl w:val="0"/>
                        <w:suppressAutoHyphens/>
                        <w:ind w:firstLine="567"/>
                        <w:jc w:val="both"/>
                        <w:rPr>
                          <w:color w:val="000000"/>
                        </w:rPr>
                      </w:pPr>
                      <w:sdt>
                        <w:sdtPr>
                          <w:alias w:val="Numeris"/>
                          <w:tag w:val="nr_65e10198418348d2b85cacd759da984b"/>
                          <w:lock w:val="sdtLocked"/>
                          <w:richText/>
                        </w:sdtPr>
                        <w:sdtContent>
                          <w:r>
                            <w:rPr>
                              <w:color w:val="000000"/>
                            </w:rPr>
                            <w:t>10.2</w:t>
                          </w:r>
                        </w:sdtContent>
                      </w:sdt>
                      <w:r>
                        <w:rPr>
                          <w:color w:val="000000"/>
                        </w:rPr>
                        <w:t>. įsteigiama mažiausiai viena matavimo stotis arba, vadovaujantis Komisijos gairėmis susitarimams dėl bendrų matavimo stočių įkūrimo, susitarus su gretimomis valstybėmis narėmis, gali būti įsteigta viena arba keletas bendrų matavimo stočių atitinkamoms kaimyninėms zonoms, taip užtikrinant būtiną erdvinį išdėstymą;</w:t>
                      </w:r>
                    </w:p>
                  </w:sdtContent>
                </w:sdt>
                <w:sdt>
                  <w:sdtPr>
                    <w:alias w:val="10.3 p."/>
                    <w:tag w:val="part_9132fb53ac6c4626a0d764183427e2c0"/>
                    <w:lock w:val="sdtLocked"/>
                    <w:richText/>
                  </w:sdtPr>
                  <w:sdtContent>
                    <w:p>
                      <w:pPr>
                        <w:widowControl w:val="0"/>
                        <w:suppressAutoHyphens/>
                        <w:ind w:firstLine="567"/>
                        <w:jc w:val="both"/>
                        <w:rPr>
                          <w:color w:val="000000"/>
                        </w:rPr>
                      </w:pPr>
                      <w:sdt>
                        <w:sdtPr>
                          <w:alias w:val="Numeris"/>
                          <w:tag w:val="nr_9132fb53ac6c4626a0d764183427e2c0"/>
                          <w:lock w:val="sdtLocked"/>
                          <w:richText/>
                        </w:sdtPr>
                        <w:sdtContent>
                          <w:r>
                            <w:rPr>
                              <w:color w:val="000000"/>
                            </w:rPr>
                            <w:t>10.3</w:t>
                          </w:r>
                        </w:sdtContent>
                      </w:sdt>
                      <w:r>
                        <w:rPr>
                          <w:color w:val="000000"/>
                        </w:rPr>
                        <w:t>. tam tikrais atvejais monitoringas derinamas su Bendradarbiavimo programos tolimųjų oro teršalų pernašų Europoje monitoringo ir vertinimo srityje (EMEP) monitoringo strategija ir matavimo programa;</w:t>
                      </w:r>
                    </w:p>
                  </w:sdtContent>
                </w:sdt>
                <w:sdt>
                  <w:sdtPr>
                    <w:alias w:val="10.4 p."/>
                    <w:tag w:val="part_3409cb8bf6f54d06920959114d722f94"/>
                    <w:lock w:val="sdtLocked"/>
                    <w:richText/>
                  </w:sdtPr>
                  <w:sdtContent>
                    <w:p>
                      <w:pPr>
                        <w:widowControl w:val="0"/>
                        <w:suppressAutoHyphens/>
                        <w:ind w:firstLine="567"/>
                        <w:jc w:val="both"/>
                        <w:rPr>
                          <w:color w:val="000000"/>
                        </w:rPr>
                      </w:pPr>
                      <w:sdt>
                        <w:sdtPr>
                          <w:alias w:val="Numeris"/>
                          <w:tag w:val="nr_3409cb8bf6f54d06920959114d722f94"/>
                          <w:lock w:val="sdtLocked"/>
                          <w:richText/>
                        </w:sdtPr>
                        <w:sdtContent>
                          <w:r>
                            <w:rPr>
                              <w:color w:val="000000"/>
                            </w:rPr>
                            <w:t>10.4</w:t>
                          </w:r>
                        </w:sdtContent>
                      </w:sdt>
                      <w:r>
                        <w:rPr>
                          <w:color w:val="000000"/>
                        </w:rPr>
                        <w:t>. Tvarkos aprašo 1 priedo I ir III skyriai taikomi siekiant kietųjų dalelių masės koncentracijos matavimo duomenų kokybės tikslų, o 4 priedas taikomas visas.</w:t>
                      </w:r>
                    </w:p>
                  </w:sdtContent>
                </w:sdt>
              </w:sdtContent>
            </w:sdt>
            <w:sdt>
              <w:sdtPr>
                <w:alias w:val="11 p."/>
                <w:tag w:val="part_78c4c9c75fa141539d81299fdf808fd7"/>
                <w:lock w:val="sdtLocked"/>
                <w:richText/>
              </w:sdtPr>
              <w:sdtContent>
                <w:p>
                  <w:pPr>
                    <w:widowControl w:val="0"/>
                    <w:suppressAutoHyphens/>
                    <w:ind w:firstLine="567"/>
                    <w:jc w:val="both"/>
                    <w:rPr>
                      <w:color w:val="000000"/>
                    </w:rPr>
                  </w:pPr>
                  <w:sdt>
                    <w:sdtPr>
                      <w:alias w:val="Numeris"/>
                      <w:tag w:val="nr_78c4c9c75fa141539d81299fdf808fd7"/>
                      <w:lock w:val="sdtLocked"/>
                      <w:richText/>
                    </w:sdtPr>
                    <w:sdtContent>
                      <w:r>
                        <w:rPr>
                          <w:color w:val="000000"/>
                        </w:rPr>
                        <w:t>11</w:t>
                      </w:r>
                    </w:sdtContent>
                  </w:sdt>
                  <w:r>
                    <w:rPr>
                      <w:color w:val="000000"/>
                    </w:rPr>
                    <w:t>. Kad duomenys, naudojami apskaičiuoti atitiktį teršalams nustatytoms ribinėms vertėms, būtų pagrįsti, jie turi atitikti šio Tvarkos aprašo 11 priede nustatytus duomenų sumavimo ir statistinių parametrų apskaičiavimo kriterijus.</w:t>
                  </w:r>
                </w:p>
                <w:p>
                  <w:pPr>
                    <w:widowControl w:val="0"/>
                    <w:suppressAutoHyphens/>
                    <w:ind w:firstLine="567"/>
                    <w:jc w:val="both"/>
                    <w:rPr>
                      <w:color w:val="000000"/>
                    </w:rPr>
                  </w:pPr>
                </w:p>
              </w:sdtContent>
            </w:sdt>
          </w:sdtContent>
        </w:sdt>
        <w:sdt>
          <w:sdtPr>
            <w:alias w:val="skyrius"/>
            <w:tag w:val="part_9d6a05bac1314b179065c1aedd9b08eb"/>
            <w:lock w:val="sdtLocked"/>
            <w:richText/>
          </w:sdtPr>
          <w:sdtContent>
            <w:p>
              <w:pPr>
                <w:widowControl w:val="0"/>
                <w:suppressAutoHyphens/>
                <w:jc w:val="center"/>
                <w:rPr>
                  <w:b/>
                  <w:bCs/>
                  <w:caps/>
                  <w:color w:val="000000"/>
                </w:rPr>
              </w:pPr>
              <w:sdt>
                <w:sdtPr>
                  <w:alias w:val="Numeris"/>
                  <w:tag w:val="nr_9d6a05bac1314b179065c1aedd9b08eb"/>
                  <w:lock w:val="sdtLocked"/>
                  <w:richText/>
                </w:sdtPr>
                <w:sdtContent>
                  <w:r>
                    <w:rPr>
                      <w:b/>
                      <w:bCs/>
                      <w:caps/>
                      <w:color w:val="000000"/>
                    </w:rPr>
                    <w:t>III</w:t>
                  </w:r>
                </w:sdtContent>
              </w:sdt>
              <w:r>
                <w:rPr>
                  <w:b/>
                  <w:bCs/>
                  <w:caps/>
                  <w:color w:val="000000"/>
                </w:rPr>
                <w:t xml:space="preserve">. </w:t>
              </w:r>
              <w:sdt>
                <w:sdtPr>
                  <w:alias w:val="Pavadinimas"/>
                  <w:tag w:val="title_9d6a05bac1314b179065c1aedd9b08eb"/>
                  <w:lock w:val="sdtLocked"/>
                  <w:richText/>
                </w:sdtPr>
                <w:sdtContent>
                  <w:r>
                    <w:rPr>
                      <w:b/>
                      <w:bCs/>
                      <w:caps/>
                      <w:color w:val="000000"/>
                    </w:rPr>
                    <w:t>ĖMINIŲ ĖMIMO VIETOS</w:t>
                  </w:r>
                </w:sdtContent>
              </w:sdt>
            </w:p>
            <w:p>
              <w:pPr>
                <w:widowControl w:val="0"/>
                <w:suppressAutoHyphens/>
                <w:ind w:firstLine="567"/>
                <w:jc w:val="both"/>
                <w:rPr>
                  <w:color w:val="000000"/>
                </w:rPr>
              </w:pPr>
            </w:p>
            <w:sdt>
              <w:sdtPr>
                <w:alias w:val="12 p."/>
                <w:tag w:val="part_f0c107864c7b43dab3d7dc09e2ac640e"/>
                <w:lock w:val="sdtLocked"/>
                <w:richText/>
              </w:sdtPr>
              <w:sdtContent>
                <w:p>
                  <w:pPr>
                    <w:widowControl w:val="0"/>
                    <w:suppressAutoHyphens/>
                    <w:ind w:firstLine="567"/>
                    <w:jc w:val="both"/>
                    <w:rPr>
                      <w:color w:val="000000"/>
                    </w:rPr>
                  </w:pPr>
                  <w:sdt>
                    <w:sdtPr>
                      <w:alias w:val="Numeris"/>
                      <w:tag w:val="nr_f0c107864c7b43dab3d7dc09e2ac640e"/>
                      <w:lock w:val="sdtLocked"/>
                      <w:richText/>
                    </w:sdtPr>
                    <w:sdtContent>
                      <w:r>
                        <w:rPr>
                          <w:color w:val="000000"/>
                        </w:rPr>
                        <w:t>12</w:t>
                      </w:r>
                    </w:sdtContent>
                  </w:sdt>
                  <w:r>
                    <w:rPr>
                      <w:color w:val="000000"/>
                    </w:rPr>
                    <w:t>. Ėminių ėmimo vietos 3 punkte nurodytų teršalų aplinkos ore matavimui išdėstomos taikant Tvarkos aprašo 3 priede išvardytus kriterijus.</w:t>
                  </w:r>
                </w:p>
              </w:sdtContent>
            </w:sdt>
            <w:sdt>
              <w:sdtPr>
                <w:alias w:val="13 p."/>
                <w:tag w:val="part_6253745cef9b48109fc0dcc51bd18edf"/>
                <w:lock w:val="sdtLocked"/>
                <w:richText/>
              </w:sdtPr>
              <w:sdtContent>
                <w:p>
                  <w:pPr>
                    <w:widowControl w:val="0"/>
                    <w:suppressAutoHyphens/>
                    <w:ind w:firstLine="567"/>
                    <w:jc w:val="both"/>
                    <w:rPr>
                      <w:color w:val="000000"/>
                    </w:rPr>
                  </w:pPr>
                  <w:sdt>
                    <w:sdtPr>
                      <w:alias w:val="Numeris"/>
                      <w:tag w:val="nr_6253745cef9b48109fc0dcc51bd18edf"/>
                      <w:lock w:val="sdtLocked"/>
                      <w:richText/>
                    </w:sdtPr>
                    <w:sdtContent>
                      <w:r>
                        <w:rPr>
                          <w:color w:val="000000"/>
                        </w:rPr>
                        <w:t>13</w:t>
                      </w:r>
                    </w:sdtContent>
                  </w:sdt>
                  <w:r>
                    <w:rPr>
                      <w:color w:val="000000"/>
                    </w:rPr>
                    <w:t>. Kiekvienoje zonoje arba aglomeracijoje, kur fiksuoti matavimai yra vienintelis oro kokybės vertinimo informacijos šaltinis, kiekvieno atitinkamo teršalo ėminių ėmimo vietų skaičius turi būti ne mažesnis už mažiausią Tvarkos aprašo 5 priedo I skyriuje nustatytą ėminių ėmimo vietų skaičių.</w:t>
                  </w:r>
                </w:p>
              </w:sdtContent>
            </w:sdt>
            <w:sdt>
              <w:sdtPr>
                <w:alias w:val="14 p."/>
                <w:tag w:val="part_1d59bdea83a74243b27df40da31a319a"/>
                <w:lock w:val="sdtLocked"/>
                <w:richText/>
              </w:sdtPr>
              <w:sdtContent>
                <w:p>
                  <w:pPr>
                    <w:widowControl w:val="0"/>
                    <w:suppressAutoHyphens/>
                    <w:ind w:firstLine="567"/>
                    <w:jc w:val="both"/>
                    <w:rPr>
                      <w:color w:val="000000"/>
                    </w:rPr>
                  </w:pPr>
                  <w:sdt>
                    <w:sdtPr>
                      <w:alias w:val="Numeris"/>
                      <w:tag w:val="nr_1d59bdea83a74243b27df40da31a319a"/>
                      <w:lock w:val="sdtLocked"/>
                      <w:richText/>
                    </w:sdtPr>
                    <w:sdtContent>
                      <w:r>
                        <w:rPr>
                          <w:color w:val="000000"/>
                        </w:rPr>
                        <w:t>14</w:t>
                      </w:r>
                    </w:sdtContent>
                  </w:sdt>
                  <w:r>
                    <w:rPr>
                      <w:color w:val="000000"/>
                    </w:rPr>
                    <w:t>. Zonose ir aglomeracijose, kuriose duomenys iš fiksuotų matavimų ėminių ėmimo vietų papildomi modeliavimo ir (arba) indikatorinių matavimų duomenimis, į kuriuos vertinant aplinkos oro kokybę ribinių verčių atžvilgiu turi būti atsižvelgiama, bendras ėminių ėmimo vietų skaičius, nustatytas Tvarkos aprašo 5 priedo I skyriuje, gali būti sumažintas iki 50 %, jei laikomasi šių sąlygų:</w:t>
                  </w:r>
                </w:p>
                <w:sdt>
                  <w:sdtPr>
                    <w:alias w:val="14.1 p."/>
                    <w:tag w:val="part_633917d82cc44729a7fef28617c39840"/>
                    <w:lock w:val="sdtLocked"/>
                    <w:richText/>
                  </w:sdtPr>
                  <w:sdtContent>
                    <w:p>
                      <w:pPr>
                        <w:widowControl w:val="0"/>
                        <w:suppressAutoHyphens/>
                        <w:ind w:firstLine="567"/>
                        <w:jc w:val="both"/>
                        <w:rPr>
                          <w:color w:val="000000"/>
                        </w:rPr>
                      </w:pPr>
                      <w:sdt>
                        <w:sdtPr>
                          <w:alias w:val="Numeris"/>
                          <w:tag w:val="nr_633917d82cc44729a7fef28617c39840"/>
                          <w:lock w:val="sdtLocked"/>
                          <w:richText/>
                        </w:sdtPr>
                        <w:sdtContent>
                          <w:r>
                            <w:rPr>
                              <w:color w:val="000000"/>
                            </w:rPr>
                            <w:t>14.1</w:t>
                          </w:r>
                        </w:sdtContent>
                      </w:sdt>
                      <w:r>
                        <w:rPr>
                          <w:color w:val="000000"/>
                        </w:rPr>
                        <w:t>. papildomų oro kokybės vertinimo metodų naudojimas suteikia pakankamai informacijos apie ribinių verčių arba pavojaus slenksčių laikymąsi bei tinkamos informacijos visuomenei;</w:t>
                      </w:r>
                    </w:p>
                  </w:sdtContent>
                </w:sdt>
                <w:sdt>
                  <w:sdtPr>
                    <w:alias w:val="14.2 p."/>
                    <w:tag w:val="part_76660124878042aaadf858f3b8db7d92"/>
                    <w:lock w:val="sdtLocked"/>
                    <w:richText/>
                  </w:sdtPr>
                  <w:sdtContent>
                    <w:p>
                      <w:pPr>
                        <w:widowControl w:val="0"/>
                        <w:suppressAutoHyphens/>
                        <w:ind w:firstLine="567"/>
                        <w:jc w:val="both"/>
                        <w:rPr>
                          <w:color w:val="000000"/>
                        </w:rPr>
                      </w:pPr>
                      <w:sdt>
                        <w:sdtPr>
                          <w:alias w:val="Numeris"/>
                          <w:tag w:val="nr_76660124878042aaadf858f3b8db7d92"/>
                          <w:lock w:val="sdtLocked"/>
                          <w:richText/>
                        </w:sdtPr>
                        <w:sdtContent>
                          <w:r>
                            <w:rPr>
                              <w:color w:val="000000"/>
                            </w:rPr>
                            <w:t>14.2</w:t>
                          </w:r>
                        </w:sdtContent>
                      </w:sdt>
                      <w:r>
                        <w:rPr>
                          <w:color w:val="000000"/>
                        </w:rPr>
                        <w:t>. ėminių ėmimo vietų, kurios turi būti įsteigtos, skaičius ir kitų metodų erdvinis išdėstymas yra pakankami, kad atitinkamo teršalo koncentraciją būtų galima nustatyti pagal Tvarkos aprašo 1 priedo I skyriuje nustatytus duomenų kokybės tikslus, o vertinimo rezultatai atitiktų II skyriuje nustatytus reikalavimus.</w:t>
                      </w:r>
                    </w:p>
                    <w:p>
                      <w:pPr>
                        <w:widowControl w:val="0"/>
                        <w:suppressAutoHyphens/>
                        <w:ind w:firstLine="567"/>
                        <w:jc w:val="both"/>
                        <w:rPr>
                          <w:color w:val="000000"/>
                        </w:rPr>
                      </w:pPr>
                    </w:p>
                  </w:sdtContent>
                </w:sdt>
              </w:sdtContent>
            </w:sdt>
          </w:sdtContent>
        </w:sdt>
        <w:sdt>
          <w:sdtPr>
            <w:alias w:val="skyrius"/>
            <w:tag w:val="part_4eb1c82fed9d46caa91e88f28e91e1fa"/>
            <w:lock w:val="sdtLocked"/>
            <w:richText/>
          </w:sdtPr>
          <w:sdtContent>
            <w:p>
              <w:pPr>
                <w:widowControl w:val="0"/>
                <w:suppressAutoHyphens/>
                <w:jc w:val="center"/>
                <w:rPr>
                  <w:b/>
                  <w:bCs/>
                  <w:caps/>
                  <w:color w:val="000000"/>
                </w:rPr>
              </w:pPr>
              <w:sdt>
                <w:sdtPr>
                  <w:alias w:val="Numeris"/>
                  <w:tag w:val="nr_4eb1c82fed9d46caa91e88f28e91e1fa"/>
                  <w:lock w:val="sdtLocked"/>
                  <w:richText/>
                </w:sdtPr>
                <w:sdtContent>
                  <w:r>
                    <w:rPr>
                      <w:b/>
                      <w:bCs/>
                      <w:caps/>
                      <w:color w:val="000000"/>
                    </w:rPr>
                    <w:t>IV</w:t>
                  </w:r>
                </w:sdtContent>
              </w:sdt>
              <w:r>
                <w:rPr>
                  <w:b/>
                  <w:bCs/>
                  <w:caps/>
                  <w:color w:val="000000"/>
                </w:rPr>
                <w:t xml:space="preserve">. </w:t>
              </w:r>
              <w:sdt>
                <w:sdtPr>
                  <w:alias w:val="Pavadinimas"/>
                  <w:tag w:val="title_4eb1c82fed9d46caa91e88f28e91e1fa"/>
                  <w:lock w:val="sdtLocked"/>
                  <w:richText/>
                </w:sdtPr>
                <w:sdtContent>
                  <w:r>
                    <w:rPr>
                      <w:b/>
                      <w:bCs/>
                      <w:caps/>
                      <w:color w:val="000000"/>
                    </w:rPr>
                    <w:t>PAMATINIAI MATAVIMO METODAI</w:t>
                  </w:r>
                </w:sdtContent>
              </w:sdt>
            </w:p>
            <w:p>
              <w:pPr>
                <w:widowControl w:val="0"/>
                <w:suppressAutoHyphens/>
                <w:ind w:firstLine="567"/>
                <w:jc w:val="both"/>
                <w:rPr>
                  <w:color w:val="000000"/>
                </w:rPr>
              </w:pPr>
            </w:p>
            <w:sdt>
              <w:sdtPr>
                <w:alias w:val="15 p."/>
                <w:tag w:val="part_2f293324af864826b0b24841ad357535"/>
                <w:lock w:val="sdtLocked"/>
                <w:richText/>
              </w:sdtPr>
              <w:sdtContent>
                <w:p>
                  <w:pPr>
                    <w:widowControl w:val="0"/>
                    <w:suppressAutoHyphens/>
                    <w:ind w:firstLine="567"/>
                    <w:jc w:val="both"/>
                    <w:rPr>
                      <w:color w:val="000000"/>
                    </w:rPr>
                  </w:pPr>
                  <w:sdt>
                    <w:sdtPr>
                      <w:alias w:val="Numeris"/>
                      <w:tag w:val="nr_2f293324af864826b0b24841ad357535"/>
                      <w:lock w:val="sdtLocked"/>
                      <w:richText/>
                    </w:sdtPr>
                    <w:sdtContent>
                      <w:r>
                        <w:rPr>
                          <w:color w:val="000000"/>
                        </w:rPr>
                        <w:t>15</w:t>
                      </w:r>
                    </w:sdtContent>
                  </w:sdt>
                  <w:r>
                    <w:rPr>
                      <w:color w:val="000000"/>
                    </w:rPr>
                    <w:t>. Aplinkos oro kokybės vertinimui taikomi Tvarkos aprašo 6 priedo I ir III skyriuose nustatyti pamatiniai matavimo metodai ir kriterijai.</w:t>
                  </w:r>
                </w:p>
              </w:sdtContent>
            </w:sdt>
            <w:sdt>
              <w:sdtPr>
                <w:alias w:val="16 p."/>
                <w:tag w:val="part_6ea8ff840e8e4b0d96c78b5f4a952af2"/>
                <w:lock w:val="sdtLocked"/>
                <w:richText/>
              </w:sdtPr>
              <w:sdtContent>
                <w:p>
                  <w:pPr>
                    <w:widowControl w:val="0"/>
                    <w:suppressAutoHyphens/>
                    <w:ind w:firstLine="567"/>
                    <w:jc w:val="both"/>
                    <w:rPr>
                      <w:color w:val="000000"/>
                    </w:rPr>
                  </w:pPr>
                  <w:sdt>
                    <w:sdtPr>
                      <w:alias w:val="Numeris"/>
                      <w:tag w:val="nr_6ea8ff840e8e4b0d96c78b5f4a952af2"/>
                      <w:lock w:val="sdtLocked"/>
                      <w:richText/>
                    </w:sdtPr>
                    <w:sdtContent>
                      <w:r>
                        <w:rPr>
                          <w:color w:val="000000"/>
                        </w:rPr>
                        <w:t>16</w:t>
                      </w:r>
                    </w:sdtContent>
                  </w:sdt>
                  <w:r>
                    <w:rPr>
                      <w:color w:val="000000"/>
                    </w:rPr>
                    <w:t>. Kitus matavimo metodus galima taikyti, jeigu laikomasi Tvarkos aprašo 6 priedo II skyriuje nustatytų sąlygų.</w:t>
                  </w:r>
                </w:p>
                <w:p>
                  <w:pPr>
                    <w:widowControl w:val="0"/>
                    <w:suppressAutoHyphens/>
                    <w:ind w:firstLine="567"/>
                    <w:jc w:val="both"/>
                    <w:rPr>
                      <w:color w:val="000000"/>
                    </w:rPr>
                  </w:pPr>
                </w:p>
              </w:sdtContent>
            </w:sdt>
          </w:sdtContent>
        </w:sdt>
        <w:sdt>
          <w:sdtPr>
            <w:alias w:val="skyrius"/>
            <w:tag w:val="part_b8fbd534e5334c66bb864b126d5e20a1"/>
            <w:lock w:val="sdtLocked"/>
            <w:richText/>
          </w:sdtPr>
          <w:sdtContent>
            <w:p>
              <w:pPr>
                <w:suppressAutoHyphens/>
                <w:jc w:val="center"/>
                <w:rPr>
                  <w:b/>
                  <w:bCs/>
                  <w:caps/>
                  <w:color w:val="000000"/>
                </w:rPr>
              </w:pPr>
              <w:sdt>
                <w:sdtPr>
                  <w:alias w:val="Numeris"/>
                  <w:tag w:val="nr_b8fbd534e5334c66bb864b126d5e20a1"/>
                  <w:lock w:val="sdtLocked"/>
                  <w:richText/>
                </w:sdtPr>
                <w:sdtContent>
                  <w:r>
                    <w:rPr>
                      <w:b/>
                      <w:bCs/>
                      <w:caps/>
                      <w:color w:val="000000"/>
                    </w:rPr>
                    <w:t>III</w:t>
                  </w:r>
                </w:sdtContent>
              </w:sdt>
              <w:r>
                <w:rPr>
                  <w:b/>
                  <w:bCs/>
                  <w:caps/>
                  <w:color w:val="000000"/>
                </w:rPr>
                <w:t xml:space="preserve"> SKYRIUS. </w:t>
              </w:r>
              <w:sdt>
                <w:sdtPr>
                  <w:alias w:val="Pavadinimas"/>
                  <w:tag w:val="title_b8fbd534e5334c66bb864b126d5e20a1"/>
                  <w:lock w:val="sdtLocked"/>
                  <w:richText/>
                </w:sdtPr>
                <w:sdtContent>
                  <w:r>
                    <w:rPr>
                      <w:b/>
                      <w:bCs/>
                      <w:caps/>
                      <w:color w:val="000000"/>
                    </w:rPr>
                    <w:t>REIKALAVIMAI APLINKOS ORO UŽTERŠTUMO ozonu VERTINIMUI</w:t>
                  </w:r>
                </w:sdtContent>
              </w:sdt>
            </w:p>
            <w:p>
              <w:pPr>
                <w:keepNext/>
                <w:suppressAutoHyphens/>
                <w:jc w:val="center"/>
                <w:rPr>
                  <w:b/>
                  <w:bCs/>
                  <w:caps/>
                  <w:color w:val="000000"/>
                </w:rPr>
              </w:pPr>
            </w:p>
          </w:sdtContent>
        </w:sdt>
        <w:sdt>
          <w:sdtPr>
            <w:alias w:val="skyrius"/>
            <w:tag w:val="part_46beecbfcebb4c1f85ea6f5cf9237559"/>
            <w:lock w:val="sdtLocked"/>
            <w:richText/>
          </w:sdtPr>
          <w:sdtContent>
            <w:p>
              <w:pPr>
                <w:keepNext/>
                <w:suppressAutoHyphens/>
                <w:jc w:val="center"/>
                <w:rPr>
                  <w:b/>
                  <w:bCs/>
                  <w:caps/>
                  <w:color w:val="000000"/>
                </w:rPr>
              </w:pPr>
              <w:sdt>
                <w:sdtPr>
                  <w:alias w:val="Numeris"/>
                  <w:tag w:val="nr_46beecbfcebb4c1f85ea6f5cf9237559"/>
                  <w:lock w:val="sdtLocked"/>
                  <w:richText/>
                </w:sdtPr>
                <w:sdtContent>
                  <w:r>
                    <w:rPr>
                      <w:b/>
                      <w:bCs/>
                      <w:caps/>
                      <w:color w:val="000000"/>
                    </w:rPr>
                    <w:t>I</w:t>
                  </w:r>
                </w:sdtContent>
              </w:sdt>
              <w:r>
                <w:rPr>
                  <w:b/>
                  <w:bCs/>
                  <w:caps/>
                  <w:color w:val="000000"/>
                </w:rPr>
                <w:t xml:space="preserve">. </w:t>
              </w:r>
              <w:sdt>
                <w:sdtPr>
                  <w:alias w:val="Pavadinimas"/>
                  <w:tag w:val="title_46beecbfcebb4c1f85ea6f5cf9237559"/>
                  <w:lock w:val="sdtLocked"/>
                  <w:richText/>
                </w:sdtPr>
                <w:sdtContent>
                  <w:r>
                    <w:rPr>
                      <w:b/>
                      <w:bCs/>
                      <w:caps/>
                      <w:color w:val="000000"/>
                    </w:rPr>
                    <w:t>VERTINIMO KRITERIJAI</w:t>
                  </w:r>
                </w:sdtContent>
              </w:sdt>
            </w:p>
            <w:p>
              <w:pPr>
                <w:keepNext/>
                <w:suppressAutoHyphens/>
                <w:ind w:firstLine="567"/>
                <w:jc w:val="both"/>
                <w:rPr>
                  <w:color w:val="000000"/>
                </w:rPr>
              </w:pPr>
            </w:p>
            <w:sdt>
              <w:sdtPr>
                <w:alias w:val="17 p."/>
                <w:tag w:val="part_bdfbf0cae73044aa9643feb9c99f73b8"/>
                <w:lock w:val="sdtLocked"/>
                <w:richText/>
              </w:sdtPr>
              <w:sdtContent>
                <w:p>
                  <w:pPr>
                    <w:widowControl w:val="0"/>
                    <w:suppressAutoHyphens/>
                    <w:ind w:firstLine="567"/>
                    <w:jc w:val="both"/>
                    <w:rPr>
                      <w:color w:val="000000"/>
                    </w:rPr>
                  </w:pPr>
                  <w:sdt>
                    <w:sdtPr>
                      <w:alias w:val="Numeris"/>
                      <w:tag w:val="nr_bdfbf0cae73044aa9643feb9c99f73b8"/>
                      <w:lock w:val="sdtLocked"/>
                      <w:richText/>
                    </w:sdtPr>
                    <w:sdtContent>
                      <w:r>
                        <w:rPr>
                          <w:color w:val="000000"/>
                        </w:rPr>
                        <w:t>17</w:t>
                      </w:r>
                    </w:sdtContent>
                  </w:sdt>
                  <w:r>
                    <w:rPr>
                      <w:color w:val="000000"/>
                    </w:rPr>
                    <w:t>. Kai zonoje arba aglomeracijoje nors vienerius metus iš ankstesnių penkerių metų ozono koncentracija aplinkos ore viršijo ozono ilgalaikius tikslus, atliekami fiksuoti ozono koncentracijos matavimai.</w:t>
                  </w:r>
                </w:p>
              </w:sdtContent>
            </w:sdt>
            <w:sdt>
              <w:sdtPr>
                <w:alias w:val="18 p."/>
                <w:tag w:val="part_53a0c23dcfce4543b1d7d34f2c6dcd3f"/>
                <w:lock w:val="sdtLocked"/>
                <w:richText/>
              </w:sdtPr>
              <w:sdtContent>
                <w:p>
                  <w:pPr>
                    <w:widowControl w:val="0"/>
                    <w:suppressAutoHyphens/>
                    <w:ind w:firstLine="567"/>
                    <w:jc w:val="both"/>
                    <w:rPr>
                      <w:color w:val="000000"/>
                    </w:rPr>
                  </w:pPr>
                  <w:sdt>
                    <w:sdtPr>
                      <w:alias w:val="Numeris"/>
                      <w:tag w:val="nr_53a0c23dcfce4543b1d7d34f2c6dcd3f"/>
                      <w:lock w:val="sdtLocked"/>
                      <w:richText/>
                    </w:sdtPr>
                    <w:sdtContent>
                      <w:r>
                        <w:rPr>
                          <w:color w:val="000000"/>
                        </w:rPr>
                        <w:t>18</w:t>
                      </w:r>
                    </w:sdtContent>
                  </w:sdt>
                  <w:r>
                    <w:rPr>
                      <w:color w:val="000000"/>
                    </w:rPr>
                    <w:t>. Kai turimi tik trumpesnio negu penkerių metų laikotarpio duomenys, siekiant nustatyti, ar ilgalaikiai tikslai per tuos penkerius metus nebuvo viršyti, galima derinti trumpalaikių matavimo kampanijų, vykdytų tada ir ten, kur užterštumo lygis galėjo pasiekti aukščiausią lygį, rezultatus, išmetamųjų į atmosferą teršalų apskaitos ir modeliavimo rezultatus.</w:t>
                  </w:r>
                </w:p>
              </w:sdtContent>
            </w:sdt>
            <w:sdt>
              <w:sdtPr>
                <w:alias w:val="19 p."/>
                <w:tag w:val="part_f4f73211ab1f4c9bbfed494d163213d6"/>
                <w:lock w:val="sdtLocked"/>
                <w:richText/>
              </w:sdtPr>
              <w:sdtContent>
                <w:p>
                  <w:pPr>
                    <w:widowControl w:val="0"/>
                    <w:suppressAutoHyphens/>
                    <w:ind w:firstLine="567"/>
                    <w:jc w:val="both"/>
                    <w:rPr>
                      <w:color w:val="000000"/>
                    </w:rPr>
                  </w:pPr>
                  <w:sdt>
                    <w:sdtPr>
                      <w:alias w:val="Numeris"/>
                      <w:tag w:val="nr_f4f73211ab1f4c9bbfed494d163213d6"/>
                      <w:lock w:val="sdtLocked"/>
                      <w:richText/>
                    </w:sdtPr>
                    <w:sdtContent>
                      <w:r>
                        <w:rPr>
                          <w:color w:val="000000"/>
                        </w:rPr>
                        <w:t>19</w:t>
                      </w:r>
                    </w:sdtContent>
                  </w:sdt>
                  <w:r>
                    <w:rPr>
                      <w:color w:val="000000"/>
                    </w:rPr>
                    <w:t>. Kad duomenys, naudojami apskaičiuoti atitiktį ozono siektinoms vertėms ir ilgalaikiams tikslams, būtų pagrįsti, jie turi atitikti šio Tvarkos aprašo 7 priedo II skyriuje nustatytus duomenų sumavimo ir statistinių parametrų apskaičiavimo kriterijus.</w:t>
                  </w:r>
                </w:p>
                <w:p>
                  <w:pPr>
                    <w:widowControl w:val="0"/>
                    <w:suppressAutoHyphens/>
                    <w:ind w:firstLine="567"/>
                    <w:jc w:val="both"/>
                    <w:rPr>
                      <w:color w:val="000000"/>
                    </w:rPr>
                  </w:pPr>
                </w:p>
              </w:sdtContent>
            </w:sdt>
          </w:sdtContent>
        </w:sdt>
        <w:sdt>
          <w:sdtPr>
            <w:alias w:val="skyrius"/>
            <w:tag w:val="part_d0f69497516a48e3bc8c3e720a74c849"/>
            <w:lock w:val="sdtLocked"/>
            <w:richText/>
          </w:sdtPr>
          <w:sdtContent>
            <w:p>
              <w:pPr>
                <w:widowControl w:val="0"/>
                <w:suppressAutoHyphens/>
                <w:jc w:val="center"/>
                <w:rPr>
                  <w:b/>
                  <w:bCs/>
                  <w:caps/>
                  <w:color w:val="000000"/>
                </w:rPr>
              </w:pPr>
              <w:sdt>
                <w:sdtPr>
                  <w:alias w:val="Numeris"/>
                  <w:tag w:val="nr_d0f69497516a48e3bc8c3e720a74c849"/>
                  <w:lock w:val="sdtLocked"/>
                  <w:richText/>
                </w:sdtPr>
                <w:sdtContent>
                  <w:r>
                    <w:rPr>
                      <w:b/>
                      <w:bCs/>
                      <w:caps/>
                      <w:color w:val="000000"/>
                    </w:rPr>
                    <w:t>II</w:t>
                  </w:r>
                </w:sdtContent>
              </w:sdt>
              <w:r>
                <w:rPr>
                  <w:b/>
                  <w:bCs/>
                  <w:caps/>
                  <w:color w:val="000000"/>
                </w:rPr>
                <w:t xml:space="preserve">. </w:t>
              </w:r>
              <w:sdt>
                <w:sdtPr>
                  <w:alias w:val="Pavadinimas"/>
                  <w:tag w:val="title_d0f69497516a48e3bc8c3e720a74c849"/>
                  <w:lock w:val="sdtLocked"/>
                  <w:richText/>
                </w:sdtPr>
                <w:sdtContent>
                  <w:r>
                    <w:rPr>
                      <w:b/>
                      <w:bCs/>
                      <w:caps/>
                      <w:color w:val="000000"/>
                    </w:rPr>
                    <w:t>ĖMINIŲ ĖMIMO VIETOS</w:t>
                  </w:r>
                </w:sdtContent>
              </w:sdt>
            </w:p>
            <w:p>
              <w:pPr>
                <w:widowControl w:val="0"/>
                <w:suppressAutoHyphens/>
                <w:ind w:firstLine="567"/>
                <w:jc w:val="both"/>
                <w:rPr>
                  <w:color w:val="000000"/>
                </w:rPr>
              </w:pPr>
            </w:p>
            <w:sdt>
              <w:sdtPr>
                <w:alias w:val="20 p."/>
                <w:tag w:val="part_65d3cfe1810b414884ccd70ac7f8d97b"/>
                <w:lock w:val="sdtLocked"/>
                <w:richText/>
              </w:sdtPr>
              <w:sdtContent>
                <w:p>
                  <w:pPr>
                    <w:widowControl w:val="0"/>
                    <w:suppressAutoHyphens/>
                    <w:ind w:firstLine="567"/>
                    <w:jc w:val="both"/>
                    <w:rPr>
                      <w:color w:val="000000"/>
                    </w:rPr>
                  </w:pPr>
                  <w:sdt>
                    <w:sdtPr>
                      <w:alias w:val="Numeris"/>
                      <w:tag w:val="nr_65d3cfe1810b414884ccd70ac7f8d97b"/>
                      <w:lock w:val="sdtLocked"/>
                      <w:richText/>
                    </w:sdtPr>
                    <w:sdtContent>
                      <w:r>
                        <w:rPr>
                          <w:color w:val="000000"/>
                        </w:rPr>
                        <w:t>20</w:t>
                      </w:r>
                    </w:sdtContent>
                  </w:sdt>
                  <w:r>
                    <w:rPr>
                      <w:color w:val="000000"/>
                    </w:rPr>
                    <w:t>. Ozono matavimo ėminių ėmimo vietos išdėstomos taikant Tvarkos aprašo 8 priede nustatytus kriterijus.</w:t>
                  </w:r>
                </w:p>
              </w:sdtContent>
            </w:sdt>
            <w:sdt>
              <w:sdtPr>
                <w:alias w:val="21 p."/>
                <w:tag w:val="part_56c3ac51e3e84ad3ad4c80f038a6c764"/>
                <w:lock w:val="sdtLocked"/>
                <w:richText/>
              </w:sdtPr>
              <w:sdtContent>
                <w:p>
                  <w:pPr>
                    <w:widowControl w:val="0"/>
                    <w:suppressAutoHyphens/>
                    <w:ind w:firstLine="567"/>
                    <w:jc w:val="both"/>
                    <w:rPr>
                      <w:color w:val="000000"/>
                    </w:rPr>
                  </w:pPr>
                  <w:sdt>
                    <w:sdtPr>
                      <w:alias w:val="Numeris"/>
                      <w:tag w:val="nr_56c3ac51e3e84ad3ad4c80f038a6c764"/>
                      <w:lock w:val="sdtLocked"/>
                      <w:richText/>
                    </w:sdtPr>
                    <w:sdtContent>
                      <w:r>
                        <w:rPr>
                          <w:color w:val="000000"/>
                        </w:rPr>
                        <w:t>21</w:t>
                      </w:r>
                    </w:sdtContent>
                  </w:sdt>
                  <w:r>
                    <w:rPr>
                      <w:color w:val="000000"/>
                    </w:rPr>
                    <w:t>. Fiksuotų ozono matavimų ėminių ėmimo vietų kiekvienoje zonoje arba aglomeracijoje, kurioje matavimas yra vienintelis oro kokybės vertinimo informacijos šaltinis, turi būti ne mažiau kaip mažiausias ėminių ėmimo vietų skaičius, nustatytas Tvarkos aprašo 9 priedo I skyriuje.</w:t>
                  </w:r>
                </w:p>
              </w:sdtContent>
            </w:sdt>
            <w:sdt>
              <w:sdtPr>
                <w:alias w:val="22 p."/>
                <w:tag w:val="part_e824698ee9e54cb4a71be10d4cfb046c"/>
                <w:lock w:val="sdtLocked"/>
                <w:richText/>
              </w:sdtPr>
              <w:sdtContent>
                <w:p>
                  <w:pPr>
                    <w:widowControl w:val="0"/>
                    <w:suppressAutoHyphens/>
                    <w:ind w:firstLine="567"/>
                    <w:jc w:val="both"/>
                    <w:rPr>
                      <w:color w:val="000000"/>
                    </w:rPr>
                  </w:pPr>
                  <w:sdt>
                    <w:sdtPr>
                      <w:alias w:val="Numeris"/>
                      <w:tag w:val="nr_e824698ee9e54cb4a71be10d4cfb046c"/>
                      <w:lock w:val="sdtLocked"/>
                      <w:richText/>
                    </w:sdtPr>
                    <w:sdtContent>
                      <w:r>
                        <w:rPr>
                          <w:color w:val="000000"/>
                        </w:rPr>
                        <w:t>22</w:t>
                      </w:r>
                    </w:sdtContent>
                  </w:sdt>
                  <w:r>
                    <w:rPr>
                      <w:color w:val="000000"/>
                    </w:rPr>
                    <w:t>. Zonose ir aglomeracijose, kuriose duomenys iš fiksuotų matavimų ėminių ėmimo vietų papildomi modeliavimo ir (arba) indikatorinių matavimų duomenimis, į kuriuos vertinant aplinkos oro kokybę siektinų verčių atžvilgiu turi būti atsižvelgiama, Tvarkos aprašo 9 priedo I skyriuje nustatytą ėminių ėmimo vietų skaičių galima sumažinti, jei laikomasi šių sąlygų:</w:t>
                  </w:r>
                </w:p>
                <w:sdt>
                  <w:sdtPr>
                    <w:alias w:val="22.1 p."/>
                    <w:tag w:val="part_448c123b0ac74d0a891575122c6265aa"/>
                    <w:lock w:val="sdtLocked"/>
                    <w:richText/>
                  </w:sdtPr>
                  <w:sdtContent>
                    <w:p>
                      <w:pPr>
                        <w:widowControl w:val="0"/>
                        <w:suppressAutoHyphens/>
                        <w:ind w:firstLine="567"/>
                        <w:jc w:val="both"/>
                        <w:rPr>
                          <w:color w:val="000000"/>
                        </w:rPr>
                      </w:pPr>
                      <w:sdt>
                        <w:sdtPr>
                          <w:alias w:val="Numeris"/>
                          <w:tag w:val="nr_448c123b0ac74d0a891575122c6265aa"/>
                          <w:lock w:val="sdtLocked"/>
                          <w:richText/>
                        </w:sdtPr>
                        <w:sdtContent>
                          <w:r>
                            <w:rPr>
                              <w:color w:val="000000"/>
                            </w:rPr>
                            <w:t>22.1</w:t>
                          </w:r>
                        </w:sdtContent>
                      </w:sdt>
                      <w:r>
                        <w:rPr>
                          <w:color w:val="000000"/>
                        </w:rPr>
                        <w:t>. papildomų oro kokybės vertinimo metodų naudojimas suteikia pakankamai informacijos siektinų verčių, ilgalaikių tikslų, informavimo ir pavojaus slenksčių laikymosi atžvilgiu;</w:t>
                      </w:r>
                    </w:p>
                  </w:sdtContent>
                </w:sdt>
                <w:sdt>
                  <w:sdtPr>
                    <w:alias w:val="22.2 p."/>
                    <w:tag w:val="part_35d2bf03959a4791842477bbbb9f8519"/>
                    <w:lock w:val="sdtLocked"/>
                    <w:richText/>
                  </w:sdtPr>
                  <w:sdtContent>
                    <w:p>
                      <w:pPr>
                        <w:widowControl w:val="0"/>
                        <w:suppressAutoHyphens/>
                        <w:ind w:firstLine="567"/>
                        <w:jc w:val="both"/>
                        <w:rPr>
                          <w:color w:val="000000"/>
                        </w:rPr>
                      </w:pPr>
                      <w:sdt>
                        <w:sdtPr>
                          <w:alias w:val="Numeris"/>
                          <w:tag w:val="nr_35d2bf03959a4791842477bbbb9f8519"/>
                          <w:lock w:val="sdtLocked"/>
                          <w:richText/>
                        </w:sdtPr>
                        <w:sdtContent>
                          <w:r>
                            <w:rPr>
                              <w:color w:val="000000"/>
                            </w:rPr>
                            <w:t>22.2</w:t>
                          </w:r>
                        </w:sdtContent>
                      </w:sdt>
                      <w:r>
                        <w:rPr>
                          <w:color w:val="000000"/>
                        </w:rPr>
                        <w:t>. ėminių ėmimo vietų, kurios turi būti įsteigtos, skaičius ir kitų metodų erdvinis išdėstymas yra pakankami, kad pagal Tvarkos aprašo 1 priedo I skyriuje nustatytus duomenų kokybės tikslus būtų galima nustatyti ozono koncentraciją, o vertinimo rezultatai atitiktų to paties priedo II skyriuje nustatytus reikalavimus;</w:t>
                      </w:r>
                    </w:p>
                  </w:sdtContent>
                </w:sdt>
                <w:sdt>
                  <w:sdtPr>
                    <w:alias w:val="22.3 p."/>
                    <w:tag w:val="part_9a3fadfa9f404663afaa52ba986729ee"/>
                    <w:lock w:val="sdtLocked"/>
                    <w:richText/>
                  </w:sdtPr>
                  <w:sdtContent>
                    <w:p>
                      <w:pPr>
                        <w:widowControl w:val="0"/>
                        <w:suppressAutoHyphens/>
                        <w:ind w:firstLine="567"/>
                        <w:jc w:val="both"/>
                        <w:rPr>
                          <w:color w:val="000000"/>
                        </w:rPr>
                      </w:pPr>
                      <w:sdt>
                        <w:sdtPr>
                          <w:alias w:val="Numeris"/>
                          <w:tag w:val="nr_9a3fadfa9f404663afaa52ba986729ee"/>
                          <w:lock w:val="sdtLocked"/>
                          <w:richText/>
                        </w:sdtPr>
                        <w:sdtContent>
                          <w:r>
                            <w:rPr>
                              <w:color w:val="000000"/>
                            </w:rPr>
                            <w:t>22.3</w:t>
                          </w:r>
                        </w:sdtContent>
                      </w:sdt>
                      <w:r>
                        <w:rPr>
                          <w:color w:val="000000"/>
                        </w:rPr>
                        <w:t>. ėminių ėmimo vietų skaičių kiekvienoje zonoje arba aglomeracijoje sudaro mažiausiai viena ėminių ėmimo vieta dviem milijonams gyventojų arba viena ėminių ėmimo vieta 50 000 km</w:t>
                      </w:r>
                      <w:r>
                        <w:rPr>
                          <w:color w:val="000000"/>
                          <w:vertAlign w:val="superscript"/>
                        </w:rPr>
                        <w:t>2</w:t>
                      </w:r>
                      <w:r>
                        <w:rPr>
                          <w:color w:val="000000"/>
                        </w:rPr>
                        <w:t xml:space="preserve"> priklausomai nuo to, kuriuo atveju gaunamas didesnis ėminių ėmimo vietų skaičius, tačiau ne mažiau kaip viena ėminių ėmimo vieta kiekvienoje zonoje arba aglomeracijoje;</w:t>
                      </w:r>
                    </w:p>
                  </w:sdtContent>
                </w:sdt>
                <w:sdt>
                  <w:sdtPr>
                    <w:alias w:val="22.4 p."/>
                    <w:tag w:val="part_268bfaa3021c458b8419b32eb823f811"/>
                    <w:lock w:val="sdtLocked"/>
                    <w:richText/>
                  </w:sdtPr>
                  <w:sdtContent>
                    <w:p>
                      <w:pPr>
                        <w:widowControl w:val="0"/>
                        <w:suppressAutoHyphens/>
                        <w:ind w:firstLine="567"/>
                        <w:jc w:val="both"/>
                        <w:rPr>
                          <w:color w:val="000000"/>
                        </w:rPr>
                      </w:pPr>
                      <w:sdt>
                        <w:sdtPr>
                          <w:alias w:val="Numeris"/>
                          <w:tag w:val="nr_268bfaa3021c458b8419b32eb823f811"/>
                          <w:lock w:val="sdtLocked"/>
                          <w:richText/>
                        </w:sdtPr>
                        <w:sdtContent>
                          <w:r>
                            <w:rPr>
                              <w:color w:val="000000"/>
                            </w:rPr>
                            <w:t>22.4</w:t>
                          </w:r>
                        </w:sdtContent>
                      </w:sdt>
                      <w:r>
                        <w:rPr>
                          <w:color w:val="000000"/>
                        </w:rPr>
                        <w:t>. azoto dioksidas yra matuojamas visose likusiose ėminių ėmimo vietose, išskyrus fonines stotis kaimo vietovėse, kaip nurodyta Tvarkos aprašo 8 priedo I skyriuje.</w:t>
                      </w:r>
                    </w:p>
                  </w:sdtContent>
                </w:sdt>
              </w:sdtContent>
            </w:sdt>
            <w:sdt>
              <w:sdtPr>
                <w:alias w:val="23 p."/>
                <w:tag w:val="part_9353d5e714304409b124d88a91815d05"/>
                <w:lock w:val="sdtLocked"/>
                <w:richText/>
              </w:sdtPr>
              <w:sdtContent>
                <w:p>
                  <w:pPr>
                    <w:widowControl w:val="0"/>
                    <w:suppressAutoHyphens/>
                    <w:ind w:firstLine="567"/>
                    <w:jc w:val="both"/>
                    <w:rPr>
                      <w:color w:val="000000"/>
                    </w:rPr>
                  </w:pPr>
                  <w:sdt>
                    <w:sdtPr>
                      <w:alias w:val="Numeris"/>
                      <w:tag w:val="nr_9353d5e714304409b124d88a91815d05"/>
                      <w:lock w:val="sdtLocked"/>
                      <w:richText/>
                    </w:sdtPr>
                    <w:sdtContent>
                      <w:r>
                        <w:rPr>
                          <w:color w:val="000000"/>
                        </w:rPr>
                        <w:t>23</w:t>
                      </w:r>
                    </w:sdtContent>
                  </w:sdt>
                  <w:r>
                    <w:rPr>
                      <w:color w:val="000000"/>
                    </w:rPr>
                    <w:t>. Azoto dioksidas matuojamas mažiausiai 50 % ozono ėminių ėmimo vietų, kaip reikalaujama Tvarkos aprašo 9 priedo I skyriuje. Matavimas vykdomas nuolatos, išskyrus matavimus foninėse stotyse kaimo vietovėse, kaip nurodyta Tvarkos aprašo 8 priedo I skyriuje, kur gali būti naudojami kiti matavimo metodai.</w:t>
                  </w:r>
                </w:p>
              </w:sdtContent>
            </w:sdt>
            <w:sdt>
              <w:sdtPr>
                <w:alias w:val="24 p."/>
                <w:tag w:val="part_5d9b04b3a7d847f0802ad2a8494dd1f8"/>
                <w:lock w:val="sdtLocked"/>
                <w:richText/>
              </w:sdtPr>
              <w:sdtContent>
                <w:p>
                  <w:pPr>
                    <w:widowControl w:val="0"/>
                    <w:suppressAutoHyphens/>
                    <w:ind w:firstLine="567"/>
                    <w:jc w:val="both"/>
                    <w:rPr>
                      <w:color w:val="000000"/>
                    </w:rPr>
                  </w:pPr>
                  <w:sdt>
                    <w:sdtPr>
                      <w:alias w:val="Numeris"/>
                      <w:tag w:val="nr_5d9b04b3a7d847f0802ad2a8494dd1f8"/>
                      <w:lock w:val="sdtLocked"/>
                      <w:richText/>
                    </w:sdtPr>
                    <w:sdtContent>
                      <w:r>
                        <w:rPr>
                          <w:color w:val="000000"/>
                        </w:rPr>
                        <w:t>24</w:t>
                      </w:r>
                    </w:sdtContent>
                  </w:sdt>
                  <w:r>
                    <w:rPr>
                      <w:color w:val="000000"/>
                    </w:rPr>
                    <w:t>. Tose zonose ir aglomeracijose, kuriose kiekvienais metais per ankstesnius penkerius matavimų metus ozono koncentracija buvo žemesnė už ilgalaikius tikslus, fiksuotų matavimų ėminių ėmimo vietų skaičius nustatomas pagal Tvarkos aprašo 9 priedo II skyrių.</w:t>
                  </w:r>
                </w:p>
              </w:sdtContent>
            </w:sdt>
            <w:sdt>
              <w:sdtPr>
                <w:alias w:val="25 p."/>
                <w:tag w:val="part_8f56a4a861a84075b06731a6f8b151c1"/>
                <w:lock w:val="sdtLocked"/>
                <w:richText/>
              </w:sdtPr>
              <w:sdtContent>
                <w:p>
                  <w:pPr>
                    <w:widowControl w:val="0"/>
                    <w:suppressAutoHyphens/>
                    <w:ind w:firstLine="567"/>
                    <w:jc w:val="both"/>
                    <w:rPr>
                      <w:color w:val="000000"/>
                    </w:rPr>
                  </w:pPr>
                  <w:sdt>
                    <w:sdtPr>
                      <w:alias w:val="Numeris"/>
                      <w:tag w:val="nr_8f56a4a861a84075b06731a6f8b151c1"/>
                      <w:lock w:val="sdtLocked"/>
                      <w:richText/>
                    </w:sdtPr>
                    <w:sdtContent>
                      <w:r>
                        <w:rPr>
                          <w:color w:val="000000"/>
                        </w:rPr>
                        <w:t>25</w:t>
                      </w:r>
                    </w:sdtContent>
                  </w:sdt>
                  <w:r>
                    <w:rPr>
                      <w:color w:val="000000"/>
                    </w:rPr>
                    <w:t>. Turi būti užtikrinama, kad būtų įsteigta ir veiktų mažiausiai viena ėminių ėmimo vieta, kuri teiktų duomenis apie Tvarkos aprašo 10 priede išvardytų ozono prekursorių (pirmtakų) medžiagų koncentraciją. Stočių, kuriose matuojamos ozono prekursorių (pirmtakų) medžiagos, skaičius ir išdėstymas turi būti pasirenkamas pagal minėtame priede nustatytus tikslus ir metodus.</w:t>
                  </w:r>
                </w:p>
                <w:p>
                  <w:pPr>
                    <w:widowControl w:val="0"/>
                    <w:suppressAutoHyphens/>
                    <w:ind w:firstLine="567"/>
                    <w:jc w:val="both"/>
                    <w:rPr>
                      <w:color w:val="000000"/>
                    </w:rPr>
                  </w:pPr>
                </w:p>
              </w:sdtContent>
            </w:sdt>
          </w:sdtContent>
        </w:sdt>
        <w:sdt>
          <w:sdtPr>
            <w:alias w:val="skyrius"/>
            <w:tag w:val="part_c43760262d3544dfaa0e0c6153d2cd18"/>
            <w:lock w:val="sdtLocked"/>
            <w:richText/>
          </w:sdtPr>
          <w:sdtContent>
            <w:p>
              <w:pPr>
                <w:widowControl w:val="0"/>
                <w:suppressAutoHyphens/>
                <w:jc w:val="center"/>
                <w:rPr>
                  <w:b/>
                  <w:bCs/>
                  <w:caps/>
                  <w:color w:val="000000"/>
                </w:rPr>
              </w:pPr>
              <w:sdt>
                <w:sdtPr>
                  <w:alias w:val="Numeris"/>
                  <w:tag w:val="nr_c43760262d3544dfaa0e0c6153d2cd18"/>
                  <w:lock w:val="sdtLocked"/>
                  <w:richText/>
                </w:sdtPr>
                <w:sdtContent>
                  <w:r>
                    <w:rPr>
                      <w:b/>
                      <w:bCs/>
                      <w:caps/>
                      <w:color w:val="000000"/>
                    </w:rPr>
                    <w:t>III</w:t>
                  </w:r>
                </w:sdtContent>
              </w:sdt>
              <w:r>
                <w:rPr>
                  <w:b/>
                  <w:bCs/>
                  <w:caps/>
                  <w:color w:val="000000"/>
                </w:rPr>
                <w:t xml:space="preserve">. </w:t>
              </w:r>
              <w:sdt>
                <w:sdtPr>
                  <w:alias w:val="Pavadinimas"/>
                  <w:tag w:val="title_c43760262d3544dfaa0e0c6153d2cd18"/>
                  <w:lock w:val="sdtLocked"/>
                  <w:richText/>
                </w:sdtPr>
                <w:sdtContent>
                  <w:r>
                    <w:rPr>
                      <w:b/>
                      <w:bCs/>
                      <w:caps/>
                      <w:color w:val="000000"/>
                    </w:rPr>
                    <w:t>PAMATINIAI MATAVIMO METODAI</w:t>
                  </w:r>
                </w:sdtContent>
              </w:sdt>
            </w:p>
            <w:p>
              <w:pPr>
                <w:widowControl w:val="0"/>
                <w:suppressAutoHyphens/>
                <w:ind w:firstLine="567"/>
                <w:jc w:val="both"/>
                <w:rPr>
                  <w:color w:val="000000"/>
                </w:rPr>
              </w:pPr>
            </w:p>
            <w:sdt>
              <w:sdtPr>
                <w:alias w:val="26 p."/>
                <w:tag w:val="part_4c5b1760cfce48f38173d859b72afe0a"/>
                <w:lock w:val="sdtLocked"/>
                <w:richText/>
              </w:sdtPr>
              <w:sdtContent>
                <w:p>
                  <w:pPr>
                    <w:widowControl w:val="0"/>
                    <w:suppressAutoHyphens/>
                    <w:ind w:firstLine="567"/>
                    <w:jc w:val="both"/>
                    <w:rPr>
                      <w:color w:val="000000"/>
                    </w:rPr>
                  </w:pPr>
                  <w:sdt>
                    <w:sdtPr>
                      <w:alias w:val="Numeris"/>
                      <w:tag w:val="nr_4c5b1760cfce48f38173d859b72afe0a"/>
                      <w:lock w:val="sdtLocked"/>
                      <w:richText/>
                    </w:sdtPr>
                    <w:sdtContent>
                      <w:r>
                        <w:rPr>
                          <w:color w:val="000000"/>
                        </w:rPr>
                        <w:t>26</w:t>
                      </w:r>
                    </w:sdtContent>
                  </w:sdt>
                  <w:r>
                    <w:rPr>
                      <w:color w:val="000000"/>
                    </w:rPr>
                    <w:t>. Ozono koncentracijos aplinkos ore matavimui taikomas Tvarkos aprašo 6 priedo 8 punkte nustatytas pamatinis matavimo metodas. Kitus matavimo metodus galima naudoti, jeigu laikomasi Tvarkos aprašo 6 priedo II skyriuje nustatytų sąlygų.</w:t>
                  </w:r>
                </w:p>
                <w:p>
                  <w:pPr>
                    <w:widowControl w:val="0"/>
                    <w:suppressAutoHyphens/>
                    <w:ind w:firstLine="567"/>
                    <w:jc w:val="both"/>
                    <w:rPr>
                      <w:color w:val="000000"/>
                    </w:rPr>
                  </w:pPr>
                </w:p>
              </w:sdtContent>
            </w:sdt>
          </w:sdtContent>
        </w:sdt>
        <w:sdt>
          <w:sdtPr>
            <w:alias w:val="skyrius"/>
            <w:tag w:val="part_4ab49babeb464a8381a42f10872d7381"/>
            <w:lock w:val="sdtLocked"/>
            <w:richText/>
          </w:sdtPr>
          <w:sdtContent>
            <w:p>
              <w:pPr>
                <w:widowControl w:val="0"/>
                <w:suppressAutoHyphens/>
                <w:jc w:val="center"/>
                <w:rPr>
                  <w:b/>
                  <w:bCs/>
                  <w:caps/>
                  <w:color w:val="000000"/>
                </w:rPr>
              </w:pPr>
              <w:sdt>
                <w:sdtPr>
                  <w:alias w:val="Numeris"/>
                  <w:tag w:val="nr_4ab49babeb464a8381a42f10872d7381"/>
                  <w:lock w:val="sdtLocked"/>
                  <w:richText/>
                </w:sdtPr>
                <w:sdtContent>
                  <w:r>
                    <w:rPr>
                      <w:b/>
                      <w:bCs/>
                      <w:caps/>
                      <w:color w:val="000000"/>
                    </w:rPr>
                    <w:t>IV</w:t>
                  </w:r>
                </w:sdtContent>
              </w:sdt>
              <w:r>
                <w:rPr>
                  <w:b/>
                  <w:bCs/>
                  <w:caps/>
                  <w:color w:val="000000"/>
                </w:rPr>
                <w:t xml:space="preserve"> SKYRIUS. </w:t>
              </w:r>
              <w:sdt>
                <w:sdtPr>
                  <w:alias w:val="Pavadinimas"/>
                  <w:tag w:val="title_4ab49babeb464a8381a42f10872d7381"/>
                  <w:lock w:val="sdtLocked"/>
                  <w:richText/>
                </w:sdtPr>
                <w:sdtContent>
                  <w:r>
                    <w:rPr>
                      <w:b/>
                      <w:bCs/>
                      <w:caps/>
                      <w:color w:val="000000"/>
                    </w:rPr>
                    <w:t>taršos iš gamtinių teršimo šaltinių POVEIKIO APLINKOS ORO UŽTERŠTUMO LYGIUI VERTINIMAS</w:t>
                  </w:r>
                </w:sdtContent>
              </w:sdt>
            </w:p>
            <w:p>
              <w:pPr>
                <w:widowControl w:val="0"/>
                <w:suppressAutoHyphens/>
                <w:ind w:firstLine="567"/>
                <w:jc w:val="both"/>
                <w:rPr>
                  <w:color w:val="000000"/>
                </w:rPr>
              </w:pPr>
            </w:p>
            <w:sdt>
              <w:sdtPr>
                <w:alias w:val="27 p."/>
                <w:tag w:val="part_3cdde42f95c748948bcbfdcbad85006b"/>
                <w:lock w:val="sdtLocked"/>
                <w:richText/>
              </w:sdtPr>
              <w:sdtContent>
                <w:p>
                  <w:pPr>
                    <w:widowControl w:val="0"/>
                    <w:suppressAutoHyphens/>
                    <w:ind w:firstLine="567"/>
                    <w:jc w:val="both"/>
                    <w:rPr>
                      <w:color w:val="000000"/>
                    </w:rPr>
                  </w:pPr>
                  <w:sdt>
                    <w:sdtPr>
                      <w:alias w:val="Numeris"/>
                      <w:tag w:val="nr_3cdde42f95c748948bcbfdcbad85006b"/>
                      <w:lock w:val="sdtLocked"/>
                      <w:richText/>
                    </w:sdtPr>
                    <w:sdtContent>
                      <w:r>
                        <w:rPr>
                          <w:color w:val="000000"/>
                        </w:rPr>
                        <w:t>27</w:t>
                      </w:r>
                    </w:sdtContent>
                  </w:sdt>
                  <w:r>
                    <w:rPr>
                      <w:color w:val="000000"/>
                    </w:rPr>
                    <w:t>. Aplinkos oro kokybės vertinimo dalimi laikoma aplinkos oro taršos iš gamtinių teršimo šaltinių poveikio aplinkos oro užterštumo lygiui vertinimas ir įrodymų, kuriuos reikia pateikti Komisijai, rengimas pagal Komisijos paskelbtas užterštumo lygio viršijimo dėl taršos iš gamtinių teršimo šaltinių įrodymo ir neatsižvelgimo į jį gaires.</w:t>
                  </w:r>
                </w:p>
              </w:sdtContent>
            </w:sdt>
            <w:sdt>
              <w:sdtPr>
                <w:alias w:val="28 p."/>
                <w:tag w:val="part_a2bcd1868bd3423e81a250a94e991711"/>
                <w:lock w:val="sdtLocked"/>
                <w:richText/>
              </w:sdtPr>
              <w:sdtContent>
                <w:p>
                  <w:pPr>
                    <w:widowControl w:val="0"/>
                    <w:suppressAutoHyphens/>
                    <w:ind w:firstLine="567"/>
                    <w:jc w:val="both"/>
                    <w:rPr>
                      <w:color w:val="000000"/>
                    </w:rPr>
                  </w:pPr>
                  <w:sdt>
                    <w:sdtPr>
                      <w:alias w:val="Numeris"/>
                      <w:tag w:val="nr_a2bcd1868bd3423e81a250a94e991711"/>
                      <w:lock w:val="sdtLocked"/>
                      <w:richText/>
                    </w:sdtPr>
                    <w:sdtContent>
                      <w:r>
                        <w:rPr>
                          <w:color w:val="000000"/>
                        </w:rPr>
                        <w:t>28</w:t>
                      </w:r>
                    </w:sdtContent>
                  </w:sdt>
                  <w:r>
                    <w:rPr>
                      <w:color w:val="000000"/>
                    </w:rPr>
                    <w:t>. Kai pagal Tvarkos aprašo 32.3 punktą Komisija informuojama apie ribinės vertės viršijimą dėl taršos iš gamtinių teršimo šaltinių, – toks užterštumo lygis nelaikomas ribinės vertės viršijimu.</w:t>
                  </w:r>
                </w:p>
                <w:p>
                  <w:pPr>
                    <w:widowControl w:val="0"/>
                    <w:suppressAutoHyphens/>
                    <w:ind w:firstLine="567"/>
                    <w:jc w:val="both"/>
                    <w:rPr>
                      <w:color w:val="000000"/>
                    </w:rPr>
                  </w:pPr>
                </w:p>
              </w:sdtContent>
            </w:sdt>
          </w:sdtContent>
        </w:sdt>
        <w:sdt>
          <w:sdtPr>
            <w:alias w:val="skyrius"/>
            <w:tag w:val="part_f89e8fdca8c84701ae8b32e589cab764"/>
            <w:lock w:val="sdtLocked"/>
            <w:richText/>
          </w:sdtPr>
          <w:sdtContent>
            <w:p>
              <w:pPr>
                <w:widowControl w:val="0"/>
                <w:suppressAutoHyphens/>
                <w:jc w:val="center"/>
                <w:rPr>
                  <w:b/>
                  <w:bCs/>
                  <w:caps/>
                  <w:color w:val="000000"/>
                </w:rPr>
              </w:pPr>
              <w:sdt>
                <w:sdtPr>
                  <w:alias w:val="Numeris"/>
                  <w:tag w:val="nr_f89e8fdca8c84701ae8b32e589cab764"/>
                  <w:lock w:val="sdtLocked"/>
                  <w:richText/>
                </w:sdtPr>
                <w:sdtContent>
                  <w:r>
                    <w:rPr>
                      <w:b/>
                      <w:bCs/>
                      <w:caps/>
                      <w:color w:val="000000"/>
                    </w:rPr>
                    <w:t>V</w:t>
                  </w:r>
                </w:sdtContent>
              </w:sdt>
              <w:r>
                <w:rPr>
                  <w:b/>
                  <w:bCs/>
                  <w:caps/>
                  <w:color w:val="000000"/>
                </w:rPr>
                <w:t xml:space="preserve"> SKYRIUS. </w:t>
              </w:r>
              <w:sdt>
                <w:sdtPr>
                  <w:alias w:val="Pavadinimas"/>
                  <w:tag w:val="title_f89e8fdca8c84701ae8b32e589cab764"/>
                  <w:lock w:val="sdtLocked"/>
                  <w:richText/>
                </w:sdtPr>
                <w:sdtContent>
                  <w:r>
                    <w:rPr>
                      <w:b/>
                      <w:bCs/>
                      <w:caps/>
                      <w:color w:val="000000"/>
                    </w:rPr>
                    <w:t>taršos dėl žiemą kelių barstymo smėliu ar druska POVEIKIO APLINKOS ORO UŽTERŠTUMO LYGIUI VERTINIMAS</w:t>
                  </w:r>
                </w:sdtContent>
              </w:sdt>
            </w:p>
            <w:p>
              <w:pPr>
                <w:widowControl w:val="0"/>
                <w:suppressAutoHyphens/>
                <w:ind w:firstLine="567"/>
                <w:jc w:val="both"/>
                <w:rPr>
                  <w:color w:val="000000"/>
                </w:rPr>
              </w:pPr>
            </w:p>
            <w:sdt>
              <w:sdtPr>
                <w:alias w:val="29 p."/>
                <w:tag w:val="part_ced3076fccac42ee9ebf85180571a2bd"/>
                <w:lock w:val="sdtLocked"/>
                <w:richText/>
              </w:sdtPr>
              <w:sdtContent>
                <w:p>
                  <w:pPr>
                    <w:widowControl w:val="0"/>
                    <w:suppressAutoHyphens/>
                    <w:ind w:firstLine="567"/>
                    <w:jc w:val="both"/>
                    <w:rPr>
                      <w:color w:val="000000"/>
                    </w:rPr>
                  </w:pPr>
                  <w:sdt>
                    <w:sdtPr>
                      <w:alias w:val="Numeris"/>
                      <w:tag w:val="nr_ced3076fccac42ee9ebf85180571a2bd"/>
                      <w:lock w:val="sdtLocked"/>
                      <w:richText/>
                    </w:sdtPr>
                    <w:sdtContent>
                      <w:r>
                        <w:rPr>
                          <w:color w:val="000000"/>
                        </w:rPr>
                        <w:t>29</w:t>
                      </w:r>
                    </w:sdtContent>
                  </w:sdt>
                  <w:r>
                    <w:rPr>
                      <w:color w:val="000000"/>
                    </w:rPr>
                    <w:t>. Aplinkos oro kokybės vertinimo dalimi laikoma aplinkos oro taršos dėl žiemą kelių barstymo smėliu ar druska poveikio aplinkos oro užterštumo lygiui vertinimas ir įrodymų Komisijai, kad bet kokį užterštumo lygio viršijimą sąlygojo resuspenduotos kietosios dalelės ir kad buvo imtasi visų pagrįstų priemonių koncentracijai sumažinti, rengimas pagal Komisijos paskelbtas taršos dėl kietųjų dalelių resuspensijos, kai žiemą keliai barstomi smėliu ar druska, nustatymo gaires.</w:t>
                  </w:r>
                </w:p>
              </w:sdtContent>
            </w:sdt>
            <w:sdt>
              <w:sdtPr>
                <w:alias w:val="30 p."/>
                <w:tag w:val="part_fb9b1a02e3834179bf42b86ee53747fb"/>
                <w:lock w:val="sdtLocked"/>
                <w:richText/>
              </w:sdtPr>
              <w:sdtContent>
                <w:p>
                  <w:pPr>
                    <w:widowControl w:val="0"/>
                    <w:suppressAutoHyphens/>
                    <w:ind w:firstLine="567"/>
                    <w:jc w:val="both"/>
                    <w:rPr>
                      <w:color w:val="000000"/>
                    </w:rPr>
                  </w:pPr>
                  <w:sdt>
                    <w:sdtPr>
                      <w:alias w:val="Numeris"/>
                      <w:tag w:val="nr_fb9b1a02e3834179bf42b86ee53747fb"/>
                      <w:lock w:val="sdtLocked"/>
                      <w:richText/>
                    </w:sdtPr>
                    <w:sdtContent>
                      <w:r>
                        <w:rPr>
                          <w:color w:val="000000"/>
                        </w:rPr>
                        <w:t>30</w:t>
                      </w:r>
                    </w:sdtContent>
                  </w:sdt>
                  <w:r>
                    <w:rPr>
                      <w:color w:val="000000"/>
                    </w:rPr>
                    <w:t xml:space="preserve">. Lietuvos Respublikos aplinkos ministro ir Lietuvos Respublikos sveikatos apsaugos ministro 2000 m. spalio 30 d. įsakymu Nr. 470/581 „Dėl zonų ir aglomeracijų sąrašų patvirtinimo“ (Žin., 2000, Nr. </w:t>
                  </w:r>
                  <w:hyperlink r:id="rId25" w:tgtFrame="_blank" w:history="1">
                    <w:r>
                      <w:rPr>
                        <w:color w:val="0000FF" w:themeColor="hyperlink"/>
                        <w:u w:val="single"/>
                      </w:rPr>
                      <w:t>100-3184</w:t>
                    </w:r>
                  </w:hyperlink>
                  <w:r>
                    <w:rPr>
                      <w:color w:val="000000"/>
                    </w:rPr>
                    <w:t xml:space="preserve">; 2008, Nr. </w:t>
                  </w:r>
                  <w:hyperlink r:id="rId26" w:tgtFrame="_blank" w:history="1">
                    <w:r>
                      <w:rPr>
                        <w:color w:val="0000FF" w:themeColor="hyperlink"/>
                        <w:u w:val="single"/>
                      </w:rPr>
                      <w:t>130-4998</w:t>
                    </w:r>
                  </w:hyperlink>
                  <w:r>
                    <w:rPr>
                      <w:color w:val="000000"/>
                    </w:rPr>
                    <w:t>) nustatyta tvarka gali būti nustatomos zonos arba aglomeracijos, kuriose aplinkos oro užterštumo kietosiomis dalelėmis KD</w:t>
                  </w:r>
                  <w:r>
                    <w:rPr>
                      <w:color w:val="000000"/>
                      <w:vertAlign w:val="subscript"/>
                    </w:rPr>
                    <w:t>10</w:t>
                  </w:r>
                  <w:r>
                    <w:rPr>
                      <w:color w:val="000000"/>
                    </w:rPr>
                    <w:t xml:space="preserve"> lygis viršija ribinę vertę dėl kietųjų dalelių resuspensijos, kai žiemą keliai barstomi smėliu ar druska.</w:t>
                  </w:r>
                </w:p>
                <w:p>
                  <w:pPr>
                    <w:widowControl w:val="0"/>
                    <w:suppressAutoHyphens/>
                    <w:ind w:firstLine="567"/>
                    <w:jc w:val="both"/>
                    <w:rPr>
                      <w:color w:val="000000"/>
                    </w:rPr>
                  </w:pPr>
                </w:p>
              </w:sdtContent>
            </w:sdt>
          </w:sdtContent>
        </w:sdt>
        <w:sdt>
          <w:sdtPr>
            <w:alias w:val="skyrius"/>
            <w:tag w:val="part_73841648420948d8839d65f9416a7af1"/>
            <w:lock w:val="sdtLocked"/>
            <w:richText/>
          </w:sdtPr>
          <w:sdtContent>
            <w:p>
              <w:pPr>
                <w:widowControl w:val="0"/>
                <w:suppressAutoHyphens/>
                <w:jc w:val="center"/>
                <w:rPr>
                  <w:b/>
                  <w:bCs/>
                  <w:caps/>
                  <w:color w:val="000000"/>
                </w:rPr>
              </w:pPr>
              <w:sdt>
                <w:sdtPr>
                  <w:alias w:val="Numeris"/>
                  <w:tag w:val="nr_73841648420948d8839d65f9416a7af1"/>
                  <w:lock w:val="sdtLocked"/>
                  <w:richText/>
                </w:sdtPr>
                <w:sdtContent>
                  <w:r>
                    <w:rPr>
                      <w:b/>
                      <w:bCs/>
                      <w:caps/>
                      <w:color w:val="000000"/>
                    </w:rPr>
                    <w:t>VI</w:t>
                  </w:r>
                </w:sdtContent>
              </w:sdt>
              <w:r>
                <w:rPr>
                  <w:b/>
                  <w:bCs/>
                  <w:caps/>
                  <w:color w:val="000000"/>
                </w:rPr>
                <w:t xml:space="preserve"> SKYRIUS. </w:t>
              </w:r>
              <w:sdt>
                <w:sdtPr>
                  <w:alias w:val="Pavadinimas"/>
                  <w:tag w:val="title_73841648420948d8839d65f9416a7af1"/>
                  <w:lock w:val="sdtLocked"/>
                  <w:richText/>
                </w:sdtPr>
                <w:sdtContent>
                  <w:r>
                    <w:rPr>
                      <w:b/>
                      <w:bCs/>
                      <w:caps/>
                      <w:color w:val="000000"/>
                    </w:rPr>
                    <w:t>REIKALAVIMAI INFORMACIJOS IR ATASKAITŲ KOMISIJAI TEIKIMUI</w:t>
                  </w:r>
                </w:sdtContent>
              </w:sdt>
            </w:p>
            <w:p>
              <w:pPr>
                <w:widowControl w:val="0"/>
                <w:suppressAutoHyphens/>
                <w:ind w:firstLine="567"/>
                <w:jc w:val="both"/>
                <w:rPr>
                  <w:color w:val="000000"/>
                </w:rPr>
              </w:pPr>
            </w:p>
            <w:sdt>
              <w:sdtPr>
                <w:alias w:val="31 p."/>
                <w:tag w:val="part_0ea481db67464350b95af7dc1c7e1641"/>
                <w:lock w:val="sdtLocked"/>
                <w:richText/>
              </w:sdtPr>
              <w:sdtContent>
                <w:p>
                  <w:pPr>
                    <w:widowControl w:val="0"/>
                    <w:suppressAutoHyphens/>
                    <w:ind w:firstLine="567"/>
                    <w:jc w:val="both"/>
                    <w:rPr>
                      <w:color w:val="000000"/>
                    </w:rPr>
                  </w:pPr>
                  <w:sdt>
                    <w:sdtPr>
                      <w:alias w:val="Numeris"/>
                      <w:tag w:val="nr_0ea481db67464350b95af7dc1c7e1641"/>
                      <w:lock w:val="sdtLocked"/>
                      <w:richText/>
                    </w:sdtPr>
                    <w:sdtContent>
                      <w:r>
                        <w:rPr>
                          <w:color w:val="000000"/>
                        </w:rPr>
                        <w:t>31</w:t>
                      </w:r>
                    </w:sdtContent>
                  </w:sdt>
                  <w:r>
                    <w:rPr>
                      <w:color w:val="000000"/>
                    </w:rPr>
                    <w:t>. Komisija jos nustatytais terminais ir forma (jei terminai ir forma nustatyti) turi būti informuojama:</w:t>
                  </w:r>
                </w:p>
                <w:sdt>
                  <w:sdtPr>
                    <w:alias w:val="31.1 p."/>
                    <w:tag w:val="part_08c08910b2554cdeb06ea4c09af3efbc"/>
                    <w:lock w:val="sdtLocked"/>
                    <w:richText/>
                  </w:sdtPr>
                  <w:sdtContent>
                    <w:p>
                      <w:pPr>
                        <w:widowControl w:val="0"/>
                        <w:suppressAutoHyphens/>
                        <w:ind w:firstLine="567"/>
                        <w:jc w:val="both"/>
                        <w:rPr>
                          <w:color w:val="000000"/>
                        </w:rPr>
                      </w:pPr>
                      <w:sdt>
                        <w:sdtPr>
                          <w:alias w:val="Numeris"/>
                          <w:tag w:val="nr_08c08910b2554cdeb06ea4c09af3efbc"/>
                          <w:lock w:val="sdtLocked"/>
                          <w:richText/>
                        </w:sdtPr>
                        <w:sdtContent>
                          <w:r>
                            <w:rPr>
                              <w:color w:val="000000"/>
                            </w:rPr>
                            <w:t>31.1</w:t>
                          </w:r>
                        </w:sdtContent>
                      </w:sdt>
                      <w:r>
                        <w:rPr>
                          <w:color w:val="000000"/>
                        </w:rPr>
                        <w:t>. apie matavimo metodus, naudojamus matuoti kietųjų dalelių KD</w:t>
                      </w:r>
                      <w:r>
                        <w:rPr>
                          <w:color w:val="000000"/>
                          <w:vertAlign w:val="subscript"/>
                        </w:rPr>
                        <w:t>2,5</w:t>
                      </w:r>
                      <w:r>
                        <w:rPr>
                          <w:color w:val="000000"/>
                        </w:rPr>
                        <w:t xml:space="preserve"> cheminę sudėtį;</w:t>
                      </w:r>
                    </w:p>
                  </w:sdtContent>
                </w:sdt>
                <w:sdt>
                  <w:sdtPr>
                    <w:alias w:val="31.2 p."/>
                    <w:tag w:val="part_0faa8569d80b408ab84b5e570bfc1e39"/>
                    <w:lock w:val="sdtLocked"/>
                    <w:richText/>
                  </w:sdtPr>
                  <w:sdtContent>
                    <w:p>
                      <w:pPr>
                        <w:widowControl w:val="0"/>
                        <w:suppressAutoHyphens/>
                        <w:ind w:firstLine="567"/>
                        <w:jc w:val="both"/>
                        <w:rPr>
                          <w:color w:val="000000"/>
                        </w:rPr>
                      </w:pPr>
                      <w:sdt>
                        <w:sdtPr>
                          <w:alias w:val="Numeris"/>
                          <w:tag w:val="nr_0faa8569d80b408ab84b5e570bfc1e39"/>
                          <w:lock w:val="sdtLocked"/>
                          <w:richText/>
                        </w:sdtPr>
                        <w:sdtContent>
                          <w:r>
                            <w:rPr>
                              <w:color w:val="000000"/>
                            </w:rPr>
                            <w:t>31.2</w:t>
                          </w:r>
                        </w:sdtContent>
                      </w:sdt>
                      <w:r>
                        <w:rPr>
                          <w:color w:val="000000"/>
                        </w:rPr>
                        <w:t>. apie pavojaus ar informavimo slenksčio viršijimą</w:t>
                      </w:r>
                      <w:r>
                        <w:rPr>
                          <w:i/>
                          <w:iCs/>
                          <w:color w:val="000000"/>
                        </w:rPr>
                        <w:t>,</w:t>
                      </w:r>
                      <w:r>
                        <w:rPr>
                          <w:color w:val="000000"/>
                        </w:rPr>
                        <w:t xml:space="preserve"> nurodant viršijimo laikotarpio trukmę ir nustatytą aplinkos oro užterštumo lygį;</w:t>
                      </w:r>
                    </w:p>
                  </w:sdtContent>
                </w:sdt>
                <w:sdt>
                  <w:sdtPr>
                    <w:alias w:val="31.3 p."/>
                    <w:tag w:val="part_3072f58516a1481abe9c12f472082c0e"/>
                    <w:lock w:val="sdtLocked"/>
                    <w:richText/>
                  </w:sdtPr>
                  <w:sdtContent>
                    <w:p>
                      <w:pPr>
                        <w:widowControl w:val="0"/>
                        <w:suppressAutoHyphens/>
                        <w:ind w:firstLine="567"/>
                        <w:jc w:val="both"/>
                        <w:rPr>
                          <w:color w:val="000000"/>
                        </w:rPr>
                      </w:pPr>
                      <w:sdt>
                        <w:sdtPr>
                          <w:alias w:val="Numeris"/>
                          <w:tag w:val="nr_3072f58516a1481abe9c12f472082c0e"/>
                          <w:lock w:val="sdtLocked"/>
                          <w:richText/>
                        </w:sdtPr>
                        <w:sdtContent>
                          <w:r>
                            <w:rPr>
                              <w:color w:val="000000"/>
                            </w:rPr>
                            <w:t>31.3</w:t>
                          </w:r>
                        </w:sdtContent>
                      </w:sdt>
                      <w:r>
                        <w:rPr>
                          <w:color w:val="000000"/>
                        </w:rPr>
                        <w:t>. apie lakiųjų organinių junginių, išvardytų Tvarkos aprašo 10 priede, ėminiams imti ir matuoti taikomus metodus;</w:t>
                      </w:r>
                    </w:p>
                  </w:sdtContent>
                </w:sdt>
                <w:sdt>
                  <w:sdtPr>
                    <w:alias w:val="31.4 p."/>
                    <w:tag w:val="part_dd1cd70749ea4f7187b4971f3b239c85"/>
                    <w:lock w:val="sdtLocked"/>
                    <w:richText/>
                  </w:sdtPr>
                  <w:sdtContent>
                    <w:p>
                      <w:pPr>
                        <w:widowControl w:val="0"/>
                        <w:suppressAutoHyphens/>
                        <w:ind w:firstLine="567"/>
                        <w:jc w:val="both"/>
                        <w:rPr>
                          <w:color w:val="000000"/>
                        </w:rPr>
                      </w:pPr>
                      <w:sdt>
                        <w:sdtPr>
                          <w:alias w:val="Numeris"/>
                          <w:tag w:val="nr_dd1cd70749ea4f7187b4971f3b239c85"/>
                          <w:lock w:val="sdtLocked"/>
                          <w:richText/>
                        </w:sdtPr>
                        <w:sdtContent>
                          <w:r>
                            <w:rPr>
                              <w:color w:val="000000"/>
                            </w:rPr>
                            <w:t>31.4</w:t>
                          </w:r>
                        </w:sdtContent>
                      </w:sdt>
                      <w:r>
                        <w:rPr>
                          <w:color w:val="000000"/>
                        </w:rPr>
                        <w:t>. apie aplinkos oro užterštumą Lietuvoje matuojančių stočių duomenis.</w:t>
                      </w:r>
                    </w:p>
                  </w:sdtContent>
                </w:sdt>
              </w:sdtContent>
            </w:sdt>
            <w:sdt>
              <w:sdtPr>
                <w:alias w:val="32 p."/>
                <w:tag w:val="part_e806933de9a34f7cbba4b0b312e6ecdb"/>
                <w:lock w:val="sdtLocked"/>
                <w:richText/>
              </w:sdtPr>
              <w:sdtContent>
                <w:p>
                  <w:pPr>
                    <w:widowControl w:val="0"/>
                    <w:suppressAutoHyphens/>
                    <w:ind w:firstLine="567"/>
                    <w:jc w:val="both"/>
                    <w:rPr>
                      <w:i/>
                      <w:iCs/>
                      <w:color w:val="000000"/>
                    </w:rPr>
                  </w:pPr>
                  <w:sdt>
                    <w:sdtPr>
                      <w:alias w:val="Numeris"/>
                      <w:tag w:val="nr_e806933de9a34f7cbba4b0b312e6ecdb"/>
                      <w:lock w:val="sdtLocked"/>
                      <w:richText/>
                    </w:sdtPr>
                    <w:sdtContent>
                      <w:r>
                        <w:rPr>
                          <w:color w:val="000000"/>
                        </w:rPr>
                        <w:t>32</w:t>
                      </w:r>
                    </w:sdtContent>
                  </w:sdt>
                  <w:r>
                    <w:rPr>
                      <w:color w:val="000000"/>
                    </w:rPr>
                    <w:t>. Siekiant nustatyti, ar laikomasi ribinių verčių, kritinių užterštumo lygių, siektinų verčių – Komisijai ne vėliau kaip per devynis mėnesius pasibaigus kiekvieniems kalendoriniams metams turi būti teikiamos metinės ataskaitos apie aplinkos oro kokybę, kuriose taip pat turi būti:</w:t>
                  </w:r>
                </w:p>
                <w:sdt>
                  <w:sdtPr>
                    <w:alias w:val="32.1 p."/>
                    <w:tag w:val="part_2951c989ed8e4420a0904a5b16454969"/>
                    <w:lock w:val="sdtLocked"/>
                    <w:richText/>
                  </w:sdtPr>
                  <w:sdtContent>
                    <w:p>
                      <w:pPr>
                        <w:widowControl w:val="0"/>
                        <w:suppressAutoHyphens/>
                        <w:ind w:firstLine="567"/>
                        <w:jc w:val="both"/>
                        <w:rPr>
                          <w:color w:val="000000"/>
                        </w:rPr>
                      </w:pPr>
                      <w:sdt>
                        <w:sdtPr>
                          <w:alias w:val="Numeris"/>
                          <w:tag w:val="nr_2951c989ed8e4420a0904a5b16454969"/>
                          <w:lock w:val="sdtLocked"/>
                          <w:richText/>
                        </w:sdtPr>
                        <w:sdtContent>
                          <w:r>
                            <w:rPr>
                              <w:color w:val="000000"/>
                            </w:rPr>
                            <w:t>32.1</w:t>
                          </w:r>
                        </w:sdtContent>
                      </w:sdt>
                      <w:r>
                        <w:rPr>
                          <w:color w:val="000000"/>
                        </w:rPr>
                        <w:t>. informacija apie tais metais padarytą zonų ir aglomeracijų sąrašų ir ribų pakeitimą;</w:t>
                      </w:r>
                    </w:p>
                  </w:sdtContent>
                </w:sdt>
                <w:sdt>
                  <w:sdtPr>
                    <w:alias w:val="32.2 p."/>
                    <w:tag w:val="part_f6a65a06dac641ee8104c934c45dd9e2"/>
                    <w:lock w:val="sdtLocked"/>
                    <w:richText/>
                  </w:sdtPr>
                  <w:sdtContent>
                    <w:p>
                      <w:pPr>
                        <w:widowControl w:val="0"/>
                        <w:suppressAutoHyphens/>
                        <w:ind w:firstLine="567"/>
                        <w:jc w:val="both"/>
                        <w:rPr>
                          <w:color w:val="000000"/>
                        </w:rPr>
                      </w:pPr>
                      <w:sdt>
                        <w:sdtPr>
                          <w:alias w:val="Numeris"/>
                          <w:tag w:val="nr_f6a65a06dac641ee8104c934c45dd9e2"/>
                          <w:lock w:val="sdtLocked"/>
                          <w:richText/>
                        </w:sdtPr>
                        <w:sdtContent>
                          <w:r>
                            <w:rPr>
                              <w:color w:val="000000"/>
                            </w:rPr>
                            <w:t>32.2</w:t>
                          </w:r>
                        </w:sdtContent>
                      </w:sdt>
                      <w:r>
                        <w:rPr>
                          <w:color w:val="000000"/>
                        </w:rPr>
                        <w:t>. zonų ir aglomeracijų, kuriose aplinkos oro užterštumo vienu ar keliais teršalais lygis buvo aukštesnis už ribinę vertę ir, jei taikoma, leistiną nukrypimo dydį arba aukštesnis už siektiną vertę arba kritinį užterštumo lygį</w:t>
                      </w:r>
                      <w:r>
                        <w:rPr>
                          <w:i/>
                          <w:iCs/>
                          <w:color w:val="000000"/>
                        </w:rPr>
                        <w:t xml:space="preserve"> </w:t>
                      </w:r>
                      <w:r>
                        <w:rPr>
                          <w:color w:val="000000"/>
                        </w:rPr>
                        <w:t>(jei buvo aukštesnis už bent vieną iš jų), sąrašai, šiose zonose ir aglomeracijose nustatytas aplinkos oro užterštumo lygis, priežastys, data ar laikotarpiai, kada šis lygis buvo fiksuotas;</w:t>
                      </w:r>
                    </w:p>
                  </w:sdtContent>
                </w:sdt>
                <w:sdt>
                  <w:sdtPr>
                    <w:alias w:val="32.3 p."/>
                    <w:tag w:val="part_1b8152fd0100415b888934e96bb93890"/>
                    <w:lock w:val="sdtLocked"/>
                    <w:richText/>
                  </w:sdtPr>
                  <w:sdtContent>
                    <w:p>
                      <w:pPr>
                        <w:widowControl w:val="0"/>
                        <w:suppressAutoHyphens/>
                        <w:ind w:firstLine="567"/>
                        <w:jc w:val="both"/>
                        <w:rPr>
                          <w:color w:val="000000"/>
                        </w:rPr>
                      </w:pPr>
                      <w:sdt>
                        <w:sdtPr>
                          <w:alias w:val="Numeris"/>
                          <w:tag w:val="nr_1b8152fd0100415b888934e96bb93890"/>
                          <w:lock w:val="sdtLocked"/>
                          <w:richText/>
                        </w:sdtPr>
                        <w:sdtContent>
                          <w:r>
                            <w:rPr>
                              <w:color w:val="000000"/>
                            </w:rPr>
                            <w:t>32.3</w:t>
                          </w:r>
                        </w:sdtContent>
                      </w:sdt>
                      <w:r>
                        <w:rPr>
                          <w:color w:val="000000"/>
                        </w:rPr>
                        <w:t>. atvejais, kai zonoje ar aglomeracijoje aplinkos oro užterštumo tam tikrais teršalais lygis tais metais viršijo tiems teršalams nustatytą ribinę vertę dėl taršos iš gamtinių teršimo šaltinių (jei tokių viršijimų buvo), pateikiamas taršos iš gamtinių teršimo šaltinių poveikio aplinkos oro užterštumo lygiui įvertinimas (pateikiama informacija apie tų teršalų koncentraciją, konkrečius gamtinius teršimo šaltinius) ir pagal Tvarkos aprašo 27 punktą parengti įrodymai;</w:t>
                      </w:r>
                    </w:p>
                  </w:sdtContent>
                </w:sdt>
                <w:sdt>
                  <w:sdtPr>
                    <w:alias w:val="32.4 p."/>
                    <w:tag w:val="part_358492998a5d474a87c14e808ca8f9ce"/>
                    <w:lock w:val="sdtLocked"/>
                    <w:richText/>
                  </w:sdtPr>
                  <w:sdtContent>
                    <w:p>
                      <w:pPr>
                        <w:widowControl w:val="0"/>
                        <w:suppressAutoHyphens/>
                        <w:ind w:firstLine="567"/>
                        <w:jc w:val="both"/>
                        <w:rPr>
                          <w:color w:val="000000"/>
                        </w:rPr>
                      </w:pPr>
                      <w:sdt>
                        <w:sdtPr>
                          <w:alias w:val="Numeris"/>
                          <w:tag w:val="nr_358492998a5d474a87c14e808ca8f9ce"/>
                          <w:lock w:val="sdtLocked"/>
                          <w:richText/>
                        </w:sdtPr>
                        <w:sdtContent>
                          <w:r>
                            <w:rPr>
                              <w:color w:val="000000"/>
                            </w:rPr>
                            <w:t>32.4</w:t>
                          </w:r>
                        </w:sdtContent>
                      </w:sdt>
                      <w:r>
                        <w:rPr>
                          <w:color w:val="000000"/>
                        </w:rPr>
                        <w:t>. atvejais, kai zonoje ar aglomeracijoje aplinkos oro užterštumo kietosiomis dalelėmis KD</w:t>
                      </w:r>
                      <w:r>
                        <w:rPr>
                          <w:color w:val="000000"/>
                          <w:vertAlign w:val="subscript"/>
                        </w:rPr>
                        <w:t>10</w:t>
                      </w:r>
                      <w:r>
                        <w:rPr>
                          <w:color w:val="000000"/>
                        </w:rPr>
                        <w:t xml:space="preserve"> lygis tais metais viršijo ribinę vertę dėl kietųjų dalelių resuspensijos, kai žiemą keliai barstomi smėliu ar druska (jei tokių viršijimų buvo), pateikiamas taršos dėl kietųjų dalelių resuspensijos, kai žiemą keliai barstomi smėliu ar druska, poveikio aplinkos oro užterštumo lygiui įvertinimas (pateikiama informacija apie kietųjų dalelių KD</w:t>
                      </w:r>
                      <w:r>
                        <w:rPr>
                          <w:color w:val="000000"/>
                          <w:vertAlign w:val="subscript"/>
                        </w:rPr>
                        <w:t>10</w:t>
                      </w:r>
                      <w:r>
                        <w:rPr>
                          <w:color w:val="000000"/>
                        </w:rPr>
                        <w:t xml:space="preserve"> koncentraciją, taršos šaltinius) ir pagal Tvarkos aprašo 29 punktą parengti įrodymai;</w:t>
                      </w:r>
                    </w:p>
                  </w:sdtContent>
                </w:sdt>
                <w:sdt>
                  <w:sdtPr>
                    <w:alias w:val="32.5 p."/>
                    <w:tag w:val="part_66859d71681c4230b5dc1e3fa18d7aa1"/>
                    <w:lock w:val="sdtLocked"/>
                    <w:richText/>
                  </w:sdtPr>
                  <w:sdtContent>
                    <w:p>
                      <w:pPr>
                        <w:widowControl w:val="0"/>
                        <w:suppressAutoHyphens/>
                        <w:ind w:firstLine="567"/>
                        <w:jc w:val="both"/>
                        <w:rPr>
                          <w:color w:val="000000"/>
                        </w:rPr>
                      </w:pPr>
                      <w:sdt>
                        <w:sdtPr>
                          <w:alias w:val="Numeris"/>
                          <w:tag w:val="nr_66859d71681c4230b5dc1e3fa18d7aa1"/>
                          <w:lock w:val="sdtLocked"/>
                          <w:richText/>
                        </w:sdtPr>
                        <w:sdtContent>
                          <w:r>
                            <w:rPr>
                              <w:color w:val="000000"/>
                            </w:rPr>
                            <w:t>32.5</w:t>
                          </w:r>
                        </w:sdtContent>
                      </w:sdt>
                      <w:r>
                        <w:rPr>
                          <w:color w:val="000000"/>
                        </w:rPr>
                        <w:t>. zonų ir aglomeracijų, kuriose aplinkos oro užterštumo lygis buvo žemesnis už ribinę vertę, siektiną vertę arba ilgalaikį tikslą, sąrašai;</w:t>
                      </w:r>
                    </w:p>
                  </w:sdtContent>
                </w:sdt>
                <w:sdt>
                  <w:sdtPr>
                    <w:alias w:val="32.6 p."/>
                    <w:tag w:val="part_39a9869af31e4a32826786e8ed778cbe"/>
                    <w:lock w:val="sdtLocked"/>
                    <w:richText/>
                  </w:sdtPr>
                  <w:sdtContent>
                    <w:p>
                      <w:pPr>
                        <w:widowControl w:val="0"/>
                        <w:suppressAutoHyphens/>
                        <w:ind w:firstLine="567"/>
                        <w:jc w:val="both"/>
                        <w:rPr>
                          <w:color w:val="000000"/>
                        </w:rPr>
                      </w:pPr>
                      <w:sdt>
                        <w:sdtPr>
                          <w:alias w:val="Numeris"/>
                          <w:tag w:val="nr_39a9869af31e4a32826786e8ed778cbe"/>
                          <w:lock w:val="sdtLocked"/>
                          <w:richText/>
                        </w:sdtPr>
                        <w:sdtContent>
                          <w:r>
                            <w:rPr>
                              <w:color w:val="000000"/>
                            </w:rPr>
                            <w:t>32.6</w:t>
                          </w:r>
                        </w:sdtContent>
                      </w:sdt>
                      <w:r>
                        <w:rPr>
                          <w:color w:val="000000"/>
                        </w:rPr>
                        <w:t>. pagal Tvarkos aprašo 37 punktą pateiktos informacijos patvirtinimas (galutiniai duomenys) ir ozono pirmtakų (prekursorių) medžiagų tų metų vidutinė koncentracija.</w:t>
                      </w:r>
                    </w:p>
                  </w:sdtContent>
                </w:sdt>
              </w:sdtContent>
            </w:sdt>
            <w:sdt>
              <w:sdtPr>
                <w:alias w:val="33 p."/>
                <w:tag w:val="part_2cb13148c90c42a590f9ff08f8155731"/>
                <w:lock w:val="sdtLocked"/>
                <w:richText/>
              </w:sdtPr>
              <w:sdtContent>
                <w:p>
                  <w:pPr>
                    <w:widowControl w:val="0"/>
                    <w:suppressAutoHyphens/>
                    <w:ind w:firstLine="567"/>
                    <w:jc w:val="both"/>
                    <w:rPr>
                      <w:color w:val="000000"/>
                    </w:rPr>
                  </w:pPr>
                  <w:sdt>
                    <w:sdtPr>
                      <w:alias w:val="Numeris"/>
                      <w:tag w:val="nr_2cb13148c90c42a590f9ff08f8155731"/>
                      <w:lock w:val="sdtLocked"/>
                      <w:richText/>
                    </w:sdtPr>
                    <w:sdtContent>
                      <w:r>
                        <w:rPr>
                          <w:color w:val="000000"/>
                        </w:rPr>
                        <w:t>33</w:t>
                      </w:r>
                    </w:sdtContent>
                  </w:sdt>
                  <w:r>
                    <w:rPr>
                      <w:color w:val="000000"/>
                    </w:rPr>
                    <w:t xml:space="preserve">. Komisijos nustatyta tvarka nedelsiant, bet ne vėliau kaip po dvejų metų, einančių po kalendorinių metų, kuriais aplinkos oro užterštumo lygis zonoje ar aglomeracijoje viršijo ribinę vertę arba siektiną vertę, pateikiama informacija apie Lietuvos Respublikos aplinkos oro apsaugos įstatymo (Žin., 1999, Nr. </w:t>
                  </w:r>
                  <w:hyperlink r:id="rId27" w:tgtFrame="_blank" w:history="1">
                    <w:r>
                      <w:rPr>
                        <w:color w:val="0000FF" w:themeColor="hyperlink"/>
                        <w:u w:val="single"/>
                      </w:rPr>
                      <w:t>98-2813</w:t>
                    </w:r>
                  </w:hyperlink>
                  <w:r>
                    <w:rPr>
                      <w:color w:val="000000"/>
                    </w:rPr>
                    <w:t>) 7 straipsnio 2 dalyje nurodytas programas ir kas treji metai informuojama apie jų įgyvendinimo pažangą.</w:t>
                  </w:r>
                </w:p>
              </w:sdtContent>
            </w:sdt>
            <w:sdt>
              <w:sdtPr>
                <w:alias w:val="34 p."/>
                <w:tag w:val="part_2b6d084409a64930bf707cb106dbafb8"/>
                <w:lock w:val="sdtLocked"/>
                <w:richText/>
              </w:sdtPr>
              <w:sdtContent>
                <w:p>
                  <w:pPr>
                    <w:widowControl w:val="0"/>
                    <w:suppressAutoHyphens/>
                    <w:ind w:firstLine="567"/>
                    <w:jc w:val="both"/>
                    <w:rPr>
                      <w:color w:val="000000"/>
                    </w:rPr>
                  </w:pPr>
                  <w:sdt>
                    <w:sdtPr>
                      <w:alias w:val="Numeris"/>
                      <w:tag w:val="nr_2b6d084409a64930bf707cb106dbafb8"/>
                      <w:lock w:val="sdtLocked"/>
                      <w:richText/>
                    </w:sdtPr>
                    <w:sdtContent>
                      <w:r>
                        <w:rPr>
                          <w:color w:val="000000"/>
                        </w:rPr>
                        <w:t>34</w:t>
                      </w:r>
                    </w:sdtContent>
                  </w:sdt>
                  <w:r>
                    <w:rPr>
                      <w:color w:val="000000"/>
                    </w:rPr>
                    <w:t>. Kai Komisija praneša, kad laiko teisingais pagal Tvarkos aprašo 32.4 punktą pateiktus įrodymus, kad Tvarkos aprašo 30 punkte nurodytose zonose arba aglomeracijose ribinės vertės viršijimą sąlygojo resuspenduotos kietosios dalelės ir kad buvo imtasi visų pagrįstų priemonių koncentracijai mažinti, – toks užterštumo lygis laikomas KD</w:t>
                  </w:r>
                  <w:r>
                    <w:rPr>
                      <w:color w:val="000000"/>
                      <w:vertAlign w:val="subscript"/>
                    </w:rPr>
                    <w:t>10</w:t>
                  </w:r>
                  <w:r>
                    <w:rPr>
                      <w:color w:val="000000"/>
                    </w:rPr>
                    <w:t xml:space="preserve"> ribinės vertės viršijimu, tačiau Tvarkos aprašo 33 punkte nurodytos programos Komisijai teikti nereikia.</w:t>
                  </w:r>
                </w:p>
              </w:sdtContent>
            </w:sdt>
            <w:sdt>
              <w:sdtPr>
                <w:alias w:val="35 p."/>
                <w:tag w:val="part_b49d1b29f13a4e48be99f524392d54ba"/>
                <w:lock w:val="sdtLocked"/>
                <w:richText/>
              </w:sdtPr>
              <w:sdtContent>
                <w:p>
                  <w:pPr>
                    <w:widowControl w:val="0"/>
                    <w:suppressAutoHyphens/>
                    <w:ind w:firstLine="567"/>
                    <w:jc w:val="both"/>
                    <w:rPr>
                      <w:color w:val="000000"/>
                    </w:rPr>
                  </w:pPr>
                  <w:sdt>
                    <w:sdtPr>
                      <w:alias w:val="Numeris"/>
                      <w:tag w:val="nr_b49d1b29f13a4e48be99f524392d54ba"/>
                      <w:lock w:val="sdtLocked"/>
                      <w:richText/>
                    </w:sdtPr>
                    <w:sdtContent>
                      <w:r>
                        <w:rPr>
                          <w:color w:val="000000"/>
                        </w:rPr>
                        <w:t>35</w:t>
                      </w:r>
                    </w:sdtContent>
                  </w:sdt>
                  <w:r>
                    <w:rPr>
                      <w:color w:val="000000"/>
                    </w:rPr>
                    <w:t>. Komisijai paprašius, teikiama ataskaita dėl šio Tvarkos aprašo 6 priedo 1 punkte nurodyto lygiavertiškumo įrodymo pagal Komisijos gaires dėl lygiavertiškumo įrodymo.</w:t>
                  </w:r>
                </w:p>
              </w:sdtContent>
            </w:sdt>
            <w:sdt>
              <w:sdtPr>
                <w:alias w:val="36 p."/>
                <w:tag w:val="part_0e1625205ca0468a83f699ccdded8747"/>
                <w:lock w:val="sdtLocked"/>
                <w:richText/>
              </w:sdtPr>
              <w:sdtContent>
                <w:p>
                  <w:pPr>
                    <w:widowControl w:val="0"/>
                    <w:suppressAutoHyphens/>
                    <w:ind w:firstLine="567"/>
                    <w:jc w:val="both"/>
                    <w:rPr>
                      <w:color w:val="000000"/>
                    </w:rPr>
                  </w:pPr>
                  <w:sdt>
                    <w:sdtPr>
                      <w:alias w:val="Numeris"/>
                      <w:tag w:val="nr_0e1625205ca0468a83f699ccdded8747"/>
                      <w:lock w:val="sdtLocked"/>
                      <w:richText/>
                    </w:sdtPr>
                    <w:sdtContent>
                      <w:r>
                        <w:rPr>
                          <w:color w:val="000000"/>
                        </w:rPr>
                        <w:t>36</w:t>
                      </w:r>
                    </w:sdtContent>
                  </w:sdt>
                  <w:r>
                    <w:rPr>
                      <w:color w:val="000000"/>
                    </w:rPr>
                    <w:t>. Komisijai ne vėliau kaip per devynis mėnesius pasibaigus kiekvienam 3 metų laikotarpiui teikiama ataskaita pagal sektorius, nurodyta 1991 m. gruodžio 23 d. Tarybos direktyvos 91/692/EEB standartizuojančios ir racionalizuojančios ataskaitas apie tam tikrų su aplinka susijusių direktyvų įgyvendinimą 4 straipsnyje, ir informacija apie visose zonose ir aglomeracijose išmatuotą užterštumo lygį. Informacijoje apie ozoną turi būti pateikiama:</w:t>
                  </w:r>
                </w:p>
                <w:sdt>
                  <w:sdtPr>
                    <w:alias w:val="36.1 p."/>
                    <w:tag w:val="part_9a3f9cc358be4304900fada7cfd140d0"/>
                    <w:lock w:val="sdtLocked"/>
                    <w:richText/>
                  </w:sdtPr>
                  <w:sdtContent>
                    <w:p>
                      <w:pPr>
                        <w:widowControl w:val="0"/>
                        <w:suppressAutoHyphens/>
                        <w:ind w:firstLine="567"/>
                        <w:jc w:val="both"/>
                        <w:rPr>
                          <w:color w:val="000000"/>
                        </w:rPr>
                      </w:pPr>
                      <w:sdt>
                        <w:sdtPr>
                          <w:alias w:val="Numeris"/>
                          <w:tag w:val="nr_9a3f9cc358be4304900fada7cfd140d0"/>
                          <w:lock w:val="sdtLocked"/>
                          <w:richText/>
                        </w:sdtPr>
                        <w:sdtContent>
                          <w:r>
                            <w:rPr>
                              <w:color w:val="000000"/>
                            </w:rPr>
                            <w:t>36.1</w:t>
                          </w:r>
                        </w:sdtContent>
                      </w:sdt>
                      <w:r>
                        <w:rPr>
                          <w:color w:val="000000"/>
                        </w:rPr>
                        <w:t>. naujausia informacija apie ozono lygį zonose ir aglomeracijose;</w:t>
                      </w:r>
                    </w:p>
                  </w:sdtContent>
                </w:sdt>
                <w:sdt>
                  <w:sdtPr>
                    <w:alias w:val="36.2 p."/>
                    <w:tag w:val="part_15cc411e3398436c8e565d7d2ffb26de"/>
                    <w:lock w:val="sdtLocked"/>
                    <w:richText/>
                  </w:sdtPr>
                  <w:sdtContent>
                    <w:p>
                      <w:pPr>
                        <w:widowControl w:val="0"/>
                        <w:suppressAutoHyphens/>
                        <w:ind w:firstLine="567"/>
                        <w:jc w:val="both"/>
                        <w:rPr>
                          <w:color w:val="000000"/>
                        </w:rPr>
                      </w:pPr>
                      <w:sdt>
                        <w:sdtPr>
                          <w:alias w:val="Numeris"/>
                          <w:tag w:val="nr_15cc411e3398436c8e565d7d2ffb26de"/>
                          <w:lock w:val="sdtLocked"/>
                          <w:richText/>
                        </w:sdtPr>
                        <w:sdtContent>
                          <w:r>
                            <w:rPr>
                              <w:color w:val="000000"/>
                            </w:rPr>
                            <w:t>36.2</w:t>
                          </w:r>
                        </w:sdtContent>
                      </w:sdt>
                      <w:r>
                        <w:rPr>
                          <w:color w:val="000000"/>
                        </w:rPr>
                        <w:t>. informacija apie rentabilias priemones, kurių buvo imtasi ar planuojama imtis (jeigu užterštumo lygis buvo didesnis už ilgalaikius tikslus atitinkančią vertę) ozono užterštumo lygiui mažinti siekiant ilgalaikių tikslų;</w:t>
                      </w:r>
                    </w:p>
                  </w:sdtContent>
                </w:sdt>
                <w:sdt>
                  <w:sdtPr>
                    <w:alias w:val="36.3 p."/>
                    <w:tag w:val="part_3c1518a59db7498f94f65dcfd92339e4"/>
                    <w:lock w:val="sdtLocked"/>
                    <w:richText/>
                  </w:sdtPr>
                  <w:sdtContent>
                    <w:p>
                      <w:pPr>
                        <w:widowControl w:val="0"/>
                        <w:suppressAutoHyphens/>
                        <w:ind w:firstLine="567"/>
                        <w:jc w:val="both"/>
                        <w:rPr>
                          <w:color w:val="000000"/>
                        </w:rPr>
                      </w:pPr>
                      <w:sdt>
                        <w:sdtPr>
                          <w:alias w:val="Numeris"/>
                          <w:tag w:val="nr_3c1518a59db7498f94f65dcfd92339e4"/>
                          <w:lock w:val="sdtLocked"/>
                          <w:richText/>
                        </w:sdtPr>
                        <w:sdtContent>
                          <w:r>
                            <w:rPr>
                              <w:color w:val="000000"/>
                            </w:rPr>
                            <w:t>36.3</w:t>
                          </w:r>
                        </w:sdtContent>
                      </w:sdt>
                      <w:r>
                        <w:rPr>
                          <w:color w:val="000000"/>
                        </w:rPr>
                        <w:t>. informacija apie sprendimus, priimtus dėl priemonių taikymo ozono užterštumo lygiui mažinti siekiant sumažinti pavojaus slenksčio viršijimo grėsmę, trukmę arba mastą.</w:t>
                      </w:r>
                    </w:p>
                  </w:sdtContent>
                </w:sdt>
              </w:sdtContent>
            </w:sdt>
            <w:sdt>
              <w:sdtPr>
                <w:alias w:val="37 p."/>
                <w:tag w:val="part_cb12be1eae704aad92a6b8f43eec607c"/>
                <w:lock w:val="sdtLocked"/>
                <w:richText/>
              </w:sdtPr>
              <w:sdtContent>
                <w:p>
                  <w:pPr>
                    <w:widowControl w:val="0"/>
                    <w:suppressAutoHyphens/>
                    <w:ind w:firstLine="567"/>
                    <w:jc w:val="both"/>
                    <w:rPr>
                      <w:color w:val="000000"/>
                    </w:rPr>
                  </w:pPr>
                  <w:sdt>
                    <w:sdtPr>
                      <w:alias w:val="Numeris"/>
                      <w:tag w:val="nr_cb12be1eae704aad92a6b8f43eec607c"/>
                      <w:lock w:val="sdtLocked"/>
                      <w:richText/>
                    </w:sdtPr>
                    <w:sdtContent>
                      <w:r>
                        <w:rPr>
                          <w:color w:val="000000"/>
                        </w:rPr>
                        <w:t>37</w:t>
                      </w:r>
                    </w:sdtContent>
                  </w:sdt>
                  <w:r>
                    <w:rPr>
                      <w:color w:val="000000"/>
                    </w:rPr>
                    <w:t>. Kasmet kiekvieną mėnesį nuo balandžio iki rugsėjo ne vėliau kaip iki kito mėnesio</w:t>
                  </w:r>
                  <w:r>
                    <w:rPr>
                      <w:b/>
                      <w:bCs/>
                      <w:color w:val="000000"/>
                    </w:rPr>
                    <w:t xml:space="preserve"> </w:t>
                  </w:r>
                  <w:r>
                    <w:rPr>
                      <w:color w:val="000000"/>
                    </w:rPr>
                    <w:t>pabaigos siunčiama Komisijai negalutinė informacija (preliminarūs duomenys) apie ozono informavimo arba pavojaus slenksčio viršijamą (atskirai nurodoma kiekviena data, kada buvo viršytas pavojaus arba informavimo slenkstis, pateikiamas bendras kiekvieną dieną viršytų valandų skaičius, nurodoma maksimali 1 valandos vertė), o ne vėliau kaip iki spalio 31 d. pateikiama visa kita Tvarkos aprašo 7 priedo I skyriuje</w:t>
                  </w:r>
                  <w:r>
                    <w:rPr>
                      <w:b/>
                      <w:bCs/>
                      <w:color w:val="000000"/>
                    </w:rPr>
                    <w:t xml:space="preserve"> </w:t>
                  </w:r>
                  <w:r>
                    <w:rPr>
                      <w:color w:val="000000"/>
                    </w:rPr>
                    <w:t>nurodyta informacija.</w:t>
                  </w:r>
                </w:p>
                <w:p>
                  <w:pPr>
                    <w:widowControl w:val="0"/>
                    <w:suppressAutoHyphens/>
                    <w:ind w:firstLine="567"/>
                    <w:jc w:val="both"/>
                    <w:rPr>
                      <w:color w:val="000000"/>
                    </w:rPr>
                  </w:pPr>
                </w:p>
              </w:sdtContent>
            </w:sdt>
          </w:sdtContent>
        </w:sdt>
        <w:sdt>
          <w:sdtPr>
            <w:alias w:val="skyrius"/>
            <w:tag w:val="part_215da28a23a4447183f2de230a26887e"/>
            <w:lock w:val="sdtLocked"/>
            <w:richText/>
          </w:sdtPr>
          <w:sdtContent>
            <w:p>
              <w:pPr>
                <w:widowControl w:val="0"/>
                <w:suppressAutoHyphens/>
                <w:jc w:val="center"/>
                <w:rPr>
                  <w:b/>
                  <w:bCs/>
                  <w:caps/>
                  <w:color w:val="000000"/>
                </w:rPr>
              </w:pPr>
              <w:sdt>
                <w:sdtPr>
                  <w:alias w:val="Numeris"/>
                  <w:tag w:val="nr_215da28a23a4447183f2de230a26887e"/>
                  <w:lock w:val="sdtLocked"/>
                  <w:richText/>
                </w:sdtPr>
                <w:sdtContent>
                  <w:r>
                    <w:rPr>
                      <w:b/>
                      <w:bCs/>
                      <w:caps/>
                      <w:color w:val="000000"/>
                    </w:rPr>
                    <w:t>VII</w:t>
                  </w:r>
                </w:sdtContent>
              </w:sdt>
              <w:r>
                <w:rPr>
                  <w:b/>
                  <w:bCs/>
                  <w:caps/>
                  <w:color w:val="000000"/>
                </w:rPr>
                <w:t xml:space="preserve"> SKYRIUS. </w:t>
              </w:r>
              <w:sdt>
                <w:sdtPr>
                  <w:alias w:val="Pavadinimas"/>
                  <w:tag w:val="title_215da28a23a4447183f2de230a26887e"/>
                  <w:lock w:val="sdtLocked"/>
                  <w:richText/>
                </w:sdtPr>
                <w:sdtContent>
                  <w:r>
                    <w:rPr>
                      <w:b/>
                      <w:bCs/>
                      <w:caps/>
                      <w:color w:val="000000"/>
                    </w:rPr>
                    <w:t>VISUOMENĖS INFORMAVIMAS</w:t>
                  </w:r>
                </w:sdtContent>
              </w:sdt>
            </w:p>
            <w:p>
              <w:pPr>
                <w:widowControl w:val="0"/>
                <w:suppressAutoHyphens/>
                <w:ind w:firstLine="567"/>
                <w:jc w:val="both"/>
                <w:rPr>
                  <w:color w:val="000000"/>
                </w:rPr>
              </w:pPr>
            </w:p>
            <w:sdt>
              <w:sdtPr>
                <w:alias w:val="38 p."/>
                <w:tag w:val="part_b78126d5296546a7946061693f329fe7"/>
                <w:lock w:val="sdtLocked"/>
                <w:richText/>
              </w:sdtPr>
              <w:sdtContent>
                <w:p>
                  <w:pPr>
                    <w:widowControl w:val="0"/>
                    <w:suppressAutoHyphens/>
                    <w:ind w:firstLine="567"/>
                    <w:jc w:val="both"/>
                    <w:rPr>
                      <w:color w:val="000000"/>
                    </w:rPr>
                  </w:pPr>
                  <w:sdt>
                    <w:sdtPr>
                      <w:alias w:val="Numeris"/>
                      <w:tag w:val="nr_b78126d5296546a7946061693f329fe7"/>
                      <w:lock w:val="sdtLocked"/>
                      <w:richText/>
                    </w:sdtPr>
                    <w:sdtContent>
                      <w:r>
                        <w:rPr>
                          <w:color w:val="000000"/>
                        </w:rPr>
                        <w:t>38</w:t>
                      </w:r>
                    </w:sdtContent>
                  </w:sdt>
                  <w:r>
                    <w:rPr>
                      <w:color w:val="000000"/>
                    </w:rPr>
                    <w:t xml:space="preserve">. Apie aplinkos oro kokybę visuomenė informuojama Visuomenės, suinteresuotų institucijų ir įstaigų informavimo apie aplinkos oro užterštumo lygius tvarkos aprašo, patvirtinto Lietuvos Respublikos aplinkos ministro ir Lietuvos Respublikos sveikatos apsaugos ministro 2005 m. gegužės 26 d. įsakymu Nr. D1-265/V-436 (Žin., 2005, Nr. </w:t>
                  </w:r>
                  <w:hyperlink r:id="rId28" w:tgtFrame="_blank" w:history="1">
                    <w:r>
                      <w:rPr>
                        <w:color w:val="0000FF" w:themeColor="hyperlink"/>
                        <w:u w:val="single"/>
                      </w:rPr>
                      <w:t>74-2688</w:t>
                    </w:r>
                  </w:hyperlink>
                  <w:r>
                    <w:rPr>
                      <w:color w:val="000000"/>
                    </w:rPr>
                    <w:t>; 2009, Nr.</w:t>
                  </w:r>
                  <w:hyperlink r:id="rId29" w:tgtFrame="_blank" w:history="1">
                    <w:r>
                      <w:rPr>
                        <w:color w:val="0000FF" w:themeColor="hyperlink"/>
                        <w:u w:val="single"/>
                      </w:rPr>
                      <w:t>157-7111</w:t>
                    </w:r>
                  </w:hyperlink>
                  <w:r>
                    <w:rPr>
                      <w:color w:val="000000"/>
                    </w:rPr>
                    <w:t>), nustatyta tvarka.</w:t>
                  </w:r>
                </w:p>
                <w:p>
                  <w:pPr>
                    <w:widowControl w:val="0"/>
                    <w:suppressAutoHyphens/>
                    <w:jc w:val="both"/>
                    <w:rPr>
                      <w:color w:val="000000"/>
                    </w:rPr>
                  </w:pPr>
                </w:p>
              </w:sdtContent>
            </w:sdt>
          </w:sdtContent>
        </w:sdt>
        <w:sdt>
          <w:sdtPr>
            <w:alias w:val="pabaiga"/>
            <w:tag w:val="part_eeff4161f6e3472b97c8a5a282221c2f"/>
            <w:lock w:val="sdtLocked"/>
            <w:richText/>
          </w:sdtPr>
          <w:sdtContent>
            <w:p>
              <w:pPr>
                <w:widowControl w:val="0"/>
                <w:suppressAutoHyphens/>
                <w:jc w:val="center"/>
                <w:rPr>
                  <w:color w:val="000000"/>
                </w:rPr>
              </w:pPr>
              <w:r>
                <w:rPr>
                  <w:color w:val="000000"/>
                </w:rPr>
                <w:t>_________________</w:t>
              </w:r>
            </w:p>
          </w:sdtContent>
        </w:sdt>
      </w:sdtContent>
    </w:sdt>
    <w:sdt>
      <w:sdtPr>
        <w:alias w:val="1 pr."/>
        <w:tag w:val="part_194393db01a7462d8cf4f3116c81d9de"/>
        <w:lock w:val="sdtLocked"/>
        <w:richText/>
      </w:sdtPr>
      <w:sdtContent>
        <w:p>
          <w:pPr>
            <w:ind w:left="4535"/>
          </w:pPr>
          <w:r>
            <w:rPr>
              <w:color w:val="000000"/>
            </w:rPr>
            <w:br w:type="page"/>
          </w:r>
          <w:r>
            <w:t xml:space="preserve">Aplinkos oro kokybės vertinimo tvarkos aprašo </w:t>
          </w:r>
        </w:p>
        <w:p>
          <w:pPr>
            <w:ind w:left="4535"/>
            <w:rPr>
              <w:bCs/>
            </w:rPr>
          </w:pPr>
          <w:sdt>
            <w:sdtPr>
              <w:alias w:val="Numeris"/>
              <w:tag w:val="nr_194393db01a7462d8cf4f3116c81d9de"/>
              <w:lock w:val="sdtLocked"/>
              <w:richText/>
            </w:sdtPr>
            <w:sdtContent>
              <w:r>
                <w:t>1</w:t>
              </w:r>
            </w:sdtContent>
          </w:sdt>
          <w:r>
            <w:t xml:space="preserve"> priedas</w:t>
          </w:r>
        </w:p>
        <w:p>
          <w:pPr>
            <w:jc w:val="center"/>
            <w:rPr>
              <w:bCs/>
            </w:rPr>
          </w:pPr>
        </w:p>
        <w:p>
          <w:pPr>
            <w:jc w:val="center"/>
            <w:rPr>
              <w:b/>
              <w:bCs/>
            </w:rPr>
          </w:pPr>
          <w:sdt>
            <w:sdtPr>
              <w:alias w:val="Pavadinimas"/>
              <w:tag w:val="title_194393db01a7462d8cf4f3116c81d9de"/>
              <w:lock w:val="sdtLocked"/>
              <w:richText/>
            </w:sdtPr>
            <w:sdtContent>
              <w:r>
                <w:rPr>
                  <w:b/>
                  <w:bCs/>
                </w:rPr>
                <w:t>DUOMENŲ KOKYBĖS TIKSLAI</w:t>
              </w:r>
            </w:sdtContent>
          </w:sdt>
        </w:p>
        <w:p>
          <w:pPr>
            <w:jc w:val="center"/>
            <w:rPr>
              <w:bCs/>
            </w:rPr>
          </w:pPr>
        </w:p>
        <w:sdt>
          <w:sdtPr>
            <w:alias w:val="skyrius"/>
            <w:tag w:val="part_ed2c06ae9e194bb4a52321aa36f8e5c2"/>
            <w:lock w:val="sdtLocked"/>
            <w:richText/>
          </w:sdtPr>
          <w:sdtContent>
            <w:p>
              <w:pPr>
                <w:jc w:val="center"/>
                <w:outlineLvl w:val="3"/>
                <w:rPr>
                  <w:b/>
                  <w:bCs/>
                  <w:caps/>
                </w:rPr>
              </w:pPr>
              <w:sdt>
                <w:sdtPr>
                  <w:alias w:val="Numeris"/>
                  <w:tag w:val="nr_ed2c06ae9e194bb4a52321aa36f8e5c2"/>
                  <w:lock w:val="sdtLocked"/>
                  <w:richText/>
                </w:sdtPr>
                <w:sdtContent>
                  <w:r>
                    <w:rPr>
                      <w:b/>
                      <w:bCs/>
                    </w:rPr>
                    <w:t>I</w:t>
                  </w:r>
                </w:sdtContent>
              </w:sdt>
              <w:r>
                <w:rPr>
                  <w:b/>
                  <w:bCs/>
                </w:rPr>
                <w:t xml:space="preserve">. </w:t>
              </w:r>
              <w:sdt>
                <w:sdtPr>
                  <w:alias w:val="Pavadinimas"/>
                  <w:tag w:val="title_ed2c06ae9e194bb4a52321aa36f8e5c2"/>
                  <w:lock w:val="sdtLocked"/>
                  <w:richText/>
                </w:sdtPr>
                <w:sdtContent>
                  <w:r>
                    <w:rPr>
                      <w:b/>
                      <w:bCs/>
                      <w:caps/>
                    </w:rPr>
                    <w:t>Duomenų kokybės tikslai vertinant aplinkos oro kokybę</w:t>
                  </w:r>
                </w:sdtContent>
              </w:sdt>
            </w:p>
            <w:p/>
            <w:sdt>
              <w:sdtPr>
                <w:alias w:val="1 pr. 1 p."/>
                <w:tag w:val="part_ac5b82c229564540999af561dbd0aa38"/>
                <w:lock w:val="sdtLocked"/>
                <w:richText/>
              </w:sdtPr>
              <w:sdtContent>
                <w:p>
                  <w:pPr>
                    <w:ind w:firstLine="567"/>
                    <w:jc w:val="both"/>
                  </w:pPr>
                  <w:sdt>
                    <w:sdtPr>
                      <w:alias w:val="Numeris"/>
                      <w:tag w:val="nr_ac5b82c229564540999af561dbd0aa38"/>
                      <w:lock w:val="sdtLocked"/>
                      <w:richText/>
                    </w:sdtPr>
                    <w:sdtContent>
                      <w:r>
                        <w:t>1</w:t>
                      </w:r>
                    </w:sdtContent>
                  </w:sdt>
                  <w:r>
                    <w:t>. Duomenų kokybės tikslai vertinant aplinkos oro kokybę:</w:t>
                  </w:r>
                </w:p>
                <w:p/>
                <w:tbl>
                  <w:tblPr>
                    <w:tblW w:w="9180" w:type="dxa"/>
                    <w:tblInd w:w="108" w:type="dxa"/>
                    <w:tblLook w:val="0000" w:firstRow="0" w:lastRow="0" w:firstColumn="0" w:lastColumn="0" w:noHBand="0" w:noVBand="0"/>
                  </w:tblPr>
                  <w:tblGrid>
                    <w:gridCol w:w="2700"/>
                    <w:gridCol w:w="2160"/>
                    <w:gridCol w:w="1260"/>
                    <w:gridCol w:w="1620"/>
                    <w:gridCol w:w="1440"/>
                  </w:tblGrid>
                  <w:tr>
                    <w:tc>
                      <w:tcPr>
                        <w:tcW w:w="2700" w:type="dxa"/>
                        <w:tcBorders>
                          <w:top w:val="single" w:sz="4" w:space="0" w:color="auto"/>
                          <w:left w:val="single" w:sz="4" w:space="0" w:color="auto"/>
                          <w:bottom w:val="single" w:sz="4" w:space="0" w:color="auto"/>
                          <w:right w:val="single" w:sz="4" w:space="0" w:color="auto"/>
                        </w:tcBorders>
                      </w:tcPr>
                      <w:p>
                        <w:pPr>
                          <w:rPr>
                            <w:sz w:val="22"/>
                            <w:szCs w:val="22"/>
                          </w:rPr>
                        </w:pPr>
                      </w:p>
                    </w:tc>
                    <w:tc>
                      <w:tcPr>
                        <w:tcW w:w="2160" w:type="dxa"/>
                        <w:tcBorders>
                          <w:top w:val="single" w:sz="4" w:space="0" w:color="auto"/>
                          <w:left w:val="single" w:sz="4" w:space="0" w:color="auto"/>
                          <w:bottom w:val="single" w:sz="4" w:space="0" w:color="auto"/>
                          <w:right w:val="single" w:sz="4" w:space="0" w:color="auto"/>
                        </w:tcBorders>
                      </w:tcPr>
                      <w:p>
                        <w:pPr>
                          <w:jc w:val="center"/>
                          <w:rPr>
                            <w:sz w:val="22"/>
                            <w:szCs w:val="22"/>
                          </w:rPr>
                        </w:pPr>
                        <w:r>
                          <w:rPr>
                            <w:sz w:val="22"/>
                            <w:szCs w:val="22"/>
                          </w:rPr>
                          <w:t>Sieros dioksidas, azoto dioksidas ir azoto oksidai, anglies monoksidas</w:t>
                        </w:r>
                      </w:p>
                    </w:tc>
                    <w:tc>
                      <w:tcPr>
                        <w:tcW w:w="1260" w:type="dxa"/>
                        <w:tcBorders>
                          <w:top w:val="single" w:sz="4" w:space="0" w:color="auto"/>
                          <w:left w:val="single" w:sz="4" w:space="0" w:color="auto"/>
                          <w:bottom w:val="single" w:sz="4" w:space="0" w:color="auto"/>
                          <w:right w:val="single" w:sz="4" w:space="0" w:color="auto"/>
                        </w:tcBorders>
                      </w:tcPr>
                      <w:p>
                        <w:pPr>
                          <w:jc w:val="center"/>
                          <w:rPr>
                            <w:sz w:val="22"/>
                            <w:szCs w:val="22"/>
                          </w:rPr>
                        </w:pPr>
                        <w:r>
                          <w:rPr>
                            <w:sz w:val="22"/>
                            <w:szCs w:val="22"/>
                          </w:rPr>
                          <w:t>Benzenas</w:t>
                        </w:r>
                      </w:p>
                    </w:tc>
                    <w:tc>
                      <w:tcPr>
                        <w:tcW w:w="1620" w:type="dxa"/>
                        <w:tcBorders>
                          <w:top w:val="single" w:sz="4" w:space="0" w:color="auto"/>
                          <w:left w:val="single" w:sz="4" w:space="0" w:color="auto"/>
                          <w:bottom w:val="single" w:sz="4" w:space="0" w:color="auto"/>
                          <w:right w:val="single" w:sz="4" w:space="0" w:color="auto"/>
                        </w:tcBorders>
                      </w:tcPr>
                      <w:p>
                        <w:pPr>
                          <w:jc w:val="center"/>
                          <w:rPr>
                            <w:sz w:val="22"/>
                            <w:szCs w:val="22"/>
                          </w:rPr>
                        </w:pPr>
                        <w:r>
                          <w:rPr>
                            <w:sz w:val="22"/>
                            <w:szCs w:val="22"/>
                          </w:rPr>
                          <w:t>Kietosios dalelės (KD</w:t>
                        </w:r>
                        <w:r>
                          <w:rPr>
                            <w:sz w:val="22"/>
                            <w:szCs w:val="22"/>
                            <w:vertAlign w:val="subscript"/>
                          </w:rPr>
                          <w:t>10</w:t>
                        </w:r>
                        <w:r>
                          <w:rPr>
                            <w:sz w:val="22"/>
                            <w:szCs w:val="22"/>
                          </w:rPr>
                          <w:t xml:space="preserve"> ir KD</w:t>
                        </w:r>
                        <w:r>
                          <w:rPr>
                            <w:sz w:val="22"/>
                            <w:szCs w:val="22"/>
                            <w:vertAlign w:val="subscript"/>
                          </w:rPr>
                          <w:t>2,5</w:t>
                        </w:r>
                        <w:r>
                          <w:rPr>
                            <w:sz w:val="22"/>
                            <w:szCs w:val="22"/>
                          </w:rPr>
                          <w:t>) ir švinas</w:t>
                        </w:r>
                      </w:p>
                    </w:tc>
                    <w:tc>
                      <w:tcPr>
                        <w:tcW w:w="1440" w:type="dxa"/>
                        <w:tcBorders>
                          <w:top w:val="single" w:sz="4" w:space="0" w:color="auto"/>
                          <w:left w:val="single" w:sz="4" w:space="0" w:color="auto"/>
                          <w:bottom w:val="single" w:sz="4" w:space="0" w:color="auto"/>
                          <w:right w:val="single" w:sz="4" w:space="0" w:color="auto"/>
                        </w:tcBorders>
                      </w:tcPr>
                      <w:p>
                        <w:pPr>
                          <w:jc w:val="center"/>
                          <w:rPr>
                            <w:sz w:val="22"/>
                            <w:szCs w:val="22"/>
                          </w:rPr>
                        </w:pPr>
                        <w:r>
                          <w:rPr>
                            <w:sz w:val="22"/>
                            <w:szCs w:val="22"/>
                          </w:rPr>
                          <w:t>Ozonas ir susiję azoto oksidai (NO ir NO</w:t>
                        </w:r>
                        <w:r>
                          <w:rPr>
                            <w:sz w:val="22"/>
                            <w:szCs w:val="22"/>
                            <w:vertAlign w:val="subscript"/>
                          </w:rPr>
                          <w:t>2</w:t>
                        </w:r>
                        <w:r>
                          <w:rPr>
                            <w:sz w:val="22"/>
                            <w:szCs w:val="22"/>
                          </w:rPr>
                          <w:t>)</w:t>
                        </w:r>
                      </w:p>
                    </w:tc>
                  </w:tr>
                  <w:tr>
                    <w:tc>
                      <w:tcPr>
                        <w:tcW w:w="2700" w:type="dxa"/>
                        <w:tcBorders>
                          <w:top w:val="single" w:sz="4" w:space="0" w:color="auto"/>
                          <w:left w:val="single" w:sz="4" w:space="0" w:color="auto"/>
                          <w:right w:val="single" w:sz="4" w:space="0" w:color="auto"/>
                        </w:tcBorders>
                      </w:tcPr>
                      <w:p>
                        <w:pPr>
                          <w:rPr>
                            <w:sz w:val="22"/>
                            <w:szCs w:val="22"/>
                          </w:rPr>
                        </w:pPr>
                        <w:r>
                          <w:rPr>
                            <w:b/>
                            <w:bCs/>
                            <w:sz w:val="22"/>
                            <w:szCs w:val="22"/>
                          </w:rPr>
                          <w:t>Fiksuoti matavimai</w:t>
                        </w:r>
                        <w:r>
                          <w:rPr>
                            <w:sz w:val="22"/>
                            <w:szCs w:val="22"/>
                          </w:rPr>
                          <w:t xml:space="preserve"> </w:t>
                        </w:r>
                        <w:r>
                          <w:rPr>
                            <w:sz w:val="22"/>
                            <w:szCs w:val="22"/>
                            <w:vertAlign w:val="superscript"/>
                          </w:rPr>
                          <w:t>1</w:t>
                        </w:r>
                      </w:p>
                    </w:tc>
                    <w:tc>
                      <w:tcPr>
                        <w:tcW w:w="2160" w:type="dxa"/>
                        <w:tcBorders>
                          <w:top w:val="single" w:sz="4" w:space="0" w:color="auto"/>
                          <w:left w:val="single" w:sz="4" w:space="0" w:color="auto"/>
                          <w:right w:val="single" w:sz="4" w:space="0" w:color="auto"/>
                        </w:tcBorders>
                      </w:tcPr>
                      <w:p>
                        <w:pPr>
                          <w:jc w:val="center"/>
                          <w:rPr>
                            <w:sz w:val="22"/>
                            <w:szCs w:val="22"/>
                          </w:rPr>
                        </w:pPr>
                      </w:p>
                    </w:tc>
                    <w:tc>
                      <w:tcPr>
                        <w:tcW w:w="1260" w:type="dxa"/>
                        <w:tcBorders>
                          <w:top w:val="single" w:sz="4" w:space="0" w:color="auto"/>
                          <w:left w:val="single" w:sz="4" w:space="0" w:color="auto"/>
                          <w:right w:val="single" w:sz="4" w:space="0" w:color="auto"/>
                        </w:tcBorders>
                      </w:tcPr>
                      <w:p>
                        <w:pPr>
                          <w:jc w:val="center"/>
                          <w:rPr>
                            <w:sz w:val="22"/>
                            <w:szCs w:val="22"/>
                          </w:rPr>
                        </w:pPr>
                      </w:p>
                    </w:tc>
                    <w:tc>
                      <w:tcPr>
                        <w:tcW w:w="1620" w:type="dxa"/>
                        <w:tcBorders>
                          <w:top w:val="single" w:sz="4" w:space="0" w:color="auto"/>
                          <w:left w:val="single" w:sz="4" w:space="0" w:color="auto"/>
                          <w:right w:val="single" w:sz="4" w:space="0" w:color="auto"/>
                        </w:tcBorders>
                      </w:tcPr>
                      <w:p>
                        <w:pPr>
                          <w:jc w:val="center"/>
                          <w:rPr>
                            <w:sz w:val="22"/>
                            <w:szCs w:val="22"/>
                          </w:rPr>
                        </w:pPr>
                      </w:p>
                    </w:tc>
                    <w:tc>
                      <w:tcPr>
                        <w:tcW w:w="1440" w:type="dxa"/>
                        <w:tcBorders>
                          <w:top w:val="single" w:sz="4" w:space="0" w:color="auto"/>
                          <w:left w:val="single" w:sz="4" w:space="0" w:color="auto"/>
                          <w:right w:val="single" w:sz="4" w:space="0" w:color="auto"/>
                        </w:tcBorders>
                      </w:tcPr>
                      <w:p>
                        <w:pPr>
                          <w:jc w:val="center"/>
                          <w:rPr>
                            <w:sz w:val="22"/>
                            <w:szCs w:val="22"/>
                          </w:rPr>
                        </w:pPr>
                      </w:p>
                    </w:tc>
                  </w:tr>
                  <w:tr>
                    <w:tc>
                      <w:tcPr>
                        <w:tcW w:w="2700" w:type="dxa"/>
                        <w:tcBorders>
                          <w:left w:val="single" w:sz="4" w:space="0" w:color="auto"/>
                          <w:right w:val="single" w:sz="4" w:space="0" w:color="auto"/>
                        </w:tcBorders>
                      </w:tcPr>
                      <w:p>
                        <w:pPr>
                          <w:rPr>
                            <w:sz w:val="22"/>
                            <w:szCs w:val="22"/>
                          </w:rPr>
                        </w:pPr>
                        <w:r>
                          <w:rPr>
                            <w:sz w:val="22"/>
                            <w:szCs w:val="22"/>
                          </w:rPr>
                          <w:t xml:space="preserve">Neapibrėžtis </w:t>
                        </w:r>
                      </w:p>
                    </w:tc>
                    <w:tc>
                      <w:tcPr>
                        <w:tcW w:w="2160" w:type="dxa"/>
                        <w:tcBorders>
                          <w:left w:val="single" w:sz="4" w:space="0" w:color="auto"/>
                          <w:right w:val="single" w:sz="4" w:space="0" w:color="auto"/>
                        </w:tcBorders>
                      </w:tcPr>
                      <w:p>
                        <w:pPr>
                          <w:jc w:val="center"/>
                          <w:rPr>
                            <w:sz w:val="22"/>
                            <w:szCs w:val="22"/>
                          </w:rPr>
                        </w:pPr>
                        <w:r>
                          <w:rPr>
                            <w:sz w:val="22"/>
                            <w:szCs w:val="22"/>
                          </w:rPr>
                          <w:t>15 %</w:t>
                        </w:r>
                      </w:p>
                    </w:tc>
                    <w:tc>
                      <w:tcPr>
                        <w:tcW w:w="1260" w:type="dxa"/>
                        <w:tcBorders>
                          <w:left w:val="single" w:sz="4" w:space="0" w:color="auto"/>
                          <w:right w:val="single" w:sz="4" w:space="0" w:color="auto"/>
                        </w:tcBorders>
                      </w:tcPr>
                      <w:p>
                        <w:pPr>
                          <w:jc w:val="center"/>
                          <w:rPr>
                            <w:sz w:val="22"/>
                            <w:szCs w:val="22"/>
                          </w:rPr>
                        </w:pPr>
                        <w:r>
                          <w:rPr>
                            <w:sz w:val="22"/>
                            <w:szCs w:val="22"/>
                          </w:rPr>
                          <w:t>25 %</w:t>
                        </w:r>
                      </w:p>
                    </w:tc>
                    <w:tc>
                      <w:tcPr>
                        <w:tcW w:w="1620" w:type="dxa"/>
                        <w:tcBorders>
                          <w:left w:val="single" w:sz="4" w:space="0" w:color="auto"/>
                          <w:right w:val="single" w:sz="4" w:space="0" w:color="auto"/>
                        </w:tcBorders>
                      </w:tcPr>
                      <w:p>
                        <w:pPr>
                          <w:jc w:val="center"/>
                          <w:rPr>
                            <w:sz w:val="22"/>
                            <w:szCs w:val="22"/>
                          </w:rPr>
                        </w:pPr>
                        <w:r>
                          <w:rPr>
                            <w:sz w:val="22"/>
                            <w:szCs w:val="22"/>
                          </w:rPr>
                          <w:t>25 %</w:t>
                        </w:r>
                      </w:p>
                    </w:tc>
                    <w:tc>
                      <w:tcPr>
                        <w:tcW w:w="1440" w:type="dxa"/>
                        <w:tcBorders>
                          <w:left w:val="single" w:sz="4" w:space="0" w:color="auto"/>
                          <w:right w:val="single" w:sz="4" w:space="0" w:color="auto"/>
                        </w:tcBorders>
                      </w:tcPr>
                      <w:p>
                        <w:pPr>
                          <w:jc w:val="center"/>
                          <w:rPr>
                            <w:sz w:val="22"/>
                            <w:szCs w:val="22"/>
                          </w:rPr>
                        </w:pPr>
                        <w:r>
                          <w:rPr>
                            <w:sz w:val="22"/>
                            <w:szCs w:val="22"/>
                          </w:rPr>
                          <w:t>15 %</w:t>
                        </w:r>
                      </w:p>
                    </w:tc>
                  </w:tr>
                  <w:tr>
                    <w:tc>
                      <w:tcPr>
                        <w:tcW w:w="2700" w:type="dxa"/>
                        <w:tcBorders>
                          <w:left w:val="single" w:sz="4" w:space="0" w:color="auto"/>
                          <w:right w:val="single" w:sz="4" w:space="0" w:color="auto"/>
                        </w:tcBorders>
                      </w:tcPr>
                      <w:p>
                        <w:pPr>
                          <w:rPr>
                            <w:sz w:val="22"/>
                            <w:szCs w:val="22"/>
                          </w:rPr>
                        </w:pPr>
                        <w:r>
                          <w:rPr>
                            <w:sz w:val="22"/>
                            <w:szCs w:val="22"/>
                          </w:rPr>
                          <w:t xml:space="preserve">Minimalus duomenų surinkimas </w:t>
                        </w:r>
                      </w:p>
                    </w:tc>
                    <w:tc>
                      <w:tcPr>
                        <w:tcW w:w="2160" w:type="dxa"/>
                        <w:tcBorders>
                          <w:left w:val="single" w:sz="4" w:space="0" w:color="auto"/>
                          <w:right w:val="single" w:sz="4" w:space="0" w:color="auto"/>
                        </w:tcBorders>
                      </w:tcPr>
                      <w:p>
                        <w:pPr>
                          <w:jc w:val="center"/>
                          <w:rPr>
                            <w:sz w:val="22"/>
                            <w:szCs w:val="22"/>
                          </w:rPr>
                        </w:pPr>
                        <w:r>
                          <w:rPr>
                            <w:sz w:val="22"/>
                            <w:szCs w:val="22"/>
                          </w:rPr>
                          <w:t>90 %</w:t>
                        </w:r>
                      </w:p>
                    </w:tc>
                    <w:tc>
                      <w:tcPr>
                        <w:tcW w:w="1260" w:type="dxa"/>
                        <w:tcBorders>
                          <w:left w:val="single" w:sz="4" w:space="0" w:color="auto"/>
                          <w:right w:val="single" w:sz="4" w:space="0" w:color="auto"/>
                        </w:tcBorders>
                      </w:tcPr>
                      <w:p>
                        <w:pPr>
                          <w:jc w:val="center"/>
                          <w:rPr>
                            <w:sz w:val="22"/>
                            <w:szCs w:val="22"/>
                          </w:rPr>
                        </w:pPr>
                        <w:r>
                          <w:rPr>
                            <w:sz w:val="22"/>
                            <w:szCs w:val="22"/>
                          </w:rPr>
                          <w:t>90 %</w:t>
                        </w:r>
                      </w:p>
                    </w:tc>
                    <w:tc>
                      <w:tcPr>
                        <w:tcW w:w="1620" w:type="dxa"/>
                        <w:tcBorders>
                          <w:left w:val="single" w:sz="4" w:space="0" w:color="auto"/>
                          <w:right w:val="single" w:sz="4" w:space="0" w:color="auto"/>
                        </w:tcBorders>
                      </w:tcPr>
                      <w:p>
                        <w:pPr>
                          <w:jc w:val="center"/>
                          <w:rPr>
                            <w:sz w:val="22"/>
                            <w:szCs w:val="22"/>
                          </w:rPr>
                        </w:pPr>
                        <w:r>
                          <w:rPr>
                            <w:sz w:val="22"/>
                            <w:szCs w:val="22"/>
                          </w:rPr>
                          <w:t>90 %</w:t>
                        </w:r>
                      </w:p>
                    </w:tc>
                    <w:tc>
                      <w:tcPr>
                        <w:tcW w:w="1440" w:type="dxa"/>
                        <w:tcBorders>
                          <w:left w:val="single" w:sz="4" w:space="0" w:color="auto"/>
                          <w:right w:val="single" w:sz="4" w:space="0" w:color="auto"/>
                        </w:tcBorders>
                      </w:tcPr>
                      <w:p>
                        <w:pPr>
                          <w:jc w:val="center"/>
                          <w:rPr>
                            <w:sz w:val="22"/>
                            <w:szCs w:val="22"/>
                          </w:rPr>
                        </w:pPr>
                        <w:r>
                          <w:rPr>
                            <w:sz w:val="22"/>
                            <w:szCs w:val="22"/>
                          </w:rPr>
                          <w:t>90 % vasarą 75 % žiemą</w:t>
                        </w:r>
                      </w:p>
                    </w:tc>
                  </w:tr>
                  <w:tr>
                    <w:tc>
                      <w:tcPr>
                        <w:tcW w:w="2700" w:type="dxa"/>
                        <w:tcBorders>
                          <w:left w:val="single" w:sz="4" w:space="0" w:color="auto"/>
                          <w:right w:val="single" w:sz="4" w:space="0" w:color="auto"/>
                        </w:tcBorders>
                      </w:tcPr>
                      <w:p>
                        <w:pPr>
                          <w:rPr>
                            <w:sz w:val="22"/>
                            <w:szCs w:val="22"/>
                          </w:rPr>
                        </w:pPr>
                        <w:r>
                          <w:rPr>
                            <w:sz w:val="22"/>
                            <w:szCs w:val="22"/>
                          </w:rPr>
                          <w:t xml:space="preserve">Minimali laiko aprėptis: </w:t>
                        </w:r>
                      </w:p>
                    </w:tc>
                    <w:tc>
                      <w:tcPr>
                        <w:tcW w:w="2160" w:type="dxa"/>
                        <w:tcBorders>
                          <w:left w:val="single" w:sz="4" w:space="0" w:color="auto"/>
                          <w:right w:val="single" w:sz="4" w:space="0" w:color="auto"/>
                        </w:tcBorders>
                      </w:tcPr>
                      <w:p>
                        <w:pPr>
                          <w:jc w:val="center"/>
                          <w:rPr>
                            <w:sz w:val="22"/>
                            <w:szCs w:val="22"/>
                          </w:rPr>
                        </w:pPr>
                      </w:p>
                    </w:tc>
                    <w:tc>
                      <w:tcPr>
                        <w:tcW w:w="1260" w:type="dxa"/>
                        <w:tcBorders>
                          <w:left w:val="single" w:sz="4" w:space="0" w:color="auto"/>
                          <w:right w:val="single" w:sz="4" w:space="0" w:color="auto"/>
                        </w:tcBorders>
                      </w:tcPr>
                      <w:p>
                        <w:pPr>
                          <w:jc w:val="center"/>
                          <w:rPr>
                            <w:sz w:val="22"/>
                            <w:szCs w:val="22"/>
                          </w:rPr>
                        </w:pPr>
                      </w:p>
                    </w:tc>
                    <w:tc>
                      <w:tcPr>
                        <w:tcW w:w="1620" w:type="dxa"/>
                        <w:tcBorders>
                          <w:left w:val="single" w:sz="4" w:space="0" w:color="auto"/>
                          <w:right w:val="single" w:sz="4" w:space="0" w:color="auto"/>
                        </w:tcBorders>
                      </w:tcPr>
                      <w:p>
                        <w:pPr>
                          <w:jc w:val="center"/>
                          <w:rPr>
                            <w:sz w:val="22"/>
                            <w:szCs w:val="22"/>
                          </w:rPr>
                        </w:pPr>
                      </w:p>
                    </w:tc>
                    <w:tc>
                      <w:tcPr>
                        <w:tcW w:w="1440" w:type="dxa"/>
                        <w:tcBorders>
                          <w:left w:val="single" w:sz="4" w:space="0" w:color="auto"/>
                          <w:right w:val="single" w:sz="4" w:space="0" w:color="auto"/>
                        </w:tcBorders>
                      </w:tcPr>
                      <w:p>
                        <w:pPr>
                          <w:jc w:val="center"/>
                          <w:rPr>
                            <w:sz w:val="22"/>
                            <w:szCs w:val="22"/>
                          </w:rPr>
                        </w:pPr>
                      </w:p>
                    </w:tc>
                  </w:tr>
                  <w:tr>
                    <w:tc>
                      <w:tcPr>
                        <w:tcW w:w="2700" w:type="dxa"/>
                        <w:tcBorders>
                          <w:left w:val="single" w:sz="4" w:space="0" w:color="auto"/>
                          <w:right w:val="single" w:sz="4" w:space="0" w:color="auto"/>
                        </w:tcBorders>
                      </w:tcPr>
                      <w:p>
                        <w:pPr>
                          <w:rPr>
                            <w:sz w:val="22"/>
                            <w:szCs w:val="22"/>
                          </w:rPr>
                        </w:pPr>
                        <w:r>
                          <w:rPr>
                            <w:sz w:val="22"/>
                            <w:szCs w:val="22"/>
                          </w:rPr>
                          <w:t xml:space="preserve">- foninės miesto vietovės ir eismas, </w:t>
                        </w:r>
                      </w:p>
                    </w:tc>
                    <w:tc>
                      <w:tcPr>
                        <w:tcW w:w="2160" w:type="dxa"/>
                        <w:tcBorders>
                          <w:left w:val="single" w:sz="4" w:space="0" w:color="auto"/>
                          <w:right w:val="single" w:sz="4" w:space="0" w:color="auto"/>
                        </w:tcBorders>
                      </w:tcPr>
                      <w:p>
                        <w:pPr>
                          <w:jc w:val="center"/>
                          <w:rPr>
                            <w:sz w:val="22"/>
                            <w:szCs w:val="22"/>
                          </w:rPr>
                        </w:pPr>
                        <w:r>
                          <w:rPr>
                            <w:sz w:val="22"/>
                            <w:szCs w:val="22"/>
                          </w:rPr>
                          <w:t>–</w:t>
                        </w:r>
                      </w:p>
                    </w:tc>
                    <w:tc>
                      <w:tcPr>
                        <w:tcW w:w="1260" w:type="dxa"/>
                        <w:tcBorders>
                          <w:left w:val="single" w:sz="4" w:space="0" w:color="auto"/>
                          <w:right w:val="single" w:sz="4" w:space="0" w:color="auto"/>
                        </w:tcBorders>
                      </w:tcPr>
                      <w:p>
                        <w:pPr>
                          <w:jc w:val="center"/>
                          <w:rPr>
                            <w:sz w:val="22"/>
                            <w:szCs w:val="22"/>
                          </w:rPr>
                        </w:pPr>
                        <w:r>
                          <w:rPr>
                            <w:sz w:val="22"/>
                            <w:szCs w:val="22"/>
                          </w:rPr>
                          <w:t xml:space="preserve">35 % </w:t>
                        </w:r>
                        <w:r>
                          <w:rPr>
                            <w:sz w:val="22"/>
                            <w:szCs w:val="22"/>
                            <w:vertAlign w:val="superscript"/>
                          </w:rPr>
                          <w:t>2</w:t>
                        </w:r>
                      </w:p>
                    </w:tc>
                    <w:tc>
                      <w:tcPr>
                        <w:tcW w:w="1620" w:type="dxa"/>
                        <w:tcBorders>
                          <w:left w:val="single" w:sz="4" w:space="0" w:color="auto"/>
                          <w:right w:val="single" w:sz="4" w:space="0" w:color="auto"/>
                        </w:tcBorders>
                      </w:tcPr>
                      <w:p>
                        <w:pPr>
                          <w:jc w:val="center"/>
                          <w:rPr>
                            <w:sz w:val="22"/>
                            <w:szCs w:val="22"/>
                          </w:rPr>
                        </w:pPr>
                        <w:r>
                          <w:rPr>
                            <w:sz w:val="22"/>
                            <w:szCs w:val="22"/>
                          </w:rPr>
                          <w:t>–</w:t>
                        </w:r>
                      </w:p>
                    </w:tc>
                    <w:tc>
                      <w:tcPr>
                        <w:tcW w:w="1440" w:type="dxa"/>
                        <w:tcBorders>
                          <w:left w:val="single" w:sz="4" w:space="0" w:color="auto"/>
                          <w:right w:val="single" w:sz="4" w:space="0" w:color="auto"/>
                        </w:tcBorders>
                      </w:tcPr>
                      <w:p>
                        <w:pPr>
                          <w:jc w:val="center"/>
                          <w:rPr>
                            <w:sz w:val="22"/>
                            <w:szCs w:val="22"/>
                          </w:rPr>
                        </w:pPr>
                        <w:r>
                          <w:rPr>
                            <w:sz w:val="22"/>
                            <w:szCs w:val="22"/>
                          </w:rPr>
                          <w:t>–</w:t>
                        </w:r>
                      </w:p>
                    </w:tc>
                  </w:tr>
                  <w:tr>
                    <w:tc>
                      <w:tcPr>
                        <w:tcW w:w="2700" w:type="dxa"/>
                        <w:tcBorders>
                          <w:left w:val="single" w:sz="4" w:space="0" w:color="auto"/>
                          <w:bottom w:val="single" w:sz="4" w:space="0" w:color="auto"/>
                          <w:right w:val="single" w:sz="4" w:space="0" w:color="auto"/>
                        </w:tcBorders>
                      </w:tcPr>
                      <w:p>
                        <w:pPr>
                          <w:rPr>
                            <w:sz w:val="22"/>
                            <w:szCs w:val="22"/>
                          </w:rPr>
                        </w:pPr>
                        <w:r>
                          <w:rPr>
                            <w:sz w:val="22"/>
                            <w:szCs w:val="22"/>
                          </w:rPr>
                          <w:t xml:space="preserve">- pramoniniai objektai </w:t>
                        </w:r>
                      </w:p>
                    </w:tc>
                    <w:tc>
                      <w:tcPr>
                        <w:tcW w:w="2160" w:type="dxa"/>
                        <w:tcBorders>
                          <w:left w:val="single" w:sz="4" w:space="0" w:color="auto"/>
                          <w:bottom w:val="single" w:sz="4" w:space="0" w:color="auto"/>
                          <w:right w:val="single" w:sz="4" w:space="0" w:color="auto"/>
                        </w:tcBorders>
                      </w:tcPr>
                      <w:p>
                        <w:pPr>
                          <w:jc w:val="center"/>
                          <w:rPr>
                            <w:sz w:val="22"/>
                            <w:szCs w:val="22"/>
                          </w:rPr>
                        </w:pPr>
                        <w:r>
                          <w:rPr>
                            <w:sz w:val="22"/>
                            <w:szCs w:val="22"/>
                          </w:rPr>
                          <w:t>–</w:t>
                        </w:r>
                      </w:p>
                    </w:tc>
                    <w:tc>
                      <w:tcPr>
                        <w:tcW w:w="1260" w:type="dxa"/>
                        <w:tcBorders>
                          <w:left w:val="single" w:sz="4" w:space="0" w:color="auto"/>
                          <w:bottom w:val="single" w:sz="4" w:space="0" w:color="auto"/>
                          <w:right w:val="single" w:sz="4" w:space="0" w:color="auto"/>
                        </w:tcBorders>
                      </w:tcPr>
                      <w:p>
                        <w:pPr>
                          <w:jc w:val="center"/>
                          <w:rPr>
                            <w:sz w:val="22"/>
                            <w:szCs w:val="22"/>
                          </w:rPr>
                        </w:pPr>
                        <w:r>
                          <w:rPr>
                            <w:sz w:val="22"/>
                            <w:szCs w:val="22"/>
                          </w:rPr>
                          <w:t>90 %</w:t>
                        </w:r>
                      </w:p>
                    </w:tc>
                    <w:tc>
                      <w:tcPr>
                        <w:tcW w:w="1620" w:type="dxa"/>
                        <w:tcBorders>
                          <w:left w:val="single" w:sz="4" w:space="0" w:color="auto"/>
                          <w:bottom w:val="single" w:sz="4" w:space="0" w:color="auto"/>
                          <w:right w:val="single" w:sz="4" w:space="0" w:color="auto"/>
                        </w:tcBorders>
                      </w:tcPr>
                      <w:p>
                        <w:pPr>
                          <w:jc w:val="center"/>
                          <w:rPr>
                            <w:sz w:val="22"/>
                            <w:szCs w:val="22"/>
                          </w:rPr>
                        </w:pPr>
                        <w:r>
                          <w:rPr>
                            <w:sz w:val="22"/>
                            <w:szCs w:val="22"/>
                          </w:rPr>
                          <w:t>–</w:t>
                        </w:r>
                      </w:p>
                    </w:tc>
                    <w:tc>
                      <w:tcPr>
                        <w:tcW w:w="1440" w:type="dxa"/>
                        <w:tcBorders>
                          <w:left w:val="single" w:sz="4" w:space="0" w:color="auto"/>
                          <w:bottom w:val="single" w:sz="4" w:space="0" w:color="auto"/>
                          <w:right w:val="single" w:sz="4" w:space="0" w:color="auto"/>
                        </w:tcBorders>
                      </w:tcPr>
                      <w:p>
                        <w:pPr>
                          <w:jc w:val="center"/>
                          <w:rPr>
                            <w:sz w:val="22"/>
                            <w:szCs w:val="22"/>
                          </w:rPr>
                        </w:pPr>
                        <w:r>
                          <w:rPr>
                            <w:sz w:val="22"/>
                            <w:szCs w:val="22"/>
                          </w:rPr>
                          <w:t>–</w:t>
                        </w:r>
                      </w:p>
                    </w:tc>
                  </w:tr>
                  <w:tr>
                    <w:tc>
                      <w:tcPr>
                        <w:tcW w:w="2700" w:type="dxa"/>
                        <w:tcBorders>
                          <w:top w:val="single" w:sz="4" w:space="0" w:color="auto"/>
                          <w:left w:val="single" w:sz="4" w:space="0" w:color="auto"/>
                          <w:right w:val="single" w:sz="4" w:space="0" w:color="auto"/>
                        </w:tcBorders>
                      </w:tcPr>
                      <w:p>
                        <w:pPr>
                          <w:rPr>
                            <w:b/>
                            <w:bCs/>
                            <w:sz w:val="22"/>
                            <w:szCs w:val="22"/>
                          </w:rPr>
                        </w:pPr>
                        <w:r>
                          <w:rPr>
                            <w:b/>
                            <w:bCs/>
                            <w:sz w:val="22"/>
                            <w:szCs w:val="22"/>
                          </w:rPr>
                          <w:t xml:space="preserve">Indikatoriniai matavimai </w:t>
                        </w:r>
                      </w:p>
                    </w:tc>
                    <w:tc>
                      <w:tcPr>
                        <w:tcW w:w="2160" w:type="dxa"/>
                        <w:tcBorders>
                          <w:top w:val="single" w:sz="4" w:space="0" w:color="auto"/>
                          <w:left w:val="single" w:sz="4" w:space="0" w:color="auto"/>
                          <w:right w:val="single" w:sz="4" w:space="0" w:color="auto"/>
                        </w:tcBorders>
                      </w:tcPr>
                      <w:p>
                        <w:pPr>
                          <w:jc w:val="center"/>
                          <w:rPr>
                            <w:sz w:val="22"/>
                            <w:szCs w:val="22"/>
                          </w:rPr>
                        </w:pPr>
                      </w:p>
                    </w:tc>
                    <w:tc>
                      <w:tcPr>
                        <w:tcW w:w="1260" w:type="dxa"/>
                        <w:tcBorders>
                          <w:top w:val="single" w:sz="4" w:space="0" w:color="auto"/>
                          <w:left w:val="single" w:sz="4" w:space="0" w:color="auto"/>
                          <w:right w:val="single" w:sz="4" w:space="0" w:color="auto"/>
                        </w:tcBorders>
                      </w:tcPr>
                      <w:p>
                        <w:pPr>
                          <w:jc w:val="center"/>
                          <w:rPr>
                            <w:sz w:val="22"/>
                            <w:szCs w:val="22"/>
                          </w:rPr>
                        </w:pPr>
                      </w:p>
                    </w:tc>
                    <w:tc>
                      <w:tcPr>
                        <w:tcW w:w="1620" w:type="dxa"/>
                        <w:tcBorders>
                          <w:top w:val="single" w:sz="4" w:space="0" w:color="auto"/>
                          <w:left w:val="single" w:sz="4" w:space="0" w:color="auto"/>
                          <w:right w:val="single" w:sz="4" w:space="0" w:color="auto"/>
                        </w:tcBorders>
                      </w:tcPr>
                      <w:p>
                        <w:pPr>
                          <w:jc w:val="center"/>
                          <w:rPr>
                            <w:sz w:val="22"/>
                            <w:szCs w:val="22"/>
                          </w:rPr>
                        </w:pPr>
                      </w:p>
                    </w:tc>
                    <w:tc>
                      <w:tcPr>
                        <w:tcW w:w="1440" w:type="dxa"/>
                        <w:tcBorders>
                          <w:top w:val="single" w:sz="4" w:space="0" w:color="auto"/>
                          <w:left w:val="single" w:sz="4" w:space="0" w:color="auto"/>
                          <w:right w:val="single" w:sz="4" w:space="0" w:color="auto"/>
                        </w:tcBorders>
                      </w:tcPr>
                      <w:p>
                        <w:pPr>
                          <w:jc w:val="center"/>
                          <w:rPr>
                            <w:sz w:val="22"/>
                            <w:szCs w:val="22"/>
                          </w:rPr>
                        </w:pPr>
                      </w:p>
                    </w:tc>
                  </w:tr>
                  <w:tr>
                    <w:tc>
                      <w:tcPr>
                        <w:tcW w:w="2700" w:type="dxa"/>
                        <w:tcBorders>
                          <w:left w:val="single" w:sz="4" w:space="0" w:color="auto"/>
                          <w:right w:val="single" w:sz="4" w:space="0" w:color="auto"/>
                        </w:tcBorders>
                      </w:tcPr>
                      <w:p>
                        <w:pPr>
                          <w:rPr>
                            <w:sz w:val="22"/>
                            <w:szCs w:val="22"/>
                          </w:rPr>
                        </w:pPr>
                        <w:r>
                          <w:rPr>
                            <w:sz w:val="22"/>
                            <w:szCs w:val="22"/>
                          </w:rPr>
                          <w:t xml:space="preserve">Neapibrėžtis </w:t>
                        </w:r>
                      </w:p>
                    </w:tc>
                    <w:tc>
                      <w:tcPr>
                        <w:tcW w:w="2160" w:type="dxa"/>
                        <w:tcBorders>
                          <w:left w:val="single" w:sz="4" w:space="0" w:color="auto"/>
                          <w:right w:val="single" w:sz="4" w:space="0" w:color="auto"/>
                        </w:tcBorders>
                      </w:tcPr>
                      <w:p>
                        <w:pPr>
                          <w:jc w:val="center"/>
                          <w:rPr>
                            <w:sz w:val="22"/>
                            <w:szCs w:val="22"/>
                          </w:rPr>
                        </w:pPr>
                        <w:r>
                          <w:rPr>
                            <w:sz w:val="22"/>
                            <w:szCs w:val="22"/>
                          </w:rPr>
                          <w:t>25 %</w:t>
                        </w:r>
                      </w:p>
                    </w:tc>
                    <w:tc>
                      <w:tcPr>
                        <w:tcW w:w="1260" w:type="dxa"/>
                        <w:tcBorders>
                          <w:left w:val="single" w:sz="4" w:space="0" w:color="auto"/>
                          <w:right w:val="single" w:sz="4" w:space="0" w:color="auto"/>
                        </w:tcBorders>
                      </w:tcPr>
                      <w:p>
                        <w:pPr>
                          <w:jc w:val="center"/>
                          <w:rPr>
                            <w:sz w:val="22"/>
                            <w:szCs w:val="22"/>
                          </w:rPr>
                        </w:pPr>
                        <w:r>
                          <w:rPr>
                            <w:sz w:val="22"/>
                            <w:szCs w:val="22"/>
                          </w:rPr>
                          <w:t>30 %</w:t>
                        </w:r>
                      </w:p>
                    </w:tc>
                    <w:tc>
                      <w:tcPr>
                        <w:tcW w:w="1620" w:type="dxa"/>
                        <w:tcBorders>
                          <w:left w:val="single" w:sz="4" w:space="0" w:color="auto"/>
                          <w:right w:val="single" w:sz="4" w:space="0" w:color="auto"/>
                        </w:tcBorders>
                      </w:tcPr>
                      <w:p>
                        <w:pPr>
                          <w:jc w:val="center"/>
                          <w:rPr>
                            <w:sz w:val="22"/>
                            <w:szCs w:val="22"/>
                          </w:rPr>
                        </w:pPr>
                        <w:r>
                          <w:rPr>
                            <w:sz w:val="22"/>
                            <w:szCs w:val="22"/>
                          </w:rPr>
                          <w:t>50 %</w:t>
                        </w:r>
                      </w:p>
                    </w:tc>
                    <w:tc>
                      <w:tcPr>
                        <w:tcW w:w="1440" w:type="dxa"/>
                        <w:tcBorders>
                          <w:left w:val="single" w:sz="4" w:space="0" w:color="auto"/>
                          <w:right w:val="single" w:sz="4" w:space="0" w:color="auto"/>
                        </w:tcBorders>
                      </w:tcPr>
                      <w:p>
                        <w:pPr>
                          <w:jc w:val="center"/>
                          <w:rPr>
                            <w:sz w:val="22"/>
                            <w:szCs w:val="22"/>
                          </w:rPr>
                        </w:pPr>
                        <w:r>
                          <w:rPr>
                            <w:sz w:val="22"/>
                            <w:szCs w:val="22"/>
                          </w:rPr>
                          <w:t>30 %</w:t>
                        </w:r>
                      </w:p>
                    </w:tc>
                  </w:tr>
                  <w:tr>
                    <w:tc>
                      <w:tcPr>
                        <w:tcW w:w="2700" w:type="dxa"/>
                        <w:tcBorders>
                          <w:left w:val="single" w:sz="4" w:space="0" w:color="auto"/>
                          <w:right w:val="single" w:sz="4" w:space="0" w:color="auto"/>
                        </w:tcBorders>
                      </w:tcPr>
                      <w:p>
                        <w:pPr>
                          <w:rPr>
                            <w:sz w:val="22"/>
                            <w:szCs w:val="22"/>
                          </w:rPr>
                        </w:pPr>
                        <w:r>
                          <w:rPr>
                            <w:sz w:val="22"/>
                            <w:szCs w:val="22"/>
                          </w:rPr>
                          <w:t xml:space="preserve">Minimalus duomenų surinkimas </w:t>
                        </w:r>
                      </w:p>
                    </w:tc>
                    <w:tc>
                      <w:tcPr>
                        <w:tcW w:w="2160" w:type="dxa"/>
                        <w:tcBorders>
                          <w:left w:val="single" w:sz="4" w:space="0" w:color="auto"/>
                          <w:right w:val="single" w:sz="4" w:space="0" w:color="auto"/>
                        </w:tcBorders>
                      </w:tcPr>
                      <w:p>
                        <w:pPr>
                          <w:jc w:val="center"/>
                          <w:rPr>
                            <w:sz w:val="22"/>
                            <w:szCs w:val="22"/>
                          </w:rPr>
                        </w:pPr>
                        <w:r>
                          <w:rPr>
                            <w:sz w:val="22"/>
                            <w:szCs w:val="22"/>
                          </w:rPr>
                          <w:t>90 %</w:t>
                        </w:r>
                      </w:p>
                    </w:tc>
                    <w:tc>
                      <w:tcPr>
                        <w:tcW w:w="1260" w:type="dxa"/>
                        <w:tcBorders>
                          <w:left w:val="single" w:sz="4" w:space="0" w:color="auto"/>
                          <w:right w:val="single" w:sz="4" w:space="0" w:color="auto"/>
                        </w:tcBorders>
                      </w:tcPr>
                      <w:p>
                        <w:pPr>
                          <w:jc w:val="center"/>
                          <w:rPr>
                            <w:sz w:val="22"/>
                            <w:szCs w:val="22"/>
                          </w:rPr>
                        </w:pPr>
                        <w:r>
                          <w:rPr>
                            <w:sz w:val="22"/>
                            <w:szCs w:val="22"/>
                          </w:rPr>
                          <w:t>90 %</w:t>
                        </w:r>
                      </w:p>
                    </w:tc>
                    <w:tc>
                      <w:tcPr>
                        <w:tcW w:w="1620" w:type="dxa"/>
                        <w:tcBorders>
                          <w:left w:val="single" w:sz="4" w:space="0" w:color="auto"/>
                          <w:right w:val="single" w:sz="4" w:space="0" w:color="auto"/>
                        </w:tcBorders>
                      </w:tcPr>
                      <w:p>
                        <w:pPr>
                          <w:jc w:val="center"/>
                          <w:rPr>
                            <w:sz w:val="22"/>
                            <w:szCs w:val="22"/>
                          </w:rPr>
                        </w:pPr>
                        <w:r>
                          <w:rPr>
                            <w:sz w:val="22"/>
                            <w:szCs w:val="22"/>
                          </w:rPr>
                          <w:t>90 %</w:t>
                        </w:r>
                      </w:p>
                    </w:tc>
                    <w:tc>
                      <w:tcPr>
                        <w:tcW w:w="1440" w:type="dxa"/>
                        <w:tcBorders>
                          <w:left w:val="single" w:sz="4" w:space="0" w:color="auto"/>
                          <w:right w:val="single" w:sz="4" w:space="0" w:color="auto"/>
                        </w:tcBorders>
                      </w:tcPr>
                      <w:p>
                        <w:pPr>
                          <w:jc w:val="center"/>
                          <w:rPr>
                            <w:sz w:val="22"/>
                            <w:szCs w:val="22"/>
                          </w:rPr>
                        </w:pPr>
                        <w:r>
                          <w:rPr>
                            <w:sz w:val="22"/>
                            <w:szCs w:val="22"/>
                          </w:rPr>
                          <w:t>90 %</w:t>
                        </w:r>
                      </w:p>
                    </w:tc>
                  </w:tr>
                  <w:tr>
                    <w:tc>
                      <w:tcPr>
                        <w:tcW w:w="2700" w:type="dxa"/>
                        <w:tcBorders>
                          <w:left w:val="single" w:sz="4" w:space="0" w:color="auto"/>
                          <w:bottom w:val="single" w:sz="4" w:space="0" w:color="auto"/>
                          <w:right w:val="single" w:sz="4" w:space="0" w:color="auto"/>
                        </w:tcBorders>
                      </w:tcPr>
                      <w:p>
                        <w:pPr>
                          <w:rPr>
                            <w:sz w:val="22"/>
                            <w:szCs w:val="22"/>
                          </w:rPr>
                        </w:pPr>
                        <w:r>
                          <w:rPr>
                            <w:sz w:val="22"/>
                            <w:szCs w:val="22"/>
                          </w:rPr>
                          <w:t xml:space="preserve">Minimali laiko aprėptis </w:t>
                        </w:r>
                      </w:p>
                    </w:tc>
                    <w:tc>
                      <w:tcPr>
                        <w:tcW w:w="2160" w:type="dxa"/>
                        <w:tcBorders>
                          <w:left w:val="single" w:sz="4" w:space="0" w:color="auto"/>
                          <w:bottom w:val="single" w:sz="4" w:space="0" w:color="auto"/>
                          <w:right w:val="single" w:sz="4" w:space="0" w:color="auto"/>
                        </w:tcBorders>
                      </w:tcPr>
                      <w:p>
                        <w:pPr>
                          <w:jc w:val="center"/>
                          <w:rPr>
                            <w:sz w:val="22"/>
                            <w:szCs w:val="22"/>
                          </w:rPr>
                        </w:pPr>
                        <w:r>
                          <w:rPr>
                            <w:sz w:val="22"/>
                            <w:szCs w:val="22"/>
                          </w:rPr>
                          <w:t xml:space="preserve">14 % </w:t>
                        </w:r>
                        <w:r>
                          <w:rPr>
                            <w:sz w:val="22"/>
                            <w:szCs w:val="22"/>
                            <w:vertAlign w:val="superscript"/>
                          </w:rPr>
                          <w:t>4</w:t>
                        </w:r>
                      </w:p>
                    </w:tc>
                    <w:tc>
                      <w:tcPr>
                        <w:tcW w:w="1260" w:type="dxa"/>
                        <w:tcBorders>
                          <w:left w:val="single" w:sz="4" w:space="0" w:color="auto"/>
                          <w:bottom w:val="single" w:sz="4" w:space="0" w:color="auto"/>
                          <w:right w:val="single" w:sz="4" w:space="0" w:color="auto"/>
                        </w:tcBorders>
                      </w:tcPr>
                      <w:p>
                        <w:pPr>
                          <w:jc w:val="center"/>
                          <w:rPr>
                            <w:sz w:val="22"/>
                            <w:szCs w:val="22"/>
                          </w:rPr>
                        </w:pPr>
                        <w:r>
                          <w:rPr>
                            <w:sz w:val="22"/>
                            <w:szCs w:val="22"/>
                          </w:rPr>
                          <w:t xml:space="preserve">14 % </w:t>
                        </w:r>
                        <w:r>
                          <w:rPr>
                            <w:sz w:val="22"/>
                            <w:szCs w:val="22"/>
                            <w:vertAlign w:val="superscript"/>
                          </w:rPr>
                          <w:t>3</w:t>
                        </w:r>
                      </w:p>
                    </w:tc>
                    <w:tc>
                      <w:tcPr>
                        <w:tcW w:w="1620" w:type="dxa"/>
                        <w:tcBorders>
                          <w:left w:val="single" w:sz="4" w:space="0" w:color="auto"/>
                          <w:bottom w:val="single" w:sz="4" w:space="0" w:color="auto"/>
                          <w:right w:val="single" w:sz="4" w:space="0" w:color="auto"/>
                        </w:tcBorders>
                      </w:tcPr>
                      <w:p>
                        <w:pPr>
                          <w:jc w:val="center"/>
                          <w:rPr>
                            <w:sz w:val="22"/>
                            <w:szCs w:val="22"/>
                          </w:rPr>
                        </w:pPr>
                        <w:r>
                          <w:rPr>
                            <w:sz w:val="22"/>
                            <w:szCs w:val="22"/>
                          </w:rPr>
                          <w:t xml:space="preserve">14 % </w:t>
                        </w:r>
                        <w:r>
                          <w:rPr>
                            <w:sz w:val="22"/>
                            <w:szCs w:val="22"/>
                            <w:vertAlign w:val="superscript"/>
                          </w:rPr>
                          <w:t>4</w:t>
                        </w:r>
                      </w:p>
                    </w:tc>
                    <w:tc>
                      <w:tcPr>
                        <w:tcW w:w="1440" w:type="dxa"/>
                        <w:tcBorders>
                          <w:left w:val="single" w:sz="4" w:space="0" w:color="auto"/>
                          <w:bottom w:val="single" w:sz="4" w:space="0" w:color="auto"/>
                          <w:right w:val="single" w:sz="4" w:space="0" w:color="auto"/>
                        </w:tcBorders>
                      </w:tcPr>
                      <w:p>
                        <w:pPr>
                          <w:jc w:val="center"/>
                          <w:rPr>
                            <w:sz w:val="22"/>
                            <w:szCs w:val="22"/>
                          </w:rPr>
                        </w:pPr>
                        <w:r>
                          <w:rPr>
                            <w:sz w:val="22"/>
                            <w:szCs w:val="22"/>
                          </w:rPr>
                          <w:t>&gt; 10 % vasarą</w:t>
                        </w:r>
                      </w:p>
                    </w:tc>
                  </w:tr>
                  <w:tr>
                    <w:tc>
                      <w:tcPr>
                        <w:tcW w:w="2700" w:type="dxa"/>
                        <w:tcBorders>
                          <w:top w:val="single" w:sz="4" w:space="0" w:color="auto"/>
                          <w:left w:val="single" w:sz="4" w:space="0" w:color="auto"/>
                          <w:right w:val="single" w:sz="4" w:space="0" w:color="auto"/>
                        </w:tcBorders>
                      </w:tcPr>
                      <w:p>
                        <w:pPr>
                          <w:rPr>
                            <w:sz w:val="22"/>
                            <w:szCs w:val="22"/>
                          </w:rPr>
                        </w:pPr>
                        <w:r>
                          <w:rPr>
                            <w:b/>
                            <w:bCs/>
                            <w:sz w:val="22"/>
                            <w:szCs w:val="22"/>
                          </w:rPr>
                          <w:t>Modeliavimo neapibrėžtis</w:t>
                        </w:r>
                        <w:r>
                          <w:rPr>
                            <w:sz w:val="22"/>
                            <w:szCs w:val="22"/>
                          </w:rPr>
                          <w:t xml:space="preserve">: </w:t>
                        </w:r>
                      </w:p>
                    </w:tc>
                    <w:tc>
                      <w:tcPr>
                        <w:tcW w:w="2160" w:type="dxa"/>
                        <w:tcBorders>
                          <w:top w:val="single" w:sz="4" w:space="0" w:color="auto"/>
                          <w:left w:val="single" w:sz="4" w:space="0" w:color="auto"/>
                          <w:right w:val="single" w:sz="4" w:space="0" w:color="auto"/>
                        </w:tcBorders>
                      </w:tcPr>
                      <w:p>
                        <w:pPr>
                          <w:jc w:val="center"/>
                          <w:rPr>
                            <w:sz w:val="22"/>
                            <w:szCs w:val="22"/>
                          </w:rPr>
                        </w:pPr>
                      </w:p>
                    </w:tc>
                    <w:tc>
                      <w:tcPr>
                        <w:tcW w:w="1260" w:type="dxa"/>
                        <w:tcBorders>
                          <w:top w:val="single" w:sz="4" w:space="0" w:color="auto"/>
                          <w:left w:val="single" w:sz="4" w:space="0" w:color="auto"/>
                          <w:right w:val="single" w:sz="4" w:space="0" w:color="auto"/>
                        </w:tcBorders>
                      </w:tcPr>
                      <w:p>
                        <w:pPr>
                          <w:jc w:val="center"/>
                          <w:rPr>
                            <w:sz w:val="22"/>
                            <w:szCs w:val="22"/>
                          </w:rPr>
                        </w:pPr>
                      </w:p>
                    </w:tc>
                    <w:tc>
                      <w:tcPr>
                        <w:tcW w:w="1620" w:type="dxa"/>
                        <w:tcBorders>
                          <w:top w:val="single" w:sz="4" w:space="0" w:color="auto"/>
                          <w:left w:val="single" w:sz="4" w:space="0" w:color="auto"/>
                          <w:right w:val="single" w:sz="4" w:space="0" w:color="auto"/>
                        </w:tcBorders>
                      </w:tcPr>
                      <w:p>
                        <w:pPr>
                          <w:jc w:val="center"/>
                          <w:rPr>
                            <w:sz w:val="22"/>
                            <w:szCs w:val="22"/>
                          </w:rPr>
                        </w:pPr>
                      </w:p>
                    </w:tc>
                    <w:tc>
                      <w:tcPr>
                        <w:tcW w:w="1440" w:type="dxa"/>
                        <w:tcBorders>
                          <w:top w:val="single" w:sz="4" w:space="0" w:color="auto"/>
                          <w:left w:val="single" w:sz="4" w:space="0" w:color="auto"/>
                          <w:right w:val="single" w:sz="4" w:space="0" w:color="auto"/>
                        </w:tcBorders>
                      </w:tcPr>
                      <w:p>
                        <w:pPr>
                          <w:jc w:val="center"/>
                          <w:rPr>
                            <w:sz w:val="22"/>
                            <w:szCs w:val="22"/>
                          </w:rPr>
                        </w:pPr>
                      </w:p>
                    </w:tc>
                  </w:tr>
                  <w:tr>
                    <w:tc>
                      <w:tcPr>
                        <w:tcW w:w="2700" w:type="dxa"/>
                        <w:tcBorders>
                          <w:left w:val="single" w:sz="4" w:space="0" w:color="auto"/>
                          <w:right w:val="single" w:sz="4" w:space="0" w:color="auto"/>
                        </w:tcBorders>
                      </w:tcPr>
                      <w:p>
                        <w:pPr>
                          <w:rPr>
                            <w:sz w:val="22"/>
                            <w:szCs w:val="22"/>
                          </w:rPr>
                        </w:pPr>
                        <w:r>
                          <w:rPr>
                            <w:sz w:val="22"/>
                            <w:szCs w:val="22"/>
                          </w:rPr>
                          <w:t xml:space="preserve">Valandos </w:t>
                        </w:r>
                      </w:p>
                    </w:tc>
                    <w:tc>
                      <w:tcPr>
                        <w:tcW w:w="2160" w:type="dxa"/>
                        <w:tcBorders>
                          <w:left w:val="single" w:sz="4" w:space="0" w:color="auto"/>
                          <w:right w:val="single" w:sz="4" w:space="0" w:color="auto"/>
                        </w:tcBorders>
                      </w:tcPr>
                      <w:p>
                        <w:pPr>
                          <w:jc w:val="center"/>
                          <w:rPr>
                            <w:sz w:val="22"/>
                            <w:szCs w:val="22"/>
                          </w:rPr>
                        </w:pPr>
                        <w:r>
                          <w:rPr>
                            <w:sz w:val="22"/>
                            <w:szCs w:val="22"/>
                          </w:rPr>
                          <w:t>50 %</w:t>
                        </w:r>
                      </w:p>
                    </w:tc>
                    <w:tc>
                      <w:tcPr>
                        <w:tcW w:w="1260" w:type="dxa"/>
                        <w:tcBorders>
                          <w:left w:val="single" w:sz="4" w:space="0" w:color="auto"/>
                          <w:right w:val="single" w:sz="4" w:space="0" w:color="auto"/>
                        </w:tcBorders>
                      </w:tcPr>
                      <w:p>
                        <w:pPr>
                          <w:jc w:val="center"/>
                          <w:rPr>
                            <w:sz w:val="22"/>
                            <w:szCs w:val="22"/>
                          </w:rPr>
                        </w:pPr>
                        <w:r>
                          <w:rPr>
                            <w:sz w:val="22"/>
                            <w:szCs w:val="22"/>
                          </w:rPr>
                          <w:t>–</w:t>
                        </w:r>
                      </w:p>
                    </w:tc>
                    <w:tc>
                      <w:tcPr>
                        <w:tcW w:w="1620" w:type="dxa"/>
                        <w:tcBorders>
                          <w:left w:val="single" w:sz="4" w:space="0" w:color="auto"/>
                          <w:right w:val="single" w:sz="4" w:space="0" w:color="auto"/>
                        </w:tcBorders>
                      </w:tcPr>
                      <w:p>
                        <w:pPr>
                          <w:jc w:val="center"/>
                          <w:rPr>
                            <w:sz w:val="22"/>
                            <w:szCs w:val="22"/>
                          </w:rPr>
                        </w:pPr>
                        <w:r>
                          <w:rPr>
                            <w:sz w:val="22"/>
                            <w:szCs w:val="22"/>
                          </w:rPr>
                          <w:t>–</w:t>
                        </w:r>
                      </w:p>
                    </w:tc>
                    <w:tc>
                      <w:tcPr>
                        <w:tcW w:w="1440" w:type="dxa"/>
                        <w:tcBorders>
                          <w:left w:val="single" w:sz="4" w:space="0" w:color="auto"/>
                          <w:right w:val="single" w:sz="4" w:space="0" w:color="auto"/>
                        </w:tcBorders>
                      </w:tcPr>
                      <w:p>
                        <w:pPr>
                          <w:jc w:val="center"/>
                          <w:rPr>
                            <w:sz w:val="22"/>
                            <w:szCs w:val="22"/>
                          </w:rPr>
                        </w:pPr>
                        <w:r>
                          <w:rPr>
                            <w:sz w:val="22"/>
                            <w:szCs w:val="22"/>
                          </w:rPr>
                          <w:t>50 %</w:t>
                        </w:r>
                      </w:p>
                    </w:tc>
                  </w:tr>
                  <w:tr>
                    <w:tc>
                      <w:tcPr>
                        <w:tcW w:w="2700" w:type="dxa"/>
                        <w:tcBorders>
                          <w:left w:val="single" w:sz="4" w:space="0" w:color="auto"/>
                          <w:right w:val="single" w:sz="4" w:space="0" w:color="auto"/>
                        </w:tcBorders>
                      </w:tcPr>
                      <w:p>
                        <w:pPr>
                          <w:rPr>
                            <w:sz w:val="22"/>
                            <w:szCs w:val="22"/>
                          </w:rPr>
                        </w:pPr>
                        <w:r>
                          <w:rPr>
                            <w:sz w:val="22"/>
                            <w:szCs w:val="22"/>
                          </w:rPr>
                          <w:t xml:space="preserve">Aštuonių valandų vidurkio </w:t>
                        </w:r>
                      </w:p>
                    </w:tc>
                    <w:tc>
                      <w:tcPr>
                        <w:tcW w:w="2160" w:type="dxa"/>
                        <w:tcBorders>
                          <w:left w:val="single" w:sz="4" w:space="0" w:color="auto"/>
                          <w:right w:val="single" w:sz="4" w:space="0" w:color="auto"/>
                        </w:tcBorders>
                      </w:tcPr>
                      <w:p>
                        <w:pPr>
                          <w:jc w:val="center"/>
                          <w:rPr>
                            <w:sz w:val="22"/>
                            <w:szCs w:val="22"/>
                          </w:rPr>
                        </w:pPr>
                        <w:r>
                          <w:rPr>
                            <w:sz w:val="22"/>
                            <w:szCs w:val="22"/>
                          </w:rPr>
                          <w:t>50 %</w:t>
                        </w:r>
                      </w:p>
                    </w:tc>
                    <w:tc>
                      <w:tcPr>
                        <w:tcW w:w="1260" w:type="dxa"/>
                        <w:tcBorders>
                          <w:left w:val="single" w:sz="4" w:space="0" w:color="auto"/>
                          <w:right w:val="single" w:sz="4" w:space="0" w:color="auto"/>
                        </w:tcBorders>
                      </w:tcPr>
                      <w:p>
                        <w:pPr>
                          <w:jc w:val="center"/>
                          <w:rPr>
                            <w:sz w:val="22"/>
                            <w:szCs w:val="22"/>
                          </w:rPr>
                        </w:pPr>
                        <w:r>
                          <w:rPr>
                            <w:sz w:val="22"/>
                            <w:szCs w:val="22"/>
                          </w:rPr>
                          <w:t>–</w:t>
                        </w:r>
                      </w:p>
                    </w:tc>
                    <w:tc>
                      <w:tcPr>
                        <w:tcW w:w="1620" w:type="dxa"/>
                        <w:tcBorders>
                          <w:left w:val="single" w:sz="4" w:space="0" w:color="auto"/>
                          <w:right w:val="single" w:sz="4" w:space="0" w:color="auto"/>
                        </w:tcBorders>
                      </w:tcPr>
                      <w:p>
                        <w:pPr>
                          <w:jc w:val="center"/>
                          <w:rPr>
                            <w:sz w:val="22"/>
                            <w:szCs w:val="22"/>
                          </w:rPr>
                        </w:pPr>
                        <w:r>
                          <w:rPr>
                            <w:sz w:val="22"/>
                            <w:szCs w:val="22"/>
                          </w:rPr>
                          <w:t>–</w:t>
                        </w:r>
                      </w:p>
                    </w:tc>
                    <w:tc>
                      <w:tcPr>
                        <w:tcW w:w="1440" w:type="dxa"/>
                        <w:tcBorders>
                          <w:left w:val="single" w:sz="4" w:space="0" w:color="auto"/>
                          <w:right w:val="single" w:sz="4" w:space="0" w:color="auto"/>
                        </w:tcBorders>
                      </w:tcPr>
                      <w:p>
                        <w:pPr>
                          <w:jc w:val="center"/>
                          <w:rPr>
                            <w:sz w:val="22"/>
                            <w:szCs w:val="22"/>
                          </w:rPr>
                        </w:pPr>
                        <w:r>
                          <w:rPr>
                            <w:sz w:val="22"/>
                            <w:szCs w:val="22"/>
                          </w:rPr>
                          <w:t>50 %</w:t>
                        </w:r>
                      </w:p>
                    </w:tc>
                  </w:tr>
                  <w:tr>
                    <w:tc>
                      <w:tcPr>
                        <w:tcW w:w="2700" w:type="dxa"/>
                        <w:tcBorders>
                          <w:left w:val="single" w:sz="4" w:space="0" w:color="auto"/>
                          <w:right w:val="single" w:sz="4" w:space="0" w:color="auto"/>
                        </w:tcBorders>
                      </w:tcPr>
                      <w:p>
                        <w:pPr>
                          <w:rPr>
                            <w:sz w:val="22"/>
                            <w:szCs w:val="22"/>
                          </w:rPr>
                        </w:pPr>
                        <w:r>
                          <w:rPr>
                            <w:sz w:val="22"/>
                            <w:szCs w:val="22"/>
                          </w:rPr>
                          <w:t xml:space="preserve">Dienos vidurkio </w:t>
                        </w:r>
                      </w:p>
                    </w:tc>
                    <w:tc>
                      <w:tcPr>
                        <w:tcW w:w="2160" w:type="dxa"/>
                        <w:tcBorders>
                          <w:left w:val="single" w:sz="4" w:space="0" w:color="auto"/>
                          <w:right w:val="single" w:sz="4" w:space="0" w:color="auto"/>
                        </w:tcBorders>
                      </w:tcPr>
                      <w:p>
                        <w:pPr>
                          <w:jc w:val="center"/>
                          <w:rPr>
                            <w:sz w:val="22"/>
                            <w:szCs w:val="22"/>
                          </w:rPr>
                        </w:pPr>
                        <w:r>
                          <w:rPr>
                            <w:sz w:val="22"/>
                            <w:szCs w:val="22"/>
                          </w:rPr>
                          <w:t>50 %</w:t>
                        </w:r>
                      </w:p>
                    </w:tc>
                    <w:tc>
                      <w:tcPr>
                        <w:tcW w:w="1260" w:type="dxa"/>
                        <w:tcBorders>
                          <w:left w:val="single" w:sz="4" w:space="0" w:color="auto"/>
                          <w:right w:val="single" w:sz="4" w:space="0" w:color="auto"/>
                        </w:tcBorders>
                      </w:tcPr>
                      <w:p>
                        <w:pPr>
                          <w:jc w:val="center"/>
                          <w:rPr>
                            <w:sz w:val="22"/>
                            <w:szCs w:val="22"/>
                          </w:rPr>
                        </w:pPr>
                        <w:r>
                          <w:rPr>
                            <w:sz w:val="22"/>
                            <w:szCs w:val="22"/>
                          </w:rPr>
                          <w:t>–</w:t>
                        </w:r>
                      </w:p>
                    </w:tc>
                    <w:tc>
                      <w:tcPr>
                        <w:tcW w:w="1620" w:type="dxa"/>
                        <w:tcBorders>
                          <w:left w:val="single" w:sz="4" w:space="0" w:color="auto"/>
                          <w:right w:val="single" w:sz="4" w:space="0" w:color="auto"/>
                        </w:tcBorders>
                      </w:tcPr>
                      <w:p>
                        <w:pPr>
                          <w:jc w:val="center"/>
                          <w:rPr>
                            <w:sz w:val="22"/>
                            <w:szCs w:val="22"/>
                          </w:rPr>
                        </w:pPr>
                        <w:r>
                          <w:rPr>
                            <w:sz w:val="22"/>
                            <w:szCs w:val="22"/>
                          </w:rPr>
                          <w:t>nenustatyta</w:t>
                        </w:r>
                      </w:p>
                    </w:tc>
                    <w:tc>
                      <w:tcPr>
                        <w:tcW w:w="1440" w:type="dxa"/>
                        <w:tcBorders>
                          <w:left w:val="single" w:sz="4" w:space="0" w:color="auto"/>
                          <w:right w:val="single" w:sz="4" w:space="0" w:color="auto"/>
                        </w:tcBorders>
                      </w:tcPr>
                      <w:p>
                        <w:pPr>
                          <w:jc w:val="center"/>
                          <w:rPr>
                            <w:sz w:val="22"/>
                            <w:szCs w:val="22"/>
                          </w:rPr>
                        </w:pPr>
                        <w:r>
                          <w:rPr>
                            <w:sz w:val="22"/>
                            <w:szCs w:val="22"/>
                          </w:rPr>
                          <w:t>–</w:t>
                        </w:r>
                      </w:p>
                    </w:tc>
                  </w:tr>
                  <w:tr>
                    <w:tc>
                      <w:tcPr>
                        <w:tcW w:w="2700" w:type="dxa"/>
                        <w:tcBorders>
                          <w:left w:val="single" w:sz="4" w:space="0" w:color="auto"/>
                          <w:bottom w:val="single" w:sz="4" w:space="0" w:color="auto"/>
                          <w:right w:val="single" w:sz="4" w:space="0" w:color="auto"/>
                        </w:tcBorders>
                      </w:tcPr>
                      <w:p>
                        <w:pPr>
                          <w:rPr>
                            <w:sz w:val="22"/>
                            <w:szCs w:val="22"/>
                          </w:rPr>
                        </w:pPr>
                        <w:r>
                          <w:rPr>
                            <w:sz w:val="22"/>
                            <w:szCs w:val="22"/>
                          </w:rPr>
                          <w:t xml:space="preserve">Metinio vidurkio </w:t>
                        </w:r>
                      </w:p>
                    </w:tc>
                    <w:tc>
                      <w:tcPr>
                        <w:tcW w:w="2160" w:type="dxa"/>
                        <w:tcBorders>
                          <w:left w:val="single" w:sz="4" w:space="0" w:color="auto"/>
                          <w:bottom w:val="single" w:sz="4" w:space="0" w:color="auto"/>
                          <w:right w:val="single" w:sz="4" w:space="0" w:color="auto"/>
                        </w:tcBorders>
                      </w:tcPr>
                      <w:p>
                        <w:pPr>
                          <w:jc w:val="center"/>
                          <w:rPr>
                            <w:sz w:val="22"/>
                            <w:szCs w:val="22"/>
                          </w:rPr>
                        </w:pPr>
                        <w:r>
                          <w:rPr>
                            <w:sz w:val="22"/>
                            <w:szCs w:val="22"/>
                          </w:rPr>
                          <w:t>30 %</w:t>
                        </w:r>
                      </w:p>
                    </w:tc>
                    <w:tc>
                      <w:tcPr>
                        <w:tcW w:w="1260" w:type="dxa"/>
                        <w:tcBorders>
                          <w:left w:val="single" w:sz="4" w:space="0" w:color="auto"/>
                          <w:bottom w:val="single" w:sz="4" w:space="0" w:color="auto"/>
                          <w:right w:val="single" w:sz="4" w:space="0" w:color="auto"/>
                        </w:tcBorders>
                      </w:tcPr>
                      <w:p>
                        <w:pPr>
                          <w:jc w:val="center"/>
                          <w:rPr>
                            <w:sz w:val="22"/>
                            <w:szCs w:val="22"/>
                          </w:rPr>
                        </w:pPr>
                        <w:r>
                          <w:rPr>
                            <w:sz w:val="22"/>
                            <w:szCs w:val="22"/>
                          </w:rPr>
                          <w:t>50 %</w:t>
                        </w:r>
                      </w:p>
                    </w:tc>
                    <w:tc>
                      <w:tcPr>
                        <w:tcW w:w="1620" w:type="dxa"/>
                        <w:tcBorders>
                          <w:left w:val="single" w:sz="4" w:space="0" w:color="auto"/>
                          <w:bottom w:val="single" w:sz="4" w:space="0" w:color="auto"/>
                          <w:right w:val="single" w:sz="4" w:space="0" w:color="auto"/>
                        </w:tcBorders>
                      </w:tcPr>
                      <w:p>
                        <w:pPr>
                          <w:jc w:val="center"/>
                          <w:rPr>
                            <w:sz w:val="22"/>
                            <w:szCs w:val="22"/>
                          </w:rPr>
                        </w:pPr>
                        <w:r>
                          <w:rPr>
                            <w:sz w:val="22"/>
                            <w:szCs w:val="22"/>
                          </w:rPr>
                          <w:t>50 %</w:t>
                        </w:r>
                      </w:p>
                    </w:tc>
                    <w:tc>
                      <w:tcPr>
                        <w:tcW w:w="1440" w:type="dxa"/>
                        <w:tcBorders>
                          <w:left w:val="single" w:sz="4" w:space="0" w:color="auto"/>
                          <w:bottom w:val="single" w:sz="4" w:space="0" w:color="auto"/>
                          <w:right w:val="single" w:sz="4" w:space="0" w:color="auto"/>
                        </w:tcBorders>
                      </w:tcPr>
                      <w:p>
                        <w:pPr>
                          <w:jc w:val="center"/>
                          <w:rPr>
                            <w:sz w:val="22"/>
                            <w:szCs w:val="22"/>
                          </w:rPr>
                        </w:pPr>
                        <w:r>
                          <w:rPr>
                            <w:sz w:val="22"/>
                            <w:szCs w:val="22"/>
                          </w:rPr>
                          <w:t>–</w:t>
                        </w:r>
                      </w:p>
                    </w:tc>
                  </w:tr>
                  <w:tr>
                    <w:tc>
                      <w:tcPr>
                        <w:tcW w:w="2700" w:type="dxa"/>
                        <w:tcBorders>
                          <w:top w:val="single" w:sz="4" w:space="0" w:color="auto"/>
                          <w:left w:val="single" w:sz="4" w:space="0" w:color="auto"/>
                          <w:bottom w:val="single" w:sz="4" w:space="0" w:color="auto"/>
                          <w:right w:val="single" w:sz="4" w:space="0" w:color="auto"/>
                        </w:tcBorders>
                      </w:tcPr>
                      <w:p>
                        <w:pPr>
                          <w:rPr>
                            <w:sz w:val="22"/>
                            <w:szCs w:val="22"/>
                          </w:rPr>
                        </w:pPr>
                        <w:r>
                          <w:rPr>
                            <w:b/>
                            <w:bCs/>
                            <w:sz w:val="22"/>
                            <w:szCs w:val="22"/>
                          </w:rPr>
                          <w:t>Objektyvus vertinimas</w:t>
                        </w:r>
                        <w:r>
                          <w:rPr>
                            <w:sz w:val="22"/>
                            <w:szCs w:val="22"/>
                          </w:rPr>
                          <w:t xml:space="preserve"> Neapibrėžtis </w:t>
                        </w:r>
                      </w:p>
                    </w:tc>
                    <w:tc>
                      <w:tcPr>
                        <w:tcW w:w="2160" w:type="dxa"/>
                        <w:tcBorders>
                          <w:top w:val="single" w:sz="4" w:space="0" w:color="auto"/>
                          <w:left w:val="single" w:sz="4" w:space="0" w:color="auto"/>
                          <w:bottom w:val="single" w:sz="4" w:space="0" w:color="auto"/>
                          <w:right w:val="single" w:sz="4" w:space="0" w:color="auto"/>
                        </w:tcBorders>
                      </w:tcPr>
                      <w:p>
                        <w:pPr>
                          <w:jc w:val="center"/>
                          <w:rPr>
                            <w:sz w:val="22"/>
                            <w:szCs w:val="22"/>
                          </w:rPr>
                        </w:pPr>
                      </w:p>
                      <w:p>
                        <w:pPr>
                          <w:jc w:val="center"/>
                          <w:rPr>
                            <w:sz w:val="22"/>
                            <w:szCs w:val="22"/>
                          </w:rPr>
                        </w:pPr>
                        <w:r>
                          <w:rPr>
                            <w:sz w:val="22"/>
                            <w:szCs w:val="22"/>
                          </w:rPr>
                          <w:t>75 %</w:t>
                        </w:r>
                      </w:p>
                    </w:tc>
                    <w:tc>
                      <w:tcPr>
                        <w:tcW w:w="1260" w:type="dxa"/>
                        <w:tcBorders>
                          <w:top w:val="single" w:sz="4" w:space="0" w:color="auto"/>
                          <w:left w:val="single" w:sz="4" w:space="0" w:color="auto"/>
                          <w:bottom w:val="single" w:sz="4" w:space="0" w:color="auto"/>
                          <w:right w:val="single" w:sz="4" w:space="0" w:color="auto"/>
                        </w:tcBorders>
                      </w:tcPr>
                      <w:p>
                        <w:pPr>
                          <w:jc w:val="center"/>
                          <w:rPr>
                            <w:sz w:val="22"/>
                            <w:szCs w:val="22"/>
                          </w:rPr>
                        </w:pPr>
                      </w:p>
                      <w:p>
                        <w:pPr>
                          <w:jc w:val="center"/>
                          <w:rPr>
                            <w:sz w:val="22"/>
                            <w:szCs w:val="22"/>
                          </w:rPr>
                        </w:pPr>
                        <w:r>
                          <w:rPr>
                            <w:sz w:val="22"/>
                            <w:szCs w:val="22"/>
                          </w:rPr>
                          <w:t>100 %</w:t>
                        </w:r>
                      </w:p>
                    </w:tc>
                    <w:tc>
                      <w:tcPr>
                        <w:tcW w:w="1620" w:type="dxa"/>
                        <w:tcBorders>
                          <w:top w:val="single" w:sz="4" w:space="0" w:color="auto"/>
                          <w:left w:val="single" w:sz="4" w:space="0" w:color="auto"/>
                          <w:bottom w:val="single" w:sz="4" w:space="0" w:color="auto"/>
                          <w:right w:val="single" w:sz="4" w:space="0" w:color="auto"/>
                        </w:tcBorders>
                      </w:tcPr>
                      <w:p>
                        <w:pPr>
                          <w:jc w:val="center"/>
                          <w:rPr>
                            <w:sz w:val="22"/>
                            <w:szCs w:val="22"/>
                          </w:rPr>
                        </w:pPr>
                      </w:p>
                      <w:p>
                        <w:pPr>
                          <w:jc w:val="center"/>
                          <w:rPr>
                            <w:sz w:val="22"/>
                            <w:szCs w:val="22"/>
                          </w:rPr>
                        </w:pPr>
                        <w:r>
                          <w:rPr>
                            <w:sz w:val="22"/>
                            <w:szCs w:val="22"/>
                          </w:rPr>
                          <w:t>100 %</w:t>
                        </w:r>
                      </w:p>
                    </w:tc>
                    <w:tc>
                      <w:tcPr>
                        <w:tcW w:w="1440" w:type="dxa"/>
                        <w:tcBorders>
                          <w:top w:val="single" w:sz="4" w:space="0" w:color="auto"/>
                          <w:left w:val="single" w:sz="4" w:space="0" w:color="auto"/>
                          <w:bottom w:val="single" w:sz="4" w:space="0" w:color="auto"/>
                          <w:right w:val="single" w:sz="4" w:space="0" w:color="auto"/>
                        </w:tcBorders>
                      </w:tcPr>
                      <w:p>
                        <w:pPr>
                          <w:jc w:val="center"/>
                          <w:rPr>
                            <w:sz w:val="22"/>
                            <w:szCs w:val="22"/>
                          </w:rPr>
                        </w:pPr>
                      </w:p>
                      <w:p>
                        <w:pPr>
                          <w:jc w:val="center"/>
                          <w:rPr>
                            <w:sz w:val="22"/>
                            <w:szCs w:val="22"/>
                          </w:rPr>
                        </w:pPr>
                        <w:r>
                          <w:rPr>
                            <w:sz w:val="22"/>
                            <w:szCs w:val="22"/>
                          </w:rPr>
                          <w:t>75 %</w:t>
                        </w:r>
                      </w:p>
                    </w:tc>
                  </w:tr>
                  <w:tr>
                    <w:trPr>
                      <w:cantSplit/>
                    </w:trPr>
                    <w:tc>
                      <w:tcPr>
                        <w:tcW w:w="9180" w:type="dxa"/>
                        <w:gridSpan w:val="5"/>
                        <w:tcBorders>
                          <w:top w:val="single" w:sz="4" w:space="0" w:color="auto"/>
                          <w:left w:val="single" w:sz="4" w:space="0" w:color="auto"/>
                          <w:bottom w:val="single" w:sz="4" w:space="0" w:color="auto"/>
                          <w:right w:val="single" w:sz="4" w:space="0" w:color="auto"/>
                        </w:tcBorders>
                      </w:tcPr>
                      <w:p>
                        <w:pPr>
                          <w:jc w:val="both"/>
                          <w:rPr>
                            <w:sz w:val="22"/>
                            <w:szCs w:val="22"/>
                            <w:vertAlign w:val="superscript"/>
                          </w:rPr>
                        </w:pPr>
                      </w:p>
                      <w:p>
                        <w:pPr>
                          <w:rPr>
                            <w:sz w:val="22"/>
                            <w:szCs w:val="22"/>
                          </w:rPr>
                        </w:pPr>
                        <w:r>
                          <w:rPr>
                            <w:sz w:val="22"/>
                            <w:szCs w:val="22"/>
                            <w:vertAlign w:val="superscript"/>
                          </w:rPr>
                          <w:t xml:space="preserve">1 </w:t>
                        </w:r>
                        <w:r>
                          <w:rPr>
                            <w:sz w:val="22"/>
                            <w:szCs w:val="22"/>
                          </w:rPr>
                          <w:t>Vietoj nuolatinių benzeno, švino ir kietųjų dalelių matavimų galima naudoti atsitiktinius matavimus, jeigu galima Komisijai įrodyti, kad neapibrėžtis, įskaitant atsitiktinio ėminių ėmimo sąlygotą neapibrėžtį, atitinka 25 % kokybės tikslą, o laiko aprėptis yra ilgesnė už minimalią indikatorinių matavimų laiko aprėptį. Atsitiktinis ėminių ėmimas turi būti tolygiai paskirstytas per metus, siekiant išvengti rezultatų iškreipimo. Atsitiktinio ėminių ėmimo sąlygotą neapibrėžtį galima nustatyti ISO 11222 (2002) „Oro kokybė. Oro kokybės matavimų laiko vidurkio neapibrėžties nustatymas“ nustatyta tvarka. Jei naudojami atsitiktiniai matavimai KD</w:t>
                        </w:r>
                        <w:r>
                          <w:rPr>
                            <w:sz w:val="22"/>
                            <w:szCs w:val="22"/>
                            <w:vertAlign w:val="subscript"/>
                          </w:rPr>
                          <w:t>10</w:t>
                        </w:r>
                        <w:r>
                          <w:rPr>
                            <w:sz w:val="22"/>
                            <w:szCs w:val="22"/>
                          </w:rPr>
                          <w:t xml:space="preserve"> ribinės vertės laikymuisi įvertinti, vietoj užterštumo  lygio viršijimų skaičiaus, kuriam didelės įtakos turi duomenų aprėptis, turėtų būti įvertintas 90,4 procentilis (kuris yra lygus 50 µg/m</w:t>
                        </w:r>
                        <w:r>
                          <w:rPr>
                            <w:sz w:val="22"/>
                            <w:szCs w:val="22"/>
                            <w:vertAlign w:val="superscript"/>
                          </w:rPr>
                          <w:t>3</w:t>
                        </w:r>
                        <w:r>
                          <w:rPr>
                            <w:sz w:val="22"/>
                            <w:szCs w:val="22"/>
                          </w:rPr>
                          <w:t xml:space="preserve"> arba mažesnis).</w:t>
                        </w:r>
                      </w:p>
                      <w:p>
                        <w:pPr>
                          <w:rPr>
                            <w:sz w:val="22"/>
                            <w:szCs w:val="22"/>
                            <w:vertAlign w:val="superscript"/>
                          </w:rPr>
                        </w:pPr>
                      </w:p>
                      <w:p>
                        <w:pPr>
                          <w:rPr>
                            <w:sz w:val="22"/>
                            <w:szCs w:val="22"/>
                          </w:rPr>
                        </w:pPr>
                        <w:r>
                          <w:rPr>
                            <w:sz w:val="22"/>
                            <w:szCs w:val="22"/>
                            <w:vertAlign w:val="superscript"/>
                          </w:rPr>
                          <w:t>2</w:t>
                        </w:r>
                        <w:r>
                          <w:rPr>
                            <w:sz w:val="22"/>
                            <w:szCs w:val="22"/>
                          </w:rPr>
                          <w:t xml:space="preserve"> Tolygiai paskirstytas per metus, kad atspindėtų įvairias klimato ir eismo sąlygas.</w:t>
                        </w:r>
                      </w:p>
                      <w:p>
                        <w:pPr>
                          <w:rPr>
                            <w:sz w:val="22"/>
                            <w:szCs w:val="22"/>
                            <w:vertAlign w:val="superscript"/>
                          </w:rPr>
                        </w:pPr>
                      </w:p>
                      <w:p>
                        <w:pPr>
                          <w:rPr>
                            <w:sz w:val="22"/>
                            <w:szCs w:val="22"/>
                          </w:rPr>
                        </w:pPr>
                        <w:r>
                          <w:rPr>
                            <w:sz w:val="22"/>
                            <w:szCs w:val="22"/>
                            <w:vertAlign w:val="superscript"/>
                          </w:rPr>
                          <w:t>3</w:t>
                        </w:r>
                        <w:r>
                          <w:rPr>
                            <w:sz w:val="22"/>
                            <w:szCs w:val="22"/>
                          </w:rPr>
                          <w:t xml:space="preserve"> Vienos dienos per savaitę atsitiktinis matavimas, tolygiai paskirstytas per metus, arba 8 savaitės, tolygiai paskirstytos per metus.</w:t>
                        </w:r>
                      </w:p>
                      <w:p>
                        <w:pPr>
                          <w:rPr>
                            <w:sz w:val="22"/>
                            <w:szCs w:val="22"/>
                            <w:vertAlign w:val="superscript"/>
                          </w:rPr>
                        </w:pPr>
                      </w:p>
                      <w:p>
                        <w:pPr>
                          <w:rPr>
                            <w:sz w:val="22"/>
                            <w:szCs w:val="22"/>
                          </w:rPr>
                        </w:pPr>
                        <w:r>
                          <w:rPr>
                            <w:sz w:val="22"/>
                            <w:szCs w:val="22"/>
                            <w:vertAlign w:val="superscript"/>
                          </w:rPr>
                          <w:t>4</w:t>
                        </w:r>
                        <w:r>
                          <w:rPr>
                            <w:sz w:val="22"/>
                            <w:szCs w:val="22"/>
                          </w:rPr>
                          <w:t xml:space="preserve"> Vienas atsitiktinis matavimas per savaitę, tolygiai paskirstytas per metus, arba 8 savaitės, tolygiai paskirstytos per metus.</w:t>
                        </w:r>
                      </w:p>
                    </w:tc>
                  </w:tr>
                </w:tbl>
                <w:p>
                  <w:pPr>
                    <w:jc w:val="both"/>
                  </w:pPr>
                </w:p>
              </w:sdtContent>
            </w:sdt>
            <w:sdt>
              <w:sdtPr>
                <w:alias w:val="1 pr. 2 p."/>
                <w:tag w:val="part_d1d211a965f64822ab0108e8ecc7b891"/>
                <w:lock w:val="sdtLocked"/>
                <w:richText/>
              </w:sdtPr>
              <w:sdtContent>
                <w:p>
                  <w:pPr>
                    <w:ind w:firstLine="567"/>
                    <w:jc w:val="both"/>
                    <w:rPr>
                      <w:rFonts w:eastAsia="Arial Unicode MS"/>
                    </w:rPr>
                  </w:pPr>
                  <w:sdt>
                    <w:sdtPr>
                      <w:alias w:val="Numeris"/>
                      <w:tag w:val="nr_d1d211a965f64822ab0108e8ecc7b891"/>
                      <w:lock w:val="sdtLocked"/>
                      <w:richText/>
                    </w:sdtPr>
                    <w:sdtContent>
                      <w:r>
                        <w:t>2</w:t>
                      </w:r>
                    </w:sdtContent>
                  </w:sdt>
                  <w:r>
                    <w:t>. Vertinimo metodų neapibrėžtis (išreikšta 95 % pasikliautinumo lygiu) bus nustatyta pagal Europos standartizacijos komiteto (ESK) Matavimų neapibrėžties nustatymo vadovo (ENV 13005–1999) principus, LST ISO 5725, susidedančio iš LST ISO 5725-1+AC:2002 Matavimo metodų tikslumas (teisingumas ir glaudumas) ir įvertinimo rezultatai. 1 dalis. Bendrieji principai ir apibrėžimai (tapatus ISO 5725:1994), LST ISO 5725-2+AC1:2006 Matavimo metodų tikslumas (teisingumas ir glaudumas) ir įvertinimo rezultatai. 2 dalis. Pagrindinis metodas nustatyti standartinio matavimo metodo pakartojamumą ir atkuriamumą (tapatus ISO 5725-2:1994 kartu su technine pataisa ISO 5725-2:1994/Cor. 1:2002) ir LST ISO 5725-3+AC1:2007 Matavimo metodų tikslumas (teisingumas ir glaudumas) ir įvertinimo rezultatai. 3 dalis. Tarpiniai standartinio matavimo metodo glaudumo matai (tapatus ISO 5725-3:1994 kartu su technine pataisa ISO 5725-3:1994/Cor.1:2001), metodiką ir ESK ataskaitoje „Oro kokybė. Neapibrėžties nustatymo būdas aplinkos oro matavimo pamatiniuose metoduose“ (CR 14377:2002E) pateiktus nurodymus. Pirmiau pateiktoje lentelėje yra nurodyti neapibrėžties procentai atskiriems matavimams, kurių vidurkis išvedamas tam tikram laikotarpiui, kuriam taikoma ribinė vertė (arba ozono atveju – siektina vertė), 95 % pasikliautiname paklaidos intervale. Fiksuotų matavimų neapibrėžtis taikytina atitinkamos ribinės vertės (arba ozono atveju – siektinos vertės) intervale.</w:t>
                  </w:r>
                </w:p>
              </w:sdtContent>
            </w:sdt>
            <w:sdt>
              <w:sdtPr>
                <w:alias w:val="1 pr. 3 p."/>
                <w:tag w:val="part_86fdee0393c1470aa1bedf93265871cd"/>
                <w:lock w:val="sdtLocked"/>
                <w:richText/>
              </w:sdtPr>
              <w:sdtContent>
                <w:p>
                  <w:pPr>
                    <w:ind w:firstLine="567"/>
                    <w:jc w:val="both"/>
                  </w:pPr>
                  <w:sdt>
                    <w:sdtPr>
                      <w:alias w:val="Numeris"/>
                      <w:tag w:val="nr_86fdee0393c1470aa1bedf93265871cd"/>
                      <w:lock w:val="sdtLocked"/>
                      <w:richText/>
                    </w:sdtPr>
                    <w:sdtContent>
                      <w:r>
                        <w:t>3</w:t>
                      </w:r>
                    </w:sdtContent>
                  </w:sdt>
                  <w:r>
                    <w:t>. Modeliavimo neapibrėžtis apibūdinama kaip didžiausias išmatuotų ir apskaičiuotų koncentracijos lygių nuokrypis 90 % individualių stebėjimo vietų per tam tikrą laikotarpį, kuriam taikoma ribinė vertė (arba ozono atveju – siektina vertė), neatsižvelgiant į įvykių išsidėstymą laike. Laikoma, kad modeliavimo neapibrėžtis taikoma atitinkamos ribinės vertės (arba ozono atveju – siektinos vertės) intervale. Fiksuoti matavimai, kurie turi būti pasirenkami palyginimui su modeliavimo rezultatais, turi atitikti modelio skalę.</w:t>
                  </w:r>
                </w:p>
              </w:sdtContent>
            </w:sdt>
            <w:sdt>
              <w:sdtPr>
                <w:alias w:val="1 pr. 4 p."/>
                <w:tag w:val="part_7666deeb06404e78a03ed8f3d3a7c24c"/>
                <w:lock w:val="sdtLocked"/>
                <w:richText/>
              </w:sdtPr>
              <w:sdtContent>
                <w:p>
                  <w:pPr>
                    <w:ind w:firstLine="567"/>
                    <w:jc w:val="both"/>
                  </w:pPr>
                  <w:sdt>
                    <w:sdtPr>
                      <w:alias w:val="Numeris"/>
                      <w:tag w:val="nr_7666deeb06404e78a03ed8f3d3a7c24c"/>
                      <w:lock w:val="sdtLocked"/>
                      <w:richText/>
                    </w:sdtPr>
                    <w:sdtContent>
                      <w:r>
                        <w:t>4</w:t>
                      </w:r>
                    </w:sdtContent>
                  </w:sdt>
                  <w:r>
                    <w:t>. Objektyvaus įvertinimo neapibrėžtis apibūdinama kaip didžiausias išmatuotų ir apskaičiuotų koncentracijos lygių nuokrypis per tam tikrą laikotarpį, kuriam taikoma ribinė vertė (arba ozono atveju – siektina vertė), neatsižvelgiant į įvykių išsidėstymą laike.</w:t>
                  </w:r>
                </w:p>
              </w:sdtContent>
            </w:sdt>
            <w:sdt>
              <w:sdtPr>
                <w:alias w:val="1 pr. 5 p."/>
                <w:tag w:val="part_332e4b5fffc147648c4e37010a64e6ba"/>
                <w:lock w:val="sdtLocked"/>
                <w:richText/>
              </w:sdtPr>
              <w:sdtContent>
                <w:p>
                  <w:pPr>
                    <w:ind w:firstLine="567"/>
                    <w:jc w:val="both"/>
                    <w:rPr>
                      <w:spacing w:val="-4"/>
                    </w:rPr>
                  </w:pPr>
                  <w:sdt>
                    <w:sdtPr>
                      <w:alias w:val="Numeris"/>
                      <w:tag w:val="nr_332e4b5fffc147648c4e37010a64e6ba"/>
                      <w:lock w:val="sdtLocked"/>
                      <w:richText/>
                    </w:sdtPr>
                    <w:sdtContent>
                      <w:r>
                        <w:t>5</w:t>
                      </w:r>
                    </w:sdtContent>
                  </w:sdt>
                  <w:r>
                    <w:t>. Reikalavimai dėl minimalaus duomenų surinkimo ir laiko aprėpties neapima duomenų, kurie prarandami dėl reguliaraus</w:t>
                  </w:r>
                  <w:r>
                    <w:rPr>
                      <w:spacing w:val="-4"/>
                    </w:rPr>
                    <w:t xml:space="preserve"> prietaisų kalibravimo arba įprastinės jų eksploatacijos.</w:t>
                  </w:r>
                </w:p>
                <w:p>
                  <w:pPr>
                    <w:jc w:val="both"/>
                    <w:outlineLvl w:val="1"/>
                    <w:rPr>
                      <w:b/>
                      <w:bCs/>
                    </w:rPr>
                  </w:pPr>
                </w:p>
              </w:sdtContent>
            </w:sdt>
          </w:sdtContent>
        </w:sdt>
        <w:sdt>
          <w:sdtPr>
            <w:alias w:val="skyrius"/>
            <w:tag w:val="part_05f7a7e30e894fa3a551f589dbf15ecd"/>
            <w:lock w:val="sdtLocked"/>
            <w:richText/>
          </w:sdtPr>
          <w:sdtContent>
            <w:p>
              <w:pPr>
                <w:jc w:val="center"/>
                <w:outlineLvl w:val="1"/>
                <w:rPr>
                  <w:b/>
                  <w:bCs/>
                  <w:caps/>
                </w:rPr>
              </w:pPr>
              <w:sdt>
                <w:sdtPr>
                  <w:alias w:val="Numeris"/>
                  <w:tag w:val="nr_05f7a7e30e894fa3a551f589dbf15ecd"/>
                  <w:lock w:val="sdtLocked"/>
                  <w:richText/>
                </w:sdtPr>
                <w:sdtContent>
                  <w:r>
                    <w:rPr>
                      <w:b/>
                      <w:bCs/>
                      <w:caps/>
                    </w:rPr>
                    <w:t>II</w:t>
                  </w:r>
                </w:sdtContent>
              </w:sdt>
              <w:r>
                <w:rPr>
                  <w:b/>
                  <w:bCs/>
                  <w:caps/>
                </w:rPr>
                <w:t xml:space="preserve">. </w:t>
              </w:r>
              <w:sdt>
                <w:sdtPr>
                  <w:alias w:val="Pavadinimas"/>
                  <w:tag w:val="title_05f7a7e30e894fa3a551f589dbf15ecd"/>
                  <w:lock w:val="sdtLocked"/>
                  <w:richText/>
                </w:sdtPr>
                <w:sdtContent>
                  <w:r>
                    <w:rPr>
                      <w:b/>
                      <w:bCs/>
                      <w:caps/>
                    </w:rPr>
                    <w:t>Oro kokybės vertinimo rezultatai</w:t>
                  </w:r>
                </w:sdtContent>
              </w:sdt>
            </w:p>
            <w:p/>
            <w:sdt>
              <w:sdtPr>
                <w:alias w:val="1 pr. 6 p."/>
                <w:tag w:val="part_8b95f1ab5c8e4f6181c5c1460bfaefc3"/>
                <w:lock w:val="sdtLocked"/>
                <w:richText/>
              </w:sdtPr>
              <w:sdtContent>
                <w:p>
                  <w:pPr>
                    <w:ind w:firstLine="567"/>
                    <w:jc w:val="both"/>
                  </w:pPr>
                  <w:sdt>
                    <w:sdtPr>
                      <w:alias w:val="Numeris"/>
                      <w:tag w:val="nr_8b95f1ab5c8e4f6181c5c1460bfaefc3"/>
                      <w:lock w:val="sdtLocked"/>
                      <w:richText/>
                    </w:sdtPr>
                    <w:sdtContent>
                      <w:r>
                        <w:t>6</w:t>
                      </w:r>
                    </w:sdtContent>
                  </w:sdt>
                  <w:r>
                    <w:t>. Apie zonas arba aglomeracijas, kuriose matavimų informacijai papildyti naudojami kiti šaltiniai arba kuriose šie šaltiniai yra vienintelis oro kokybės vertinimo būdas, kaupiama tokia informacija:</w:t>
                  </w:r>
                </w:p>
                <w:sdt>
                  <w:sdtPr>
                    <w:alias w:val="1 pr. 6.1 p."/>
                    <w:tag w:val="part_0e3701d5675e461abf0ac9522c5139f6"/>
                    <w:lock w:val="sdtLocked"/>
                    <w:richText/>
                  </w:sdtPr>
                  <w:sdtContent>
                    <w:p>
                      <w:pPr>
                        <w:ind w:firstLine="567"/>
                        <w:jc w:val="both"/>
                      </w:pPr>
                      <w:sdt>
                        <w:sdtPr>
                          <w:alias w:val="Numeris"/>
                          <w:tag w:val="nr_0e3701d5675e461abf0ac9522c5139f6"/>
                          <w:lock w:val="sdtLocked"/>
                          <w:richText/>
                        </w:sdtPr>
                        <w:sdtContent>
                          <w:r>
                            <w:t>6.1</w:t>
                          </w:r>
                        </w:sdtContent>
                      </w:sdt>
                      <w:r>
                        <w:t>. atliktos vertinimo veiklos aprašymas;</w:t>
                      </w:r>
                    </w:p>
                  </w:sdtContent>
                </w:sdt>
                <w:sdt>
                  <w:sdtPr>
                    <w:alias w:val="1 pr. 6.2 p."/>
                    <w:tag w:val="part_ede8218f961b495a9a80566d86073b8d"/>
                    <w:lock w:val="sdtLocked"/>
                    <w:richText/>
                  </w:sdtPr>
                  <w:sdtContent>
                    <w:p>
                      <w:pPr>
                        <w:ind w:firstLine="567"/>
                        <w:jc w:val="both"/>
                      </w:pPr>
                      <w:sdt>
                        <w:sdtPr>
                          <w:alias w:val="Numeris"/>
                          <w:tag w:val="nr_ede8218f961b495a9a80566d86073b8d"/>
                          <w:lock w:val="sdtLocked"/>
                          <w:richText/>
                        </w:sdtPr>
                        <w:sdtContent>
                          <w:r>
                            <w:t>6.2</w:t>
                          </w:r>
                        </w:sdtContent>
                      </w:sdt>
                      <w:r>
                        <w:t>. konkretūs taikyti metodai su nuorodomis į jų aprašymus;</w:t>
                      </w:r>
                    </w:p>
                  </w:sdtContent>
                </w:sdt>
                <w:sdt>
                  <w:sdtPr>
                    <w:alias w:val="1 pr. 6.3 p."/>
                    <w:tag w:val="part_1924622072e543beb1b4485034360ec5"/>
                    <w:lock w:val="sdtLocked"/>
                    <w:richText/>
                  </w:sdtPr>
                  <w:sdtContent>
                    <w:p>
                      <w:pPr>
                        <w:ind w:firstLine="567"/>
                        <w:jc w:val="both"/>
                      </w:pPr>
                      <w:sdt>
                        <w:sdtPr>
                          <w:alias w:val="Numeris"/>
                          <w:tag w:val="nr_1924622072e543beb1b4485034360ec5"/>
                          <w:lock w:val="sdtLocked"/>
                          <w:richText/>
                        </w:sdtPr>
                        <w:sdtContent>
                          <w:r>
                            <w:t>6.3</w:t>
                          </w:r>
                        </w:sdtContent>
                      </w:sdt>
                      <w:r>
                        <w:t>. duomenų ir informacijos šaltiniai;</w:t>
                      </w:r>
                    </w:p>
                  </w:sdtContent>
                </w:sdt>
                <w:sdt>
                  <w:sdtPr>
                    <w:alias w:val="1 pr. 6.4 p."/>
                    <w:tag w:val="part_6a7a62a8174042b38920c610efd692f0"/>
                    <w:lock w:val="sdtLocked"/>
                    <w:richText/>
                  </w:sdtPr>
                  <w:sdtContent>
                    <w:p>
                      <w:pPr>
                        <w:ind w:firstLine="567"/>
                        <w:jc w:val="both"/>
                      </w:pPr>
                      <w:sdt>
                        <w:sdtPr>
                          <w:alias w:val="Numeris"/>
                          <w:tag w:val="nr_6a7a62a8174042b38920c610efd692f0"/>
                          <w:lock w:val="sdtLocked"/>
                          <w:richText/>
                        </w:sdtPr>
                        <w:sdtContent>
                          <w:r>
                            <w:t>6.4</w:t>
                          </w:r>
                        </w:sdtContent>
                      </w:sdt>
                      <w:r>
                        <w:t>. rezultatų aprašymas, įskaitant neapibrėžtis ir visų pirma nurodant kiekvienos teritorijos dydį arba, jei tinka, zonoje arba aglomeracijoje esančio kelio, virš kurio koncentracija viršija bet kokią ribinę vertę, siektiną vertę arba ilgalaikį tikslą kartu su leistinu nukrypimo dydžiu, jeigu toks taikomas, ilgį ir bet kurios teritorijos, kurioje koncentracija viršija viršutinę arba žemutinę vertinimo ribą, dydį;</w:t>
                      </w:r>
                    </w:p>
                  </w:sdtContent>
                </w:sdt>
                <w:sdt>
                  <w:sdtPr>
                    <w:alias w:val="1 pr. 6.5 p."/>
                    <w:tag w:val="part_426b57fb347c4491b47c9ac0ba9d5033"/>
                    <w:lock w:val="sdtLocked"/>
                    <w:richText/>
                  </w:sdtPr>
                  <w:sdtContent>
                    <w:p>
                      <w:pPr>
                        <w:ind w:firstLine="567"/>
                        <w:jc w:val="both"/>
                      </w:pPr>
                      <w:sdt>
                        <w:sdtPr>
                          <w:alias w:val="Numeris"/>
                          <w:tag w:val="nr_426b57fb347c4491b47c9ac0ba9d5033"/>
                          <w:lock w:val="sdtLocked"/>
                          <w:richText/>
                        </w:sdtPr>
                        <w:sdtContent>
                          <w:r>
                            <w:t>6.5</w:t>
                          </w:r>
                        </w:sdtContent>
                      </w:sdt>
                      <w:r>
                        <w:t>. gyventojai, kurie gali patirti aplinkos oro užterštumo lygio, viršijančio žmonių sveikatos apsaugai nustatytas ribines vertes, poveikį.</w:t>
                      </w:r>
                    </w:p>
                    <w:p>
                      <w:pPr>
                        <w:jc w:val="both"/>
                        <w:rPr>
                          <w:b/>
                          <w:bCs/>
                        </w:rPr>
                      </w:pPr>
                    </w:p>
                  </w:sdtContent>
                </w:sdt>
              </w:sdtContent>
            </w:sdt>
          </w:sdtContent>
        </w:sdt>
        <w:sdt>
          <w:sdtPr>
            <w:alias w:val="skyrius"/>
            <w:tag w:val="part_e42a60561ecb423a9d584fa56d6ba459"/>
            <w:lock w:val="sdtLocked"/>
            <w:richText/>
          </w:sdtPr>
          <w:sdtContent>
            <w:p>
              <w:pPr>
                <w:jc w:val="center"/>
                <w:rPr>
                  <w:b/>
                  <w:bCs/>
                  <w:caps/>
                </w:rPr>
              </w:pPr>
              <w:sdt>
                <w:sdtPr>
                  <w:alias w:val="Numeris"/>
                  <w:tag w:val="nr_e42a60561ecb423a9d584fa56d6ba459"/>
                  <w:lock w:val="sdtLocked"/>
                  <w:richText/>
                </w:sdtPr>
                <w:sdtContent>
                  <w:r>
                    <w:rPr>
                      <w:b/>
                      <w:bCs/>
                      <w:caps/>
                    </w:rPr>
                    <w:t>III</w:t>
                  </w:r>
                </w:sdtContent>
              </w:sdt>
              <w:r>
                <w:rPr>
                  <w:b/>
                  <w:bCs/>
                  <w:caps/>
                </w:rPr>
                <w:t xml:space="preserve">. </w:t>
              </w:r>
              <w:sdt>
                <w:sdtPr>
                  <w:alias w:val="Pavadinimas"/>
                  <w:tag w:val="title_e42a60561ecb423a9d584fa56d6ba459"/>
                  <w:lock w:val="sdtLocked"/>
                  <w:richText/>
                </w:sdtPr>
                <w:sdtContent>
                  <w:r>
                    <w:rPr>
                      <w:b/>
                      <w:bCs/>
                      <w:caps/>
                    </w:rPr>
                    <w:t>Aplinkos oro kokybės vertinimo kokybės užtikrinimas: duomenų patvirtinimas</w:t>
                  </w:r>
                </w:sdtContent>
              </w:sdt>
            </w:p>
            <w:p>
              <w:pPr>
                <w:rPr>
                  <w:b/>
                  <w:bCs/>
                  <w:caps/>
                </w:rPr>
              </w:pPr>
            </w:p>
            <w:sdt>
              <w:sdtPr>
                <w:alias w:val="1 pr. 7 p."/>
                <w:tag w:val="part_f7467ce332fc46fa8d7514918af2bc98"/>
                <w:lock w:val="sdtLocked"/>
                <w:richText/>
              </w:sdtPr>
              <w:sdtContent>
                <w:p>
                  <w:pPr>
                    <w:ind w:firstLine="567"/>
                    <w:jc w:val="both"/>
                  </w:pPr>
                  <w:sdt>
                    <w:sdtPr>
                      <w:alias w:val="Numeris"/>
                      <w:tag w:val="nr_f7467ce332fc46fa8d7514918af2bc98"/>
                      <w:lock w:val="sdtLocked"/>
                      <w:richText/>
                    </w:sdtPr>
                    <w:sdtContent>
                      <w:r>
                        <w:t>7</w:t>
                      </w:r>
                    </w:sdtContent>
                  </w:sdt>
                  <w:r>
                    <w:t>. Siekiant matavimų tikslumo ir šio priedo I skyriuje nustatytų duomenų kokybės tikslų įgyvendinimo, vertinant aplinkos oro kokybę turi būti užtikrinama:</w:t>
                  </w:r>
                </w:p>
                <w:sdt>
                  <w:sdtPr>
                    <w:alias w:val="1 pr. 7.1 p."/>
                    <w:tag w:val="part_0db63945071e479aa4c8a9ba47387c0e"/>
                    <w:lock w:val="sdtLocked"/>
                    <w:richText/>
                  </w:sdtPr>
                  <w:sdtContent>
                    <w:p>
                      <w:pPr>
                        <w:ind w:firstLine="567"/>
                        <w:jc w:val="both"/>
                      </w:pPr>
                      <w:sdt>
                        <w:sdtPr>
                          <w:alias w:val="Numeris"/>
                          <w:tag w:val="nr_0db63945071e479aa4c8a9ba47387c0e"/>
                          <w:lock w:val="sdtLocked"/>
                          <w:richText/>
                        </w:sdtPr>
                        <w:sdtContent>
                          <w:r>
                            <w:t>7.1</w:t>
                          </w:r>
                        </w:sdtContent>
                      </w:sdt>
                      <w:r>
                        <w:t>. kad visi matavimai, kurie buvo atliekami vertinant aplinkos oro kokybę pagal šio Tvarkos aprašo 9, 10, 11, 17, 18 ir 19 punktus, būtų atsekami pagal LST EN ISO/IEC 17025:2005 5.6.2.2 skirsnyje nustatytus reikalavimus;</w:t>
                      </w:r>
                    </w:p>
                  </w:sdtContent>
                </w:sdt>
                <w:sdt>
                  <w:sdtPr>
                    <w:alias w:val="1 pr. 7.2 p."/>
                    <w:tag w:val="part_397efed01e5e4b17b4e2dba008b4a42a"/>
                    <w:lock w:val="sdtLocked"/>
                    <w:richText/>
                  </w:sdtPr>
                  <w:sdtContent>
                    <w:p>
                      <w:pPr>
                        <w:ind w:firstLine="567"/>
                        <w:jc w:val="both"/>
                      </w:pPr>
                      <w:sdt>
                        <w:sdtPr>
                          <w:alias w:val="Numeris"/>
                          <w:tag w:val="nr_397efed01e5e4b17b4e2dba008b4a42a"/>
                          <w:lock w:val="sdtLocked"/>
                          <w:richText/>
                        </w:sdtPr>
                        <w:sdtContent>
                          <w:r>
                            <w:t>7.2</w:t>
                          </w:r>
                        </w:sdtContent>
                      </w:sdt>
                      <w:r>
                        <w:t>. kad tinklus ir atskiras stotis eksploatuojančios institucijos turėtų nustatytą kokybės užtikrinimo ir kokybės kontrolės sistemą, kurioje būtų vykdoma reguliari, tikslumą užtikrinanti matavimo prietaisų priežiūra;</w:t>
                      </w:r>
                    </w:p>
                  </w:sdtContent>
                </w:sdt>
                <w:sdt>
                  <w:sdtPr>
                    <w:alias w:val="1 pr. 7.3 p."/>
                    <w:tag w:val="part_0f517433aab04c78b78728f4ffd74106"/>
                    <w:lock w:val="sdtLocked"/>
                    <w:richText/>
                  </w:sdtPr>
                  <w:sdtContent>
                    <w:p>
                      <w:pPr>
                        <w:ind w:firstLine="567"/>
                        <w:jc w:val="both"/>
                      </w:pPr>
                      <w:sdt>
                        <w:sdtPr>
                          <w:alias w:val="Numeris"/>
                          <w:tag w:val="nr_0f517433aab04c78b78728f4ffd74106"/>
                          <w:lock w:val="sdtLocked"/>
                          <w:richText/>
                        </w:sdtPr>
                        <w:sdtContent>
                          <w:r>
                            <w:t>7.3</w:t>
                          </w:r>
                        </w:sdtContent>
                      </w:sdt>
                      <w:r>
                        <w:t>. kad duomenų surinkimo procesui ir ataskaitų teikimui būtų sukurtas kokybės užtikrinimo (kokybės kontrolės) procesas, o šią užduotį vykdyti paskirtos institucijos aktyviai dalyvautų atitinkamose Bendrijos mastu vykdomose kokybės užtikrinimo programose;</w:t>
                      </w:r>
                    </w:p>
                  </w:sdtContent>
                </w:sdt>
                <w:sdt>
                  <w:sdtPr>
                    <w:alias w:val="1 pr. 7.4 p."/>
                    <w:tag w:val="part_f2f4117275dc4e49b48c70ed92c1a63a"/>
                    <w:lock w:val="sdtLocked"/>
                    <w:richText/>
                  </w:sdtPr>
                  <w:sdtContent>
                    <w:p>
                      <w:pPr>
                        <w:ind w:firstLine="567"/>
                        <w:jc w:val="both"/>
                      </w:pPr>
                      <w:sdt>
                        <w:sdtPr>
                          <w:alias w:val="Numeris"/>
                          <w:tag w:val="nr_f2f4117275dc4e49b48c70ed92c1a63a"/>
                          <w:lock w:val="sdtLocked"/>
                          <w:richText/>
                        </w:sdtPr>
                        <w:sdtContent>
                          <w:r>
                            <w:t>7.4</w:t>
                          </w:r>
                        </w:sdtContent>
                      </w:sdt>
                      <w:r>
                        <w:t>. kad nacionalinės laboratorijos, dalyvaujančios visos Bendrijos mastu vykdomuose palyginamuosiuose Normose reglamentuojamų teršalų matavimuose, iki 2010 m. pagal LST EN ISO/IEC 17025:2005 būtų akredituotos taikyti 6 priede nurodytus pamatinius metodus. Šios laboratorijos visoje šalies teritorijoje turi koordinuoti visos Bendrijos mastu vykdomas kokybės užtikrinimo programas, kurias turi organizuoti Komisija, ir nacionaliniu lygiu koordinuoja tinkamą pamatinių metodų įgyvendinimą ir nepamatinių metodų lygiavertiškumo įrodymą.</w:t>
                      </w:r>
                    </w:p>
                  </w:sdtContent>
                </w:sdt>
              </w:sdtContent>
            </w:sdt>
            <w:sdt>
              <w:sdtPr>
                <w:alias w:val="1 pr. 8 p."/>
                <w:tag w:val="part_3e0cbdc6ea5c4f849e449a729badb09e"/>
                <w:lock w:val="sdtLocked"/>
                <w:richText/>
              </w:sdtPr>
              <w:sdtContent>
                <w:p>
                  <w:pPr>
                    <w:ind w:firstLine="567"/>
                    <w:jc w:val="both"/>
                  </w:pPr>
                  <w:sdt>
                    <w:sdtPr>
                      <w:alias w:val="Numeris"/>
                      <w:tag w:val="nr_3e0cbdc6ea5c4f849e449a729badb09e"/>
                      <w:lock w:val="sdtLocked"/>
                      <w:richText/>
                    </w:sdtPr>
                    <w:sdtContent>
                      <w:r>
                        <w:t>8</w:t>
                      </w:r>
                    </w:sdtContent>
                  </w:sdt>
                  <w:r>
                    <w:t>. Visi Europos Komisijai teikiami duomenys laikomi galiojančiais, išskyrus preliminarius duomenis.</w:t>
                  </w:r>
                </w:p>
                <w:p>
                  <w:pPr>
                    <w:jc w:val="both"/>
                  </w:pPr>
                </w:p>
              </w:sdtContent>
            </w:sdt>
          </w:sdtContent>
        </w:sdt>
        <w:sdt>
          <w:sdtPr>
            <w:alias w:val="pabaiga"/>
            <w:tag w:val="part_ce2a75a9413a44d091596c0739a11524"/>
            <w:lock w:val="sdtLocked"/>
            <w:richText/>
          </w:sdtPr>
          <w:sdtContent>
            <w:p>
              <w:pPr>
                <w:jc w:val="center"/>
              </w:pPr>
              <w:r>
                <w:t>_________________</w:t>
              </w:r>
            </w:p>
          </w:sdtContent>
        </w:sdt>
      </w:sdtContent>
    </w:sdt>
    <w:sdt>
      <w:sdtPr>
        <w:alias w:val="2 pr."/>
        <w:tag w:val="part_68bfe4b1411e49e0801eceb3efbc26ab"/>
        <w:lock w:val="sdtLocked"/>
        <w:richText/>
      </w:sdtPr>
      <w:sdtContent>
        <w:p>
          <w:pPr>
            <w:ind w:firstLine="5102"/>
          </w:pPr>
          <w:r>
            <w:br w:type="page"/>
          </w:r>
        </w:p>
        <w:p>
          <w:pPr>
            <w:ind w:firstLine="5102"/>
          </w:pPr>
          <w:r>
            <w:t xml:space="preserve">Aplinkos oro kokybės vertinimo tvarkos </w:t>
          </w:r>
        </w:p>
        <w:p>
          <w:pPr>
            <w:ind w:firstLine="5102"/>
          </w:pPr>
          <w:r>
            <w:t xml:space="preserve">aprašo </w:t>
          </w:r>
        </w:p>
        <w:p>
          <w:pPr>
            <w:ind w:firstLine="5102"/>
          </w:pPr>
          <w:sdt>
            <w:sdtPr>
              <w:alias w:val="Numeris"/>
              <w:tag w:val="nr_68bfe4b1411e49e0801eceb3efbc26ab"/>
              <w:lock w:val="sdtLocked"/>
              <w:richText/>
            </w:sdtPr>
            <w:sdtContent>
              <w:r>
                <w:t>2</w:t>
              </w:r>
            </w:sdtContent>
          </w:sdt>
          <w:r>
            <w:t xml:space="preserve"> priedas</w:t>
          </w:r>
        </w:p>
        <w:p>
          <w:pPr>
            <w:jc w:val="both"/>
          </w:pPr>
        </w:p>
        <w:p>
          <w:pPr>
            <w:jc w:val="center"/>
            <w:rPr>
              <w:b/>
              <w:bCs/>
              <w:caps/>
            </w:rPr>
          </w:pPr>
          <w:sdt>
            <w:sdtPr>
              <w:alias w:val="Pavadinimas"/>
              <w:tag w:val="title_68bfe4b1411e49e0801eceb3efbc26ab"/>
              <w:lock w:val="sdtLocked"/>
              <w:richText/>
            </w:sdtPr>
            <w:sdtContent>
              <w:r>
                <w:rPr>
                  <w:b/>
                  <w:bCs/>
                  <w:caps/>
                </w:rPr>
                <w:t>Sieros dioksido, azoto dioksido ir azoto oksidų, kietųjų dalelių, švino, benzeno ir anglies monoksido koncentracijos zonos ar aglomeracijos aplinkos ore vertinimo reikalavimai</w:t>
              </w:r>
            </w:sdtContent>
          </w:sdt>
        </w:p>
        <w:p>
          <w:pPr>
            <w:jc w:val="center"/>
            <w:outlineLvl w:val="1"/>
            <w:rPr>
              <w:b/>
              <w:bCs/>
            </w:rPr>
          </w:pPr>
        </w:p>
        <w:sdt>
          <w:sdtPr>
            <w:alias w:val="skyrius"/>
            <w:tag w:val="part_28c827f182fe410fb55ba282cb7123dd"/>
            <w:lock w:val="sdtLocked"/>
            <w:richText/>
          </w:sdtPr>
          <w:sdtContent>
            <w:p>
              <w:pPr>
                <w:jc w:val="center"/>
                <w:outlineLvl w:val="1"/>
                <w:rPr>
                  <w:b/>
                  <w:caps/>
                </w:rPr>
              </w:pPr>
              <w:sdt>
                <w:sdtPr>
                  <w:alias w:val="Numeris"/>
                  <w:tag w:val="nr_28c827f182fe410fb55ba282cb7123dd"/>
                  <w:lock w:val="sdtLocked"/>
                  <w:richText/>
                </w:sdtPr>
                <w:sdtContent>
                  <w:r>
                    <w:rPr>
                      <w:b/>
                      <w:bCs/>
                      <w:caps/>
                    </w:rPr>
                    <w:t>I</w:t>
                  </w:r>
                </w:sdtContent>
              </w:sdt>
              <w:r>
                <w:rPr>
                  <w:b/>
                  <w:bCs/>
                  <w:caps/>
                </w:rPr>
                <w:t xml:space="preserve">. </w:t>
              </w:r>
              <w:sdt>
                <w:sdtPr>
                  <w:alias w:val="Pavadinimas"/>
                  <w:tag w:val="title_28c827f182fe410fb55ba282cb7123dd"/>
                  <w:lock w:val="sdtLocked"/>
                  <w:richText/>
                </w:sdtPr>
                <w:sdtContent>
                  <w:r>
                    <w:rPr>
                      <w:b/>
                      <w:caps/>
                    </w:rPr>
                    <w:t>Taikomos viršutinė ir žemutinė vertinimo ribos</w:t>
                  </w:r>
                </w:sdtContent>
              </w:sdt>
            </w:p>
            <w:p/>
            <w:sdt>
              <w:sdtPr>
                <w:alias w:val="2 pr. 1 p."/>
                <w:tag w:val="part_f842176ab38540c6801fcbdde9217b5d"/>
                <w:lock w:val="sdtLocked"/>
                <w:richText/>
              </w:sdtPr>
              <w:sdtContent>
                <w:p>
                  <w:pPr>
                    <w:ind w:firstLine="567"/>
                    <w:jc w:val="both"/>
                    <w:outlineLvl w:val="1"/>
                    <w:rPr>
                      <w:bCs/>
                    </w:rPr>
                  </w:pPr>
                  <w:sdt>
                    <w:sdtPr>
                      <w:alias w:val="Numeris"/>
                      <w:tag w:val="nr_f842176ab38540c6801fcbdde9217b5d"/>
                      <w:lock w:val="sdtLocked"/>
                      <w:richText/>
                    </w:sdtPr>
                    <w:sdtContent>
                      <w:r>
                        <w:rPr>
                          <w:bCs/>
                        </w:rPr>
                        <w:t>1</w:t>
                      </w:r>
                    </w:sdtContent>
                  </w:sdt>
                  <w:r>
                    <w:rPr>
                      <w:bCs/>
                    </w:rPr>
                    <w:t>. Sieros dioksidas</w:t>
                  </w:r>
                </w:p>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88"/>
                    <w:gridCol w:w="5940"/>
                    <w:gridCol w:w="2160"/>
                  </w:tblGrid>
                  <w:tr>
                    <w:trPr>
                      <w:tblHeader/>
                    </w:trPr>
                    <w:tc>
                      <w:tcPr>
                        <w:tcW w:w="1188" w:type="dxa"/>
                        <w:vAlign w:val="center"/>
                      </w:tcPr>
                      <w:p>
                        <w:pPr>
                          <w:jc w:val="center"/>
                          <w:rPr>
                            <w:sz w:val="22"/>
                          </w:rPr>
                        </w:pPr>
                      </w:p>
                    </w:tc>
                    <w:tc>
                      <w:tcPr>
                        <w:tcW w:w="5940" w:type="dxa"/>
                        <w:vAlign w:val="center"/>
                      </w:tcPr>
                      <w:p>
                        <w:pPr>
                          <w:jc w:val="center"/>
                          <w:rPr>
                            <w:sz w:val="22"/>
                          </w:rPr>
                        </w:pPr>
                        <w:r>
                          <w:rPr>
                            <w:sz w:val="22"/>
                          </w:rPr>
                          <w:t>Sveikatos apsaugai</w:t>
                        </w:r>
                      </w:p>
                    </w:tc>
                    <w:tc>
                      <w:tcPr>
                        <w:tcW w:w="2160" w:type="dxa"/>
                        <w:vAlign w:val="center"/>
                      </w:tcPr>
                      <w:p>
                        <w:pPr>
                          <w:jc w:val="center"/>
                          <w:rPr>
                            <w:sz w:val="22"/>
                          </w:rPr>
                        </w:pPr>
                        <w:r>
                          <w:rPr>
                            <w:sz w:val="22"/>
                          </w:rPr>
                          <w:t>Augmenijos apsaugai</w:t>
                        </w:r>
                      </w:p>
                    </w:tc>
                  </w:tr>
                  <w:tr>
                    <w:tc>
                      <w:tcPr>
                        <w:tcW w:w="1188" w:type="dxa"/>
                        <w:vAlign w:val="center"/>
                      </w:tcPr>
                      <w:p>
                        <w:pPr>
                          <w:jc w:val="center"/>
                          <w:rPr>
                            <w:sz w:val="22"/>
                          </w:rPr>
                        </w:pPr>
                        <w:r>
                          <w:rPr>
                            <w:sz w:val="22"/>
                          </w:rPr>
                          <w:t>Viršutinė vertinimo riba</w:t>
                        </w:r>
                      </w:p>
                    </w:tc>
                    <w:tc>
                      <w:tcPr>
                        <w:tcW w:w="5940" w:type="dxa"/>
                        <w:vAlign w:val="center"/>
                      </w:tcPr>
                      <w:p>
                        <w:pPr>
                          <w:rPr>
                            <w:sz w:val="22"/>
                          </w:rPr>
                        </w:pPr>
                        <w:r>
                          <w:rPr>
                            <w:sz w:val="22"/>
                          </w:rPr>
                          <w:t>60 % 24 valandų ribinės vertės (75 µg/m</w:t>
                        </w:r>
                        <w:r>
                          <w:rPr>
                            <w:sz w:val="22"/>
                            <w:vertAlign w:val="superscript"/>
                          </w:rPr>
                          <w:t>3</w:t>
                        </w:r>
                        <w:r>
                          <w:rPr>
                            <w:sz w:val="22"/>
                          </w:rPr>
                          <w:t xml:space="preserve">, negali būti viršyta daugiau kaip 3 kartus per bet kuriuos kalendorinius metus) </w:t>
                        </w:r>
                      </w:p>
                    </w:tc>
                    <w:tc>
                      <w:tcPr>
                        <w:tcW w:w="2160" w:type="dxa"/>
                        <w:vAlign w:val="center"/>
                      </w:tcPr>
                      <w:p>
                        <w:pPr>
                          <w:jc w:val="center"/>
                          <w:rPr>
                            <w:sz w:val="22"/>
                          </w:rPr>
                        </w:pPr>
                        <w:r>
                          <w:rPr>
                            <w:sz w:val="22"/>
                          </w:rPr>
                          <w:t>60 % žiemos kritinio lygio</w:t>
                        </w:r>
                      </w:p>
                      <w:p>
                        <w:pPr>
                          <w:jc w:val="center"/>
                          <w:rPr>
                            <w:sz w:val="22"/>
                          </w:rPr>
                        </w:pPr>
                        <w:r>
                          <w:rPr>
                            <w:sz w:val="22"/>
                          </w:rPr>
                          <w:t>(12 µg/m</w:t>
                        </w:r>
                        <w:r>
                          <w:rPr>
                            <w:sz w:val="22"/>
                            <w:vertAlign w:val="superscript"/>
                          </w:rPr>
                          <w:t>3</w:t>
                        </w:r>
                        <w:r>
                          <w:rPr>
                            <w:sz w:val="22"/>
                          </w:rPr>
                          <w:t>)</w:t>
                        </w:r>
                      </w:p>
                    </w:tc>
                  </w:tr>
                  <w:tr>
                    <w:tc>
                      <w:tcPr>
                        <w:tcW w:w="1188" w:type="dxa"/>
                        <w:vAlign w:val="center"/>
                      </w:tcPr>
                      <w:p>
                        <w:pPr>
                          <w:jc w:val="center"/>
                          <w:rPr>
                            <w:sz w:val="22"/>
                          </w:rPr>
                        </w:pPr>
                        <w:r>
                          <w:rPr>
                            <w:sz w:val="22"/>
                          </w:rPr>
                          <w:t>Žemutinė vertinimo riba</w:t>
                        </w:r>
                      </w:p>
                    </w:tc>
                    <w:tc>
                      <w:tcPr>
                        <w:tcW w:w="5940" w:type="dxa"/>
                        <w:vAlign w:val="center"/>
                      </w:tcPr>
                      <w:p>
                        <w:pPr>
                          <w:rPr>
                            <w:sz w:val="22"/>
                          </w:rPr>
                        </w:pPr>
                        <w:r>
                          <w:rPr>
                            <w:sz w:val="22"/>
                          </w:rPr>
                          <w:t>40 % 24 valandų ribinės vertės (50 µg/m</w:t>
                        </w:r>
                        <w:r>
                          <w:rPr>
                            <w:sz w:val="22"/>
                            <w:vertAlign w:val="superscript"/>
                          </w:rPr>
                          <w:t>3</w:t>
                        </w:r>
                        <w:r>
                          <w:rPr>
                            <w:sz w:val="22"/>
                          </w:rPr>
                          <w:t xml:space="preserve">, negali būti viršyta daugiau kaip 3 kartus per bet kuriuos kalendorinius metus) </w:t>
                        </w:r>
                      </w:p>
                    </w:tc>
                    <w:tc>
                      <w:tcPr>
                        <w:tcW w:w="2160" w:type="dxa"/>
                        <w:vAlign w:val="center"/>
                      </w:tcPr>
                      <w:p>
                        <w:pPr>
                          <w:jc w:val="center"/>
                          <w:rPr>
                            <w:sz w:val="22"/>
                          </w:rPr>
                        </w:pPr>
                        <w:r>
                          <w:rPr>
                            <w:sz w:val="22"/>
                          </w:rPr>
                          <w:t>40 % žiemos kritinio lygio</w:t>
                        </w:r>
                      </w:p>
                      <w:p>
                        <w:pPr>
                          <w:jc w:val="center"/>
                          <w:rPr>
                            <w:sz w:val="22"/>
                          </w:rPr>
                        </w:pPr>
                        <w:r>
                          <w:rPr>
                            <w:sz w:val="22"/>
                          </w:rPr>
                          <w:t>(8 µg/m</w:t>
                        </w:r>
                        <w:r>
                          <w:rPr>
                            <w:sz w:val="22"/>
                            <w:vertAlign w:val="superscript"/>
                          </w:rPr>
                          <w:t>3</w:t>
                        </w:r>
                        <w:r>
                          <w:rPr>
                            <w:sz w:val="22"/>
                          </w:rPr>
                          <w:t>)</w:t>
                        </w:r>
                      </w:p>
                    </w:tc>
                  </w:tr>
                </w:tbl>
                <w:p>
                  <w:pPr>
                    <w:outlineLvl w:val="1"/>
                  </w:pPr>
                </w:p>
              </w:sdtContent>
            </w:sdt>
            <w:sdt>
              <w:sdtPr>
                <w:alias w:val="2 pr. 2 p."/>
                <w:tag w:val="part_6cad3a09e13c450691342846b56779d1"/>
                <w:lock w:val="sdtLocked"/>
                <w:richText/>
              </w:sdtPr>
              <w:sdtContent>
                <w:p>
                  <w:pPr>
                    <w:ind w:firstLine="567"/>
                    <w:jc w:val="both"/>
                    <w:outlineLvl w:val="1"/>
                    <w:rPr>
                      <w:bCs/>
                    </w:rPr>
                  </w:pPr>
                  <w:sdt>
                    <w:sdtPr>
                      <w:alias w:val="Numeris"/>
                      <w:tag w:val="nr_6cad3a09e13c450691342846b56779d1"/>
                      <w:lock w:val="sdtLocked"/>
                      <w:richText/>
                    </w:sdtPr>
                    <w:sdtContent>
                      <w:r>
                        <w:rPr>
                          <w:bCs/>
                        </w:rPr>
                        <w:t>2</w:t>
                      </w:r>
                    </w:sdtContent>
                  </w:sdt>
                  <w:r>
                    <w:rPr>
                      <w:bCs/>
                    </w:rPr>
                    <w:t>. Azoto dioksidas (NO</w:t>
                  </w:r>
                  <w:r>
                    <w:rPr>
                      <w:bCs/>
                      <w:vertAlign w:val="subscript"/>
                    </w:rPr>
                    <w:t>2</w:t>
                  </w:r>
                  <w:r>
                    <w:rPr>
                      <w:bCs/>
                    </w:rPr>
                    <w:t>) ir azoto oksidai (NO</w:t>
                  </w:r>
                  <w:r>
                    <w:rPr>
                      <w:bCs/>
                      <w:vertAlign w:val="subscript"/>
                    </w:rPr>
                    <w:t>x</w:t>
                  </w:r>
                  <w:r>
                    <w:rPr>
                      <w:bCs/>
                    </w:rPr>
                    <w:t>)</w:t>
                  </w:r>
                </w:p>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88"/>
                    <w:gridCol w:w="3600"/>
                    <w:gridCol w:w="2160"/>
                    <w:gridCol w:w="2340"/>
                  </w:tblGrid>
                  <w:tr>
                    <w:tc>
                      <w:tcPr>
                        <w:tcW w:w="1188" w:type="dxa"/>
                        <w:vAlign w:val="center"/>
                      </w:tcPr>
                      <w:p>
                        <w:pPr>
                          <w:rPr>
                            <w:sz w:val="22"/>
                          </w:rPr>
                        </w:pPr>
                      </w:p>
                    </w:tc>
                    <w:tc>
                      <w:tcPr>
                        <w:tcW w:w="3600" w:type="dxa"/>
                        <w:vAlign w:val="center"/>
                      </w:tcPr>
                      <w:p>
                        <w:pPr>
                          <w:jc w:val="center"/>
                          <w:rPr>
                            <w:sz w:val="22"/>
                          </w:rPr>
                        </w:pPr>
                        <w:r>
                          <w:rPr>
                            <w:sz w:val="22"/>
                          </w:rPr>
                          <w:t>NO</w:t>
                        </w:r>
                        <w:r>
                          <w:rPr>
                            <w:sz w:val="22"/>
                            <w:vertAlign w:val="subscript"/>
                          </w:rPr>
                          <w:t>2</w:t>
                        </w:r>
                        <w:r>
                          <w:rPr>
                            <w:sz w:val="22"/>
                          </w:rPr>
                          <w:t xml:space="preserve"> valandos ribinė vertė, nustatyta žmonių sveikatai apsaugoti </w:t>
                        </w:r>
                      </w:p>
                    </w:tc>
                    <w:tc>
                      <w:tcPr>
                        <w:tcW w:w="2160" w:type="dxa"/>
                        <w:vAlign w:val="center"/>
                      </w:tcPr>
                      <w:p>
                        <w:pPr>
                          <w:jc w:val="center"/>
                          <w:rPr>
                            <w:sz w:val="22"/>
                          </w:rPr>
                        </w:pPr>
                        <w:r>
                          <w:rPr>
                            <w:sz w:val="22"/>
                          </w:rPr>
                          <w:t>NO</w:t>
                        </w:r>
                        <w:r>
                          <w:rPr>
                            <w:sz w:val="22"/>
                            <w:vertAlign w:val="subscript"/>
                          </w:rPr>
                          <w:t>2</w:t>
                        </w:r>
                        <w:r>
                          <w:rPr>
                            <w:sz w:val="22"/>
                          </w:rPr>
                          <w:t xml:space="preserve"> metinė ribinė vertė, nustatyta žmonių sveikatos apsaugai</w:t>
                        </w:r>
                      </w:p>
                    </w:tc>
                    <w:tc>
                      <w:tcPr>
                        <w:tcW w:w="2340" w:type="dxa"/>
                        <w:vAlign w:val="center"/>
                      </w:tcPr>
                      <w:p>
                        <w:pPr>
                          <w:jc w:val="center"/>
                          <w:rPr>
                            <w:sz w:val="22"/>
                          </w:rPr>
                        </w:pPr>
                        <w:r>
                          <w:rPr>
                            <w:sz w:val="22"/>
                          </w:rPr>
                          <w:t>NO</w:t>
                        </w:r>
                        <w:r>
                          <w:rPr>
                            <w:sz w:val="22"/>
                            <w:vertAlign w:val="subscript"/>
                          </w:rPr>
                          <w:t>x</w:t>
                        </w:r>
                        <w:r>
                          <w:rPr>
                            <w:sz w:val="22"/>
                          </w:rPr>
                          <w:t xml:space="preserve"> metinis kritinis užterštumo lygis, nustatytas augmenijos ir natūralių ekosistemų apsaugai</w:t>
                        </w:r>
                      </w:p>
                    </w:tc>
                  </w:tr>
                  <w:tr>
                    <w:tc>
                      <w:tcPr>
                        <w:tcW w:w="1188" w:type="dxa"/>
                        <w:vAlign w:val="center"/>
                      </w:tcPr>
                      <w:p>
                        <w:pPr>
                          <w:jc w:val="center"/>
                          <w:rPr>
                            <w:sz w:val="22"/>
                          </w:rPr>
                        </w:pPr>
                        <w:r>
                          <w:rPr>
                            <w:sz w:val="22"/>
                          </w:rPr>
                          <w:t>Viršutinė vertinimo riba</w:t>
                        </w:r>
                      </w:p>
                    </w:tc>
                    <w:tc>
                      <w:tcPr>
                        <w:tcW w:w="3600" w:type="dxa"/>
                        <w:vAlign w:val="center"/>
                      </w:tcPr>
                      <w:p>
                        <w:pPr>
                          <w:rPr>
                            <w:sz w:val="22"/>
                          </w:rPr>
                        </w:pPr>
                        <w:r>
                          <w:rPr>
                            <w:sz w:val="22"/>
                          </w:rPr>
                          <w:t>70 % ribinės vertės (140 µg/m</w:t>
                        </w:r>
                        <w:r>
                          <w:rPr>
                            <w:sz w:val="22"/>
                            <w:vertAlign w:val="superscript"/>
                          </w:rPr>
                          <w:t>3</w:t>
                        </w:r>
                        <w:r>
                          <w:rPr>
                            <w:sz w:val="22"/>
                          </w:rPr>
                          <w:t xml:space="preserve">, negali būti viršyta daugiau kaip 18 kartų per bet kuriuos kalendorinius metus) </w:t>
                        </w:r>
                      </w:p>
                    </w:tc>
                    <w:tc>
                      <w:tcPr>
                        <w:tcW w:w="2160" w:type="dxa"/>
                        <w:vAlign w:val="center"/>
                      </w:tcPr>
                      <w:p>
                        <w:pPr>
                          <w:jc w:val="center"/>
                          <w:rPr>
                            <w:sz w:val="22"/>
                          </w:rPr>
                        </w:pPr>
                        <w:r>
                          <w:rPr>
                            <w:sz w:val="22"/>
                          </w:rPr>
                          <w:t xml:space="preserve">80 % ribinės vertės </w:t>
                        </w:r>
                      </w:p>
                      <w:p>
                        <w:pPr>
                          <w:jc w:val="center"/>
                          <w:rPr>
                            <w:sz w:val="22"/>
                          </w:rPr>
                        </w:pPr>
                        <w:r>
                          <w:rPr>
                            <w:sz w:val="22"/>
                          </w:rPr>
                          <w:t>(32 µg/m</w:t>
                        </w:r>
                        <w:r>
                          <w:rPr>
                            <w:sz w:val="22"/>
                            <w:vertAlign w:val="superscript"/>
                          </w:rPr>
                          <w:t>3</w:t>
                        </w:r>
                        <w:r>
                          <w:rPr>
                            <w:sz w:val="22"/>
                          </w:rPr>
                          <w:t>)</w:t>
                        </w:r>
                      </w:p>
                    </w:tc>
                    <w:tc>
                      <w:tcPr>
                        <w:tcW w:w="2340" w:type="dxa"/>
                        <w:vAlign w:val="center"/>
                      </w:tcPr>
                      <w:p>
                        <w:pPr>
                          <w:jc w:val="center"/>
                          <w:rPr>
                            <w:sz w:val="22"/>
                          </w:rPr>
                        </w:pPr>
                        <w:r>
                          <w:rPr>
                            <w:sz w:val="22"/>
                          </w:rPr>
                          <w:t>80 % kritinio lygio</w:t>
                        </w:r>
                      </w:p>
                      <w:p>
                        <w:pPr>
                          <w:jc w:val="center"/>
                          <w:rPr>
                            <w:sz w:val="22"/>
                          </w:rPr>
                        </w:pPr>
                        <w:r>
                          <w:rPr>
                            <w:sz w:val="22"/>
                          </w:rPr>
                          <w:t>(24 µg/m</w:t>
                        </w:r>
                        <w:r>
                          <w:rPr>
                            <w:sz w:val="22"/>
                            <w:vertAlign w:val="superscript"/>
                          </w:rPr>
                          <w:t>3</w:t>
                        </w:r>
                        <w:r>
                          <w:rPr>
                            <w:sz w:val="22"/>
                          </w:rPr>
                          <w:t>)</w:t>
                        </w:r>
                      </w:p>
                    </w:tc>
                  </w:tr>
                  <w:tr>
                    <w:tc>
                      <w:tcPr>
                        <w:tcW w:w="1188" w:type="dxa"/>
                        <w:vAlign w:val="center"/>
                      </w:tcPr>
                      <w:p>
                        <w:pPr>
                          <w:jc w:val="center"/>
                          <w:rPr>
                            <w:sz w:val="22"/>
                          </w:rPr>
                        </w:pPr>
                        <w:r>
                          <w:rPr>
                            <w:sz w:val="22"/>
                          </w:rPr>
                          <w:t>Žemutinė vertinimo riba</w:t>
                        </w:r>
                      </w:p>
                    </w:tc>
                    <w:tc>
                      <w:tcPr>
                        <w:tcW w:w="3600" w:type="dxa"/>
                        <w:vAlign w:val="center"/>
                      </w:tcPr>
                      <w:p>
                        <w:pPr>
                          <w:rPr>
                            <w:sz w:val="22"/>
                          </w:rPr>
                        </w:pPr>
                        <w:r>
                          <w:rPr>
                            <w:sz w:val="22"/>
                          </w:rPr>
                          <w:t>50 % ribinės vertės (100 µg/m</w:t>
                        </w:r>
                        <w:r>
                          <w:rPr>
                            <w:sz w:val="22"/>
                            <w:vertAlign w:val="superscript"/>
                          </w:rPr>
                          <w:t>3</w:t>
                        </w:r>
                        <w:r>
                          <w:rPr>
                            <w:sz w:val="22"/>
                          </w:rPr>
                          <w:t xml:space="preserve">, negali būti viršyta daugiau kaip 18 kartų per bet kuriuos kalendorinius metus) </w:t>
                        </w:r>
                      </w:p>
                    </w:tc>
                    <w:tc>
                      <w:tcPr>
                        <w:tcW w:w="2160" w:type="dxa"/>
                        <w:vAlign w:val="center"/>
                      </w:tcPr>
                      <w:p>
                        <w:pPr>
                          <w:jc w:val="center"/>
                          <w:rPr>
                            <w:sz w:val="22"/>
                          </w:rPr>
                        </w:pPr>
                        <w:r>
                          <w:rPr>
                            <w:sz w:val="22"/>
                          </w:rPr>
                          <w:t xml:space="preserve">65 % ribinės vertės </w:t>
                        </w:r>
                      </w:p>
                      <w:p>
                        <w:pPr>
                          <w:jc w:val="center"/>
                          <w:rPr>
                            <w:sz w:val="22"/>
                          </w:rPr>
                        </w:pPr>
                        <w:r>
                          <w:rPr>
                            <w:sz w:val="22"/>
                          </w:rPr>
                          <w:t>(26 µg/m</w:t>
                        </w:r>
                        <w:r>
                          <w:rPr>
                            <w:sz w:val="22"/>
                            <w:vertAlign w:val="superscript"/>
                          </w:rPr>
                          <w:t>3</w:t>
                        </w:r>
                        <w:r>
                          <w:rPr>
                            <w:sz w:val="22"/>
                          </w:rPr>
                          <w:t>)</w:t>
                        </w:r>
                      </w:p>
                    </w:tc>
                    <w:tc>
                      <w:tcPr>
                        <w:tcW w:w="2340" w:type="dxa"/>
                        <w:vAlign w:val="center"/>
                      </w:tcPr>
                      <w:p>
                        <w:pPr>
                          <w:jc w:val="center"/>
                          <w:rPr>
                            <w:sz w:val="22"/>
                          </w:rPr>
                        </w:pPr>
                        <w:r>
                          <w:rPr>
                            <w:sz w:val="22"/>
                          </w:rPr>
                          <w:t>65 % kritinio lygio</w:t>
                        </w:r>
                      </w:p>
                      <w:p>
                        <w:pPr>
                          <w:jc w:val="center"/>
                          <w:rPr>
                            <w:sz w:val="22"/>
                          </w:rPr>
                        </w:pPr>
                        <w:r>
                          <w:rPr>
                            <w:sz w:val="22"/>
                          </w:rPr>
                          <w:t>(19,5 µg/m</w:t>
                        </w:r>
                        <w:r>
                          <w:rPr>
                            <w:sz w:val="22"/>
                            <w:vertAlign w:val="superscript"/>
                          </w:rPr>
                          <w:t>3</w:t>
                        </w:r>
                        <w:r>
                          <w:rPr>
                            <w:sz w:val="22"/>
                          </w:rPr>
                          <w:t>)</w:t>
                        </w:r>
                      </w:p>
                    </w:tc>
                  </w:tr>
                </w:tbl>
                <w:p/>
              </w:sdtContent>
            </w:sdt>
            <w:sdt>
              <w:sdtPr>
                <w:alias w:val="2 pr. 3 p."/>
                <w:tag w:val="part_262d46942673431e979e490b3fbfccad"/>
                <w:lock w:val="sdtLocked"/>
                <w:richText/>
              </w:sdtPr>
              <w:sdtContent>
                <w:p>
                  <w:pPr>
                    <w:ind w:firstLine="567"/>
                    <w:jc w:val="both"/>
                  </w:pPr>
                  <w:sdt>
                    <w:sdtPr>
                      <w:alias w:val="Numeris"/>
                      <w:tag w:val="nr_262d46942673431e979e490b3fbfccad"/>
                      <w:lock w:val="sdtLocked"/>
                      <w:richText/>
                    </w:sdtPr>
                    <w:sdtContent>
                      <w:r>
                        <w:t>3</w:t>
                      </w:r>
                    </w:sdtContent>
                  </w:sdt>
                  <w:r>
                    <w:t>. Kietosios dalelės (KD</w:t>
                  </w:r>
                  <w:r>
                    <w:rPr>
                      <w:vertAlign w:val="subscript"/>
                    </w:rPr>
                    <w:t>10</w:t>
                  </w:r>
                  <w:r>
                    <w:t xml:space="preserve"> ir KD</w:t>
                  </w:r>
                  <w:r>
                    <w:rPr>
                      <w:vertAlign w:val="subscript"/>
                    </w:rPr>
                    <w:t>2,5</w:t>
                  </w:r>
                  <w:r>
                    <w:t>)</w:t>
                  </w:r>
                </w:p>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88"/>
                    <w:gridCol w:w="3600"/>
                    <w:gridCol w:w="2160"/>
                    <w:gridCol w:w="2340"/>
                  </w:tblGrid>
                  <w:tr>
                    <w:tc>
                      <w:tcPr>
                        <w:tcW w:w="1188" w:type="dxa"/>
                        <w:vAlign w:val="center"/>
                      </w:tcPr>
                      <w:p>
                        <w:pPr>
                          <w:jc w:val="center"/>
                          <w:rPr>
                            <w:sz w:val="22"/>
                          </w:rPr>
                        </w:pPr>
                      </w:p>
                    </w:tc>
                    <w:tc>
                      <w:tcPr>
                        <w:tcW w:w="3600" w:type="dxa"/>
                        <w:vAlign w:val="center"/>
                      </w:tcPr>
                      <w:p>
                        <w:pPr>
                          <w:jc w:val="center"/>
                          <w:rPr>
                            <w:sz w:val="22"/>
                          </w:rPr>
                        </w:pPr>
                        <w:r>
                          <w:rPr>
                            <w:sz w:val="22"/>
                          </w:rPr>
                          <w:t>KD</w:t>
                        </w:r>
                        <w:r>
                          <w:rPr>
                            <w:sz w:val="22"/>
                            <w:vertAlign w:val="subscript"/>
                          </w:rPr>
                          <w:t>10</w:t>
                        </w:r>
                        <w:r>
                          <w:rPr>
                            <w:sz w:val="22"/>
                          </w:rPr>
                          <w:t xml:space="preserve"> 24 valandų vidurkis</w:t>
                        </w:r>
                      </w:p>
                    </w:tc>
                    <w:tc>
                      <w:tcPr>
                        <w:tcW w:w="2160" w:type="dxa"/>
                        <w:vAlign w:val="center"/>
                      </w:tcPr>
                      <w:p>
                        <w:pPr>
                          <w:jc w:val="center"/>
                          <w:rPr>
                            <w:sz w:val="22"/>
                          </w:rPr>
                        </w:pPr>
                        <w:r>
                          <w:rPr>
                            <w:sz w:val="22"/>
                          </w:rPr>
                          <w:t>KD</w:t>
                        </w:r>
                        <w:r>
                          <w:rPr>
                            <w:sz w:val="22"/>
                            <w:vertAlign w:val="subscript"/>
                          </w:rPr>
                          <w:t>10</w:t>
                        </w:r>
                        <w:r>
                          <w:rPr>
                            <w:sz w:val="22"/>
                          </w:rPr>
                          <w:t xml:space="preserve"> metinis vidurkis</w:t>
                        </w:r>
                      </w:p>
                    </w:tc>
                    <w:tc>
                      <w:tcPr>
                        <w:tcW w:w="2340" w:type="dxa"/>
                        <w:vAlign w:val="center"/>
                      </w:tcPr>
                      <w:p>
                        <w:pPr>
                          <w:jc w:val="center"/>
                          <w:rPr>
                            <w:sz w:val="22"/>
                          </w:rPr>
                        </w:pPr>
                        <w:r>
                          <w:rPr>
                            <w:sz w:val="22"/>
                          </w:rPr>
                          <w:t>KD</w:t>
                        </w:r>
                        <w:r>
                          <w:rPr>
                            <w:sz w:val="22"/>
                            <w:vertAlign w:val="subscript"/>
                          </w:rPr>
                          <w:t xml:space="preserve">2,5 </w:t>
                        </w:r>
                        <w:r>
                          <w:rPr>
                            <w:sz w:val="22"/>
                          </w:rPr>
                          <w:t>metinis vidurkis</w:t>
                        </w:r>
                        <w:r>
                          <w:rPr>
                            <w:sz w:val="22"/>
                            <w:vertAlign w:val="superscript"/>
                          </w:rPr>
                          <w:t>1</w:t>
                        </w:r>
                      </w:p>
                    </w:tc>
                  </w:tr>
                  <w:tr>
                    <w:tc>
                      <w:tcPr>
                        <w:tcW w:w="1188" w:type="dxa"/>
                        <w:vAlign w:val="center"/>
                      </w:tcPr>
                      <w:p>
                        <w:pPr>
                          <w:jc w:val="center"/>
                          <w:rPr>
                            <w:sz w:val="22"/>
                          </w:rPr>
                        </w:pPr>
                        <w:r>
                          <w:rPr>
                            <w:sz w:val="22"/>
                          </w:rPr>
                          <w:t>Viršutinė vertinimo riba</w:t>
                        </w:r>
                      </w:p>
                    </w:tc>
                    <w:tc>
                      <w:tcPr>
                        <w:tcW w:w="3600" w:type="dxa"/>
                        <w:vAlign w:val="center"/>
                      </w:tcPr>
                      <w:p>
                        <w:pPr>
                          <w:rPr>
                            <w:sz w:val="22"/>
                          </w:rPr>
                        </w:pPr>
                        <w:r>
                          <w:rPr>
                            <w:sz w:val="22"/>
                          </w:rPr>
                          <w:t>70 % ribinės vertės (35 µg/m</w:t>
                        </w:r>
                        <w:r>
                          <w:rPr>
                            <w:sz w:val="22"/>
                            <w:vertAlign w:val="superscript"/>
                          </w:rPr>
                          <w:t>3</w:t>
                        </w:r>
                        <w:r>
                          <w:rPr>
                            <w:sz w:val="22"/>
                          </w:rPr>
                          <w:t xml:space="preserve"> negali būti viršyta daugiau kaip 35 kartus per kalendorinius metus) </w:t>
                        </w:r>
                      </w:p>
                    </w:tc>
                    <w:tc>
                      <w:tcPr>
                        <w:tcW w:w="2160" w:type="dxa"/>
                        <w:vAlign w:val="center"/>
                      </w:tcPr>
                      <w:p>
                        <w:pPr>
                          <w:jc w:val="center"/>
                          <w:rPr>
                            <w:sz w:val="22"/>
                          </w:rPr>
                        </w:pPr>
                        <w:r>
                          <w:rPr>
                            <w:sz w:val="22"/>
                          </w:rPr>
                          <w:t xml:space="preserve">70 % ribinės vertės </w:t>
                        </w:r>
                      </w:p>
                      <w:p>
                        <w:pPr>
                          <w:jc w:val="center"/>
                          <w:rPr>
                            <w:sz w:val="22"/>
                          </w:rPr>
                        </w:pPr>
                        <w:r>
                          <w:rPr>
                            <w:sz w:val="22"/>
                          </w:rPr>
                          <w:t>(28 µg/m</w:t>
                        </w:r>
                        <w:r>
                          <w:rPr>
                            <w:sz w:val="22"/>
                            <w:vertAlign w:val="superscript"/>
                          </w:rPr>
                          <w:t>3</w:t>
                        </w:r>
                        <w:r>
                          <w:rPr>
                            <w:sz w:val="22"/>
                          </w:rPr>
                          <w:t>)</w:t>
                        </w:r>
                      </w:p>
                    </w:tc>
                    <w:tc>
                      <w:tcPr>
                        <w:tcW w:w="2340" w:type="dxa"/>
                        <w:vAlign w:val="center"/>
                      </w:tcPr>
                      <w:p>
                        <w:pPr>
                          <w:jc w:val="center"/>
                          <w:rPr>
                            <w:sz w:val="22"/>
                          </w:rPr>
                        </w:pPr>
                        <w:r>
                          <w:rPr>
                            <w:sz w:val="22"/>
                          </w:rPr>
                          <w:t xml:space="preserve">70 % ribinės vertės </w:t>
                          <w:br/>
                          <w:t>(17 µg/m</w:t>
                        </w:r>
                        <w:r>
                          <w:rPr>
                            <w:sz w:val="22"/>
                            <w:vertAlign w:val="superscript"/>
                          </w:rPr>
                          <w:t>3</w:t>
                        </w:r>
                        <w:r>
                          <w:rPr>
                            <w:sz w:val="22"/>
                          </w:rPr>
                          <w:t>)</w:t>
                        </w:r>
                      </w:p>
                    </w:tc>
                  </w:tr>
                  <w:tr>
                    <w:tc>
                      <w:tcPr>
                        <w:tcW w:w="1188" w:type="dxa"/>
                        <w:vAlign w:val="center"/>
                      </w:tcPr>
                      <w:p>
                        <w:pPr>
                          <w:jc w:val="center"/>
                          <w:rPr>
                            <w:sz w:val="22"/>
                          </w:rPr>
                        </w:pPr>
                        <w:r>
                          <w:rPr>
                            <w:sz w:val="22"/>
                          </w:rPr>
                          <w:t>Žemutinė vertinimo riba</w:t>
                        </w:r>
                      </w:p>
                    </w:tc>
                    <w:tc>
                      <w:tcPr>
                        <w:tcW w:w="3600" w:type="dxa"/>
                        <w:vAlign w:val="center"/>
                      </w:tcPr>
                      <w:p>
                        <w:pPr>
                          <w:rPr>
                            <w:sz w:val="22"/>
                          </w:rPr>
                        </w:pPr>
                        <w:r>
                          <w:rPr>
                            <w:sz w:val="22"/>
                          </w:rPr>
                          <w:t>50 % ribinės vertės (25 µg/m</w:t>
                        </w:r>
                        <w:r>
                          <w:rPr>
                            <w:sz w:val="22"/>
                            <w:vertAlign w:val="superscript"/>
                          </w:rPr>
                          <w:t>3</w:t>
                        </w:r>
                        <w:r>
                          <w:rPr>
                            <w:sz w:val="22"/>
                          </w:rPr>
                          <w:t xml:space="preserve"> negali būti viršyta daugiau kaip 35 kartus per kalendorinius metus) </w:t>
                        </w:r>
                      </w:p>
                    </w:tc>
                    <w:tc>
                      <w:tcPr>
                        <w:tcW w:w="2160" w:type="dxa"/>
                        <w:vAlign w:val="center"/>
                      </w:tcPr>
                      <w:p>
                        <w:pPr>
                          <w:jc w:val="center"/>
                          <w:rPr>
                            <w:sz w:val="22"/>
                          </w:rPr>
                        </w:pPr>
                        <w:r>
                          <w:rPr>
                            <w:sz w:val="22"/>
                          </w:rPr>
                          <w:t xml:space="preserve">50 % ribinės vertės </w:t>
                        </w:r>
                      </w:p>
                      <w:p>
                        <w:pPr>
                          <w:jc w:val="center"/>
                          <w:rPr>
                            <w:sz w:val="22"/>
                          </w:rPr>
                        </w:pPr>
                        <w:r>
                          <w:rPr>
                            <w:sz w:val="22"/>
                          </w:rPr>
                          <w:t>(20 µg/m</w:t>
                        </w:r>
                        <w:r>
                          <w:rPr>
                            <w:sz w:val="22"/>
                            <w:vertAlign w:val="superscript"/>
                          </w:rPr>
                          <w:t>3</w:t>
                        </w:r>
                        <w:r>
                          <w:rPr>
                            <w:sz w:val="22"/>
                          </w:rPr>
                          <w:t>)</w:t>
                        </w:r>
                      </w:p>
                    </w:tc>
                    <w:tc>
                      <w:tcPr>
                        <w:tcW w:w="2340" w:type="dxa"/>
                        <w:vAlign w:val="center"/>
                      </w:tcPr>
                      <w:p>
                        <w:pPr>
                          <w:jc w:val="center"/>
                          <w:rPr>
                            <w:sz w:val="22"/>
                          </w:rPr>
                        </w:pPr>
                        <w:r>
                          <w:rPr>
                            <w:sz w:val="22"/>
                          </w:rPr>
                          <w:t xml:space="preserve">50 % ribinės vertės </w:t>
                          <w:br/>
                          <w:t>(12 µg/m</w:t>
                        </w:r>
                        <w:r>
                          <w:rPr>
                            <w:sz w:val="22"/>
                            <w:vertAlign w:val="superscript"/>
                          </w:rPr>
                          <w:t>3</w:t>
                        </w:r>
                        <w:r>
                          <w:rPr>
                            <w:sz w:val="22"/>
                          </w:rPr>
                          <w:t>)</w:t>
                        </w:r>
                      </w:p>
                    </w:tc>
                  </w:tr>
                  <w:tr>
                    <w:trPr>
                      <w:cantSplit/>
                    </w:trPr>
                    <w:tc>
                      <w:tcPr>
                        <w:tcW w:w="9288" w:type="dxa"/>
                        <w:gridSpan w:val="4"/>
                        <w:vAlign w:val="center"/>
                      </w:tcPr>
                      <w:p>
                        <w:pPr>
                          <w:jc w:val="both"/>
                          <w:rPr>
                            <w:sz w:val="22"/>
                          </w:rPr>
                        </w:pPr>
                        <w:r>
                          <w:rPr>
                            <w:sz w:val="22"/>
                            <w:vertAlign w:val="superscript"/>
                          </w:rPr>
                          <w:t>1</w:t>
                        </w:r>
                        <w:r>
                          <w:rPr>
                            <w:sz w:val="22"/>
                          </w:rPr>
                          <w:t xml:space="preserve"> Viršutinė ir žemutinė KD</w:t>
                        </w:r>
                        <w:r>
                          <w:rPr>
                            <w:sz w:val="22"/>
                            <w:vertAlign w:val="subscript"/>
                          </w:rPr>
                          <w:t>2,5</w:t>
                        </w:r>
                        <w:r>
                          <w:rPr>
                            <w:sz w:val="22"/>
                          </w:rPr>
                          <w:t xml:space="preserve"> vertinimo ribos netaikomos matavimams, kuriuos atliekant įvertinamas KD</w:t>
                        </w:r>
                        <w:r>
                          <w:rPr>
                            <w:sz w:val="22"/>
                            <w:vertAlign w:val="subscript"/>
                          </w:rPr>
                          <w:t>2,5</w:t>
                        </w:r>
                        <w:r>
                          <w:rPr>
                            <w:sz w:val="22"/>
                          </w:rPr>
                          <w:t xml:space="preserve"> poveikio sumažinimo uždavinio laikymasis siekiant apsaugoti žmonių sveikatą.</w:t>
                        </w:r>
                      </w:p>
                    </w:tc>
                  </w:tr>
                </w:tbl>
                <w:p>
                  <w:pPr>
                    <w:jc w:val="both"/>
                    <w:outlineLvl w:val="1"/>
                    <w:rPr>
                      <w:b/>
                      <w:bCs/>
                    </w:rPr>
                  </w:pPr>
                </w:p>
              </w:sdtContent>
            </w:sdt>
            <w:sdt>
              <w:sdtPr>
                <w:alias w:val="2 pr. 4 p."/>
                <w:tag w:val="part_3e45e3e6fc2d48da8e74b4a94c94fce7"/>
                <w:lock w:val="sdtLocked"/>
                <w:richText/>
              </w:sdtPr>
              <w:sdtContent>
                <w:p>
                  <w:pPr>
                    <w:ind w:firstLine="567"/>
                    <w:jc w:val="both"/>
                    <w:outlineLvl w:val="1"/>
                  </w:pPr>
                  <w:sdt>
                    <w:sdtPr>
                      <w:alias w:val="Numeris"/>
                      <w:tag w:val="nr_3e45e3e6fc2d48da8e74b4a94c94fce7"/>
                      <w:lock w:val="sdtLocked"/>
                      <w:richText/>
                    </w:sdtPr>
                    <w:sdtContent>
                      <w:r>
                        <w:t>4</w:t>
                      </w:r>
                    </w:sdtContent>
                  </w:sdt>
                  <w:r>
                    <w:t>. Švinas</w:t>
                  </w:r>
                </w:p>
                <w:p/>
                <w:tbl>
                  <w:tblPr>
                    <w:tblW w:w="9288"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000" w:firstRow="0" w:lastRow="0" w:firstColumn="0" w:lastColumn="0" w:noHBand="0" w:noVBand="0"/>
                  </w:tblPr>
                  <w:tblGrid>
                    <w:gridCol w:w="4248"/>
                    <w:gridCol w:w="5040"/>
                  </w:tblGrid>
                  <w:tr>
                    <w:tc>
                      <w:tcPr>
                        <w:tcW w:w="4248" w:type="dxa"/>
                      </w:tcPr>
                      <w:p>
                        <w:pPr>
                          <w:rPr>
                            <w:sz w:val="22"/>
                            <w:szCs w:val="22"/>
                          </w:rPr>
                        </w:pPr>
                      </w:p>
                    </w:tc>
                    <w:tc>
                      <w:tcPr>
                        <w:tcW w:w="5040" w:type="dxa"/>
                      </w:tcPr>
                      <w:p>
                        <w:pPr>
                          <w:jc w:val="center"/>
                          <w:rPr>
                            <w:sz w:val="22"/>
                            <w:szCs w:val="22"/>
                          </w:rPr>
                        </w:pPr>
                        <w:r>
                          <w:rPr>
                            <w:sz w:val="22"/>
                            <w:szCs w:val="22"/>
                          </w:rPr>
                          <w:t>Metinis vidurkis</w:t>
                        </w:r>
                      </w:p>
                    </w:tc>
                  </w:tr>
                  <w:tr>
                    <w:tc>
                      <w:tcPr>
                        <w:tcW w:w="4248" w:type="dxa"/>
                      </w:tcPr>
                      <w:p>
                        <w:pPr>
                          <w:jc w:val="center"/>
                          <w:rPr>
                            <w:sz w:val="22"/>
                            <w:szCs w:val="22"/>
                          </w:rPr>
                        </w:pPr>
                        <w:r>
                          <w:rPr>
                            <w:sz w:val="22"/>
                            <w:szCs w:val="22"/>
                          </w:rPr>
                          <w:t>Viršutinė vertinimo riba</w:t>
                        </w:r>
                      </w:p>
                    </w:tc>
                    <w:tc>
                      <w:tcPr>
                        <w:tcW w:w="5040" w:type="dxa"/>
                      </w:tcPr>
                      <w:p>
                        <w:pPr>
                          <w:jc w:val="center"/>
                          <w:rPr>
                            <w:sz w:val="22"/>
                            <w:szCs w:val="22"/>
                          </w:rPr>
                        </w:pPr>
                        <w:r>
                          <w:rPr>
                            <w:sz w:val="22"/>
                            <w:szCs w:val="22"/>
                          </w:rPr>
                          <w:t>70 % ribinės vertės (0,35 µg/m</w:t>
                        </w:r>
                        <w:r>
                          <w:rPr>
                            <w:sz w:val="22"/>
                            <w:szCs w:val="22"/>
                            <w:vertAlign w:val="superscript"/>
                          </w:rPr>
                          <w:t>3</w:t>
                        </w:r>
                        <w:r>
                          <w:rPr>
                            <w:sz w:val="22"/>
                            <w:szCs w:val="22"/>
                          </w:rPr>
                          <w:t>)</w:t>
                        </w:r>
                      </w:p>
                    </w:tc>
                  </w:tr>
                  <w:tr>
                    <w:tc>
                      <w:tcPr>
                        <w:tcW w:w="4248" w:type="dxa"/>
                      </w:tcPr>
                      <w:p>
                        <w:pPr>
                          <w:jc w:val="center"/>
                          <w:rPr>
                            <w:sz w:val="22"/>
                            <w:szCs w:val="22"/>
                          </w:rPr>
                        </w:pPr>
                        <w:r>
                          <w:rPr>
                            <w:sz w:val="22"/>
                            <w:szCs w:val="22"/>
                          </w:rPr>
                          <w:t>Žemutinė vertinimo riba</w:t>
                        </w:r>
                      </w:p>
                    </w:tc>
                    <w:tc>
                      <w:tcPr>
                        <w:tcW w:w="5040" w:type="dxa"/>
                      </w:tcPr>
                      <w:p>
                        <w:pPr>
                          <w:jc w:val="center"/>
                          <w:rPr>
                            <w:sz w:val="22"/>
                            <w:szCs w:val="22"/>
                          </w:rPr>
                        </w:pPr>
                        <w:r>
                          <w:rPr>
                            <w:sz w:val="22"/>
                            <w:szCs w:val="22"/>
                          </w:rPr>
                          <w:t>50 % ribinės vertės (0,25 µg/m</w:t>
                        </w:r>
                        <w:r>
                          <w:rPr>
                            <w:sz w:val="22"/>
                            <w:szCs w:val="22"/>
                            <w:vertAlign w:val="superscript"/>
                          </w:rPr>
                          <w:t>3</w:t>
                        </w:r>
                        <w:r>
                          <w:rPr>
                            <w:sz w:val="22"/>
                            <w:szCs w:val="22"/>
                          </w:rPr>
                          <w:t>)</w:t>
                        </w:r>
                      </w:p>
                    </w:tc>
                  </w:tr>
                </w:tbl>
                <w:p/>
              </w:sdtContent>
            </w:sdt>
            <w:sdt>
              <w:sdtPr>
                <w:alias w:val="2 pr. 5 p."/>
                <w:tag w:val="part_bb1bdd8a3f314d05a1550fc491ff55b5"/>
                <w:lock w:val="sdtLocked"/>
                <w:richText/>
              </w:sdtPr>
              <w:sdtContent>
                <w:p>
                  <w:pPr>
                    <w:ind w:firstLine="567"/>
                    <w:jc w:val="both"/>
                  </w:pPr>
                  <w:sdt>
                    <w:sdtPr>
                      <w:alias w:val="Numeris"/>
                      <w:tag w:val="nr_bb1bdd8a3f314d05a1550fc491ff55b5"/>
                      <w:lock w:val="sdtLocked"/>
                      <w:richText/>
                    </w:sdtPr>
                    <w:sdtContent>
                      <w:r>
                        <w:t>5</w:t>
                      </w:r>
                    </w:sdtContent>
                  </w:sdt>
                  <w:r>
                    <w:t>. Benzenas</w:t>
                  </w:r>
                </w:p>
                <w:p/>
                <w:tbl>
                  <w:tblPr>
                    <w:tblW w:w="9288"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000" w:firstRow="0" w:lastRow="0" w:firstColumn="0" w:lastColumn="0" w:noHBand="0" w:noVBand="0"/>
                  </w:tblPr>
                  <w:tblGrid>
                    <w:gridCol w:w="4248"/>
                    <w:gridCol w:w="5040"/>
                  </w:tblGrid>
                  <w:tr>
                    <w:tc>
                      <w:tcPr>
                        <w:tcW w:w="4248" w:type="dxa"/>
                      </w:tcPr>
                      <w:p>
                        <w:pPr>
                          <w:rPr>
                            <w:sz w:val="22"/>
                            <w:szCs w:val="22"/>
                          </w:rPr>
                        </w:pPr>
                      </w:p>
                    </w:tc>
                    <w:tc>
                      <w:tcPr>
                        <w:tcW w:w="5040" w:type="dxa"/>
                      </w:tcPr>
                      <w:p>
                        <w:pPr>
                          <w:jc w:val="center"/>
                          <w:rPr>
                            <w:sz w:val="22"/>
                            <w:szCs w:val="22"/>
                          </w:rPr>
                        </w:pPr>
                        <w:r>
                          <w:rPr>
                            <w:sz w:val="22"/>
                            <w:szCs w:val="22"/>
                          </w:rPr>
                          <w:t>Metinis vidurkis</w:t>
                        </w:r>
                      </w:p>
                    </w:tc>
                  </w:tr>
                  <w:tr>
                    <w:tc>
                      <w:tcPr>
                        <w:tcW w:w="4248" w:type="dxa"/>
                      </w:tcPr>
                      <w:p>
                        <w:pPr>
                          <w:jc w:val="center"/>
                          <w:rPr>
                            <w:sz w:val="22"/>
                            <w:szCs w:val="22"/>
                          </w:rPr>
                        </w:pPr>
                        <w:r>
                          <w:rPr>
                            <w:sz w:val="22"/>
                            <w:szCs w:val="22"/>
                          </w:rPr>
                          <w:t>Viršutinė vertinimo riba</w:t>
                        </w:r>
                      </w:p>
                    </w:tc>
                    <w:tc>
                      <w:tcPr>
                        <w:tcW w:w="5040" w:type="dxa"/>
                      </w:tcPr>
                      <w:p>
                        <w:pPr>
                          <w:jc w:val="center"/>
                          <w:rPr>
                            <w:sz w:val="22"/>
                            <w:szCs w:val="22"/>
                          </w:rPr>
                        </w:pPr>
                        <w:r>
                          <w:rPr>
                            <w:sz w:val="22"/>
                            <w:szCs w:val="22"/>
                          </w:rPr>
                          <w:t>70 % ribinės vertės (3,5 µg/m</w:t>
                        </w:r>
                        <w:r>
                          <w:rPr>
                            <w:sz w:val="22"/>
                            <w:szCs w:val="22"/>
                            <w:vertAlign w:val="superscript"/>
                          </w:rPr>
                          <w:t>3</w:t>
                        </w:r>
                        <w:r>
                          <w:rPr>
                            <w:sz w:val="22"/>
                            <w:szCs w:val="22"/>
                          </w:rPr>
                          <w:t>)</w:t>
                        </w:r>
                      </w:p>
                    </w:tc>
                  </w:tr>
                  <w:tr>
                    <w:tc>
                      <w:tcPr>
                        <w:tcW w:w="4248" w:type="dxa"/>
                      </w:tcPr>
                      <w:p>
                        <w:pPr>
                          <w:jc w:val="center"/>
                          <w:rPr>
                            <w:sz w:val="22"/>
                            <w:szCs w:val="22"/>
                          </w:rPr>
                        </w:pPr>
                        <w:r>
                          <w:rPr>
                            <w:sz w:val="22"/>
                            <w:szCs w:val="22"/>
                          </w:rPr>
                          <w:t>Žemutinė vertinimo riba</w:t>
                        </w:r>
                      </w:p>
                    </w:tc>
                    <w:tc>
                      <w:tcPr>
                        <w:tcW w:w="5040" w:type="dxa"/>
                      </w:tcPr>
                      <w:p>
                        <w:pPr>
                          <w:jc w:val="center"/>
                          <w:rPr>
                            <w:sz w:val="22"/>
                            <w:szCs w:val="22"/>
                          </w:rPr>
                        </w:pPr>
                        <w:r>
                          <w:rPr>
                            <w:sz w:val="22"/>
                            <w:szCs w:val="22"/>
                          </w:rPr>
                          <w:t>40 % ribinės vertės (2 µg/m</w:t>
                        </w:r>
                        <w:r>
                          <w:rPr>
                            <w:sz w:val="22"/>
                            <w:szCs w:val="22"/>
                            <w:vertAlign w:val="superscript"/>
                          </w:rPr>
                          <w:t>3</w:t>
                        </w:r>
                        <w:r>
                          <w:rPr>
                            <w:sz w:val="22"/>
                            <w:szCs w:val="22"/>
                          </w:rPr>
                          <w:t>)</w:t>
                        </w:r>
                      </w:p>
                    </w:tc>
                  </w:tr>
                </w:tbl>
                <w:p>
                  <w:pPr>
                    <w:outlineLvl w:val="1"/>
                  </w:pPr>
                </w:p>
              </w:sdtContent>
            </w:sdt>
            <w:sdt>
              <w:sdtPr>
                <w:alias w:val="2 pr. 6 p."/>
                <w:tag w:val="part_cb730b0eda64442e97a79e7b1350baa0"/>
                <w:lock w:val="sdtLocked"/>
                <w:richText/>
              </w:sdtPr>
              <w:sdtContent>
                <w:p>
                  <w:pPr>
                    <w:ind w:firstLine="567"/>
                    <w:jc w:val="both"/>
                    <w:outlineLvl w:val="1"/>
                  </w:pPr>
                  <w:sdt>
                    <w:sdtPr>
                      <w:alias w:val="Numeris"/>
                      <w:tag w:val="nr_cb730b0eda64442e97a79e7b1350baa0"/>
                      <w:lock w:val="sdtLocked"/>
                      <w:richText/>
                    </w:sdtPr>
                    <w:sdtContent>
                      <w:r>
                        <w:t>6</w:t>
                      </w:r>
                    </w:sdtContent>
                  </w:sdt>
                  <w:r>
                    <w:t>. Anglies monoksidas</w:t>
                  </w:r>
                </w:p>
                <w:p/>
                <w:tbl>
                  <w:tblPr>
                    <w:tblW w:w="9288"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000" w:firstRow="0" w:lastRow="0" w:firstColumn="0" w:lastColumn="0" w:noHBand="0" w:noVBand="0"/>
                  </w:tblPr>
                  <w:tblGrid>
                    <w:gridCol w:w="4248"/>
                    <w:gridCol w:w="5040"/>
                  </w:tblGrid>
                  <w:tr>
                    <w:tc>
                      <w:tcPr>
                        <w:tcW w:w="4248" w:type="dxa"/>
                      </w:tcPr>
                      <w:p>
                        <w:pPr>
                          <w:rPr>
                            <w:sz w:val="22"/>
                            <w:szCs w:val="22"/>
                          </w:rPr>
                        </w:pPr>
                      </w:p>
                    </w:tc>
                    <w:tc>
                      <w:tcPr>
                        <w:tcW w:w="5040" w:type="dxa"/>
                      </w:tcPr>
                      <w:p>
                        <w:pPr>
                          <w:jc w:val="center"/>
                          <w:rPr>
                            <w:sz w:val="22"/>
                            <w:szCs w:val="22"/>
                          </w:rPr>
                        </w:pPr>
                        <w:r>
                          <w:rPr>
                            <w:sz w:val="22"/>
                            <w:szCs w:val="22"/>
                          </w:rPr>
                          <w:t>Aštuonių valandų vidurkis</w:t>
                        </w:r>
                      </w:p>
                    </w:tc>
                  </w:tr>
                  <w:tr>
                    <w:tc>
                      <w:tcPr>
                        <w:tcW w:w="4248" w:type="dxa"/>
                      </w:tcPr>
                      <w:p>
                        <w:pPr>
                          <w:jc w:val="center"/>
                          <w:rPr>
                            <w:sz w:val="22"/>
                            <w:szCs w:val="22"/>
                          </w:rPr>
                        </w:pPr>
                        <w:r>
                          <w:rPr>
                            <w:sz w:val="22"/>
                            <w:szCs w:val="22"/>
                          </w:rPr>
                          <w:t>Viršutinė vertinimo riba</w:t>
                        </w:r>
                      </w:p>
                    </w:tc>
                    <w:tc>
                      <w:tcPr>
                        <w:tcW w:w="5040" w:type="dxa"/>
                      </w:tcPr>
                      <w:p>
                        <w:pPr>
                          <w:jc w:val="center"/>
                          <w:rPr>
                            <w:sz w:val="22"/>
                            <w:szCs w:val="22"/>
                          </w:rPr>
                        </w:pPr>
                        <w:r>
                          <w:rPr>
                            <w:sz w:val="22"/>
                            <w:szCs w:val="22"/>
                          </w:rPr>
                          <w:t>70 % ribinės vertės (7 mg/m</w:t>
                        </w:r>
                        <w:r>
                          <w:rPr>
                            <w:sz w:val="22"/>
                            <w:szCs w:val="22"/>
                            <w:vertAlign w:val="superscript"/>
                          </w:rPr>
                          <w:t>3</w:t>
                        </w:r>
                        <w:r>
                          <w:rPr>
                            <w:sz w:val="22"/>
                            <w:szCs w:val="22"/>
                          </w:rPr>
                          <w:t>)</w:t>
                        </w:r>
                      </w:p>
                    </w:tc>
                  </w:tr>
                  <w:tr>
                    <w:tc>
                      <w:tcPr>
                        <w:tcW w:w="4248" w:type="dxa"/>
                      </w:tcPr>
                      <w:p>
                        <w:pPr>
                          <w:jc w:val="center"/>
                          <w:rPr>
                            <w:sz w:val="22"/>
                            <w:szCs w:val="22"/>
                          </w:rPr>
                        </w:pPr>
                        <w:r>
                          <w:rPr>
                            <w:sz w:val="22"/>
                            <w:szCs w:val="22"/>
                          </w:rPr>
                          <w:t>Žemutinė vertinimo riba</w:t>
                        </w:r>
                      </w:p>
                    </w:tc>
                    <w:tc>
                      <w:tcPr>
                        <w:tcW w:w="5040" w:type="dxa"/>
                      </w:tcPr>
                      <w:p>
                        <w:pPr>
                          <w:jc w:val="center"/>
                          <w:rPr>
                            <w:sz w:val="22"/>
                            <w:szCs w:val="22"/>
                          </w:rPr>
                        </w:pPr>
                        <w:r>
                          <w:rPr>
                            <w:sz w:val="22"/>
                            <w:szCs w:val="22"/>
                          </w:rPr>
                          <w:t>50 % ribinės vertės (5 mg/m</w:t>
                        </w:r>
                        <w:r>
                          <w:rPr>
                            <w:sz w:val="22"/>
                            <w:szCs w:val="22"/>
                            <w:vertAlign w:val="superscript"/>
                          </w:rPr>
                          <w:t>3</w:t>
                        </w:r>
                        <w:r>
                          <w:rPr>
                            <w:sz w:val="22"/>
                            <w:szCs w:val="22"/>
                          </w:rPr>
                          <w:t>)</w:t>
                        </w:r>
                      </w:p>
                    </w:tc>
                  </w:tr>
                </w:tbl>
                <w:p>
                  <w:pPr>
                    <w:rPr>
                      <w:b/>
                      <w:bCs/>
                    </w:rPr>
                  </w:pPr>
                </w:p>
              </w:sdtContent>
            </w:sdt>
          </w:sdtContent>
        </w:sdt>
        <w:sdt>
          <w:sdtPr>
            <w:alias w:val="skyrius"/>
            <w:tag w:val="part_9f6d144ad9544de6b4aef7ecd4269dcb"/>
            <w:lock w:val="sdtLocked"/>
            <w:richText/>
          </w:sdtPr>
          <w:sdtContent>
            <w:p>
              <w:pPr>
                <w:jc w:val="center"/>
                <w:rPr>
                  <w:b/>
                  <w:bCs/>
                  <w:caps/>
                </w:rPr>
              </w:pPr>
              <w:sdt>
                <w:sdtPr>
                  <w:alias w:val="Numeris"/>
                  <w:tag w:val="nr_9f6d144ad9544de6b4aef7ecd4269dcb"/>
                  <w:lock w:val="sdtLocked"/>
                  <w:richText/>
                </w:sdtPr>
                <w:sdtContent>
                  <w:r>
                    <w:rPr>
                      <w:b/>
                      <w:bCs/>
                      <w:caps/>
                    </w:rPr>
                    <w:t>II</w:t>
                  </w:r>
                </w:sdtContent>
              </w:sdt>
              <w:r>
                <w:rPr>
                  <w:b/>
                  <w:bCs/>
                  <w:caps/>
                </w:rPr>
                <w:t xml:space="preserve">. </w:t>
              </w:r>
              <w:sdt>
                <w:sdtPr>
                  <w:alias w:val="Pavadinimas"/>
                  <w:tag w:val="title_9f6d144ad9544de6b4aef7ecd4269dcb"/>
                  <w:lock w:val="sdtLocked"/>
                  <w:richText/>
                </w:sdtPr>
                <w:sdtContent>
                  <w:r>
                    <w:rPr>
                      <w:b/>
                      <w:bCs/>
                      <w:caps/>
                    </w:rPr>
                    <w:t>Viršutinės ir žemutinės vertinimo ribos viršijimo nustatymas</w:t>
                  </w:r>
                </w:sdtContent>
              </w:sdt>
            </w:p>
            <w:p>
              <w:pPr>
                <w:rPr>
                  <w:rFonts w:eastAsia="Arial Unicode MS"/>
                </w:rPr>
              </w:pPr>
            </w:p>
            <w:sdt>
              <w:sdtPr>
                <w:alias w:val="2 pr. 7 p."/>
                <w:tag w:val="part_f5a5b5e7f51044119788ea5ecdc1cfee"/>
                <w:lock w:val="sdtLocked"/>
                <w:richText/>
              </w:sdtPr>
              <w:sdtContent>
                <w:p>
                  <w:pPr>
                    <w:ind w:firstLine="567"/>
                    <w:jc w:val="both"/>
                  </w:pPr>
                  <w:sdt>
                    <w:sdtPr>
                      <w:alias w:val="Numeris"/>
                      <w:tag w:val="nr_f5a5b5e7f51044119788ea5ecdc1cfee"/>
                      <w:lock w:val="sdtLocked"/>
                      <w:richText/>
                    </w:sdtPr>
                    <w:sdtContent>
                      <w:r>
                        <w:rPr>
                          <w:spacing w:val="-4"/>
                        </w:rPr>
                        <w:t>7</w:t>
                      </w:r>
                    </w:sdtContent>
                  </w:sdt>
                  <w:r>
                    <w:rPr>
                      <w:spacing w:val="-4"/>
                    </w:rPr>
                    <w:t xml:space="preserve">. Kiek viršijama viršutinė ar žemutinė vertinimo riba, nustatoma, jei yra pakankamai duomenų, </w:t>
                  </w:r>
                  <w:r>
                    <w:t>pagal ankstesnių penkerių metų koncentracijos lygius. Vertinimo riba laikoma viršyta tada, kai mažiausiai trejus atskirus metus iš tų ankstesnių penkerių metų ta riba buvo viršyta.</w:t>
                  </w:r>
                </w:p>
              </w:sdtContent>
            </w:sdt>
            <w:sdt>
              <w:sdtPr>
                <w:alias w:val="2 pr. 8 p."/>
                <w:tag w:val="part_b6232a16f31e46b1b0ccb03b097a7e96"/>
                <w:lock w:val="sdtLocked"/>
                <w:richText/>
              </w:sdtPr>
              <w:sdtContent>
                <w:p>
                  <w:pPr>
                    <w:ind w:firstLine="567"/>
                    <w:jc w:val="both"/>
                  </w:pPr>
                  <w:sdt>
                    <w:sdtPr>
                      <w:alias w:val="Numeris"/>
                      <w:tag w:val="nr_b6232a16f31e46b1b0ccb03b097a7e96"/>
                      <w:lock w:val="sdtLocked"/>
                      <w:richText/>
                    </w:sdtPr>
                    <w:sdtContent>
                      <w:r>
                        <w:t>8</w:t>
                      </w:r>
                    </w:sdtContent>
                  </w:sdt>
                  <w:r>
                    <w:t>. Siekiant nustatyti, kiek viršijama viršutinė ir žemutinė vertinimo riba, kai yra mažiau kaip penkerių metų duomenys, galima derinti vienerių metų trumpalaikių matavimų duomenis, gautus tose vietovėse, kurias galima laikyti tipinėmis pagal didžiausius taršos lygius, ir rezultatus, gautus pasinaudojus išmetamųjų teršalų apskaitos ir modeliavimo informacija.</w:t>
                  </w:r>
                </w:p>
                <w:p>
                  <w:pPr>
                    <w:jc w:val="both"/>
                  </w:pPr>
                </w:p>
              </w:sdtContent>
            </w:sdt>
          </w:sdtContent>
        </w:sdt>
        <w:sdt>
          <w:sdtPr>
            <w:alias w:val="pabaiga"/>
            <w:tag w:val="part_438c4bd0b7d2470896945f8f89885f30"/>
            <w:lock w:val="sdtLocked"/>
            <w:richText/>
          </w:sdtPr>
          <w:sdtContent>
            <w:p>
              <w:pPr>
                <w:jc w:val="center"/>
              </w:pPr>
              <w:r>
                <w:t>_________________</w:t>
              </w:r>
            </w:p>
          </w:sdtContent>
        </w:sdt>
      </w:sdtContent>
    </w:sdt>
    <w:sdt>
      <w:sdtPr>
        <w:alias w:val="3 pr."/>
        <w:tag w:val="part_805aa875da21483d8e60321c73dfaa34"/>
        <w:lock w:val="sdtLocked"/>
        <w:richText/>
      </w:sdtPr>
      <w:sdtContent>
        <w:p>
          <w:pPr>
            <w:ind w:firstLine="5102"/>
          </w:pPr>
          <w:r>
            <w:br w:type="page"/>
          </w:r>
        </w:p>
        <w:p>
          <w:pPr>
            <w:ind w:firstLine="5102"/>
          </w:pPr>
          <w:r>
            <w:t xml:space="preserve">Aplinkos oro kokybės vertinimo tvarkos </w:t>
          </w:r>
        </w:p>
        <w:p>
          <w:pPr>
            <w:ind w:firstLine="5102"/>
          </w:pPr>
          <w:r>
            <w:t xml:space="preserve">aprašo </w:t>
          </w:r>
        </w:p>
        <w:p>
          <w:pPr>
            <w:ind w:firstLine="5102"/>
          </w:pPr>
          <w:sdt>
            <w:sdtPr>
              <w:alias w:val="Numeris"/>
              <w:tag w:val="nr_805aa875da21483d8e60321c73dfaa34"/>
              <w:lock w:val="sdtLocked"/>
              <w:richText/>
            </w:sdtPr>
            <w:sdtContent>
              <w:r>
                <w:t>3</w:t>
              </w:r>
            </w:sdtContent>
          </w:sdt>
          <w:r>
            <w:t xml:space="preserve"> priedas</w:t>
          </w:r>
        </w:p>
        <w:p>
          <w:pPr>
            <w:ind w:firstLine="5102"/>
          </w:pPr>
        </w:p>
        <w:p>
          <w:pPr>
            <w:jc w:val="center"/>
            <w:outlineLvl w:val="1"/>
            <w:rPr>
              <w:b/>
            </w:rPr>
          </w:pPr>
          <w:sdt>
            <w:sdtPr>
              <w:alias w:val="Pavadinimas"/>
              <w:tag w:val="title_805aa875da21483d8e60321c73dfaa34"/>
              <w:lock w:val="sdtLocked"/>
              <w:richText/>
            </w:sdtPr>
            <w:sdtContent>
              <w:r>
                <w:rPr>
                  <w:b/>
                  <w:caps/>
                </w:rPr>
                <w:t>Aplinkos oro kokybės vertinimas ir aplinkos ore esančio sieros dioksido, azoto dioksido ir azoto oksidų, kietųjų dalelių, švino, benzeno ir anglies monoksido matavimų ėminių ėmimo vietų išdėstymas</w:t>
              </w:r>
            </w:sdtContent>
          </w:sdt>
        </w:p>
        <w:p>
          <w:pPr>
            <w:jc w:val="center"/>
          </w:pPr>
        </w:p>
        <w:sdt>
          <w:sdtPr>
            <w:alias w:val="skyrius"/>
            <w:tag w:val="part_27c1270d0b19402d9530b88f895bcb47"/>
            <w:lock w:val="sdtLocked"/>
            <w:richText/>
          </w:sdtPr>
          <w:sdtContent>
            <w:p>
              <w:pPr>
                <w:jc w:val="center"/>
                <w:outlineLvl w:val="1"/>
                <w:rPr>
                  <w:b/>
                  <w:bCs/>
                  <w:caps/>
                </w:rPr>
              </w:pPr>
              <w:sdt>
                <w:sdtPr>
                  <w:alias w:val="Numeris"/>
                  <w:tag w:val="nr_27c1270d0b19402d9530b88f895bcb47"/>
                  <w:lock w:val="sdtLocked"/>
                  <w:richText/>
                </w:sdtPr>
                <w:sdtContent>
                  <w:r>
                    <w:rPr>
                      <w:b/>
                      <w:bCs/>
                      <w:caps/>
                    </w:rPr>
                    <w:t>I</w:t>
                  </w:r>
                </w:sdtContent>
              </w:sdt>
              <w:r>
                <w:rPr>
                  <w:b/>
                  <w:bCs/>
                  <w:caps/>
                </w:rPr>
                <w:t xml:space="preserve">. </w:t>
              </w:r>
              <w:sdt>
                <w:sdtPr>
                  <w:alias w:val="Pavadinimas"/>
                  <w:tag w:val="title_27c1270d0b19402d9530b88f895bcb47"/>
                  <w:lock w:val="sdtLocked"/>
                  <w:richText/>
                </w:sdtPr>
                <w:sdtContent>
                  <w:r>
                    <w:rPr>
                      <w:b/>
                      <w:bCs/>
                      <w:caps/>
                    </w:rPr>
                    <w:t>Bendrieji reikalavimai</w:t>
                  </w:r>
                </w:sdtContent>
              </w:sdt>
            </w:p>
            <w:p/>
            <w:sdt>
              <w:sdtPr>
                <w:alias w:val="3 pr. 1 p."/>
                <w:tag w:val="part_634c27cddc434d67a016a55f05f5a3ff"/>
                <w:lock w:val="sdtLocked"/>
                <w:richText/>
              </w:sdtPr>
              <w:sdtContent>
                <w:p>
                  <w:pPr>
                    <w:ind w:firstLine="567"/>
                    <w:jc w:val="both"/>
                  </w:pPr>
                  <w:sdt>
                    <w:sdtPr>
                      <w:alias w:val="Numeris"/>
                      <w:tag w:val="nr_634c27cddc434d67a016a55f05f5a3ff"/>
                      <w:lock w:val="sdtLocked"/>
                      <w:richText/>
                    </w:sdtPr>
                    <w:sdtContent>
                      <w:r>
                        <w:t>1</w:t>
                      </w:r>
                    </w:sdtContent>
                  </w:sdt>
                  <w:r>
                    <w:t>. Aplinkos oro kokybė visose zonose ir aglomeracijose vertinama laikantis šių kriterijų:</w:t>
                  </w:r>
                </w:p>
                <w:sdt>
                  <w:sdtPr>
                    <w:alias w:val="3 pr. 1.1 p."/>
                    <w:tag w:val="part_55d41b9480c740ed90552081d70343c8"/>
                    <w:lock w:val="sdtLocked"/>
                    <w:richText/>
                  </w:sdtPr>
                  <w:sdtContent>
                    <w:p>
                      <w:pPr>
                        <w:ind w:firstLine="567"/>
                        <w:jc w:val="both"/>
                        <w:rPr>
                          <w:i/>
                          <w:iCs/>
                        </w:rPr>
                      </w:pPr>
                      <w:sdt>
                        <w:sdtPr>
                          <w:alias w:val="Numeris"/>
                          <w:tag w:val="nr_55d41b9480c740ed90552081d70343c8"/>
                          <w:lock w:val="sdtLocked"/>
                          <w:richText/>
                        </w:sdtPr>
                        <w:sdtContent>
                          <w:r>
                            <w:t>1.1</w:t>
                          </w:r>
                        </w:sdtContent>
                      </w:sdt>
                      <w:r>
                        <w:t>. vertinama visose vietose, išskyrus šio priedo 1.2 punkte išvardytas vietas, laikantis II ir III šio priedo skyriuose nustatytų kriterijų, taikomų fiksuotų matavimų ėminių ėmimo vietoms. Šio priedo II ir III skyriuose nustatyti principai taip pat turi būti taikomi tiek, kiek jie yra susiję su konkrečių vietų, kuriose yra nustatyta atitinkamų teršalų koncentracija, nustatymu, kai aplinkos oro kokybė vertinama taikant indikatorinius matavimus arba modeliavimą.</w:t>
                      </w:r>
                    </w:p>
                  </w:sdtContent>
                </w:sdt>
                <w:sdt>
                  <w:sdtPr>
                    <w:alias w:val="3 pr. 1.2 p."/>
                    <w:tag w:val="part_b02ede2c3deb48468f11ee08501e05ef"/>
                    <w:lock w:val="sdtLocked"/>
                    <w:richText/>
                  </w:sdtPr>
                  <w:sdtContent>
                    <w:p>
                      <w:pPr>
                        <w:ind w:firstLine="567"/>
                        <w:jc w:val="both"/>
                      </w:pPr>
                      <w:sdt>
                        <w:sdtPr>
                          <w:alias w:val="Numeris"/>
                          <w:tag w:val="nr_b02ede2c3deb48468f11ee08501e05ef"/>
                          <w:lock w:val="sdtLocked"/>
                          <w:richText/>
                        </w:sdtPr>
                        <w:sdtContent>
                          <w:r>
                            <w:t>1.2</w:t>
                          </w:r>
                        </w:sdtContent>
                      </w:sdt>
                      <w:r>
                        <w:t>. Ribinių verčių laikymasis siekiant apsaugoti žmonių sveikatą nevertinamas šiose vietose:</w:t>
                      </w:r>
                    </w:p>
                    <w:sdt>
                      <w:sdtPr>
                        <w:alias w:val="3 pr. 1.2.1 p."/>
                        <w:tag w:val="part_67b4be72f2fe40a38883fc766fce7901"/>
                        <w:lock w:val="sdtLocked"/>
                        <w:richText/>
                      </w:sdtPr>
                      <w:sdtContent>
                        <w:p>
                          <w:pPr>
                            <w:ind w:firstLine="567"/>
                            <w:jc w:val="both"/>
                          </w:pPr>
                          <w:sdt>
                            <w:sdtPr>
                              <w:alias w:val="Numeris"/>
                              <w:tag w:val="nr_67b4be72f2fe40a38883fc766fce7901"/>
                              <w:lock w:val="sdtLocked"/>
                              <w:richText/>
                            </w:sdtPr>
                            <w:sdtContent>
                              <w:r>
                                <w:t>1.2.1</w:t>
                              </w:r>
                            </w:sdtContent>
                          </w:sdt>
                          <w:r>
                            <w:t>. vietose, esančiose teritorijose, į kurias visuomenė negali patekti ir kuriose nėra nuolatinių gyvenamųjų patalpų;</w:t>
                          </w:r>
                        </w:p>
                      </w:sdtContent>
                    </w:sdt>
                    <w:sdt>
                      <w:sdtPr>
                        <w:alias w:val="3 pr. 1.2.2 p."/>
                        <w:tag w:val="part_88eaa6af97454a3cacea3a5d2a7e8bc2"/>
                        <w:lock w:val="sdtLocked"/>
                        <w:richText/>
                      </w:sdtPr>
                      <w:sdtContent>
                        <w:p>
                          <w:pPr>
                            <w:ind w:firstLine="567"/>
                            <w:jc w:val="both"/>
                          </w:pPr>
                          <w:sdt>
                            <w:sdtPr>
                              <w:alias w:val="Numeris"/>
                              <w:tag w:val="nr_88eaa6af97454a3cacea3a5d2a7e8bc2"/>
                              <w:lock w:val="sdtLocked"/>
                              <w:richText/>
                            </w:sdtPr>
                            <w:sdtContent>
                              <w:r>
                                <w:t>1.2.2</w:t>
                              </w:r>
                            </w:sdtContent>
                          </w:sdt>
                          <w:r>
                            <w:t>. vietose, kurioms netaikomas Tvarkos aprašo 2 punkto antrosios dalies apibrėžimas, ir kuriose taikomos sveikatos ir saugos darbo vietoje nuostatos;</w:t>
                          </w:r>
                        </w:p>
                      </w:sdtContent>
                    </w:sdt>
                    <w:sdt>
                      <w:sdtPr>
                        <w:alias w:val="3 pr. 1.2.3 p."/>
                        <w:tag w:val="part_ae9c1e4c3b8e4b5f9784b5ebed984741"/>
                        <w:lock w:val="sdtLocked"/>
                        <w:richText/>
                      </w:sdtPr>
                      <w:sdtContent>
                        <w:p>
                          <w:pPr>
                            <w:ind w:firstLine="567"/>
                            <w:jc w:val="both"/>
                          </w:pPr>
                          <w:sdt>
                            <w:sdtPr>
                              <w:alias w:val="Numeris"/>
                              <w:tag w:val="nr_ae9c1e4c3b8e4b5f9784b5ebed984741"/>
                              <w:lock w:val="sdtLocked"/>
                              <w:richText/>
                            </w:sdtPr>
                            <w:sdtContent>
                              <w:r>
                                <w:t>1.2.3</w:t>
                              </w:r>
                            </w:sdtContent>
                          </w:sdt>
                          <w:r>
                            <w:t>. važiuojamojoje kelio dalyje ir kelių skiriamojoje juostoje, išskyrus juostas, kuriose paprastai yra pėsčiųjų takai.</w:t>
                          </w:r>
                        </w:p>
                        <w:p>
                          <w:pPr>
                            <w:ind w:firstLine="567"/>
                            <w:jc w:val="both"/>
                            <w:outlineLvl w:val="1"/>
                            <w:rPr>
                              <w:b/>
                              <w:bCs/>
                            </w:rPr>
                          </w:pPr>
                        </w:p>
                      </w:sdtContent>
                    </w:sdt>
                  </w:sdtContent>
                </w:sdt>
              </w:sdtContent>
            </w:sdt>
          </w:sdtContent>
        </w:sdt>
        <w:sdt>
          <w:sdtPr>
            <w:alias w:val="skyrius"/>
            <w:tag w:val="part_def773d817a84b07a5b7217bb215131b"/>
            <w:lock w:val="sdtLocked"/>
            <w:richText/>
          </w:sdtPr>
          <w:sdtContent>
            <w:p>
              <w:pPr>
                <w:jc w:val="center"/>
                <w:outlineLvl w:val="1"/>
                <w:rPr>
                  <w:b/>
                  <w:bCs/>
                  <w:caps/>
                </w:rPr>
              </w:pPr>
              <w:sdt>
                <w:sdtPr>
                  <w:alias w:val="Numeris"/>
                  <w:tag w:val="nr_def773d817a84b07a5b7217bb215131b"/>
                  <w:lock w:val="sdtLocked"/>
                  <w:richText/>
                </w:sdtPr>
                <w:sdtContent>
                  <w:r>
                    <w:rPr>
                      <w:b/>
                      <w:bCs/>
                      <w:caps/>
                    </w:rPr>
                    <w:t>II</w:t>
                  </w:r>
                </w:sdtContent>
              </w:sdt>
              <w:r>
                <w:rPr>
                  <w:b/>
                  <w:bCs/>
                  <w:caps/>
                </w:rPr>
                <w:t xml:space="preserve">. </w:t>
              </w:r>
              <w:sdt>
                <w:sdtPr>
                  <w:alias w:val="Pavadinimas"/>
                  <w:tag w:val="title_def773d817a84b07a5b7217bb215131b"/>
                  <w:lock w:val="sdtLocked"/>
                  <w:richText/>
                </w:sdtPr>
                <w:sdtContent>
                  <w:r>
                    <w:rPr>
                      <w:b/>
                      <w:bCs/>
                      <w:caps/>
                    </w:rPr>
                    <w:t>Ėminių ėmimo vietų išdėstymas makroskalėje</w:t>
                  </w:r>
                </w:sdtContent>
              </w:sdt>
            </w:p>
            <w:p>
              <w:pPr>
                <w:ind w:firstLine="567"/>
                <w:jc w:val="both"/>
              </w:pPr>
            </w:p>
            <w:sdt>
              <w:sdtPr>
                <w:alias w:val="3 pr. 2 p."/>
                <w:tag w:val="part_ad1e92564873453a81ea5827c3887c6b"/>
                <w:lock w:val="sdtLocked"/>
                <w:richText/>
              </w:sdtPr>
              <w:sdtContent>
                <w:p>
                  <w:pPr>
                    <w:ind w:firstLine="567"/>
                    <w:jc w:val="both"/>
                  </w:pPr>
                  <w:sdt>
                    <w:sdtPr>
                      <w:alias w:val="Numeris"/>
                      <w:tag w:val="nr_ad1e92564873453a81ea5827c3887c6b"/>
                      <w:lock w:val="sdtLocked"/>
                      <w:richText/>
                    </w:sdtPr>
                    <w:sdtContent>
                      <w:r>
                        <w:t>2</w:t>
                      </w:r>
                    </w:sdtContent>
                  </w:sdt>
                  <w:r>
                    <w:t xml:space="preserve">. </w:t>
                  </w:r>
                  <w:r>
                    <w:rPr>
                      <w:bCs/>
                    </w:rPr>
                    <w:t>Ėminių ėmimo vietų išdėstymas makroskalėje</w:t>
                  </w:r>
                  <w:r>
                    <w:t xml:space="preserve"> žmonių sveikatos apsaugai:</w:t>
                  </w:r>
                </w:p>
                <w:sdt>
                  <w:sdtPr>
                    <w:alias w:val="3 pr. 2.1 p."/>
                    <w:tag w:val="part_6e4e68aaf56b4553ab9de71f22f797ee"/>
                    <w:lock w:val="sdtLocked"/>
                    <w:richText/>
                  </w:sdtPr>
                  <w:sdtContent>
                    <w:p>
                      <w:pPr>
                        <w:ind w:firstLine="567"/>
                        <w:jc w:val="both"/>
                      </w:pPr>
                      <w:sdt>
                        <w:sdtPr>
                          <w:alias w:val="Numeris"/>
                          <w:tag w:val="nr_6e4e68aaf56b4553ab9de71f22f797ee"/>
                          <w:lock w:val="sdtLocked"/>
                          <w:richText/>
                        </w:sdtPr>
                        <w:sdtContent>
                          <w:r>
                            <w:t>2.1</w:t>
                          </w:r>
                        </w:sdtContent>
                      </w:sdt>
                      <w:r>
                        <w:t>. ėminių ėmimo vietos išdėstomos taip, kad jose būtų galima gauti duomenis apie:</w:t>
                      </w:r>
                    </w:p>
                    <w:sdt>
                      <w:sdtPr>
                        <w:alias w:val="3 pr. 2.1.1 p."/>
                        <w:tag w:val="part_20fa238e080141a091cf26925cd77c9b"/>
                        <w:lock w:val="sdtLocked"/>
                        <w:richText/>
                      </w:sdtPr>
                      <w:sdtContent>
                        <w:p>
                          <w:pPr>
                            <w:ind w:firstLine="567"/>
                            <w:jc w:val="both"/>
                          </w:pPr>
                          <w:sdt>
                            <w:sdtPr>
                              <w:alias w:val="Numeris"/>
                              <w:tag w:val="nr_20fa238e080141a091cf26925cd77c9b"/>
                              <w:lock w:val="sdtLocked"/>
                              <w:richText/>
                            </w:sdtPr>
                            <w:sdtContent>
                              <w:r>
                                <w:t>2.1.1</w:t>
                              </w:r>
                            </w:sdtContent>
                          </w:sdt>
                          <w:r>
                            <w:t>. zonose ir aglomeracijose esančias teritorijas, kuriose yra didžiausia teršalų koncentracija, galinti daryti tiesioginį arba netiesioginį poveikį gyventojams ilgesnį laiką nei ribinės vertės (-čių) vidurkinimo laikotarpis;</w:t>
                          </w:r>
                        </w:p>
                      </w:sdtContent>
                    </w:sdt>
                    <w:sdt>
                      <w:sdtPr>
                        <w:alias w:val="3 pr. 2.1.2 p."/>
                        <w:tag w:val="part_78ecf927792344d4af12e9bdf0cc2246"/>
                        <w:lock w:val="sdtLocked"/>
                        <w:richText/>
                      </w:sdtPr>
                      <w:sdtContent>
                        <w:p>
                          <w:pPr>
                            <w:ind w:firstLine="567"/>
                            <w:jc w:val="both"/>
                          </w:pPr>
                          <w:sdt>
                            <w:sdtPr>
                              <w:alias w:val="Numeris"/>
                              <w:tag w:val="nr_78ecf927792344d4af12e9bdf0cc2246"/>
                              <w:lock w:val="sdtLocked"/>
                              <w:richText/>
                            </w:sdtPr>
                            <w:sdtContent>
                              <w:r>
                                <w:t>2.1.2</w:t>
                              </w:r>
                            </w:sdtContent>
                          </w:sdt>
                          <w:r>
                            <w:t>. užterštumo lygį kitose zonų ir aglomeracijų teritorijose, kurios yra laikomos tipinėmis pagal poveikį visiems gyventojams;</w:t>
                          </w:r>
                        </w:p>
                      </w:sdtContent>
                    </w:sdt>
                  </w:sdtContent>
                </w:sdt>
                <w:sdt>
                  <w:sdtPr>
                    <w:alias w:val="3 pr. 2.2 p."/>
                    <w:tag w:val="part_b04bad84a2b94986a75d5a5699adf3bf"/>
                    <w:lock w:val="sdtLocked"/>
                    <w:richText/>
                  </w:sdtPr>
                  <w:sdtContent>
                    <w:p>
                      <w:pPr>
                        <w:ind w:firstLine="567"/>
                        <w:jc w:val="both"/>
                      </w:pPr>
                      <w:sdt>
                        <w:sdtPr>
                          <w:alias w:val="Numeris"/>
                          <w:tag w:val="nr_b04bad84a2b94986a75d5a5699adf3bf"/>
                          <w:lock w:val="sdtLocked"/>
                          <w:richText/>
                        </w:sdtPr>
                        <w:sdtContent>
                          <w:r>
                            <w:t>2.2</w:t>
                          </w:r>
                        </w:sdtContent>
                      </w:sdt>
                      <w:r>
                        <w:t>. ėminių ėmimo vietos paprastai išdėstomos taip, kad būtų išvengta matavimų tokių vietų kaimynystėje esančios labai mažos mikroaplinkos. Rekomenduojama, kiek tai įmanoma, ėminių ėmimo vietą įrengti taip, kad imami oro mėginiai būtų tipiniai ne mažesnėje kaip 100 m ilgio gatvės atkarpoje intensyvaus eismo vietų atveju ir bent 250 m x 250 m plote pramoninėse vietose;</w:t>
                      </w:r>
                    </w:p>
                  </w:sdtContent>
                </w:sdt>
                <w:sdt>
                  <w:sdtPr>
                    <w:alias w:val="3 pr. 2.3 p."/>
                    <w:tag w:val="part_f606a7e9b91940d49fd5d58e484b5cb6"/>
                    <w:lock w:val="sdtLocked"/>
                    <w:richText/>
                  </w:sdtPr>
                  <w:sdtContent>
                    <w:p>
                      <w:pPr>
                        <w:ind w:firstLine="567"/>
                        <w:jc w:val="both"/>
                      </w:pPr>
                      <w:sdt>
                        <w:sdtPr>
                          <w:alias w:val="Numeris"/>
                          <w:tag w:val="nr_f606a7e9b91940d49fd5d58e484b5cb6"/>
                          <w:lock w:val="sdtLocked"/>
                          <w:richText/>
                        </w:sdtPr>
                        <w:sdtContent>
                          <w:r>
                            <w:t>2.3</w:t>
                          </w:r>
                        </w:sdtContent>
                      </w:sdt>
                      <w:r>
                        <w:t>. ėminių ėmimo vietos foninėse miesto vietovėse išdėstomos taip, kad užterštumo lygį lemtų bendra visų prieš vėją stoties atžvilgiu esančių šaltinių tarša. Užterštumo lygio neturėtų veikti vienintelis taršos šaltinis, nebent tokia situacija yra tipinė didesnei miesto teritorijai. Paprastai tokios ėminių ėmimo vietos turi būti tipinės keliems kvadratiniams kilometrams;</w:t>
                      </w:r>
                    </w:p>
                  </w:sdtContent>
                </w:sdt>
                <w:sdt>
                  <w:sdtPr>
                    <w:alias w:val="3 pr. 2.4 p."/>
                    <w:tag w:val="part_4be77344d72245b3bb3811210258fe8e"/>
                    <w:lock w:val="sdtLocked"/>
                    <w:richText/>
                  </w:sdtPr>
                  <w:sdtContent>
                    <w:p>
                      <w:pPr>
                        <w:ind w:firstLine="567"/>
                        <w:jc w:val="both"/>
                      </w:pPr>
                      <w:sdt>
                        <w:sdtPr>
                          <w:alias w:val="Numeris"/>
                          <w:tag w:val="nr_4be77344d72245b3bb3811210258fe8e"/>
                          <w:lock w:val="sdtLocked"/>
                          <w:richText/>
                        </w:sdtPr>
                        <w:sdtContent>
                          <w:r>
                            <w:t>2.4</w:t>
                          </w:r>
                        </w:sdtContent>
                      </w:sdt>
                      <w:r>
                        <w:t>. kai siekiama įvertinti kaimo foninį užterštumo lygį, ėminių ėmimo vietai negali daryti įtakos jos kaimynystėje esančios aglomeracijos arba pramoniniai objektai, t. y. objektai, esantys arčiau kaip už penkių kilometrų;</w:t>
                      </w:r>
                    </w:p>
                  </w:sdtContent>
                </w:sdt>
                <w:sdt>
                  <w:sdtPr>
                    <w:alias w:val="3 pr. 2.5 p."/>
                    <w:tag w:val="part_bce24009a56f4b9c89114cb7a1100b18"/>
                    <w:lock w:val="sdtLocked"/>
                    <w:richText/>
                  </w:sdtPr>
                  <w:sdtContent>
                    <w:p>
                      <w:pPr>
                        <w:ind w:firstLine="567"/>
                        <w:jc w:val="both"/>
                      </w:pPr>
                      <w:sdt>
                        <w:sdtPr>
                          <w:alias w:val="Numeris"/>
                          <w:tag w:val="nr_bce24009a56f4b9c89114cb7a1100b18"/>
                          <w:lock w:val="sdtLocked"/>
                          <w:richText/>
                        </w:sdtPr>
                        <w:sdtContent>
                          <w:r>
                            <w:t>2.5</w:t>
                          </w:r>
                        </w:sdtContent>
                      </w:sdt>
                      <w:r>
                        <w:t>. vertinant pramoninių taršos šaltinių poveikį, mažiausiai viena ėminių ėmimo vieta įrengiama pavėjui nuo šaltinio artimiausiame gyvenamajame rajone. Kai foninė koncentracija nežinoma, papildoma ėminių ėmimo vieta įrengiama priešvėjinėje pusėje pagal vyraujančią vėjo kryptį;</w:t>
                      </w:r>
                    </w:p>
                  </w:sdtContent>
                </w:sdt>
                <w:sdt>
                  <w:sdtPr>
                    <w:alias w:val="3 pr. 2.6 p."/>
                    <w:tag w:val="part_56b6ef9f8e884c2faf72bec8c263c24d"/>
                    <w:lock w:val="sdtLocked"/>
                    <w:richText/>
                  </w:sdtPr>
                  <w:sdtContent>
                    <w:p>
                      <w:pPr>
                        <w:ind w:firstLine="567"/>
                        <w:jc w:val="both"/>
                      </w:pPr>
                      <w:sdt>
                        <w:sdtPr>
                          <w:alias w:val="Numeris"/>
                          <w:tag w:val="nr_56b6ef9f8e884c2faf72bec8c263c24d"/>
                          <w:lock w:val="sdtLocked"/>
                          <w:richText/>
                        </w:sdtPr>
                        <w:sdtContent>
                          <w:r>
                            <w:t>2.6</w:t>
                          </w:r>
                        </w:sdtContent>
                      </w:sdt>
                      <w:r>
                        <w:t xml:space="preserve">. jei įmanoma, ėminių ėmimo vietos turi būti tipinės panašioms vietovėms, neesančioms artimiausioje kaimynystėje; </w:t>
                      </w:r>
                    </w:p>
                  </w:sdtContent>
                </w:sdt>
                <w:sdt>
                  <w:sdtPr>
                    <w:alias w:val="3 pr. 2.7 p."/>
                    <w:tag w:val="part_df7b78bb1b07409182d147d5f8f95bda"/>
                    <w:lock w:val="sdtLocked"/>
                    <w:richText/>
                  </w:sdtPr>
                  <w:sdtContent>
                    <w:p>
                      <w:pPr>
                        <w:ind w:firstLine="567"/>
                        <w:jc w:val="both"/>
                      </w:pPr>
                      <w:sdt>
                        <w:sdtPr>
                          <w:alias w:val="Numeris"/>
                          <w:tag w:val="nr_df7b78bb1b07409182d147d5f8f95bda"/>
                          <w:lock w:val="sdtLocked"/>
                          <w:richText/>
                        </w:sdtPr>
                        <w:sdtContent>
                          <w:r>
                            <w:t>2.7</w:t>
                          </w:r>
                        </w:sdtContent>
                      </w:sdt>
                      <w:r>
                        <w:t xml:space="preserve">. atsižvelgiama į būtinybę įrengti ėminių ėmimo vietas salose, kai to reikia žmonių sveikatos apsaugai. </w:t>
                      </w:r>
                    </w:p>
                  </w:sdtContent>
                </w:sdt>
              </w:sdtContent>
            </w:sdt>
            <w:sdt>
              <w:sdtPr>
                <w:alias w:val="3 pr. 3 p."/>
                <w:tag w:val="part_cb5ecd947f0c4e2da6c8895697f5f2a8"/>
                <w:lock w:val="sdtLocked"/>
                <w:richText/>
              </w:sdtPr>
              <w:sdtContent>
                <w:p>
                  <w:pPr>
                    <w:ind w:firstLine="567"/>
                    <w:jc w:val="both"/>
                  </w:pPr>
                  <w:sdt>
                    <w:sdtPr>
                      <w:alias w:val="Numeris"/>
                      <w:tag w:val="nr_cb5ecd947f0c4e2da6c8895697f5f2a8"/>
                      <w:lock w:val="sdtLocked"/>
                      <w:richText/>
                    </w:sdtPr>
                    <w:sdtContent>
                      <w:r>
                        <w:t>3</w:t>
                      </w:r>
                    </w:sdtContent>
                  </w:sdt>
                  <w:r>
                    <w:t xml:space="preserve">. </w:t>
                  </w:r>
                  <w:r>
                    <w:rPr>
                      <w:bCs/>
                    </w:rPr>
                    <w:t>Ėminių ėmimo vietų išdėstymas makroskalėje</w:t>
                  </w:r>
                  <w:r>
                    <w:t xml:space="preserve"> augmenijos ir natūralių ekosistemų apsaugai:</w:t>
                  </w:r>
                </w:p>
                <w:sdt>
                  <w:sdtPr>
                    <w:alias w:val="3 pr. 3.1 p."/>
                    <w:tag w:val="part_fdccf53531ea4bc6ae96ba3f101ad4d9"/>
                    <w:lock w:val="sdtLocked"/>
                    <w:richText/>
                  </w:sdtPr>
                  <w:sdtContent>
                    <w:p>
                      <w:pPr>
                        <w:ind w:firstLine="567"/>
                        <w:jc w:val="both"/>
                      </w:pPr>
                      <w:sdt>
                        <w:sdtPr>
                          <w:alias w:val="Numeris"/>
                          <w:tag w:val="nr_fdccf53531ea4bc6ae96ba3f101ad4d9"/>
                          <w:lock w:val="sdtLocked"/>
                          <w:richText/>
                        </w:sdtPr>
                        <w:sdtContent>
                          <w:r>
                            <w:t>3.1</w:t>
                          </w:r>
                        </w:sdtContent>
                      </w:sdt>
                      <w:r>
                        <w:t>. Ėminių ėmimo vietos išdėstomos ne arčiau kaip 20 km nuo aglomeracijų teritorijų ribų arba ne arčiau kaip 5 km nuo kitų užstatytų teritorijų, pramoninių objektų, greitkelių ar pagrindinių kelių, kuriais kasdien pravažiuoja daugiau kaip 50 000 transporto priemonių, o tai reiškia, kad ėminiai turi būti imami tokioje vietoje, kad paimtas oro mėginys būtų tipinis mažiausiai 1000 km</w:t>
                      </w:r>
                      <w:r>
                        <w:rPr>
                          <w:vertAlign w:val="superscript"/>
                        </w:rPr>
                        <w:t>2</w:t>
                      </w:r>
                      <w:r>
                        <w:t xml:space="preserve"> ploto aplinkinės teritorijos oro kokybei. Atsižvelgiant į geografines sąlygas arba į poreikį apsaugoti ypač jautrias teritorijas, galima įrengti ėminių ėmimo vietas mažesniu atstumu arba taip, kad toje vietoje tiriama oro kokybė būtų tipinė mažesnio ploto teritorijos oro kokybė.</w:t>
                      </w:r>
                    </w:p>
                  </w:sdtContent>
                </w:sdt>
                <w:sdt>
                  <w:sdtPr>
                    <w:alias w:val="3 pr. 3.2 p."/>
                    <w:tag w:val="part_fee2d67742f544eeb0711a76d4cf5539"/>
                    <w:lock w:val="sdtLocked"/>
                    <w:richText/>
                  </w:sdtPr>
                  <w:sdtContent>
                    <w:p>
                      <w:pPr>
                        <w:ind w:firstLine="567"/>
                        <w:jc w:val="both"/>
                        <w:rPr>
                          <w:bCs/>
                        </w:rPr>
                      </w:pPr>
                      <w:sdt>
                        <w:sdtPr>
                          <w:alias w:val="Numeris"/>
                          <w:tag w:val="nr_fee2d67742f544eeb0711a76d4cf5539"/>
                          <w:lock w:val="sdtLocked"/>
                          <w:richText/>
                        </w:sdtPr>
                        <w:sdtContent>
                          <w:r>
                            <w:t>3.2</w:t>
                          </w:r>
                        </w:sdtContent>
                      </w:sdt>
                      <w:r>
                        <w:t>. Atsižvelgiama į būtinybę vertinti salų</w:t>
                      </w:r>
                      <w:r>
                        <w:rPr>
                          <w:b/>
                          <w:bCs/>
                        </w:rPr>
                        <w:t xml:space="preserve"> </w:t>
                      </w:r>
                      <w:r>
                        <w:t>oro kokybę.</w:t>
                      </w:r>
                    </w:p>
                    <w:p>
                      <w:pPr>
                        <w:ind w:firstLine="567"/>
                        <w:jc w:val="both"/>
                        <w:outlineLvl w:val="1"/>
                        <w:rPr>
                          <w:b/>
                          <w:bCs/>
                        </w:rPr>
                      </w:pPr>
                    </w:p>
                  </w:sdtContent>
                </w:sdt>
              </w:sdtContent>
            </w:sdt>
          </w:sdtContent>
        </w:sdt>
        <w:sdt>
          <w:sdtPr>
            <w:alias w:val="skyrius"/>
            <w:tag w:val="part_1590736236a5453f80e51142175561c5"/>
            <w:lock w:val="sdtLocked"/>
            <w:richText/>
          </w:sdtPr>
          <w:sdtContent>
            <w:p>
              <w:pPr>
                <w:jc w:val="center"/>
                <w:outlineLvl w:val="1"/>
                <w:rPr>
                  <w:b/>
                  <w:bCs/>
                  <w:caps/>
                </w:rPr>
              </w:pPr>
              <w:sdt>
                <w:sdtPr>
                  <w:alias w:val="Numeris"/>
                  <w:tag w:val="nr_1590736236a5453f80e51142175561c5"/>
                  <w:lock w:val="sdtLocked"/>
                  <w:richText/>
                </w:sdtPr>
                <w:sdtContent>
                  <w:r>
                    <w:rPr>
                      <w:b/>
                      <w:bCs/>
                      <w:caps/>
                    </w:rPr>
                    <w:t>III</w:t>
                  </w:r>
                </w:sdtContent>
              </w:sdt>
              <w:r>
                <w:rPr>
                  <w:b/>
                  <w:bCs/>
                  <w:caps/>
                </w:rPr>
                <w:t xml:space="preserve">. </w:t>
              </w:r>
              <w:sdt>
                <w:sdtPr>
                  <w:alias w:val="Pavadinimas"/>
                  <w:tag w:val="title_1590736236a5453f80e51142175561c5"/>
                  <w:lock w:val="sdtLocked"/>
                  <w:richText/>
                </w:sdtPr>
                <w:sdtContent>
                  <w:r>
                    <w:rPr>
                      <w:b/>
                      <w:bCs/>
                      <w:caps/>
                    </w:rPr>
                    <w:t>Ėminių ėmimo vietų išdėstymas mikroskalėje</w:t>
                  </w:r>
                </w:sdtContent>
              </w:sdt>
            </w:p>
            <w:p>
              <w:pPr>
                <w:ind w:firstLine="567"/>
                <w:jc w:val="both"/>
              </w:pPr>
            </w:p>
            <w:sdt>
              <w:sdtPr>
                <w:alias w:val="3 pr. 4 p."/>
                <w:tag w:val="part_cefc662985c04bd4bf01b50039e6d623"/>
                <w:lock w:val="sdtLocked"/>
                <w:richText/>
              </w:sdtPr>
              <w:sdtContent>
                <w:p>
                  <w:pPr>
                    <w:ind w:firstLine="567"/>
                    <w:jc w:val="both"/>
                  </w:pPr>
                  <w:sdt>
                    <w:sdtPr>
                      <w:alias w:val="Numeris"/>
                      <w:tag w:val="nr_cefc662985c04bd4bf01b50039e6d623"/>
                      <w:lock w:val="sdtLocked"/>
                      <w:richText/>
                    </w:sdtPr>
                    <w:sdtContent>
                      <w:r>
                        <w:t>4</w:t>
                      </w:r>
                    </w:sdtContent>
                  </w:sdt>
                  <w:r>
                    <w:t>. Jei įmanoma praktiškai, ė</w:t>
                  </w:r>
                  <w:r>
                    <w:rPr>
                      <w:bCs/>
                    </w:rPr>
                    <w:t>minių ėmimo vietų išdėstymui mikroskalėje</w:t>
                  </w:r>
                  <w:r>
                    <w:t xml:space="preserve"> taikomos šios nuostatos:</w:t>
                  </w:r>
                </w:p>
                <w:sdt>
                  <w:sdtPr>
                    <w:alias w:val="3 pr. 4.1 p."/>
                    <w:tag w:val="part_dbe8e550b9264b14a77b27fb5cdf980b"/>
                    <w:lock w:val="sdtLocked"/>
                    <w:richText/>
                  </w:sdtPr>
                  <w:sdtContent>
                    <w:p>
                      <w:pPr>
                        <w:ind w:firstLine="567"/>
                        <w:jc w:val="both"/>
                      </w:pPr>
                      <w:sdt>
                        <w:sdtPr>
                          <w:alias w:val="Numeris"/>
                          <w:tag w:val="nr_dbe8e550b9264b14a77b27fb5cdf980b"/>
                          <w:lock w:val="sdtLocked"/>
                          <w:richText/>
                        </w:sdtPr>
                        <w:sdtContent>
                          <w:r>
                            <w:t>4.1</w:t>
                          </w:r>
                        </w:sdtContent>
                      </w:sdt>
                      <w:r>
                        <w:t xml:space="preserve">. neturi būti jokių kliūčių oro srautui patekti į ėminių ėmiklio įsiurbiamąją angą (srautas turi būti laisvas ne mažiau kaip 270° skliaute), ėminių ėmiklis paprastai turi būti už keleto metrų nuo pastato, balkono, medžio ir kitų kliūčių ir bent 0,5 m atstumu iki artimiausio pastato, kai tiriama oro kokybė šalia eile išrikiuotų statinių; </w:t>
                      </w:r>
                    </w:p>
                  </w:sdtContent>
                </w:sdt>
                <w:sdt>
                  <w:sdtPr>
                    <w:alias w:val="3 pr. 4.2 p."/>
                    <w:tag w:val="part_d9053241836d4d4995dc5f758b710f88"/>
                    <w:lock w:val="sdtLocked"/>
                    <w:richText/>
                  </w:sdtPr>
                  <w:sdtContent>
                    <w:p>
                      <w:pPr>
                        <w:ind w:firstLine="567"/>
                        <w:jc w:val="both"/>
                      </w:pPr>
                      <w:sdt>
                        <w:sdtPr>
                          <w:alias w:val="Numeris"/>
                          <w:tag w:val="nr_d9053241836d4d4995dc5f758b710f88"/>
                          <w:lock w:val="sdtLocked"/>
                          <w:richText/>
                        </w:sdtPr>
                        <w:sdtContent>
                          <w:r>
                            <w:t>4.2</w:t>
                          </w:r>
                        </w:sdtContent>
                      </w:sdt>
                      <w:r>
                        <w:t>. ėminių ėmiklio įsiurbiamoji anga paprastai įrengiama 1,5 m (kvėpavimo zona) – 4 m aukštyje nuo žemės paviršiaus. Tam tikromis aplinkybėmis gali prireikti imti ėminius ir didesniame aukštyje (iki 8 m). Didesniame aukštyje imti ėminius taip pat gali būti tikslinga, kai stotis yra tipinė didelės teritorijos oro kokybei stebėti;</w:t>
                      </w:r>
                    </w:p>
                  </w:sdtContent>
                </w:sdt>
                <w:sdt>
                  <w:sdtPr>
                    <w:alias w:val="3 pr. 4.3 p."/>
                    <w:tag w:val="part_6388d2f7a2a441b0a5816e01f2cec1b9"/>
                    <w:lock w:val="sdtLocked"/>
                    <w:richText/>
                  </w:sdtPr>
                  <w:sdtContent>
                    <w:p>
                      <w:pPr>
                        <w:ind w:firstLine="567"/>
                        <w:jc w:val="both"/>
                      </w:pPr>
                      <w:sdt>
                        <w:sdtPr>
                          <w:alias w:val="Numeris"/>
                          <w:tag w:val="nr_6388d2f7a2a441b0a5816e01f2cec1b9"/>
                          <w:lock w:val="sdtLocked"/>
                          <w:richText/>
                        </w:sdtPr>
                        <w:sdtContent>
                          <w:r>
                            <w:t>4.3</w:t>
                          </w:r>
                        </w:sdtContent>
                      </w:sdt>
                      <w:r>
                        <w:t>. ėminių ėmiklio įsiurbiamoji anga neturėtų būti prie pat taršos šaltinio, kad į ją tiesiogiai nepatektų vien išmetamieji teršalai, dar nesusimaišę su aplinkos oru;</w:t>
                      </w:r>
                    </w:p>
                  </w:sdtContent>
                </w:sdt>
                <w:sdt>
                  <w:sdtPr>
                    <w:alias w:val="3 pr. 4.4 p."/>
                    <w:tag w:val="part_dd455599c80a4e58bde8d7fad78a9f6a"/>
                    <w:lock w:val="sdtLocked"/>
                    <w:richText/>
                  </w:sdtPr>
                  <w:sdtContent>
                    <w:p>
                      <w:pPr>
                        <w:ind w:firstLine="567"/>
                        <w:jc w:val="both"/>
                      </w:pPr>
                      <w:sdt>
                        <w:sdtPr>
                          <w:alias w:val="Numeris"/>
                          <w:tag w:val="nr_dd455599c80a4e58bde8d7fad78a9f6a"/>
                          <w:lock w:val="sdtLocked"/>
                          <w:richText/>
                        </w:sdtPr>
                        <w:sdtContent>
                          <w:r>
                            <w:t>4.4</w:t>
                          </w:r>
                        </w:sdtContent>
                      </w:sdt>
                      <w:r>
                        <w:t>. ėminių ėmiklio išmetamoji anga turėtų būti tokioje padėtyje, kad iš jos išmestas oras nepatektų į ėminių ėmiklio įsiurbiamąją angą;</w:t>
                      </w:r>
                    </w:p>
                  </w:sdtContent>
                </w:sdt>
                <w:sdt>
                  <w:sdtPr>
                    <w:alias w:val="3 pr. 4.5 p."/>
                    <w:tag w:val="part_b23a883f41bd41c1b89e90bf1be9118c"/>
                    <w:lock w:val="sdtLocked"/>
                    <w:richText/>
                  </w:sdtPr>
                  <w:sdtContent>
                    <w:p>
                      <w:pPr>
                        <w:ind w:firstLine="567"/>
                        <w:jc w:val="both"/>
                        <w:rPr>
                          <w:b/>
                          <w:bCs/>
                          <w:i/>
                          <w:iCs/>
                        </w:rPr>
                      </w:pPr>
                      <w:sdt>
                        <w:sdtPr>
                          <w:alias w:val="Numeris"/>
                          <w:tag w:val="nr_b23a883f41bd41c1b89e90bf1be9118c"/>
                          <w:lock w:val="sdtLocked"/>
                          <w:richText/>
                        </w:sdtPr>
                        <w:sdtContent>
                          <w:r>
                            <w:t>4.5</w:t>
                          </w:r>
                        </w:sdtContent>
                      </w:sdt>
                      <w:r>
                        <w:t>. matuojant bet kurį teršalą transporto poveikiui įvertinti, ėminių ėmikliai įrengiami bent 25 m atstumu nuo intensyvių sankryžų ribos ir ne didesniu kaip 10 m atstumu nuo važiuojamosios dalies krašto.</w:t>
                      </w:r>
                    </w:p>
                  </w:sdtContent>
                </w:sdt>
              </w:sdtContent>
            </w:sdt>
            <w:sdt>
              <w:sdtPr>
                <w:alias w:val="3 pr. 5 p."/>
                <w:tag w:val="part_4429ed5d669d43689e6abdeec7856ce3"/>
                <w:lock w:val="sdtLocked"/>
                <w:richText/>
              </w:sdtPr>
              <w:sdtContent>
                <w:p>
                  <w:pPr>
                    <w:ind w:firstLine="567"/>
                    <w:jc w:val="both"/>
                  </w:pPr>
                  <w:sdt>
                    <w:sdtPr>
                      <w:alias w:val="Numeris"/>
                      <w:tag w:val="nr_4429ed5d669d43689e6abdeec7856ce3"/>
                      <w:lock w:val="sdtLocked"/>
                      <w:richText/>
                    </w:sdtPr>
                    <w:sdtContent>
                      <w:r>
                        <w:t>5</w:t>
                      </w:r>
                    </w:sdtContent>
                  </w:sdt>
                  <w:r>
                    <w:t>. Taip pat galima atsižvelgti į šiuos veiksnius:</w:t>
                  </w:r>
                </w:p>
                <w:sdt>
                  <w:sdtPr>
                    <w:alias w:val="3 pr. 5.1 p."/>
                    <w:tag w:val="part_59ccd5c8d15147539c75e1060fae2ffa"/>
                    <w:lock w:val="sdtLocked"/>
                    <w:richText/>
                  </w:sdtPr>
                  <w:sdtContent>
                    <w:p>
                      <w:pPr>
                        <w:ind w:firstLine="567"/>
                        <w:jc w:val="both"/>
                      </w:pPr>
                      <w:sdt>
                        <w:sdtPr>
                          <w:alias w:val="Numeris"/>
                          <w:tag w:val="nr_59ccd5c8d15147539c75e1060fae2ffa"/>
                          <w:lock w:val="sdtLocked"/>
                          <w:richText/>
                        </w:sdtPr>
                        <w:sdtContent>
                          <w:r>
                            <w:t>5.1</w:t>
                          </w:r>
                        </w:sdtContent>
                      </w:sdt>
                      <w:r>
                        <w:t>. trukdančius šaltinius;</w:t>
                      </w:r>
                    </w:p>
                  </w:sdtContent>
                </w:sdt>
                <w:sdt>
                  <w:sdtPr>
                    <w:alias w:val="3 pr. 5.2 p."/>
                    <w:tag w:val="part_67103bdbc171470383f46f021ba9b316"/>
                    <w:lock w:val="sdtLocked"/>
                    <w:richText/>
                  </w:sdtPr>
                  <w:sdtContent>
                    <w:p>
                      <w:pPr>
                        <w:ind w:firstLine="567"/>
                        <w:jc w:val="both"/>
                      </w:pPr>
                      <w:sdt>
                        <w:sdtPr>
                          <w:alias w:val="Numeris"/>
                          <w:tag w:val="nr_67103bdbc171470383f46f021ba9b316"/>
                          <w:lock w:val="sdtLocked"/>
                          <w:richText/>
                        </w:sdtPr>
                        <w:sdtContent>
                          <w:r>
                            <w:t>5.2</w:t>
                          </w:r>
                        </w:sdtContent>
                      </w:sdt>
                      <w:r>
                        <w:t>. saugumą;</w:t>
                      </w:r>
                    </w:p>
                  </w:sdtContent>
                </w:sdt>
                <w:sdt>
                  <w:sdtPr>
                    <w:alias w:val="3 pr. 5.3 p."/>
                    <w:tag w:val="part_db683a1d15a94ffdb675e24c48de54a6"/>
                    <w:lock w:val="sdtLocked"/>
                    <w:richText/>
                  </w:sdtPr>
                  <w:sdtContent>
                    <w:p>
                      <w:pPr>
                        <w:ind w:firstLine="567"/>
                        <w:jc w:val="both"/>
                      </w:pPr>
                      <w:sdt>
                        <w:sdtPr>
                          <w:alias w:val="Numeris"/>
                          <w:tag w:val="nr_db683a1d15a94ffdb675e24c48de54a6"/>
                          <w:lock w:val="sdtLocked"/>
                          <w:richText/>
                        </w:sdtPr>
                        <w:sdtContent>
                          <w:r>
                            <w:t>5.3</w:t>
                          </w:r>
                        </w:sdtContent>
                      </w:sdt>
                      <w:r>
                        <w:t>. priėjimą;</w:t>
                      </w:r>
                    </w:p>
                  </w:sdtContent>
                </w:sdt>
                <w:sdt>
                  <w:sdtPr>
                    <w:alias w:val="3 pr. 5.4 p."/>
                    <w:tag w:val="part_2ae1bbe7eea242b189f796e0385a7e77"/>
                    <w:lock w:val="sdtLocked"/>
                    <w:richText/>
                  </w:sdtPr>
                  <w:sdtContent>
                    <w:p>
                      <w:pPr>
                        <w:ind w:firstLine="567"/>
                        <w:jc w:val="both"/>
                      </w:pPr>
                      <w:sdt>
                        <w:sdtPr>
                          <w:alias w:val="Numeris"/>
                          <w:tag w:val="nr_2ae1bbe7eea242b189f796e0385a7e77"/>
                          <w:lock w:val="sdtLocked"/>
                          <w:richText/>
                        </w:sdtPr>
                        <w:sdtContent>
                          <w:r>
                            <w:t>5.4</w:t>
                          </w:r>
                        </w:sdtContent>
                      </w:sdt>
                      <w:r>
                        <w:t>. galimybę naudotis elektros energija ir telefono ryšiu;</w:t>
                      </w:r>
                    </w:p>
                  </w:sdtContent>
                </w:sdt>
                <w:sdt>
                  <w:sdtPr>
                    <w:alias w:val="3 pr. 5.5 p."/>
                    <w:tag w:val="part_d19de10624194f25ac941df9b4c914d5"/>
                    <w:lock w:val="sdtLocked"/>
                    <w:richText/>
                  </w:sdtPr>
                  <w:sdtContent>
                    <w:p>
                      <w:pPr>
                        <w:ind w:firstLine="567"/>
                        <w:jc w:val="both"/>
                      </w:pPr>
                      <w:sdt>
                        <w:sdtPr>
                          <w:alias w:val="Numeris"/>
                          <w:tag w:val="nr_d19de10624194f25ac941df9b4c914d5"/>
                          <w:lock w:val="sdtLocked"/>
                          <w:richText/>
                        </w:sdtPr>
                        <w:sdtContent>
                          <w:r>
                            <w:t>5.5</w:t>
                          </w:r>
                        </w:sdtContent>
                      </w:sdt>
                      <w:r>
                        <w:t>. vietovės matomumą jos aplinkos atžvilgiu;</w:t>
                      </w:r>
                    </w:p>
                  </w:sdtContent>
                </w:sdt>
                <w:sdt>
                  <w:sdtPr>
                    <w:alias w:val="3 pr. 5.6 p."/>
                    <w:tag w:val="part_90e98de5f7794c00a3ead251869eeadd"/>
                    <w:lock w:val="sdtLocked"/>
                    <w:richText/>
                  </w:sdtPr>
                  <w:sdtContent>
                    <w:p>
                      <w:pPr>
                        <w:ind w:firstLine="567"/>
                        <w:jc w:val="both"/>
                      </w:pPr>
                      <w:sdt>
                        <w:sdtPr>
                          <w:alias w:val="Numeris"/>
                          <w:tag w:val="nr_90e98de5f7794c00a3ead251869eeadd"/>
                          <w:lock w:val="sdtLocked"/>
                          <w:richText/>
                        </w:sdtPr>
                        <w:sdtContent>
                          <w:r>
                            <w:t>5.6</w:t>
                          </w:r>
                        </w:sdtContent>
                      </w:sdt>
                      <w:r>
                        <w:t>. visuomenės ir imančių ėminius darbuotojų saugumą;</w:t>
                      </w:r>
                    </w:p>
                  </w:sdtContent>
                </w:sdt>
                <w:sdt>
                  <w:sdtPr>
                    <w:alias w:val="3 pr. 5.7 p."/>
                    <w:tag w:val="part_43ce81ffd59045a1b8fc7b00c0eb42ec"/>
                    <w:lock w:val="sdtLocked"/>
                    <w:richText/>
                  </w:sdtPr>
                  <w:sdtContent>
                    <w:p>
                      <w:pPr>
                        <w:ind w:firstLine="567"/>
                        <w:jc w:val="both"/>
                      </w:pPr>
                      <w:sdt>
                        <w:sdtPr>
                          <w:alias w:val="Numeris"/>
                          <w:tag w:val="nr_43ce81ffd59045a1b8fc7b00c0eb42ec"/>
                          <w:lock w:val="sdtLocked"/>
                          <w:richText/>
                        </w:sdtPr>
                        <w:sdtContent>
                          <w:r>
                            <w:t>5.7</w:t>
                          </w:r>
                        </w:sdtContent>
                      </w:sdt>
                      <w:r>
                        <w:t>. galimybę įrengti toje pat vietoje skirtingų teršalų ėminių ėmimo vietas;</w:t>
                      </w:r>
                    </w:p>
                  </w:sdtContent>
                </w:sdt>
                <w:sdt>
                  <w:sdtPr>
                    <w:alias w:val="3 pr. 5.8 p."/>
                    <w:tag w:val="part_faa47242a67c400aa269000c0bca1963"/>
                    <w:lock w:val="sdtLocked"/>
                    <w:richText/>
                  </w:sdtPr>
                  <w:sdtContent>
                    <w:p>
                      <w:pPr>
                        <w:ind w:firstLine="567"/>
                        <w:jc w:val="both"/>
                      </w:pPr>
                      <w:sdt>
                        <w:sdtPr>
                          <w:alias w:val="Numeris"/>
                          <w:tag w:val="nr_faa47242a67c400aa269000c0bca1963"/>
                          <w:lock w:val="sdtLocked"/>
                          <w:richText/>
                        </w:sdtPr>
                        <w:sdtContent>
                          <w:r>
                            <w:t>5.8</w:t>
                          </w:r>
                        </w:sdtContent>
                      </w:sdt>
                      <w:r>
                        <w:t>. teritorijų planavimo reikalavimus.</w:t>
                      </w:r>
                    </w:p>
                    <w:p>
                      <w:pPr>
                        <w:ind w:firstLine="567"/>
                        <w:jc w:val="both"/>
                        <w:rPr>
                          <w:b/>
                          <w:bCs/>
                        </w:rPr>
                      </w:pPr>
                    </w:p>
                  </w:sdtContent>
                </w:sdt>
              </w:sdtContent>
            </w:sdt>
          </w:sdtContent>
        </w:sdt>
        <w:sdt>
          <w:sdtPr>
            <w:alias w:val="skyrius"/>
            <w:tag w:val="part_71e4a797ba2147598bed7a5f607e238b"/>
            <w:lock w:val="sdtLocked"/>
            <w:richText/>
          </w:sdtPr>
          <w:sdtContent>
            <w:p>
              <w:pPr>
                <w:jc w:val="center"/>
                <w:rPr>
                  <w:b/>
                  <w:bCs/>
                  <w:caps/>
                </w:rPr>
              </w:pPr>
              <w:sdt>
                <w:sdtPr>
                  <w:alias w:val="Numeris"/>
                  <w:tag w:val="nr_71e4a797ba2147598bed7a5f607e238b"/>
                  <w:lock w:val="sdtLocked"/>
                  <w:richText/>
                </w:sdtPr>
                <w:sdtContent>
                  <w:r>
                    <w:rPr>
                      <w:b/>
                      <w:bCs/>
                      <w:caps/>
                    </w:rPr>
                    <w:t>IV</w:t>
                  </w:r>
                </w:sdtContent>
              </w:sdt>
              <w:r>
                <w:rPr>
                  <w:b/>
                  <w:bCs/>
                  <w:caps/>
                </w:rPr>
                <w:t xml:space="preserve">. </w:t>
              </w:r>
              <w:sdt>
                <w:sdtPr>
                  <w:alias w:val="Pavadinimas"/>
                  <w:tag w:val="title_71e4a797ba2147598bed7a5f607e238b"/>
                  <w:lock w:val="sdtLocked"/>
                  <w:richText/>
                </w:sdtPr>
                <w:sdtContent>
                  <w:r>
                    <w:rPr>
                      <w:b/>
                      <w:bCs/>
                      <w:caps/>
                    </w:rPr>
                    <w:t>Ėminių ėmimo vietų parinkimo dokumentai ir vietų parinkimo peržiūra</w:t>
                  </w:r>
                </w:sdtContent>
              </w:sdt>
            </w:p>
            <w:p>
              <w:pPr>
                <w:ind w:firstLine="567"/>
                <w:jc w:val="both"/>
                <w:rPr>
                  <w:b/>
                  <w:bCs/>
                  <w:caps/>
                </w:rPr>
              </w:pPr>
            </w:p>
            <w:sdt>
              <w:sdtPr>
                <w:alias w:val="3 pr. 6 p."/>
                <w:tag w:val="part_2e3fa36234ba42a0851e7a34e23fa096"/>
                <w:lock w:val="sdtLocked"/>
                <w:richText/>
              </w:sdtPr>
              <w:sdtContent>
                <w:p>
                  <w:pPr>
                    <w:ind w:firstLine="567"/>
                    <w:jc w:val="both"/>
                  </w:pPr>
                  <w:sdt>
                    <w:sdtPr>
                      <w:alias w:val="Numeris"/>
                      <w:tag w:val="nr_2e3fa36234ba42a0851e7a34e23fa096"/>
                      <w:lock w:val="sdtLocked"/>
                      <w:richText/>
                    </w:sdtPr>
                    <w:sdtContent>
                      <w:r>
                        <w:t>6</w:t>
                      </w:r>
                    </w:sdtContent>
                  </w:sdt>
                  <w:r>
                    <w:t>. Klasifikavimo etape ėminių ėmimo vietų parinkimas turėtų būti visiškai pagrįstas dokumentais, tokiais kaip supančios teritorijos topografinėmis nuotraukomis ir detaliuoju planu. Vietos turi būti reguliariai peržiūrimos pakartotinai pateikiant dokumentus, kad būtų galima įsitikinti, jog atrankos kriterijai tebegalioja.</w:t>
                  </w:r>
                </w:p>
                <w:p>
                  <w:pPr>
                    <w:jc w:val="both"/>
                  </w:pPr>
                </w:p>
              </w:sdtContent>
            </w:sdt>
          </w:sdtContent>
        </w:sdt>
        <w:sdt>
          <w:sdtPr>
            <w:alias w:val="pabaiga"/>
            <w:tag w:val="part_981128d34e0944399ab8d3e91b9b4cb9"/>
            <w:lock w:val="sdtLocked"/>
            <w:richText/>
          </w:sdtPr>
          <w:sdtContent>
            <w:p>
              <w:pPr>
                <w:jc w:val="center"/>
              </w:pPr>
              <w:r>
                <w:t>_________________</w:t>
              </w:r>
            </w:p>
          </w:sdtContent>
        </w:sdt>
      </w:sdtContent>
    </w:sdt>
    <w:sdt>
      <w:sdtPr>
        <w:alias w:val="4 pr."/>
        <w:tag w:val="part_f00533ef1a31403f960e5c9ac42a0811"/>
        <w:lock w:val="sdtLocked"/>
        <w:richText/>
      </w:sdtPr>
      <w:sdtContent>
        <w:p>
          <w:pPr>
            <w:ind w:firstLine="5102"/>
          </w:pPr>
          <w:r>
            <w:br w:type="page"/>
          </w:r>
        </w:p>
        <w:p>
          <w:pPr>
            <w:ind w:firstLine="5102"/>
          </w:pPr>
          <w:r>
            <w:t xml:space="preserve">Aplinkos oro kokybės vertinimo tvarkos </w:t>
          </w:r>
        </w:p>
        <w:p>
          <w:pPr>
            <w:ind w:firstLine="5102"/>
          </w:pPr>
          <w:r>
            <w:t xml:space="preserve">aprašo </w:t>
          </w:r>
        </w:p>
        <w:p>
          <w:pPr>
            <w:ind w:firstLine="5102"/>
          </w:pPr>
          <w:sdt>
            <w:sdtPr>
              <w:alias w:val="Numeris"/>
              <w:tag w:val="nr_f00533ef1a31403f960e5c9ac42a0811"/>
              <w:lock w:val="sdtLocked"/>
              <w:richText/>
            </w:sdtPr>
            <w:sdtContent>
              <w:r>
                <w:t>4</w:t>
              </w:r>
            </w:sdtContent>
          </w:sdt>
          <w:r>
            <w:t xml:space="preserve"> priedas</w:t>
          </w:r>
        </w:p>
        <w:p>
          <w:pPr>
            <w:ind w:right="26"/>
          </w:pPr>
        </w:p>
        <w:p>
          <w:pPr>
            <w:jc w:val="center"/>
            <w:rPr>
              <w:b/>
              <w:bCs/>
              <w:caps/>
            </w:rPr>
          </w:pPr>
          <w:sdt>
            <w:sdtPr>
              <w:alias w:val="Pavadinimas"/>
              <w:tag w:val="title_f00533ef1a31403f960e5c9ac42a0811"/>
              <w:lock w:val="sdtLocked"/>
              <w:richText/>
            </w:sdtPr>
            <w:sdtContent>
              <w:r>
                <w:rPr>
                  <w:b/>
                  <w:bCs/>
                  <w:caps/>
                </w:rPr>
                <w:t>matavimai foninėse kaimo vietovėse, neatsižvelgiant į koncentraciją</w:t>
              </w:r>
            </w:sdtContent>
          </w:sdt>
        </w:p>
        <w:p>
          <w:pPr>
            <w:jc w:val="center"/>
            <w:rPr>
              <w:b/>
              <w:bCs/>
            </w:rPr>
          </w:pPr>
        </w:p>
        <w:sdt>
          <w:sdtPr>
            <w:alias w:val="skyrius"/>
            <w:tag w:val="part_2ea98c537c5f468483b15fad1ddef26b"/>
            <w:lock w:val="sdtLocked"/>
            <w:richText/>
          </w:sdtPr>
          <w:sdtContent>
            <w:p>
              <w:pPr>
                <w:jc w:val="center"/>
                <w:outlineLvl w:val="1"/>
                <w:rPr>
                  <w:b/>
                  <w:bCs/>
                  <w:caps/>
                </w:rPr>
              </w:pPr>
              <w:sdt>
                <w:sdtPr>
                  <w:alias w:val="Numeris"/>
                  <w:tag w:val="nr_2ea98c537c5f468483b15fad1ddef26b"/>
                  <w:lock w:val="sdtLocked"/>
                  <w:richText/>
                </w:sdtPr>
                <w:sdtContent>
                  <w:r>
                    <w:rPr>
                      <w:b/>
                      <w:bCs/>
                      <w:caps/>
                    </w:rPr>
                    <w:t>I</w:t>
                  </w:r>
                </w:sdtContent>
              </w:sdt>
              <w:r>
                <w:rPr>
                  <w:b/>
                  <w:bCs/>
                  <w:caps/>
                </w:rPr>
                <w:t xml:space="preserve">. </w:t>
              </w:r>
              <w:sdt>
                <w:sdtPr>
                  <w:alias w:val="Pavadinimas"/>
                  <w:tag w:val="title_2ea98c537c5f468483b15fad1ddef26b"/>
                  <w:lock w:val="sdtLocked"/>
                  <w:richText/>
                </w:sdtPr>
                <w:sdtContent>
                  <w:r>
                    <w:rPr>
                      <w:b/>
                      <w:bCs/>
                      <w:caps/>
                    </w:rPr>
                    <w:t>Tikslai</w:t>
                  </w:r>
                </w:sdtContent>
              </w:sdt>
            </w:p>
            <w:p/>
            <w:sdt>
              <w:sdtPr>
                <w:alias w:val="4 pr. 1 p."/>
                <w:tag w:val="part_5a637b0303ce49a6a083e3ff53c02928"/>
                <w:lock w:val="sdtLocked"/>
                <w:richText/>
              </w:sdtPr>
              <w:sdtContent>
                <w:p>
                  <w:pPr>
                    <w:ind w:firstLine="567"/>
                    <w:jc w:val="both"/>
                  </w:pPr>
                  <w:sdt>
                    <w:sdtPr>
                      <w:alias w:val="Numeris"/>
                      <w:tag w:val="nr_5a637b0303ce49a6a083e3ff53c02928"/>
                      <w:lock w:val="sdtLocked"/>
                      <w:richText/>
                    </w:sdtPr>
                    <w:sdtContent>
                      <w:r>
                        <w:t>1</w:t>
                      </w:r>
                    </w:sdtContent>
                  </w:sdt>
                  <w:r>
                    <w:t>. Pagrindinis tokių matavimų tikslas yra užtikrinti, kad apie foninį užterštumo lygį būtų gaunama tinkama informacija. Ši informacija yra svarbi vertinant padidėjusį užterštumo lygį labiau užterštose teritorijose (tokiose kaip miesto foninės vietovės, pramonės teritorijos, eismo vietovės), vertinant galimas oro teršalų tolimąsias pernašas, pagrindžiant šaltinių pasiskirstymo analizę ir geram konkrečių teršalų, tokių kaip kietosios dalelės, pažinimui. Be to, tai taip pat svarbu dažnesniam modeliavimo naudojimui ir miesto teritorijose.</w:t>
                  </w:r>
                </w:p>
                <w:p>
                  <w:pPr>
                    <w:jc w:val="both"/>
                    <w:rPr>
                      <w:bCs/>
                    </w:rPr>
                  </w:pPr>
                </w:p>
              </w:sdtContent>
            </w:sdt>
          </w:sdtContent>
        </w:sdt>
        <w:sdt>
          <w:sdtPr>
            <w:alias w:val="skyrius"/>
            <w:tag w:val="part_761a950655e04bbda284ca072f43d118"/>
            <w:lock w:val="sdtLocked"/>
            <w:richText/>
          </w:sdtPr>
          <w:sdtContent>
            <w:p>
              <w:pPr>
                <w:jc w:val="center"/>
                <w:outlineLvl w:val="1"/>
                <w:rPr>
                  <w:b/>
                  <w:bCs/>
                  <w:caps/>
                </w:rPr>
              </w:pPr>
              <w:sdt>
                <w:sdtPr>
                  <w:alias w:val="Numeris"/>
                  <w:tag w:val="nr_761a950655e04bbda284ca072f43d118"/>
                  <w:lock w:val="sdtLocked"/>
                  <w:richText/>
                </w:sdtPr>
                <w:sdtContent>
                  <w:r>
                    <w:rPr>
                      <w:b/>
                      <w:bCs/>
                      <w:caps/>
                    </w:rPr>
                    <w:t>II</w:t>
                  </w:r>
                </w:sdtContent>
              </w:sdt>
              <w:r>
                <w:rPr>
                  <w:b/>
                  <w:bCs/>
                  <w:caps/>
                </w:rPr>
                <w:t xml:space="preserve">. </w:t>
              </w:r>
              <w:sdt>
                <w:sdtPr>
                  <w:alias w:val="Pavadinimas"/>
                  <w:tag w:val="title_761a950655e04bbda284ca072f43d118"/>
                  <w:lock w:val="sdtLocked"/>
                  <w:richText/>
                </w:sdtPr>
                <w:sdtContent>
                  <w:r>
                    <w:rPr>
                      <w:b/>
                      <w:bCs/>
                      <w:caps/>
                    </w:rPr>
                    <w:t>Medžiagos</w:t>
                  </w:r>
                </w:sdtContent>
              </w:sdt>
            </w:p>
            <w:p/>
            <w:sdt>
              <w:sdtPr>
                <w:alias w:val="4 pr. 2 p."/>
                <w:tag w:val="part_452615024a13498d8317d7be37429c17"/>
                <w:lock w:val="sdtLocked"/>
                <w:richText/>
              </w:sdtPr>
              <w:sdtContent>
                <w:p>
                  <w:pPr>
                    <w:ind w:firstLine="567"/>
                    <w:jc w:val="both"/>
                  </w:pPr>
                  <w:sdt>
                    <w:sdtPr>
                      <w:alias w:val="Numeris"/>
                      <w:tag w:val="nr_452615024a13498d8317d7be37429c17"/>
                      <w:lock w:val="sdtLocked"/>
                      <w:richText/>
                    </w:sdtPr>
                    <w:sdtContent>
                      <w:r>
                        <w:t>2</w:t>
                      </w:r>
                    </w:sdtContent>
                  </w:sdt>
                  <w:r>
                    <w:t>. KD</w:t>
                  </w:r>
                  <w:r>
                    <w:rPr>
                      <w:vertAlign w:val="subscript"/>
                    </w:rPr>
                    <w:t>2,5</w:t>
                  </w:r>
                  <w:r>
                    <w:t xml:space="preserve"> matavimas atliekamas nustatant bent bendrą masės koncentraciją ir atitinkamų junginių koncentracijas, siekiant apibūdinti teršalo cheminę sudėtį. Tiriama bent žemiau pateiktų cheminių atmainų koncentracija:</w:t>
                  </w:r>
                </w:p>
                <w:p>
                  <w:pPr>
                    <w:jc w:val="both"/>
                    <w:rPr>
                      <w:iCs/>
                    </w:rPr>
                  </w:pPr>
                </w:p>
                <w:tbl>
                  <w:tblPr>
                    <w:tblW w:w="9108"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000" w:firstRow="0" w:lastRow="0" w:firstColumn="0" w:lastColumn="0" w:noHBand="0" w:noVBand="0"/>
                  </w:tblPr>
                  <w:tblGrid>
                    <w:gridCol w:w="1368"/>
                    <w:gridCol w:w="1260"/>
                    <w:gridCol w:w="1440"/>
                    <w:gridCol w:w="1620"/>
                    <w:gridCol w:w="3420"/>
                  </w:tblGrid>
                  <w:tr>
                    <w:tc>
                      <w:tcPr>
                        <w:tcW w:w="1368" w:type="dxa"/>
                      </w:tcPr>
                      <w:p>
                        <w:pPr>
                          <w:ind w:right="-874"/>
                          <w:jc w:val="both"/>
                          <w:rPr>
                            <w:sz w:val="22"/>
                          </w:rPr>
                        </w:pPr>
                        <w:r>
                          <w:rPr>
                            <w:sz w:val="22"/>
                          </w:rPr>
                          <w:t>SO</w:t>
                        </w:r>
                        <w:r>
                          <w:rPr>
                            <w:sz w:val="22"/>
                            <w:vertAlign w:val="subscript"/>
                          </w:rPr>
                          <w:t>4</w:t>
                        </w:r>
                        <w:r>
                          <w:rPr>
                            <w:sz w:val="22"/>
                            <w:vertAlign w:val="superscript"/>
                          </w:rPr>
                          <w:t>2–</w:t>
                        </w:r>
                        <w:r>
                          <w:rPr>
                            <w:sz w:val="22"/>
                          </w:rPr>
                          <w:t xml:space="preserve"> </w:t>
                        </w:r>
                      </w:p>
                    </w:tc>
                    <w:tc>
                      <w:tcPr>
                        <w:tcW w:w="1260" w:type="dxa"/>
                      </w:tcPr>
                      <w:p>
                        <w:pPr>
                          <w:ind w:right="-874"/>
                          <w:jc w:val="both"/>
                          <w:rPr>
                            <w:sz w:val="22"/>
                          </w:rPr>
                        </w:pPr>
                        <w:r>
                          <w:rPr>
                            <w:sz w:val="22"/>
                          </w:rPr>
                          <w:t>Na</w:t>
                        </w:r>
                        <w:r>
                          <w:rPr>
                            <w:sz w:val="22"/>
                            <w:vertAlign w:val="superscript"/>
                          </w:rPr>
                          <w:t>+</w:t>
                        </w:r>
                        <w:r>
                          <w:rPr>
                            <w:sz w:val="22"/>
                          </w:rPr>
                          <w:t xml:space="preserve"> </w:t>
                        </w:r>
                      </w:p>
                    </w:tc>
                    <w:tc>
                      <w:tcPr>
                        <w:tcW w:w="1440" w:type="dxa"/>
                      </w:tcPr>
                      <w:p>
                        <w:pPr>
                          <w:ind w:right="-874"/>
                          <w:jc w:val="both"/>
                          <w:rPr>
                            <w:sz w:val="22"/>
                          </w:rPr>
                        </w:pPr>
                        <w:r>
                          <w:rPr>
                            <w:sz w:val="22"/>
                          </w:rPr>
                          <w:t>NH</w:t>
                        </w:r>
                        <w:r>
                          <w:rPr>
                            <w:sz w:val="22"/>
                            <w:vertAlign w:val="subscript"/>
                          </w:rPr>
                          <w:t>4</w:t>
                        </w:r>
                        <w:r>
                          <w:rPr>
                            <w:sz w:val="22"/>
                            <w:vertAlign w:val="superscript"/>
                          </w:rPr>
                          <w:t xml:space="preserve">+ </w:t>
                        </w:r>
                      </w:p>
                    </w:tc>
                    <w:tc>
                      <w:tcPr>
                        <w:tcW w:w="1620" w:type="dxa"/>
                      </w:tcPr>
                      <w:p>
                        <w:pPr>
                          <w:ind w:right="-874"/>
                          <w:jc w:val="both"/>
                          <w:rPr>
                            <w:sz w:val="22"/>
                          </w:rPr>
                        </w:pPr>
                        <w:r>
                          <w:rPr>
                            <w:sz w:val="22"/>
                          </w:rPr>
                          <w:t>Ca</w:t>
                        </w:r>
                        <w:r>
                          <w:rPr>
                            <w:sz w:val="22"/>
                            <w:vertAlign w:val="superscript"/>
                          </w:rPr>
                          <w:t>2+</w:t>
                        </w:r>
                        <w:r>
                          <w:rPr>
                            <w:sz w:val="22"/>
                          </w:rPr>
                          <w:t xml:space="preserve"> </w:t>
                        </w:r>
                      </w:p>
                    </w:tc>
                    <w:tc>
                      <w:tcPr>
                        <w:tcW w:w="3420" w:type="dxa"/>
                      </w:tcPr>
                      <w:p>
                        <w:pPr>
                          <w:ind w:right="-874"/>
                          <w:jc w:val="both"/>
                          <w:rPr>
                            <w:sz w:val="22"/>
                          </w:rPr>
                        </w:pPr>
                        <w:r>
                          <w:rPr>
                            <w:sz w:val="22"/>
                          </w:rPr>
                          <w:t xml:space="preserve">elementinė anglis (EC) </w:t>
                        </w:r>
                      </w:p>
                    </w:tc>
                  </w:tr>
                  <w:tr>
                    <w:tc>
                      <w:tcPr>
                        <w:tcW w:w="1368" w:type="dxa"/>
                      </w:tcPr>
                      <w:p>
                        <w:pPr>
                          <w:ind w:right="-874"/>
                          <w:jc w:val="both"/>
                          <w:rPr>
                            <w:sz w:val="22"/>
                          </w:rPr>
                        </w:pPr>
                        <w:r>
                          <w:rPr>
                            <w:sz w:val="22"/>
                          </w:rPr>
                          <w:t>NO</w:t>
                        </w:r>
                        <w:r>
                          <w:rPr>
                            <w:sz w:val="22"/>
                            <w:vertAlign w:val="subscript"/>
                          </w:rPr>
                          <w:t>3</w:t>
                        </w:r>
                        <w:r>
                          <w:rPr>
                            <w:sz w:val="22"/>
                            <w:vertAlign w:val="superscript"/>
                          </w:rPr>
                          <w:t>–</w:t>
                        </w:r>
                        <w:r>
                          <w:rPr>
                            <w:sz w:val="22"/>
                          </w:rPr>
                          <w:t xml:space="preserve"> </w:t>
                        </w:r>
                      </w:p>
                    </w:tc>
                    <w:tc>
                      <w:tcPr>
                        <w:tcW w:w="1260" w:type="dxa"/>
                      </w:tcPr>
                      <w:p>
                        <w:pPr>
                          <w:ind w:right="-874"/>
                          <w:jc w:val="both"/>
                          <w:rPr>
                            <w:sz w:val="22"/>
                          </w:rPr>
                        </w:pPr>
                        <w:r>
                          <w:rPr>
                            <w:sz w:val="22"/>
                          </w:rPr>
                          <w:t>K</w:t>
                        </w:r>
                        <w:r>
                          <w:rPr>
                            <w:sz w:val="22"/>
                            <w:vertAlign w:val="superscript"/>
                          </w:rPr>
                          <w:t>+</w:t>
                        </w:r>
                        <w:r>
                          <w:rPr>
                            <w:sz w:val="22"/>
                          </w:rPr>
                          <w:t xml:space="preserve"> </w:t>
                        </w:r>
                      </w:p>
                    </w:tc>
                    <w:tc>
                      <w:tcPr>
                        <w:tcW w:w="1440" w:type="dxa"/>
                      </w:tcPr>
                      <w:p>
                        <w:pPr>
                          <w:ind w:right="-874"/>
                          <w:jc w:val="both"/>
                          <w:rPr>
                            <w:sz w:val="22"/>
                          </w:rPr>
                        </w:pPr>
                        <w:r>
                          <w:rPr>
                            <w:sz w:val="22"/>
                          </w:rPr>
                          <w:t>Cl</w:t>
                        </w:r>
                        <w:r>
                          <w:rPr>
                            <w:sz w:val="22"/>
                            <w:vertAlign w:val="superscript"/>
                          </w:rPr>
                          <w:t>–</w:t>
                        </w:r>
                        <w:r>
                          <w:rPr>
                            <w:sz w:val="22"/>
                          </w:rPr>
                          <w:t xml:space="preserve"> </w:t>
                        </w:r>
                      </w:p>
                    </w:tc>
                    <w:tc>
                      <w:tcPr>
                        <w:tcW w:w="1620" w:type="dxa"/>
                      </w:tcPr>
                      <w:p>
                        <w:pPr>
                          <w:ind w:right="-874"/>
                          <w:jc w:val="both"/>
                          <w:rPr>
                            <w:sz w:val="22"/>
                          </w:rPr>
                        </w:pPr>
                        <w:r>
                          <w:rPr>
                            <w:sz w:val="22"/>
                          </w:rPr>
                          <w:t>Mg</w:t>
                        </w:r>
                        <w:r>
                          <w:rPr>
                            <w:sz w:val="22"/>
                            <w:vertAlign w:val="superscript"/>
                          </w:rPr>
                          <w:t>2+</w:t>
                        </w:r>
                        <w:r>
                          <w:rPr>
                            <w:sz w:val="22"/>
                          </w:rPr>
                          <w:t xml:space="preserve"> </w:t>
                        </w:r>
                      </w:p>
                    </w:tc>
                    <w:tc>
                      <w:tcPr>
                        <w:tcW w:w="3420" w:type="dxa"/>
                      </w:tcPr>
                      <w:p>
                        <w:pPr>
                          <w:ind w:right="-874"/>
                          <w:jc w:val="both"/>
                          <w:rPr>
                            <w:sz w:val="22"/>
                          </w:rPr>
                        </w:pPr>
                        <w:r>
                          <w:rPr>
                            <w:sz w:val="22"/>
                          </w:rPr>
                          <w:t xml:space="preserve">organinė anglis (OC) </w:t>
                        </w:r>
                      </w:p>
                    </w:tc>
                  </w:tr>
                </w:tbl>
                <w:p>
                  <w:pPr>
                    <w:jc w:val="both"/>
                    <w:outlineLvl w:val="1"/>
                    <w:rPr>
                      <w:b/>
                      <w:bCs/>
                    </w:rPr>
                  </w:pPr>
                </w:p>
              </w:sdtContent>
            </w:sdt>
          </w:sdtContent>
        </w:sdt>
        <w:sdt>
          <w:sdtPr>
            <w:alias w:val="skyrius"/>
            <w:tag w:val="part_9d7f6ad54be8496fabfae94da7ff271f"/>
            <w:lock w:val="sdtLocked"/>
            <w:richText/>
          </w:sdtPr>
          <w:sdtContent>
            <w:p>
              <w:pPr>
                <w:jc w:val="center"/>
                <w:outlineLvl w:val="1"/>
                <w:rPr>
                  <w:b/>
                  <w:bCs/>
                  <w:caps/>
                </w:rPr>
              </w:pPr>
              <w:sdt>
                <w:sdtPr>
                  <w:alias w:val="Numeris"/>
                  <w:tag w:val="nr_9d7f6ad54be8496fabfae94da7ff271f"/>
                  <w:lock w:val="sdtLocked"/>
                  <w:richText/>
                </w:sdtPr>
                <w:sdtContent>
                  <w:r>
                    <w:rPr>
                      <w:b/>
                      <w:bCs/>
                      <w:caps/>
                    </w:rPr>
                    <w:t>III</w:t>
                  </w:r>
                </w:sdtContent>
              </w:sdt>
              <w:r>
                <w:rPr>
                  <w:b/>
                  <w:bCs/>
                  <w:caps/>
                </w:rPr>
                <w:t xml:space="preserve">. </w:t>
              </w:r>
              <w:sdt>
                <w:sdtPr>
                  <w:alias w:val="Pavadinimas"/>
                  <w:tag w:val="title_9d7f6ad54be8496fabfae94da7ff271f"/>
                  <w:lock w:val="sdtLocked"/>
                  <w:richText/>
                </w:sdtPr>
                <w:sdtContent>
                  <w:r>
                    <w:rPr>
                      <w:b/>
                      <w:bCs/>
                      <w:caps/>
                    </w:rPr>
                    <w:t>Vietos parinkimas</w:t>
                  </w:r>
                </w:sdtContent>
              </w:sdt>
            </w:p>
            <w:p/>
            <w:sdt>
              <w:sdtPr>
                <w:alias w:val="4 pr. 3 p."/>
                <w:tag w:val="part_139b29bf7edd4e71bf66992d9b4e8c3d"/>
                <w:lock w:val="sdtLocked"/>
                <w:richText/>
              </w:sdtPr>
              <w:sdtContent>
                <w:p>
                  <w:pPr>
                    <w:ind w:firstLine="567"/>
                    <w:jc w:val="both"/>
                  </w:pPr>
                  <w:sdt>
                    <w:sdtPr>
                      <w:alias w:val="Numeris"/>
                      <w:tag w:val="nr_139b29bf7edd4e71bf66992d9b4e8c3d"/>
                      <w:lock w:val="sdtLocked"/>
                      <w:richText/>
                    </w:sdtPr>
                    <w:sdtContent>
                      <w:r>
                        <w:t>3</w:t>
                      </w:r>
                    </w:sdtContent>
                  </w:sdt>
                  <w:r>
                    <w:t xml:space="preserve">. Matavimai visų pirma turėtų būti atliekami foninėse kaimo vietovėse pagal Tvarkos aprašo 3 priedo I, II ir III skyriuose išdėstytus reikalavimus. </w:t>
                  </w:r>
                </w:p>
                <w:p>
                  <w:pPr>
                    <w:ind w:right="-874"/>
                    <w:jc w:val="both"/>
                    <w:rPr>
                      <w:caps/>
                    </w:rPr>
                  </w:pPr>
                </w:p>
              </w:sdtContent>
            </w:sdt>
          </w:sdtContent>
        </w:sdt>
        <w:sdt>
          <w:sdtPr>
            <w:alias w:val="pabaiga"/>
            <w:tag w:val="part_df5fcb0e838646e7b8075f1662cc80c1"/>
            <w:lock w:val="sdtLocked"/>
            <w:richText/>
          </w:sdtPr>
          <w:sdtContent>
            <w:p>
              <w:pPr>
                <w:jc w:val="center"/>
                <w:rPr>
                  <w:caps/>
                </w:rPr>
              </w:pPr>
              <w:r>
                <w:rPr>
                  <w:caps/>
                </w:rPr>
                <w:t>_________________</w:t>
              </w:r>
            </w:p>
          </w:sdtContent>
        </w:sdt>
      </w:sdtContent>
    </w:sdt>
    <w:sdt>
      <w:sdtPr>
        <w:alias w:val="5 pr."/>
        <w:tag w:val="part_da4cabb5400d4e019482b4ef8ba181be"/>
        <w:lock w:val="sdtLocked"/>
        <w:richText/>
      </w:sdtPr>
      <w:sdtContent>
        <w:p>
          <w:pPr>
            <w:ind w:firstLine="5102"/>
          </w:pPr>
          <w:r>
            <w:br w:type="page"/>
          </w:r>
        </w:p>
        <w:p>
          <w:pPr>
            <w:ind w:firstLine="5102"/>
          </w:pPr>
          <w:r>
            <w:t xml:space="preserve">Aplinkos oro kokybės vertinimo tvarkos </w:t>
          </w:r>
        </w:p>
        <w:p>
          <w:pPr>
            <w:ind w:firstLine="5102"/>
          </w:pPr>
          <w:r>
            <w:t xml:space="preserve">aprašo </w:t>
          </w:r>
        </w:p>
        <w:p>
          <w:pPr>
            <w:ind w:firstLine="5102"/>
          </w:pPr>
          <w:sdt>
            <w:sdtPr>
              <w:alias w:val="Numeris"/>
              <w:tag w:val="nr_da4cabb5400d4e019482b4ef8ba181be"/>
              <w:lock w:val="sdtLocked"/>
              <w:richText/>
            </w:sdtPr>
            <w:sdtContent>
              <w:r>
                <w:t>5</w:t>
              </w:r>
            </w:sdtContent>
          </w:sdt>
          <w:r>
            <w:t xml:space="preserve"> priedas</w:t>
          </w:r>
        </w:p>
        <w:p>
          <w:pPr>
            <w:jc w:val="both"/>
          </w:pPr>
        </w:p>
        <w:p>
          <w:pPr>
            <w:jc w:val="center"/>
            <w:rPr>
              <w:b/>
              <w:bCs/>
              <w:caps/>
            </w:rPr>
          </w:pPr>
          <w:sdt>
            <w:sdtPr>
              <w:alias w:val="Pavadinimas"/>
              <w:tag w:val="title_da4cabb5400d4e019482b4ef8ba181be"/>
              <w:lock w:val="sdtLocked"/>
              <w:richText/>
            </w:sdtPr>
            <w:sdtContent>
              <w:r>
                <w:rPr>
                  <w:b/>
                  <w:bCs/>
                  <w:caps/>
                </w:rPr>
                <w:t>Aplinkos ore esančioS sieros dioksido, azoto dioksido ir azoto oksidų, kietųjų dalelių, švino, benzeno ir anglies monoksido koncentracijos fiksuotų matavimų ėminių ėmimo vietų mažiausio skaičiaus nustatymo kriterijai</w:t>
              </w:r>
            </w:sdtContent>
          </w:sdt>
        </w:p>
        <w:p>
          <w:pPr>
            <w:jc w:val="center"/>
            <w:rPr>
              <w:b/>
              <w:bCs/>
            </w:rPr>
          </w:pPr>
        </w:p>
        <w:sdt>
          <w:sdtPr>
            <w:alias w:val="skyrius"/>
            <w:tag w:val="part_d1d14da0d8f7439e99973b97c819d7cf"/>
            <w:lock w:val="sdtLocked"/>
            <w:richText/>
          </w:sdtPr>
          <w:sdtContent>
            <w:p>
              <w:pPr>
                <w:jc w:val="center"/>
                <w:rPr>
                  <w:b/>
                  <w:bCs/>
                  <w:caps/>
                </w:rPr>
              </w:pPr>
              <w:sdt>
                <w:sdtPr>
                  <w:alias w:val="Numeris"/>
                  <w:tag w:val="nr_d1d14da0d8f7439e99973b97c819d7cf"/>
                  <w:lock w:val="sdtLocked"/>
                  <w:richText/>
                </w:sdtPr>
                <w:sdtContent>
                  <w:r>
                    <w:rPr>
                      <w:b/>
                      <w:bCs/>
                      <w:caps/>
                    </w:rPr>
                    <w:t>I</w:t>
                  </w:r>
                </w:sdtContent>
              </w:sdt>
              <w:r>
                <w:rPr>
                  <w:b/>
                  <w:bCs/>
                  <w:caps/>
                </w:rPr>
                <w:t xml:space="preserve">. </w:t>
              </w:r>
              <w:sdt>
                <w:sdtPr>
                  <w:alias w:val="Pavadinimas"/>
                  <w:tag w:val="title_d1d14da0d8f7439e99973b97c819d7cf"/>
                  <w:lock w:val="sdtLocked"/>
                  <w:richText/>
                </w:sdtPr>
                <w:sdtContent>
                  <w:r>
                    <w:rPr>
                      <w:b/>
                      <w:bCs/>
                      <w:caps/>
                    </w:rPr>
                    <w:t>Mažiausias ėminių ėmimo vietų skaičius, reikalingas fiksuotiems matavimams atlikti, siekiant įvertinti, kaip laikomasi ribinių verčių, nustatytų žmonių sveikatos apsaugai, ir pavojaus slenksčių zonose ir aglomeracijose, kuriose matavimai yra vienintelis informacijos šaltinis</w:t>
                  </w:r>
                </w:sdtContent>
              </w:sdt>
            </w:p>
            <w:p>
              <w:pPr>
                <w:jc w:val="both"/>
                <w:rPr>
                  <w:bCs/>
                </w:rPr>
              </w:pPr>
            </w:p>
            <w:sdt>
              <w:sdtPr>
                <w:alias w:val="5 pr. 1 p."/>
                <w:tag w:val="part_77c14afac9df4fc19dcfc05246819d33"/>
                <w:lock w:val="sdtLocked"/>
                <w:richText/>
              </w:sdtPr>
              <w:sdtContent>
                <w:p>
                  <w:pPr>
                    <w:ind w:firstLine="567"/>
                    <w:jc w:val="both"/>
                  </w:pPr>
                  <w:sdt>
                    <w:sdtPr>
                      <w:alias w:val="Numeris"/>
                      <w:tag w:val="nr_77c14afac9df4fc19dcfc05246819d33"/>
                      <w:lock w:val="sdtLocked"/>
                      <w:richText/>
                    </w:sdtPr>
                    <w:sdtContent>
                      <w:r>
                        <w:t>1</w:t>
                      </w:r>
                    </w:sdtContent>
                  </w:sdt>
                  <w:r>
                    <w:t>. Pasklidieji taršos šaltiniai (Neorganizuoti (išsklaidytos) taršos šaltiniai)</w:t>
                  </w:r>
                </w:p>
                <w:p>
                  <w:pPr>
                    <w:jc w:val="both"/>
                    <w:rPr>
                      <w:iCs/>
                    </w:rPr>
                  </w:pPr>
                </w:p>
                <w:tbl>
                  <w:tblPr>
                    <w:tblW w:w="9288"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000" w:firstRow="0" w:lastRow="0" w:firstColumn="0" w:lastColumn="0" w:noHBand="0" w:noVBand="0"/>
                  </w:tblPr>
                  <w:tblGrid>
                    <w:gridCol w:w="2628"/>
                    <w:gridCol w:w="1440"/>
                    <w:gridCol w:w="1800"/>
                    <w:gridCol w:w="1620"/>
                    <w:gridCol w:w="1800"/>
                  </w:tblGrid>
                  <w:tr>
                    <w:tc>
                      <w:tcPr>
                        <w:tcW w:w="2628" w:type="dxa"/>
                        <w:vMerge w:val="restart"/>
                      </w:tcPr>
                      <w:p>
                        <w:pPr>
                          <w:jc w:val="center"/>
                          <w:rPr>
                            <w:sz w:val="22"/>
                          </w:rPr>
                        </w:pPr>
                        <w:r>
                          <w:rPr>
                            <w:sz w:val="22"/>
                          </w:rPr>
                          <w:t>Gyventojų skaičius aglomeracijoje arba zonoje, tūkstančiais</w:t>
                        </w:r>
                      </w:p>
                    </w:tc>
                    <w:tc>
                      <w:tcPr>
                        <w:tcW w:w="3240" w:type="dxa"/>
                        <w:gridSpan w:val="2"/>
                      </w:tcPr>
                      <w:p>
                        <w:pPr>
                          <w:jc w:val="center"/>
                          <w:rPr>
                            <w:sz w:val="22"/>
                          </w:rPr>
                        </w:pPr>
                        <w:r>
                          <w:rPr>
                            <w:sz w:val="22"/>
                          </w:rPr>
                          <w:t>Jeigu didžiausia koncentracija viršija viršutinę vertinimo ribą</w:t>
                        </w:r>
                        <w:r>
                          <w:rPr>
                            <w:sz w:val="22"/>
                            <w:vertAlign w:val="superscript"/>
                          </w:rPr>
                          <w:t>1</w:t>
                        </w:r>
                      </w:p>
                    </w:tc>
                    <w:tc>
                      <w:tcPr>
                        <w:tcW w:w="3420" w:type="dxa"/>
                        <w:gridSpan w:val="2"/>
                      </w:tcPr>
                      <w:p>
                        <w:pPr>
                          <w:jc w:val="center"/>
                          <w:rPr>
                            <w:sz w:val="22"/>
                          </w:rPr>
                        </w:pPr>
                        <w:r>
                          <w:rPr>
                            <w:sz w:val="22"/>
                          </w:rPr>
                          <w:t>Jeigu didžiausia koncentracija yra tarp viršutinės ir apatinės vertinimo ribos</w:t>
                        </w:r>
                      </w:p>
                    </w:tc>
                  </w:tr>
                  <w:tr>
                    <w:tc>
                      <w:tcPr>
                        <w:tcW w:w="2628" w:type="dxa"/>
                        <w:vMerge/>
                      </w:tcPr>
                      <w:p>
                        <w:pPr>
                          <w:jc w:val="center"/>
                          <w:rPr>
                            <w:sz w:val="22"/>
                          </w:rPr>
                        </w:pPr>
                      </w:p>
                    </w:tc>
                    <w:tc>
                      <w:tcPr>
                        <w:tcW w:w="1440" w:type="dxa"/>
                      </w:tcPr>
                      <w:p>
                        <w:pPr>
                          <w:jc w:val="center"/>
                          <w:rPr>
                            <w:sz w:val="22"/>
                          </w:rPr>
                        </w:pPr>
                        <w:r>
                          <w:rPr>
                            <w:sz w:val="22"/>
                          </w:rPr>
                          <w:t>Teršalai, išskyrus KD</w:t>
                        </w:r>
                      </w:p>
                    </w:tc>
                    <w:tc>
                      <w:tcPr>
                        <w:tcW w:w="1800" w:type="dxa"/>
                      </w:tcPr>
                      <w:p>
                        <w:pPr>
                          <w:jc w:val="center"/>
                          <w:rPr>
                            <w:sz w:val="22"/>
                            <w:vertAlign w:val="superscript"/>
                          </w:rPr>
                        </w:pPr>
                        <w:r>
                          <w:rPr>
                            <w:sz w:val="22"/>
                          </w:rPr>
                          <w:t>KD (KD</w:t>
                        </w:r>
                        <w:r>
                          <w:rPr>
                            <w:sz w:val="22"/>
                            <w:vertAlign w:val="subscript"/>
                          </w:rPr>
                          <w:t>10</w:t>
                        </w:r>
                        <w:r>
                          <w:rPr>
                            <w:sz w:val="22"/>
                          </w:rPr>
                          <w:t xml:space="preserve"> ir KD</w:t>
                        </w:r>
                        <w:r>
                          <w:rPr>
                            <w:sz w:val="22"/>
                            <w:vertAlign w:val="subscript"/>
                          </w:rPr>
                          <w:t xml:space="preserve">2,5 </w:t>
                        </w:r>
                        <w:r>
                          <w:rPr>
                            <w:sz w:val="22"/>
                          </w:rPr>
                          <w:t>suma)</w:t>
                        </w:r>
                        <w:r>
                          <w:rPr>
                            <w:sz w:val="22"/>
                            <w:vertAlign w:val="superscript"/>
                          </w:rPr>
                          <w:t>2</w:t>
                        </w:r>
                      </w:p>
                    </w:tc>
                    <w:tc>
                      <w:tcPr>
                        <w:tcW w:w="1620" w:type="dxa"/>
                      </w:tcPr>
                      <w:p>
                        <w:pPr>
                          <w:jc w:val="center"/>
                          <w:rPr>
                            <w:sz w:val="22"/>
                          </w:rPr>
                        </w:pPr>
                        <w:r>
                          <w:rPr>
                            <w:sz w:val="22"/>
                          </w:rPr>
                          <w:t>Teršalai, išskyrus KD</w:t>
                        </w:r>
                      </w:p>
                    </w:tc>
                    <w:tc>
                      <w:tcPr>
                        <w:tcW w:w="1800" w:type="dxa"/>
                      </w:tcPr>
                      <w:p>
                        <w:pPr>
                          <w:jc w:val="center"/>
                          <w:rPr>
                            <w:sz w:val="22"/>
                            <w:vertAlign w:val="superscript"/>
                          </w:rPr>
                        </w:pPr>
                        <w:r>
                          <w:rPr>
                            <w:sz w:val="22"/>
                          </w:rPr>
                          <w:t>KD (KD</w:t>
                        </w:r>
                        <w:r>
                          <w:rPr>
                            <w:sz w:val="22"/>
                            <w:vertAlign w:val="subscript"/>
                          </w:rPr>
                          <w:t>10</w:t>
                        </w:r>
                        <w:r>
                          <w:rPr>
                            <w:sz w:val="22"/>
                          </w:rPr>
                          <w:t xml:space="preserve"> ir KD</w:t>
                        </w:r>
                        <w:r>
                          <w:rPr>
                            <w:sz w:val="22"/>
                            <w:vertAlign w:val="subscript"/>
                          </w:rPr>
                          <w:t xml:space="preserve">2,5 </w:t>
                        </w:r>
                        <w:r>
                          <w:rPr>
                            <w:sz w:val="22"/>
                          </w:rPr>
                          <w:t>suma)</w:t>
                        </w:r>
                        <w:r>
                          <w:rPr>
                            <w:sz w:val="22"/>
                            <w:vertAlign w:val="superscript"/>
                          </w:rPr>
                          <w:t>2</w:t>
                        </w:r>
                      </w:p>
                    </w:tc>
                  </w:tr>
                  <w:tr>
                    <w:tc>
                      <w:tcPr>
                        <w:tcW w:w="2628" w:type="dxa"/>
                      </w:tcPr>
                      <w:p>
                        <w:pPr>
                          <w:jc w:val="center"/>
                          <w:rPr>
                            <w:sz w:val="22"/>
                          </w:rPr>
                        </w:pPr>
                        <w:r>
                          <w:rPr>
                            <w:sz w:val="22"/>
                          </w:rPr>
                          <w:t>0–249</w:t>
                        </w:r>
                      </w:p>
                    </w:tc>
                    <w:tc>
                      <w:tcPr>
                        <w:tcW w:w="1440" w:type="dxa"/>
                      </w:tcPr>
                      <w:p>
                        <w:pPr>
                          <w:jc w:val="center"/>
                          <w:rPr>
                            <w:sz w:val="22"/>
                          </w:rPr>
                        </w:pPr>
                        <w:r>
                          <w:rPr>
                            <w:sz w:val="22"/>
                          </w:rPr>
                          <w:t>1</w:t>
                        </w:r>
                      </w:p>
                    </w:tc>
                    <w:tc>
                      <w:tcPr>
                        <w:tcW w:w="1800" w:type="dxa"/>
                      </w:tcPr>
                      <w:p>
                        <w:pPr>
                          <w:jc w:val="center"/>
                          <w:rPr>
                            <w:sz w:val="22"/>
                          </w:rPr>
                        </w:pPr>
                        <w:r>
                          <w:rPr>
                            <w:sz w:val="22"/>
                          </w:rPr>
                          <w:t>2</w:t>
                        </w:r>
                      </w:p>
                    </w:tc>
                    <w:tc>
                      <w:tcPr>
                        <w:tcW w:w="1620" w:type="dxa"/>
                      </w:tcPr>
                      <w:p>
                        <w:pPr>
                          <w:jc w:val="center"/>
                          <w:rPr>
                            <w:sz w:val="22"/>
                          </w:rPr>
                        </w:pPr>
                        <w:r>
                          <w:rPr>
                            <w:sz w:val="22"/>
                          </w:rPr>
                          <w:t>1</w:t>
                        </w:r>
                      </w:p>
                    </w:tc>
                    <w:tc>
                      <w:tcPr>
                        <w:tcW w:w="1800" w:type="dxa"/>
                      </w:tcPr>
                      <w:p>
                        <w:pPr>
                          <w:jc w:val="center"/>
                          <w:rPr>
                            <w:sz w:val="22"/>
                          </w:rPr>
                        </w:pPr>
                        <w:r>
                          <w:rPr>
                            <w:sz w:val="22"/>
                          </w:rPr>
                          <w:t>1</w:t>
                        </w:r>
                      </w:p>
                    </w:tc>
                  </w:tr>
                  <w:tr>
                    <w:tc>
                      <w:tcPr>
                        <w:tcW w:w="2628" w:type="dxa"/>
                      </w:tcPr>
                      <w:p>
                        <w:pPr>
                          <w:jc w:val="center"/>
                          <w:rPr>
                            <w:sz w:val="22"/>
                          </w:rPr>
                        </w:pPr>
                        <w:r>
                          <w:rPr>
                            <w:sz w:val="22"/>
                          </w:rPr>
                          <w:t>250–499</w:t>
                        </w:r>
                      </w:p>
                    </w:tc>
                    <w:tc>
                      <w:tcPr>
                        <w:tcW w:w="1440" w:type="dxa"/>
                      </w:tcPr>
                      <w:p>
                        <w:pPr>
                          <w:jc w:val="center"/>
                          <w:rPr>
                            <w:sz w:val="22"/>
                          </w:rPr>
                        </w:pPr>
                        <w:r>
                          <w:rPr>
                            <w:sz w:val="22"/>
                          </w:rPr>
                          <w:t>2</w:t>
                        </w:r>
                      </w:p>
                    </w:tc>
                    <w:tc>
                      <w:tcPr>
                        <w:tcW w:w="1800" w:type="dxa"/>
                      </w:tcPr>
                      <w:p>
                        <w:pPr>
                          <w:jc w:val="center"/>
                          <w:rPr>
                            <w:sz w:val="22"/>
                          </w:rPr>
                        </w:pPr>
                        <w:r>
                          <w:rPr>
                            <w:sz w:val="22"/>
                          </w:rPr>
                          <w:t>3</w:t>
                        </w:r>
                      </w:p>
                    </w:tc>
                    <w:tc>
                      <w:tcPr>
                        <w:tcW w:w="1620" w:type="dxa"/>
                      </w:tcPr>
                      <w:p>
                        <w:pPr>
                          <w:jc w:val="center"/>
                          <w:rPr>
                            <w:sz w:val="22"/>
                          </w:rPr>
                        </w:pPr>
                        <w:r>
                          <w:rPr>
                            <w:sz w:val="22"/>
                          </w:rPr>
                          <w:t>1</w:t>
                        </w:r>
                      </w:p>
                    </w:tc>
                    <w:tc>
                      <w:tcPr>
                        <w:tcW w:w="1800" w:type="dxa"/>
                      </w:tcPr>
                      <w:p>
                        <w:pPr>
                          <w:jc w:val="center"/>
                          <w:rPr>
                            <w:sz w:val="22"/>
                          </w:rPr>
                        </w:pPr>
                        <w:r>
                          <w:rPr>
                            <w:sz w:val="22"/>
                          </w:rPr>
                          <w:t>2</w:t>
                        </w:r>
                      </w:p>
                    </w:tc>
                  </w:tr>
                  <w:tr>
                    <w:tc>
                      <w:tcPr>
                        <w:tcW w:w="2628" w:type="dxa"/>
                      </w:tcPr>
                      <w:p>
                        <w:pPr>
                          <w:jc w:val="center"/>
                          <w:rPr>
                            <w:sz w:val="22"/>
                          </w:rPr>
                        </w:pPr>
                        <w:r>
                          <w:rPr>
                            <w:sz w:val="22"/>
                          </w:rPr>
                          <w:t>500–749</w:t>
                        </w:r>
                      </w:p>
                    </w:tc>
                    <w:tc>
                      <w:tcPr>
                        <w:tcW w:w="1440" w:type="dxa"/>
                      </w:tcPr>
                      <w:p>
                        <w:pPr>
                          <w:jc w:val="center"/>
                          <w:rPr>
                            <w:sz w:val="22"/>
                          </w:rPr>
                        </w:pPr>
                        <w:r>
                          <w:rPr>
                            <w:sz w:val="22"/>
                          </w:rPr>
                          <w:t>2</w:t>
                        </w:r>
                      </w:p>
                    </w:tc>
                    <w:tc>
                      <w:tcPr>
                        <w:tcW w:w="1800" w:type="dxa"/>
                      </w:tcPr>
                      <w:p>
                        <w:pPr>
                          <w:jc w:val="center"/>
                          <w:rPr>
                            <w:sz w:val="22"/>
                          </w:rPr>
                        </w:pPr>
                        <w:r>
                          <w:rPr>
                            <w:sz w:val="22"/>
                          </w:rPr>
                          <w:t>3</w:t>
                        </w:r>
                      </w:p>
                    </w:tc>
                    <w:tc>
                      <w:tcPr>
                        <w:tcW w:w="1620" w:type="dxa"/>
                      </w:tcPr>
                      <w:p>
                        <w:pPr>
                          <w:jc w:val="center"/>
                          <w:rPr>
                            <w:sz w:val="22"/>
                          </w:rPr>
                        </w:pPr>
                        <w:r>
                          <w:rPr>
                            <w:sz w:val="22"/>
                          </w:rPr>
                          <w:t>1</w:t>
                        </w:r>
                      </w:p>
                    </w:tc>
                    <w:tc>
                      <w:tcPr>
                        <w:tcW w:w="1800" w:type="dxa"/>
                      </w:tcPr>
                      <w:p>
                        <w:pPr>
                          <w:jc w:val="center"/>
                          <w:rPr>
                            <w:sz w:val="22"/>
                          </w:rPr>
                        </w:pPr>
                        <w:r>
                          <w:rPr>
                            <w:sz w:val="22"/>
                          </w:rPr>
                          <w:t>2</w:t>
                        </w:r>
                      </w:p>
                    </w:tc>
                  </w:tr>
                  <w:tr>
                    <w:tc>
                      <w:tcPr>
                        <w:tcW w:w="2628" w:type="dxa"/>
                      </w:tcPr>
                      <w:p>
                        <w:pPr>
                          <w:jc w:val="center"/>
                          <w:rPr>
                            <w:sz w:val="22"/>
                          </w:rPr>
                        </w:pPr>
                        <w:r>
                          <w:rPr>
                            <w:sz w:val="22"/>
                          </w:rPr>
                          <w:t>750–999</w:t>
                        </w:r>
                      </w:p>
                    </w:tc>
                    <w:tc>
                      <w:tcPr>
                        <w:tcW w:w="1440" w:type="dxa"/>
                      </w:tcPr>
                      <w:p>
                        <w:pPr>
                          <w:jc w:val="center"/>
                          <w:rPr>
                            <w:sz w:val="22"/>
                          </w:rPr>
                        </w:pPr>
                        <w:r>
                          <w:rPr>
                            <w:sz w:val="22"/>
                          </w:rPr>
                          <w:t>3</w:t>
                        </w:r>
                      </w:p>
                    </w:tc>
                    <w:tc>
                      <w:tcPr>
                        <w:tcW w:w="1800" w:type="dxa"/>
                      </w:tcPr>
                      <w:p>
                        <w:pPr>
                          <w:jc w:val="center"/>
                          <w:rPr>
                            <w:sz w:val="22"/>
                          </w:rPr>
                        </w:pPr>
                        <w:r>
                          <w:rPr>
                            <w:sz w:val="22"/>
                          </w:rPr>
                          <w:t>4</w:t>
                        </w:r>
                      </w:p>
                    </w:tc>
                    <w:tc>
                      <w:tcPr>
                        <w:tcW w:w="1620" w:type="dxa"/>
                      </w:tcPr>
                      <w:p>
                        <w:pPr>
                          <w:jc w:val="center"/>
                          <w:rPr>
                            <w:sz w:val="22"/>
                          </w:rPr>
                        </w:pPr>
                        <w:r>
                          <w:rPr>
                            <w:sz w:val="22"/>
                          </w:rPr>
                          <w:t>1</w:t>
                        </w:r>
                      </w:p>
                    </w:tc>
                    <w:tc>
                      <w:tcPr>
                        <w:tcW w:w="1800" w:type="dxa"/>
                      </w:tcPr>
                      <w:p>
                        <w:pPr>
                          <w:jc w:val="center"/>
                          <w:rPr>
                            <w:sz w:val="22"/>
                          </w:rPr>
                        </w:pPr>
                        <w:r>
                          <w:rPr>
                            <w:sz w:val="22"/>
                          </w:rPr>
                          <w:t>2</w:t>
                        </w:r>
                      </w:p>
                    </w:tc>
                  </w:tr>
                  <w:tr>
                    <w:tc>
                      <w:tcPr>
                        <w:tcW w:w="2628" w:type="dxa"/>
                      </w:tcPr>
                      <w:p>
                        <w:pPr>
                          <w:jc w:val="center"/>
                          <w:rPr>
                            <w:sz w:val="22"/>
                          </w:rPr>
                        </w:pPr>
                        <w:r>
                          <w:rPr>
                            <w:sz w:val="22"/>
                          </w:rPr>
                          <w:t>1000–1499</w:t>
                        </w:r>
                      </w:p>
                    </w:tc>
                    <w:tc>
                      <w:tcPr>
                        <w:tcW w:w="1440" w:type="dxa"/>
                      </w:tcPr>
                      <w:p>
                        <w:pPr>
                          <w:jc w:val="center"/>
                          <w:rPr>
                            <w:sz w:val="22"/>
                          </w:rPr>
                        </w:pPr>
                        <w:r>
                          <w:rPr>
                            <w:sz w:val="22"/>
                          </w:rPr>
                          <w:t>4</w:t>
                        </w:r>
                      </w:p>
                    </w:tc>
                    <w:tc>
                      <w:tcPr>
                        <w:tcW w:w="1800" w:type="dxa"/>
                      </w:tcPr>
                      <w:p>
                        <w:pPr>
                          <w:jc w:val="center"/>
                          <w:rPr>
                            <w:sz w:val="22"/>
                          </w:rPr>
                        </w:pPr>
                        <w:r>
                          <w:rPr>
                            <w:sz w:val="22"/>
                          </w:rPr>
                          <w:t>6</w:t>
                        </w:r>
                      </w:p>
                    </w:tc>
                    <w:tc>
                      <w:tcPr>
                        <w:tcW w:w="1620" w:type="dxa"/>
                      </w:tcPr>
                      <w:p>
                        <w:pPr>
                          <w:jc w:val="center"/>
                          <w:rPr>
                            <w:sz w:val="22"/>
                          </w:rPr>
                        </w:pPr>
                        <w:r>
                          <w:rPr>
                            <w:sz w:val="22"/>
                          </w:rPr>
                          <w:t>2</w:t>
                        </w:r>
                      </w:p>
                    </w:tc>
                    <w:tc>
                      <w:tcPr>
                        <w:tcW w:w="1800" w:type="dxa"/>
                      </w:tcPr>
                      <w:p>
                        <w:pPr>
                          <w:jc w:val="center"/>
                          <w:rPr>
                            <w:sz w:val="22"/>
                          </w:rPr>
                        </w:pPr>
                        <w:r>
                          <w:rPr>
                            <w:sz w:val="22"/>
                          </w:rPr>
                          <w:t>3</w:t>
                        </w:r>
                      </w:p>
                    </w:tc>
                  </w:tr>
                  <w:tr>
                    <w:tc>
                      <w:tcPr>
                        <w:tcW w:w="2628" w:type="dxa"/>
                      </w:tcPr>
                      <w:p>
                        <w:pPr>
                          <w:jc w:val="center"/>
                          <w:rPr>
                            <w:sz w:val="22"/>
                          </w:rPr>
                        </w:pPr>
                        <w:r>
                          <w:rPr>
                            <w:sz w:val="22"/>
                          </w:rPr>
                          <w:t>1500–1999</w:t>
                        </w:r>
                      </w:p>
                    </w:tc>
                    <w:tc>
                      <w:tcPr>
                        <w:tcW w:w="1440" w:type="dxa"/>
                      </w:tcPr>
                      <w:p>
                        <w:pPr>
                          <w:jc w:val="center"/>
                          <w:rPr>
                            <w:sz w:val="22"/>
                          </w:rPr>
                        </w:pPr>
                        <w:r>
                          <w:rPr>
                            <w:sz w:val="22"/>
                          </w:rPr>
                          <w:t>5</w:t>
                        </w:r>
                      </w:p>
                    </w:tc>
                    <w:tc>
                      <w:tcPr>
                        <w:tcW w:w="1800" w:type="dxa"/>
                      </w:tcPr>
                      <w:p>
                        <w:pPr>
                          <w:jc w:val="center"/>
                          <w:rPr>
                            <w:sz w:val="22"/>
                          </w:rPr>
                        </w:pPr>
                        <w:r>
                          <w:rPr>
                            <w:sz w:val="22"/>
                          </w:rPr>
                          <w:t>7</w:t>
                        </w:r>
                      </w:p>
                    </w:tc>
                    <w:tc>
                      <w:tcPr>
                        <w:tcW w:w="1620" w:type="dxa"/>
                      </w:tcPr>
                      <w:p>
                        <w:pPr>
                          <w:jc w:val="center"/>
                          <w:rPr>
                            <w:sz w:val="22"/>
                          </w:rPr>
                        </w:pPr>
                        <w:r>
                          <w:rPr>
                            <w:sz w:val="22"/>
                          </w:rPr>
                          <w:t>2</w:t>
                        </w:r>
                      </w:p>
                    </w:tc>
                    <w:tc>
                      <w:tcPr>
                        <w:tcW w:w="1800" w:type="dxa"/>
                      </w:tcPr>
                      <w:p>
                        <w:pPr>
                          <w:jc w:val="center"/>
                          <w:rPr>
                            <w:sz w:val="22"/>
                          </w:rPr>
                        </w:pPr>
                        <w:r>
                          <w:rPr>
                            <w:sz w:val="22"/>
                          </w:rPr>
                          <w:t>3</w:t>
                        </w:r>
                      </w:p>
                    </w:tc>
                  </w:tr>
                  <w:tr>
                    <w:tc>
                      <w:tcPr>
                        <w:tcW w:w="2628" w:type="dxa"/>
                      </w:tcPr>
                      <w:p>
                        <w:pPr>
                          <w:jc w:val="center"/>
                          <w:rPr>
                            <w:sz w:val="22"/>
                          </w:rPr>
                        </w:pPr>
                        <w:r>
                          <w:rPr>
                            <w:sz w:val="22"/>
                          </w:rPr>
                          <w:t>2000–2749</w:t>
                        </w:r>
                      </w:p>
                    </w:tc>
                    <w:tc>
                      <w:tcPr>
                        <w:tcW w:w="1440" w:type="dxa"/>
                      </w:tcPr>
                      <w:p>
                        <w:pPr>
                          <w:jc w:val="center"/>
                          <w:rPr>
                            <w:sz w:val="22"/>
                          </w:rPr>
                        </w:pPr>
                        <w:r>
                          <w:rPr>
                            <w:sz w:val="22"/>
                          </w:rPr>
                          <w:t>6</w:t>
                        </w:r>
                      </w:p>
                    </w:tc>
                    <w:tc>
                      <w:tcPr>
                        <w:tcW w:w="1800" w:type="dxa"/>
                      </w:tcPr>
                      <w:p>
                        <w:pPr>
                          <w:jc w:val="center"/>
                          <w:rPr>
                            <w:sz w:val="22"/>
                          </w:rPr>
                        </w:pPr>
                        <w:r>
                          <w:rPr>
                            <w:sz w:val="22"/>
                          </w:rPr>
                          <w:t>8</w:t>
                        </w:r>
                      </w:p>
                    </w:tc>
                    <w:tc>
                      <w:tcPr>
                        <w:tcW w:w="1620" w:type="dxa"/>
                      </w:tcPr>
                      <w:p>
                        <w:pPr>
                          <w:jc w:val="center"/>
                          <w:rPr>
                            <w:sz w:val="22"/>
                          </w:rPr>
                        </w:pPr>
                        <w:r>
                          <w:rPr>
                            <w:sz w:val="22"/>
                          </w:rPr>
                          <w:t>3</w:t>
                        </w:r>
                      </w:p>
                    </w:tc>
                    <w:tc>
                      <w:tcPr>
                        <w:tcW w:w="1800" w:type="dxa"/>
                      </w:tcPr>
                      <w:p>
                        <w:pPr>
                          <w:jc w:val="center"/>
                          <w:rPr>
                            <w:sz w:val="22"/>
                          </w:rPr>
                        </w:pPr>
                        <w:r>
                          <w:rPr>
                            <w:sz w:val="22"/>
                          </w:rPr>
                          <w:t>4</w:t>
                        </w:r>
                      </w:p>
                    </w:tc>
                  </w:tr>
                  <w:tr>
                    <w:tc>
                      <w:tcPr>
                        <w:tcW w:w="2628" w:type="dxa"/>
                      </w:tcPr>
                      <w:p>
                        <w:pPr>
                          <w:jc w:val="center"/>
                          <w:rPr>
                            <w:sz w:val="22"/>
                          </w:rPr>
                        </w:pPr>
                        <w:r>
                          <w:rPr>
                            <w:sz w:val="22"/>
                          </w:rPr>
                          <w:t>2750–3749</w:t>
                        </w:r>
                      </w:p>
                    </w:tc>
                    <w:tc>
                      <w:tcPr>
                        <w:tcW w:w="1440" w:type="dxa"/>
                      </w:tcPr>
                      <w:p>
                        <w:pPr>
                          <w:jc w:val="center"/>
                          <w:rPr>
                            <w:sz w:val="22"/>
                          </w:rPr>
                        </w:pPr>
                        <w:r>
                          <w:rPr>
                            <w:sz w:val="22"/>
                          </w:rPr>
                          <w:t>7</w:t>
                        </w:r>
                      </w:p>
                    </w:tc>
                    <w:tc>
                      <w:tcPr>
                        <w:tcW w:w="1800" w:type="dxa"/>
                      </w:tcPr>
                      <w:p>
                        <w:pPr>
                          <w:jc w:val="center"/>
                          <w:rPr>
                            <w:sz w:val="22"/>
                          </w:rPr>
                        </w:pPr>
                        <w:r>
                          <w:rPr>
                            <w:sz w:val="22"/>
                          </w:rPr>
                          <w:t>10</w:t>
                        </w:r>
                      </w:p>
                    </w:tc>
                    <w:tc>
                      <w:tcPr>
                        <w:tcW w:w="1620" w:type="dxa"/>
                      </w:tcPr>
                      <w:p>
                        <w:pPr>
                          <w:jc w:val="center"/>
                          <w:rPr>
                            <w:sz w:val="22"/>
                          </w:rPr>
                        </w:pPr>
                        <w:r>
                          <w:rPr>
                            <w:sz w:val="22"/>
                          </w:rPr>
                          <w:t>3</w:t>
                        </w:r>
                      </w:p>
                    </w:tc>
                    <w:tc>
                      <w:tcPr>
                        <w:tcW w:w="1800" w:type="dxa"/>
                      </w:tcPr>
                      <w:p>
                        <w:pPr>
                          <w:jc w:val="center"/>
                          <w:rPr>
                            <w:sz w:val="22"/>
                          </w:rPr>
                        </w:pPr>
                        <w:r>
                          <w:rPr>
                            <w:sz w:val="22"/>
                          </w:rPr>
                          <w:t>4</w:t>
                        </w:r>
                      </w:p>
                    </w:tc>
                  </w:tr>
                  <w:tr>
                    <w:tc>
                      <w:tcPr>
                        <w:tcW w:w="2628" w:type="dxa"/>
                      </w:tcPr>
                      <w:p>
                        <w:pPr>
                          <w:jc w:val="center"/>
                          <w:rPr>
                            <w:sz w:val="22"/>
                          </w:rPr>
                        </w:pPr>
                        <w:r>
                          <w:rPr>
                            <w:sz w:val="22"/>
                          </w:rPr>
                          <w:t>3750–4749</w:t>
                        </w:r>
                      </w:p>
                    </w:tc>
                    <w:tc>
                      <w:tcPr>
                        <w:tcW w:w="1440" w:type="dxa"/>
                      </w:tcPr>
                      <w:p>
                        <w:pPr>
                          <w:jc w:val="center"/>
                          <w:rPr>
                            <w:sz w:val="22"/>
                          </w:rPr>
                        </w:pPr>
                        <w:r>
                          <w:rPr>
                            <w:sz w:val="22"/>
                          </w:rPr>
                          <w:t>8</w:t>
                        </w:r>
                      </w:p>
                    </w:tc>
                    <w:tc>
                      <w:tcPr>
                        <w:tcW w:w="1800" w:type="dxa"/>
                      </w:tcPr>
                      <w:p>
                        <w:pPr>
                          <w:jc w:val="center"/>
                          <w:rPr>
                            <w:sz w:val="22"/>
                          </w:rPr>
                        </w:pPr>
                        <w:r>
                          <w:rPr>
                            <w:sz w:val="22"/>
                          </w:rPr>
                          <w:t>11</w:t>
                        </w:r>
                      </w:p>
                    </w:tc>
                    <w:tc>
                      <w:tcPr>
                        <w:tcW w:w="1620" w:type="dxa"/>
                      </w:tcPr>
                      <w:p>
                        <w:pPr>
                          <w:jc w:val="center"/>
                          <w:rPr>
                            <w:sz w:val="22"/>
                          </w:rPr>
                        </w:pPr>
                        <w:r>
                          <w:rPr>
                            <w:sz w:val="22"/>
                          </w:rPr>
                          <w:t>3</w:t>
                        </w:r>
                      </w:p>
                    </w:tc>
                    <w:tc>
                      <w:tcPr>
                        <w:tcW w:w="1800" w:type="dxa"/>
                      </w:tcPr>
                      <w:p>
                        <w:pPr>
                          <w:jc w:val="center"/>
                          <w:rPr>
                            <w:sz w:val="22"/>
                          </w:rPr>
                        </w:pPr>
                        <w:r>
                          <w:rPr>
                            <w:sz w:val="22"/>
                          </w:rPr>
                          <w:t>6</w:t>
                        </w:r>
                      </w:p>
                    </w:tc>
                  </w:tr>
                  <w:tr>
                    <w:tc>
                      <w:tcPr>
                        <w:tcW w:w="2628" w:type="dxa"/>
                      </w:tcPr>
                      <w:p>
                        <w:pPr>
                          <w:jc w:val="center"/>
                          <w:rPr>
                            <w:sz w:val="22"/>
                          </w:rPr>
                        </w:pPr>
                        <w:r>
                          <w:rPr>
                            <w:sz w:val="22"/>
                          </w:rPr>
                          <w:t>4750–5999</w:t>
                        </w:r>
                      </w:p>
                    </w:tc>
                    <w:tc>
                      <w:tcPr>
                        <w:tcW w:w="1440" w:type="dxa"/>
                      </w:tcPr>
                      <w:p>
                        <w:pPr>
                          <w:jc w:val="center"/>
                          <w:rPr>
                            <w:sz w:val="22"/>
                          </w:rPr>
                        </w:pPr>
                        <w:r>
                          <w:rPr>
                            <w:sz w:val="22"/>
                          </w:rPr>
                          <w:t>9</w:t>
                        </w:r>
                      </w:p>
                    </w:tc>
                    <w:tc>
                      <w:tcPr>
                        <w:tcW w:w="1800" w:type="dxa"/>
                      </w:tcPr>
                      <w:p>
                        <w:pPr>
                          <w:jc w:val="center"/>
                          <w:rPr>
                            <w:sz w:val="22"/>
                          </w:rPr>
                        </w:pPr>
                        <w:r>
                          <w:rPr>
                            <w:sz w:val="22"/>
                          </w:rPr>
                          <w:t>13</w:t>
                        </w:r>
                      </w:p>
                    </w:tc>
                    <w:tc>
                      <w:tcPr>
                        <w:tcW w:w="1620" w:type="dxa"/>
                      </w:tcPr>
                      <w:p>
                        <w:pPr>
                          <w:jc w:val="center"/>
                          <w:rPr>
                            <w:sz w:val="22"/>
                          </w:rPr>
                        </w:pPr>
                        <w:r>
                          <w:rPr>
                            <w:sz w:val="22"/>
                          </w:rPr>
                          <w:t>4</w:t>
                        </w:r>
                      </w:p>
                    </w:tc>
                    <w:tc>
                      <w:tcPr>
                        <w:tcW w:w="1800" w:type="dxa"/>
                      </w:tcPr>
                      <w:p>
                        <w:pPr>
                          <w:jc w:val="center"/>
                          <w:rPr>
                            <w:sz w:val="22"/>
                          </w:rPr>
                        </w:pPr>
                        <w:r>
                          <w:rPr>
                            <w:sz w:val="22"/>
                          </w:rPr>
                          <w:t>6</w:t>
                        </w:r>
                      </w:p>
                    </w:tc>
                  </w:tr>
                  <w:tr>
                    <w:trPr>
                      <w:hidden/>
                    </w:trPr>
                    <w:tc>
                      <w:tcPr>
                        <w:tcW w:w="2628" w:type="dxa"/>
                      </w:tcPr>
                      <w:p>
                        <w:pPr>
                          <w:jc w:val="center"/>
                          <w:rPr>
                            <w:sz w:val="22"/>
                          </w:rPr>
                        </w:pPr>
                        <w:r>
                          <w:rPr>
                            <w:vanish/>
                            <w:sz w:val="22"/>
                            <w:lang w:val="en-US"/>
                          </w:rPr>
                          <w:t>&gt;</w:t>
                        </w:r>
                        <w:r>
                          <w:rPr>
                            <w:vanish/>
                            <w:sz w:val="22"/>
                            <w:lang w:val="ru-RU"/>
                          </w:rPr>
                          <w:t>=</w:t>
                        </w:r>
                        <w:r>
                          <w:rPr>
                            <w:sz w:val="22"/>
                          </w:rPr>
                          <w:t>? 6000</w:t>
                        </w:r>
                      </w:p>
                    </w:tc>
                    <w:tc>
                      <w:tcPr>
                        <w:tcW w:w="1440" w:type="dxa"/>
                      </w:tcPr>
                      <w:p>
                        <w:pPr>
                          <w:jc w:val="center"/>
                          <w:rPr>
                            <w:sz w:val="22"/>
                          </w:rPr>
                        </w:pPr>
                        <w:r>
                          <w:rPr>
                            <w:sz w:val="22"/>
                          </w:rPr>
                          <w:t>10</w:t>
                        </w:r>
                      </w:p>
                    </w:tc>
                    <w:tc>
                      <w:tcPr>
                        <w:tcW w:w="1800" w:type="dxa"/>
                      </w:tcPr>
                      <w:p>
                        <w:pPr>
                          <w:jc w:val="center"/>
                          <w:rPr>
                            <w:sz w:val="22"/>
                          </w:rPr>
                        </w:pPr>
                        <w:r>
                          <w:rPr>
                            <w:sz w:val="22"/>
                          </w:rPr>
                          <w:t>15</w:t>
                        </w:r>
                      </w:p>
                    </w:tc>
                    <w:tc>
                      <w:tcPr>
                        <w:tcW w:w="1620" w:type="dxa"/>
                      </w:tcPr>
                      <w:p>
                        <w:pPr>
                          <w:jc w:val="center"/>
                          <w:rPr>
                            <w:sz w:val="22"/>
                          </w:rPr>
                        </w:pPr>
                        <w:r>
                          <w:rPr>
                            <w:sz w:val="22"/>
                          </w:rPr>
                          <w:t>4</w:t>
                        </w:r>
                      </w:p>
                    </w:tc>
                    <w:tc>
                      <w:tcPr>
                        <w:tcW w:w="1800" w:type="dxa"/>
                      </w:tcPr>
                      <w:p>
                        <w:pPr>
                          <w:jc w:val="center"/>
                          <w:rPr>
                            <w:sz w:val="22"/>
                          </w:rPr>
                        </w:pPr>
                        <w:r>
                          <w:rPr>
                            <w:sz w:val="22"/>
                          </w:rPr>
                          <w:t>7</w:t>
                        </w:r>
                      </w:p>
                    </w:tc>
                  </w:tr>
                  <w:tr>
                    <w:trPr>
                      <w:cantSplit/>
                    </w:trPr>
                    <w:tc>
                      <w:tcPr>
                        <w:tcW w:w="9288" w:type="dxa"/>
                        <w:gridSpan w:val="5"/>
                      </w:tcPr>
                      <w:p>
                        <w:pPr>
                          <w:rPr>
                            <w:rFonts w:eastAsia="Arial Unicode MS"/>
                            <w:sz w:val="22"/>
                          </w:rPr>
                        </w:pPr>
                        <w:r>
                          <w:rPr>
                            <w:sz w:val="22"/>
                            <w:vertAlign w:val="superscript"/>
                          </w:rPr>
                          <w:t>1</w:t>
                        </w:r>
                        <w:r>
                          <w:rPr>
                            <w:sz w:val="22"/>
                          </w:rPr>
                          <w:t xml:space="preserve"> Azoto dioksidui, kietosioms dalelėms, benzenui ir anglies monoksidui turi būti mažiausiai viena miesto foninė monitoringo stotis ir viena užterštumo lygį dėl eismo matuojanti stotis, jeigu dėl to nepadidėja ėminių ėmimo vietų skaičius. Šiems teršalams bendras miesto foninių stočių skaičius ir bendras užterštumo lygį dėl eismo matuojančių stočių skaičius, kurio reikalaujama pagal šį skyrių, visoje šalyje neturi skirtis daugiau nei veiksniu 2. Turi būti išlaikomos ėminių ėmimo vietos, kuriose per paskutinius trejus metus buvo viršyta KD</w:t>
                        </w:r>
                        <w:r>
                          <w:rPr>
                            <w:sz w:val="22"/>
                            <w:vertAlign w:val="subscript"/>
                          </w:rPr>
                          <w:t>10</w:t>
                        </w:r>
                        <w:r>
                          <w:rPr>
                            <w:sz w:val="22"/>
                          </w:rPr>
                          <w:t xml:space="preserve"> ribinė vertė, nebent dėl ypatingų aplinkybių, ypač erdvinės plėtros, jas būtų būtina keisti.</w:t>
                        </w:r>
                      </w:p>
                      <w:p>
                        <w:pPr>
                          <w:rPr>
                            <w:sz w:val="22"/>
                          </w:rPr>
                        </w:pPr>
                      </w:p>
                      <w:p>
                        <w:pPr>
                          <w:rPr>
                            <w:sz w:val="22"/>
                          </w:rPr>
                        </w:pPr>
                        <w:r>
                          <w:rPr>
                            <w:sz w:val="22"/>
                            <w:vertAlign w:val="superscript"/>
                          </w:rPr>
                          <w:t>2</w:t>
                        </w:r>
                        <w:r>
                          <w:rPr>
                            <w:sz w:val="22"/>
                          </w:rPr>
                          <w:t xml:space="preserve"> Kai KD</w:t>
                        </w:r>
                        <w:r>
                          <w:rPr>
                            <w:sz w:val="22"/>
                            <w:vertAlign w:val="subscript"/>
                          </w:rPr>
                          <w:t>2,5</w:t>
                        </w:r>
                        <w:r>
                          <w:rPr>
                            <w:sz w:val="22"/>
                          </w:rPr>
                          <w:t xml:space="preserve"> ir KD</w:t>
                        </w:r>
                        <w:r>
                          <w:rPr>
                            <w:sz w:val="22"/>
                            <w:vertAlign w:val="subscript"/>
                          </w:rPr>
                          <w:t>10</w:t>
                        </w:r>
                        <w:r>
                          <w:rPr>
                            <w:sz w:val="22"/>
                          </w:rPr>
                          <w:t xml:space="preserve"> matuojami pagal Tvarkos aprašo 15 ir 16 punktus toje pačioje monitoringo stotyje, laikoma, kad yra dvi atskiros ėminių ėmimo vietos. Bendras KD</w:t>
                        </w:r>
                        <w:r>
                          <w:rPr>
                            <w:sz w:val="22"/>
                            <w:vertAlign w:val="subscript"/>
                          </w:rPr>
                          <w:t>2,5</w:t>
                        </w:r>
                        <w:r>
                          <w:rPr>
                            <w:sz w:val="22"/>
                          </w:rPr>
                          <w:t xml:space="preserve"> ir KD</w:t>
                        </w:r>
                        <w:r>
                          <w:rPr>
                            <w:sz w:val="22"/>
                            <w:vertAlign w:val="subscript"/>
                          </w:rPr>
                          <w:t>10</w:t>
                        </w:r>
                        <w:r>
                          <w:rPr>
                            <w:sz w:val="22"/>
                          </w:rPr>
                          <w:t xml:space="preserve"> ėminių ėmimo vietų skaičius pagal šį skyrių nustatytose ėminių ėmimo vietose visoje šalyje neturi skirtis daugiau nei veiksniu 2, o KD</w:t>
                        </w:r>
                        <w:r>
                          <w:rPr>
                            <w:sz w:val="22"/>
                            <w:vertAlign w:val="subscript"/>
                          </w:rPr>
                          <w:t>2,5</w:t>
                        </w:r>
                        <w:r>
                          <w:rPr>
                            <w:sz w:val="22"/>
                          </w:rPr>
                          <w:t xml:space="preserve"> ėminių ėmimo vietų skaičius aglomeracijų miesto foninėse vietovėse ir papildomose miestų vietovėse atitikti šio priedo II skyriaus reikalavimus. </w:t>
                        </w:r>
                      </w:p>
                    </w:tc>
                  </w:tr>
                </w:tbl>
                <w:p>
                  <w:pPr>
                    <w:ind w:right="180"/>
                    <w:jc w:val="both"/>
                  </w:pPr>
                </w:p>
              </w:sdtContent>
            </w:sdt>
            <w:sdt>
              <w:sdtPr>
                <w:alias w:val="5 pr. 2 p."/>
                <w:tag w:val="part_0f6ea398883649b5b2c14f34ca0a51e2"/>
                <w:lock w:val="sdtLocked"/>
                <w:richText/>
              </w:sdtPr>
              <w:sdtContent>
                <w:p>
                  <w:pPr>
                    <w:ind w:firstLine="567"/>
                    <w:jc w:val="both"/>
                  </w:pPr>
                  <w:sdt>
                    <w:sdtPr>
                      <w:alias w:val="Numeris"/>
                      <w:tag w:val="nr_0f6ea398883649b5b2c14f34ca0a51e2"/>
                      <w:lock w:val="sdtLocked"/>
                      <w:richText/>
                    </w:sdtPr>
                    <w:sdtContent>
                      <w:r>
                        <w:t>2</w:t>
                      </w:r>
                    </w:sdtContent>
                  </w:sdt>
                  <w:r>
                    <w:t>. Taškiniai taršos šaltiniai (Organizuoti (sutelktosios) taršos šaltiniai). Vertinant taršą organizuotų (sutelktosios) taršos šaltinių kaimynystėje, fiksuotų matavimų ėminių ėmimo vietų skaičius apskaičiuojamas atsižvelgiant į išmetimų tankį, tikėtinus aplinkos oro teršalų pasiskirstymo modelius ir galimą poveikį gyventojams.</w:t>
                  </w:r>
                </w:p>
                <w:p>
                  <w:pPr>
                    <w:jc w:val="both"/>
                    <w:rPr>
                      <w:b/>
                      <w:bCs/>
                    </w:rPr>
                  </w:pPr>
                </w:p>
              </w:sdtContent>
            </w:sdt>
          </w:sdtContent>
        </w:sdt>
        <w:sdt>
          <w:sdtPr>
            <w:alias w:val="skyrius"/>
            <w:tag w:val="part_6d0629d619414eedaf9015f434a0037a"/>
            <w:lock w:val="sdtLocked"/>
            <w:richText/>
          </w:sdtPr>
          <w:sdtContent>
            <w:p>
              <w:pPr>
                <w:jc w:val="center"/>
                <w:rPr>
                  <w:b/>
                  <w:bCs/>
                  <w:caps/>
                </w:rPr>
              </w:pPr>
              <w:sdt>
                <w:sdtPr>
                  <w:alias w:val="Numeris"/>
                  <w:tag w:val="nr_6d0629d619414eedaf9015f434a0037a"/>
                  <w:lock w:val="sdtLocked"/>
                  <w:richText/>
                </w:sdtPr>
                <w:sdtContent>
                  <w:r>
                    <w:rPr>
                      <w:b/>
                      <w:bCs/>
                      <w:caps/>
                    </w:rPr>
                    <w:t>II</w:t>
                  </w:r>
                </w:sdtContent>
              </w:sdt>
              <w:r>
                <w:rPr>
                  <w:b/>
                  <w:bCs/>
                  <w:caps/>
                </w:rPr>
                <w:t xml:space="preserve">. </w:t>
              </w:r>
              <w:sdt>
                <w:sdtPr>
                  <w:alias w:val="Pavadinimas"/>
                  <w:tag w:val="title_6d0629d619414eedaf9015f434a0037a"/>
                  <w:lock w:val="sdtLocked"/>
                  <w:richText/>
                </w:sdtPr>
                <w:sdtContent>
                  <w:r>
                    <w:rPr>
                      <w:b/>
                      <w:bCs/>
                      <w:caps/>
                    </w:rPr>
                    <w:t>Mažiausias ėminių ėmimo vietų, skirtų fiksuotiems matavimams, vertinant, kaip laikomasi nacionalinio KD</w:t>
                  </w:r>
                  <w:r>
                    <w:rPr>
                      <w:b/>
                      <w:bCs/>
                      <w:caps/>
                      <w:vertAlign w:val="subscript"/>
                    </w:rPr>
                    <w:t>2,5</w:t>
                  </w:r>
                  <w:r>
                    <w:rPr>
                      <w:b/>
                      <w:bCs/>
                      <w:caps/>
                    </w:rPr>
                    <w:t xml:space="preserve"> poveikio sumažinimo uždavinio, skaičius</w:t>
                  </w:r>
                </w:sdtContent>
              </w:sdt>
            </w:p>
            <w:p>
              <w:pPr>
                <w:jc w:val="both"/>
                <w:rPr>
                  <w:b/>
                  <w:bCs/>
                </w:rPr>
              </w:pPr>
            </w:p>
            <w:sdt>
              <w:sdtPr>
                <w:alias w:val="5 pr. 3 p."/>
                <w:tag w:val="part_662e16ae00914b38a1e0b2b0479ece09"/>
                <w:lock w:val="sdtLocked"/>
                <w:richText/>
              </w:sdtPr>
              <w:sdtContent>
                <w:p>
                  <w:pPr>
                    <w:ind w:firstLine="567"/>
                    <w:jc w:val="both"/>
                  </w:pPr>
                  <w:sdt>
                    <w:sdtPr>
                      <w:alias w:val="Numeris"/>
                      <w:tag w:val="nr_662e16ae00914b38a1e0b2b0479ece09"/>
                      <w:lock w:val="sdtLocked"/>
                      <w:richText/>
                    </w:sdtPr>
                    <w:sdtContent>
                      <w:r>
                        <w:t>3</w:t>
                      </w:r>
                    </w:sdtContent>
                  </w:sdt>
                  <w:r>
                    <w:t>. Šiam tikslui skiriama viena ėminių ėmimo vieta milijonui gyventojų, taikoma aglomeracijoms kartu su papildomomis miestų, kur gyvena daugiau nei 100 000 gyventojų, teritorijomis. Tokios ėminių ėmimo vietos gali sutapti su ėminių ėmimo vietomis pagal šio priedo I skyrių.</w:t>
                  </w:r>
                </w:p>
                <w:p>
                  <w:pPr>
                    <w:jc w:val="both"/>
                    <w:rPr>
                      <w:b/>
                      <w:bCs/>
                    </w:rPr>
                  </w:pPr>
                </w:p>
              </w:sdtContent>
            </w:sdt>
          </w:sdtContent>
        </w:sdt>
        <w:sdt>
          <w:sdtPr>
            <w:alias w:val="skyrius"/>
            <w:tag w:val="part_6eb5fa0425c840beb20a39f403554b0e"/>
            <w:lock w:val="sdtLocked"/>
            <w:richText/>
          </w:sdtPr>
          <w:sdtContent>
            <w:p>
              <w:pPr>
                <w:jc w:val="center"/>
                <w:rPr>
                  <w:b/>
                  <w:bCs/>
                  <w:caps/>
                </w:rPr>
              </w:pPr>
              <w:sdt>
                <w:sdtPr>
                  <w:alias w:val="Numeris"/>
                  <w:tag w:val="nr_6eb5fa0425c840beb20a39f403554b0e"/>
                  <w:lock w:val="sdtLocked"/>
                  <w:richText/>
                </w:sdtPr>
                <w:sdtContent>
                  <w:r>
                    <w:rPr>
                      <w:b/>
                      <w:bCs/>
                      <w:caps/>
                    </w:rPr>
                    <w:t>III</w:t>
                  </w:r>
                </w:sdtContent>
              </w:sdt>
              <w:r>
                <w:rPr>
                  <w:b/>
                  <w:bCs/>
                  <w:caps/>
                </w:rPr>
                <w:t>.</w:t>
              </w:r>
              <w:r>
                <w:rPr>
                  <w:caps/>
                </w:rPr>
                <w:t xml:space="preserve"> </w:t>
              </w:r>
              <w:sdt>
                <w:sdtPr>
                  <w:alias w:val="Pavadinimas"/>
                  <w:tag w:val="title_6eb5fa0425c840beb20a39f403554b0e"/>
                  <w:lock w:val="sdtLocked"/>
                  <w:richText/>
                </w:sdtPr>
                <w:sdtContent>
                  <w:r>
                    <w:rPr>
                      <w:b/>
                      <w:bCs/>
                      <w:caps/>
                    </w:rPr>
                    <w:t>Mažiausias ėminių ėmimo vietų, skirtų fiksuotiems matavimams, vertinant, kaip laikomasi ribinių verčių, nustatytų augmenijos apsaugai, zonose, išskyrus aglomeracijas, skaičius</w:t>
                  </w:r>
                </w:sdtContent>
              </w:sdt>
            </w:p>
            <w:p>
              <w:pPr>
                <w:jc w:val="both"/>
              </w:pPr>
            </w:p>
            <w:sdt>
              <w:sdtPr>
                <w:alias w:val="5 pr. 4 p."/>
                <w:tag w:val="part_1a96b5a0098d4284aa56d270cf298f3a"/>
                <w:lock w:val="sdtLocked"/>
                <w:richText/>
              </w:sdtPr>
              <w:sdtContent>
                <w:p>
                  <w:pPr>
                    <w:ind w:firstLine="567"/>
                    <w:jc w:val="both"/>
                  </w:pPr>
                  <w:sdt>
                    <w:sdtPr>
                      <w:alias w:val="Numeris"/>
                      <w:tag w:val="nr_1a96b5a0098d4284aa56d270cf298f3a"/>
                      <w:lock w:val="sdtLocked"/>
                      <w:richText/>
                    </w:sdtPr>
                    <w:sdtContent>
                      <w:r>
                        <w:t>4</w:t>
                      </w:r>
                    </w:sdtContent>
                  </w:sdt>
                  <w:r>
                    <w:t>. Mažiausias ėminių ėmimo vietų skaičius:</w:t>
                  </w:r>
                </w:p>
                <w:p>
                  <w:pPr>
                    <w:jc w:val="both"/>
                    <w:rPr>
                      <w:caps/>
                    </w:rPr>
                  </w:pPr>
                </w:p>
                <w:tbl>
                  <w:tblPr>
                    <w:tblW w:w="9180" w:type="dxa"/>
                    <w:tblInd w:w="108"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000" w:firstRow="0" w:lastRow="0" w:firstColumn="0" w:lastColumn="0" w:noHBand="0" w:noVBand="0"/>
                  </w:tblPr>
                  <w:tblGrid>
                    <w:gridCol w:w="4500"/>
                    <w:gridCol w:w="4680"/>
                  </w:tblGrid>
                  <w:tr>
                    <w:trPr>
                      <w:cantSplit/>
                    </w:trPr>
                    <w:tc>
                      <w:tcPr>
                        <w:tcW w:w="4500" w:type="dxa"/>
                      </w:tcPr>
                      <w:p>
                        <w:pPr>
                          <w:ind w:right="-108"/>
                          <w:jc w:val="center"/>
                          <w:rPr>
                            <w:sz w:val="22"/>
                          </w:rPr>
                        </w:pPr>
                        <w:r>
                          <w:rPr>
                            <w:sz w:val="22"/>
                          </w:rPr>
                          <w:t>Jeigu didžiausia koncentracija viršija viršutinę vertinimo ribą</w:t>
                        </w:r>
                      </w:p>
                    </w:tc>
                    <w:tc>
                      <w:tcPr>
                        <w:tcW w:w="4680" w:type="dxa"/>
                      </w:tcPr>
                      <w:p>
                        <w:pPr>
                          <w:ind w:right="-108"/>
                          <w:jc w:val="center"/>
                          <w:rPr>
                            <w:sz w:val="22"/>
                          </w:rPr>
                        </w:pPr>
                        <w:r>
                          <w:rPr>
                            <w:sz w:val="22"/>
                          </w:rPr>
                          <w:t>Jeigu didžiausiai koncentracija yra tarp viršutinės ir apatinės vertinimo ribos</w:t>
                        </w:r>
                      </w:p>
                    </w:tc>
                  </w:tr>
                  <w:tr>
                    <w:trPr>
                      <w:cantSplit/>
                    </w:trPr>
                    <w:tc>
                      <w:tcPr>
                        <w:tcW w:w="4500" w:type="dxa"/>
                      </w:tcPr>
                      <w:p>
                        <w:pPr>
                          <w:jc w:val="center"/>
                          <w:rPr>
                            <w:sz w:val="22"/>
                          </w:rPr>
                        </w:pPr>
                        <w:r>
                          <w:rPr>
                            <w:sz w:val="22"/>
                          </w:rPr>
                          <w:t>Viena stotis kas 20 000 km</w:t>
                        </w:r>
                        <w:r>
                          <w:rPr>
                            <w:sz w:val="22"/>
                            <w:vertAlign w:val="superscript"/>
                          </w:rPr>
                          <w:t>2</w:t>
                        </w:r>
                      </w:p>
                    </w:tc>
                    <w:tc>
                      <w:tcPr>
                        <w:tcW w:w="4680" w:type="dxa"/>
                      </w:tcPr>
                      <w:p>
                        <w:pPr>
                          <w:ind w:right="-108"/>
                          <w:jc w:val="center"/>
                          <w:rPr>
                            <w:sz w:val="22"/>
                          </w:rPr>
                        </w:pPr>
                        <w:r>
                          <w:rPr>
                            <w:sz w:val="22"/>
                          </w:rPr>
                          <w:t>Viena stotis kas 40 000 km</w:t>
                        </w:r>
                        <w:r>
                          <w:rPr>
                            <w:sz w:val="22"/>
                            <w:vertAlign w:val="superscript"/>
                          </w:rPr>
                          <w:t>2</w:t>
                        </w:r>
                      </w:p>
                    </w:tc>
                  </w:tr>
                </w:tbl>
                <w:p>
                  <w:pPr>
                    <w:jc w:val="both"/>
                  </w:pPr>
                </w:p>
              </w:sdtContent>
            </w:sdt>
            <w:sdt>
              <w:sdtPr>
                <w:alias w:val="5 pr. 5 p."/>
                <w:tag w:val="part_6aa8dfc716a04007a087ce1159e53217"/>
                <w:lock w:val="sdtLocked"/>
                <w:richText/>
              </w:sdtPr>
              <w:sdtContent>
                <w:p>
                  <w:pPr>
                    <w:ind w:firstLine="567"/>
                    <w:jc w:val="both"/>
                  </w:pPr>
                  <w:sdt>
                    <w:sdtPr>
                      <w:alias w:val="Numeris"/>
                      <w:tag w:val="nr_6aa8dfc716a04007a087ce1159e53217"/>
                      <w:lock w:val="sdtLocked"/>
                      <w:richText/>
                    </w:sdtPr>
                    <w:sdtContent>
                      <w:r>
                        <w:t>5</w:t>
                      </w:r>
                    </w:sdtContent>
                  </w:sdt>
                  <w:r>
                    <w:t>. Salų zonose fiksuotiems matavimams skirtų ėminių ėmimo vietų skaičius turėtų būti skaičiuojamas atsižvelgiant į galimus teršalų pasiskirstymo aplinkos ore modelius ir galimą poveikį augmenijai.</w:t>
                  </w:r>
                </w:p>
                <w:p>
                  <w:pPr>
                    <w:jc w:val="both"/>
                  </w:pPr>
                </w:p>
              </w:sdtContent>
            </w:sdt>
          </w:sdtContent>
        </w:sdt>
        <w:sdt>
          <w:sdtPr>
            <w:alias w:val="pabaiga"/>
            <w:tag w:val="part_6e79753d589e4af4a2b77dcb6ae778bd"/>
            <w:lock w:val="sdtLocked"/>
            <w:richText/>
          </w:sdtPr>
          <w:sdtContent>
            <w:p>
              <w:pPr>
                <w:jc w:val="center"/>
              </w:pPr>
              <w:r>
                <w:t>_________________</w:t>
              </w:r>
            </w:p>
          </w:sdtContent>
        </w:sdt>
      </w:sdtContent>
    </w:sdt>
    <w:sdt>
      <w:sdtPr>
        <w:alias w:val="6 pr."/>
        <w:tag w:val="part_2c661b7258504a47ab721cedf3e223cc"/>
        <w:lock w:val="sdtLocked"/>
        <w:richText/>
      </w:sdtPr>
      <w:sdtContent>
        <w:p>
          <w:pPr>
            <w:ind w:firstLine="5102"/>
          </w:pPr>
          <w:r>
            <w:br w:type="page"/>
          </w:r>
        </w:p>
        <w:p>
          <w:pPr>
            <w:ind w:firstLine="5102"/>
          </w:pPr>
          <w:r>
            <w:t xml:space="preserve">Aplinkos oro kokybės vertinimo tvarkos </w:t>
          </w:r>
        </w:p>
        <w:p>
          <w:pPr>
            <w:ind w:firstLine="5102"/>
          </w:pPr>
          <w:r>
            <w:t xml:space="preserve">aprašo </w:t>
          </w:r>
        </w:p>
        <w:p>
          <w:pPr>
            <w:ind w:firstLine="5102"/>
          </w:pPr>
          <w:sdt>
            <w:sdtPr>
              <w:alias w:val="Numeris"/>
              <w:tag w:val="nr_2c661b7258504a47ab721cedf3e223cc"/>
              <w:lock w:val="sdtLocked"/>
              <w:richText/>
            </w:sdtPr>
            <w:sdtContent>
              <w:r>
                <w:t>6</w:t>
              </w:r>
            </w:sdtContent>
          </w:sdt>
          <w:r>
            <w:t xml:space="preserve"> priedas</w:t>
          </w:r>
        </w:p>
        <w:p>
          <w:pPr>
            <w:jc w:val="both"/>
          </w:pPr>
        </w:p>
        <w:p>
          <w:pPr>
            <w:jc w:val="center"/>
            <w:rPr>
              <w:b/>
              <w:bCs/>
              <w:caps/>
            </w:rPr>
          </w:pPr>
          <w:sdt>
            <w:sdtPr>
              <w:alias w:val="Pavadinimas"/>
              <w:tag w:val="title_2c661b7258504a47ab721cedf3e223cc"/>
              <w:lock w:val="sdtLocked"/>
              <w:richText/>
            </w:sdtPr>
            <w:sdtContent>
              <w:r>
                <w:rPr>
                  <w:b/>
                  <w:bCs/>
                  <w:caps/>
                </w:rPr>
                <w:t>Sieros dioksido, azoto dioksido ir azoto oksidų, kietųjų dalelių, švino, benzeno, anglies monoksido ir ozono koncentracijos vertinimo pamatiniai metodai</w:t>
              </w:r>
            </w:sdtContent>
          </w:sdt>
        </w:p>
        <w:p>
          <w:pPr>
            <w:jc w:val="center"/>
            <w:outlineLvl w:val="1"/>
            <w:rPr>
              <w:b/>
              <w:bCs/>
              <w:caps/>
            </w:rPr>
          </w:pPr>
        </w:p>
        <w:sdt>
          <w:sdtPr>
            <w:alias w:val="skyrius"/>
            <w:tag w:val="part_4a547268d4594079a73f2b9fb3073c50"/>
            <w:lock w:val="sdtLocked"/>
            <w:richText/>
          </w:sdtPr>
          <w:sdtContent>
            <w:p>
              <w:pPr>
                <w:jc w:val="center"/>
                <w:outlineLvl w:val="1"/>
                <w:rPr>
                  <w:b/>
                  <w:bCs/>
                  <w:caps/>
                </w:rPr>
              </w:pPr>
              <w:sdt>
                <w:sdtPr>
                  <w:alias w:val="Numeris"/>
                  <w:tag w:val="nr_4a547268d4594079a73f2b9fb3073c50"/>
                  <w:lock w:val="sdtLocked"/>
                  <w:richText/>
                </w:sdtPr>
                <w:sdtContent>
                  <w:r>
                    <w:rPr>
                      <w:b/>
                      <w:bCs/>
                      <w:caps/>
                    </w:rPr>
                    <w:t>I</w:t>
                  </w:r>
                </w:sdtContent>
              </w:sdt>
              <w:r>
                <w:rPr>
                  <w:b/>
                  <w:bCs/>
                  <w:caps/>
                </w:rPr>
                <w:t xml:space="preserve">. </w:t>
              </w:r>
              <w:sdt>
                <w:sdtPr>
                  <w:alias w:val="Pavadinimas"/>
                  <w:tag w:val="title_4a547268d4594079a73f2b9fb3073c50"/>
                  <w:lock w:val="sdtLocked"/>
                  <w:richText/>
                </w:sdtPr>
                <w:sdtContent>
                  <w:r>
                    <w:rPr>
                      <w:b/>
                      <w:bCs/>
                      <w:caps/>
                    </w:rPr>
                    <w:t>Pamatiniai matavimo metodai</w:t>
                  </w:r>
                </w:sdtContent>
              </w:sdt>
            </w:p>
            <w:p>
              <w:pPr>
                <w:jc w:val="both"/>
                <w:rPr>
                  <w:bCs/>
                </w:rPr>
              </w:pPr>
            </w:p>
            <w:sdt>
              <w:sdtPr>
                <w:alias w:val="6 pr. 1 p."/>
                <w:tag w:val="part_f30ab01b40954f0597d795c6ea93fee0"/>
                <w:lock w:val="sdtLocked"/>
                <w:richText/>
              </w:sdtPr>
              <w:sdtContent>
                <w:p>
                  <w:pPr>
                    <w:ind w:firstLine="567"/>
                    <w:jc w:val="both"/>
                  </w:pPr>
                  <w:sdt>
                    <w:sdtPr>
                      <w:alias w:val="Numeris"/>
                      <w:tag w:val="nr_f30ab01b40954f0597d795c6ea93fee0"/>
                      <w:lock w:val="sdtLocked"/>
                      <w:richText/>
                    </w:sdtPr>
                    <w:sdtContent>
                      <w:r>
                        <w:t>1</w:t>
                      </w:r>
                    </w:sdtContent>
                  </w:sdt>
                  <w:r>
                    <w:t>. Sieros dioksido pamatinis matavimo metodas.</w:t>
                  </w:r>
                </w:p>
                <w:p>
                  <w:pPr>
                    <w:ind w:firstLine="567"/>
                    <w:jc w:val="both"/>
                  </w:pPr>
                  <w:r>
                    <w:t>Sieros dioksido pamatinis matavimo metodas aprašytas LST EN 14212:2005 „Aplinkos oro kokybė. Standartinis sieros dioksido koncentracijos matavimo metodas, taikant ultravioletinę fluorescenciją“.</w:t>
                  </w:r>
                </w:p>
              </w:sdtContent>
            </w:sdt>
            <w:sdt>
              <w:sdtPr>
                <w:alias w:val="6 pr. 2 p."/>
                <w:tag w:val="part_9c94a3dc4e09435cb9d39588aa17d0ad"/>
                <w:lock w:val="sdtLocked"/>
                <w:richText/>
              </w:sdtPr>
              <w:sdtContent>
                <w:p>
                  <w:pPr>
                    <w:ind w:firstLine="567"/>
                    <w:jc w:val="both"/>
                  </w:pPr>
                  <w:sdt>
                    <w:sdtPr>
                      <w:alias w:val="Numeris"/>
                      <w:tag w:val="nr_9c94a3dc4e09435cb9d39588aa17d0ad"/>
                      <w:lock w:val="sdtLocked"/>
                      <w:richText/>
                    </w:sdtPr>
                    <w:sdtContent>
                      <w:r>
                        <w:t>2</w:t>
                      </w:r>
                    </w:sdtContent>
                  </w:sdt>
                  <w:r>
                    <w:t>. Azoto dioksido ir azoto oksidų pamatinis matavimo metodas.</w:t>
                  </w:r>
                </w:p>
                <w:p>
                  <w:pPr>
                    <w:ind w:firstLine="567"/>
                    <w:jc w:val="both"/>
                  </w:pPr>
                  <w:r>
                    <w:t>Azoto dioksido ir azoto oksidų pamatinis matavimo metodas aprašytas LST EN 14211:2005 „Oro kokybė. Standartinis chemiliuminescencinis azoto dioksido ir azoto monoksido koncentracijos matavimo metodas“.</w:t>
                  </w:r>
                </w:p>
              </w:sdtContent>
            </w:sdt>
            <w:sdt>
              <w:sdtPr>
                <w:alias w:val="6 pr. 3 p."/>
                <w:tag w:val="part_1e9fa04a3f8848d8907b71ec306e950e"/>
                <w:lock w:val="sdtLocked"/>
                <w:richText/>
              </w:sdtPr>
              <w:sdtContent>
                <w:p>
                  <w:pPr>
                    <w:ind w:firstLine="567"/>
                    <w:jc w:val="both"/>
                  </w:pPr>
                  <w:sdt>
                    <w:sdtPr>
                      <w:alias w:val="Numeris"/>
                      <w:tag w:val="nr_1e9fa04a3f8848d8907b71ec306e950e"/>
                      <w:lock w:val="sdtLocked"/>
                      <w:richText/>
                    </w:sdtPr>
                    <w:sdtContent>
                      <w:r>
                        <w:t>3</w:t>
                      </w:r>
                    </w:sdtContent>
                  </w:sdt>
                  <w:r>
                    <w:t>. Švino pamatinis ėminių ėmimo ir matavimo metodas.</w:t>
                  </w:r>
                </w:p>
                <w:sdt>
                  <w:sdtPr>
                    <w:alias w:val="6 pr. 3.1 p."/>
                    <w:tag w:val="part_5fb275ef7c814d7094e92643a4b451d9"/>
                    <w:lock w:val="sdtLocked"/>
                    <w:richText/>
                  </w:sdtPr>
                  <w:sdtContent>
                    <w:p>
                      <w:pPr>
                        <w:ind w:firstLine="567"/>
                        <w:jc w:val="both"/>
                      </w:pPr>
                      <w:sdt>
                        <w:sdtPr>
                          <w:alias w:val="Numeris"/>
                          <w:tag w:val="nr_5fb275ef7c814d7094e92643a4b451d9"/>
                          <w:lock w:val="sdtLocked"/>
                          <w:richText/>
                        </w:sdtPr>
                        <w:sdtContent>
                          <w:r>
                            <w:t>3.1</w:t>
                          </w:r>
                        </w:sdtContent>
                      </w:sdt>
                      <w:r>
                        <w:t xml:space="preserve">. Švino pamatinis ėminių ėmimo metodas aprašytas šio skyriaus 4 punkte. </w:t>
                      </w:r>
                    </w:p>
                  </w:sdtContent>
                </w:sdt>
                <w:sdt>
                  <w:sdtPr>
                    <w:alias w:val="6 pr. 3.2 p."/>
                    <w:tag w:val="part_85c557cab18149cfa984c5cbb7948463"/>
                    <w:lock w:val="sdtLocked"/>
                    <w:richText/>
                  </w:sdtPr>
                  <w:sdtContent>
                    <w:p>
                      <w:pPr>
                        <w:ind w:firstLine="567"/>
                        <w:jc w:val="both"/>
                      </w:pPr>
                      <w:sdt>
                        <w:sdtPr>
                          <w:alias w:val="Numeris"/>
                          <w:tag w:val="nr_85c557cab18149cfa984c5cbb7948463"/>
                          <w:lock w:val="sdtLocked"/>
                          <w:richText/>
                        </w:sdtPr>
                        <w:sdtContent>
                          <w:r>
                            <w:t>3.2</w:t>
                          </w:r>
                        </w:sdtContent>
                      </w:sdt>
                      <w:r>
                        <w:t>. Švino pamatinis matavimo metodas yra aprašytas LST EN 14902:2005 „Oro kokybė. Ore skendinčiose KD</w:t>
                      </w:r>
                      <w:r>
                        <w:rPr>
                          <w:vertAlign w:val="subscript"/>
                        </w:rPr>
                        <w:t>10</w:t>
                      </w:r>
                      <w:r>
                        <w:t xml:space="preserve"> frakcijos kietosiose dalelėse esančių Pb, Cd, As ir Ni standartinis matavimo metodas“.</w:t>
                      </w:r>
                    </w:p>
                  </w:sdtContent>
                </w:sdt>
              </w:sdtContent>
            </w:sdt>
            <w:sdt>
              <w:sdtPr>
                <w:alias w:val="6 pr. 4 p."/>
                <w:tag w:val="part_7fdfc9f5a5474d6d9d80f56b17f73947"/>
                <w:lock w:val="sdtLocked"/>
                <w:richText/>
              </w:sdtPr>
              <w:sdtContent>
                <w:p>
                  <w:pPr>
                    <w:ind w:firstLine="567"/>
                    <w:jc w:val="both"/>
                  </w:pPr>
                  <w:sdt>
                    <w:sdtPr>
                      <w:alias w:val="Numeris"/>
                      <w:tag w:val="nr_7fdfc9f5a5474d6d9d80f56b17f73947"/>
                      <w:lock w:val="sdtLocked"/>
                      <w:richText/>
                    </w:sdtPr>
                    <w:sdtContent>
                      <w:r>
                        <w:t>4</w:t>
                      </w:r>
                    </w:sdtContent>
                  </w:sdt>
                  <w:r>
                    <w:t>. KD</w:t>
                  </w:r>
                  <w:r>
                    <w:rPr>
                      <w:vertAlign w:val="subscript"/>
                    </w:rPr>
                    <w:t>10</w:t>
                  </w:r>
                  <w:r>
                    <w:t xml:space="preserve"> pamatinis ėminių ėmimo ir matavimo metodas.</w:t>
                  </w:r>
                </w:p>
                <w:p>
                  <w:pPr>
                    <w:ind w:firstLine="567"/>
                    <w:jc w:val="both"/>
                  </w:pPr>
                  <w:r>
                    <w:t>KD</w:t>
                  </w:r>
                  <w:r>
                    <w:rPr>
                      <w:vertAlign w:val="subscript"/>
                    </w:rPr>
                    <w:t>10</w:t>
                  </w:r>
                  <w:r>
                    <w:t xml:space="preserve"> pamatinis ėminių ėmimo ir matavimo metodas aprašytas LST EN 12341:2000 „Oro kokybė. Ore skendinčių kietųjų dalelių KD</w:t>
                  </w:r>
                  <w:r>
                    <w:rPr>
                      <w:vertAlign w:val="subscript"/>
                    </w:rPr>
                    <w:t>10</w:t>
                  </w:r>
                  <w:r>
                    <w:t xml:space="preserve"> frakcijos nustatymas. Pamatinis metodas ir bandymų natūraliomis sąlygomis nustatymas, siekiant įrodyti rekomenduojamų matavimo metodų lygiavertiškumą“.</w:t>
                  </w:r>
                </w:p>
              </w:sdtContent>
            </w:sdt>
            <w:sdt>
              <w:sdtPr>
                <w:alias w:val="6 pr. 5 p."/>
                <w:tag w:val="part_445e31545e7540b5b63d3e486eabb286"/>
                <w:lock w:val="sdtLocked"/>
                <w:richText/>
              </w:sdtPr>
              <w:sdtContent>
                <w:p>
                  <w:pPr>
                    <w:ind w:firstLine="567"/>
                    <w:jc w:val="both"/>
                  </w:pPr>
                  <w:sdt>
                    <w:sdtPr>
                      <w:alias w:val="Numeris"/>
                      <w:tag w:val="nr_445e31545e7540b5b63d3e486eabb286"/>
                      <w:lock w:val="sdtLocked"/>
                      <w:richText/>
                    </w:sdtPr>
                    <w:sdtContent>
                      <w:r>
                        <w:t>5</w:t>
                      </w:r>
                    </w:sdtContent>
                  </w:sdt>
                  <w:r>
                    <w:t>. KD</w:t>
                  </w:r>
                  <w:r>
                    <w:rPr>
                      <w:vertAlign w:val="subscript"/>
                    </w:rPr>
                    <w:t>2,5</w:t>
                  </w:r>
                  <w:r>
                    <w:t xml:space="preserve"> pamatinis ėminių ėmimo ir matavimo metodas.</w:t>
                  </w:r>
                </w:p>
                <w:p>
                  <w:pPr>
                    <w:ind w:firstLine="567"/>
                    <w:jc w:val="both"/>
                  </w:pPr>
                  <w:r>
                    <w:t>KD</w:t>
                  </w:r>
                  <w:r>
                    <w:rPr>
                      <w:vertAlign w:val="subscript"/>
                    </w:rPr>
                    <w:t>2,5</w:t>
                  </w:r>
                  <w:r>
                    <w:rPr>
                      <w:b/>
                      <w:bCs/>
                    </w:rPr>
                    <w:t xml:space="preserve"> </w:t>
                  </w:r>
                  <w:r>
                    <w:t>pamatinis ėminių ėmimo ir matavimo metodas aprašytas LST EN 14907:2005 „Aplinkos oras. Pamatinis gravimetrinis matavimo metodas nustatyti ore skendinčių kietųjų dalelių KD</w:t>
                  </w:r>
                  <w:r>
                    <w:rPr>
                      <w:vertAlign w:val="subscript"/>
                    </w:rPr>
                    <w:t>2,5</w:t>
                  </w:r>
                  <w:r>
                    <w:rPr>
                      <w:b/>
                      <w:bCs/>
                    </w:rPr>
                    <w:t xml:space="preserve"> </w:t>
                  </w:r>
                  <w:r>
                    <w:t>masės frakciją“.</w:t>
                  </w:r>
                </w:p>
              </w:sdtContent>
            </w:sdt>
            <w:sdt>
              <w:sdtPr>
                <w:alias w:val="6 pr. 6 p."/>
                <w:tag w:val="part_f5db12858bc7459f82f21c7e2fbc854a"/>
                <w:lock w:val="sdtLocked"/>
                <w:richText/>
              </w:sdtPr>
              <w:sdtContent>
                <w:p>
                  <w:pPr>
                    <w:ind w:firstLine="567"/>
                    <w:jc w:val="both"/>
                  </w:pPr>
                  <w:sdt>
                    <w:sdtPr>
                      <w:alias w:val="Numeris"/>
                      <w:tag w:val="nr_f5db12858bc7459f82f21c7e2fbc854a"/>
                      <w:lock w:val="sdtLocked"/>
                      <w:richText/>
                    </w:sdtPr>
                    <w:sdtContent>
                      <w:r>
                        <w:t>6</w:t>
                      </w:r>
                    </w:sdtContent>
                  </w:sdt>
                  <w:r>
                    <w:t>. Benzeno pamatinis ėminių ėmimo ir matavimo metodas.</w:t>
                  </w:r>
                </w:p>
                <w:p>
                  <w:pPr>
                    <w:ind w:firstLine="567"/>
                    <w:jc w:val="both"/>
                    <w:rPr>
                      <w:shd w:val="clear" w:color="auto" w:fill="FF0000"/>
                    </w:rPr>
                  </w:pPr>
                  <w:r>
                    <w:t>Benzeno pamatinis matavimo metodas aprašytas LST EN 14662:2005 „Aplinkos oro kokybė. Standartinis benzeno koncentracijos matavimo metodas“ 1, 2 ir 3 dalyse (1 dalis. Siurbiamasis mėginių ėmimas, po kurio atliekama šiluminė desorbcija ir dujų chromatografija. 2 dalis. Siurbiamasis mėginių ėmimas, po kurio atliekama skystinė desorbcija ir dujų chromatografija. 3 dalis. Automatizuotas siurbiamasis mėginių ėmimas ir vietoje atliekama dujų chromatografija).</w:t>
                  </w:r>
                </w:p>
              </w:sdtContent>
            </w:sdt>
            <w:sdt>
              <w:sdtPr>
                <w:alias w:val="6 pr. 7 p."/>
                <w:tag w:val="part_f1744646e8974e17b8a097a7d50b66de"/>
                <w:lock w:val="sdtLocked"/>
                <w:richText/>
              </w:sdtPr>
              <w:sdtContent>
                <w:p>
                  <w:pPr>
                    <w:ind w:firstLine="567"/>
                    <w:jc w:val="both"/>
                  </w:pPr>
                  <w:sdt>
                    <w:sdtPr>
                      <w:alias w:val="Numeris"/>
                      <w:tag w:val="nr_f1744646e8974e17b8a097a7d50b66de"/>
                      <w:lock w:val="sdtLocked"/>
                      <w:richText/>
                    </w:sdtPr>
                    <w:sdtContent>
                      <w:r>
                        <w:t>7</w:t>
                      </w:r>
                    </w:sdtContent>
                  </w:sdt>
                  <w:r>
                    <w:t>. Anglies monoksido pamatinis matavimo metodas.</w:t>
                  </w:r>
                </w:p>
                <w:p>
                  <w:pPr>
                    <w:ind w:firstLine="567"/>
                    <w:jc w:val="both"/>
                  </w:pPr>
                  <w:r>
                    <w:t>Anglies monoksido pamatinis matavimo metodas aprašytas LST EN 14626:2005 „Oro kokybė. Standartinis anglies monoksido koncentracijos matavimo metodas, taikant nedirspersinę infraraudonąją spektroskopiją“.</w:t>
                  </w:r>
                </w:p>
              </w:sdtContent>
            </w:sdt>
            <w:sdt>
              <w:sdtPr>
                <w:alias w:val="6 pr. 8 p."/>
                <w:tag w:val="part_e7bc8ad584644aa884bbcf303b14f4d9"/>
                <w:lock w:val="sdtLocked"/>
                <w:richText/>
              </w:sdtPr>
              <w:sdtContent>
                <w:p>
                  <w:pPr>
                    <w:ind w:firstLine="567"/>
                    <w:jc w:val="both"/>
                  </w:pPr>
                  <w:sdt>
                    <w:sdtPr>
                      <w:alias w:val="Numeris"/>
                      <w:tag w:val="nr_e7bc8ad584644aa884bbcf303b14f4d9"/>
                      <w:lock w:val="sdtLocked"/>
                      <w:richText/>
                    </w:sdtPr>
                    <w:sdtContent>
                      <w:r>
                        <w:t>8</w:t>
                      </w:r>
                    </w:sdtContent>
                  </w:sdt>
                  <w:r>
                    <w:t>. Ozono pamatinis matavimo metodas.</w:t>
                  </w:r>
                </w:p>
                <w:p>
                  <w:pPr>
                    <w:tabs>
                      <w:tab w:val="left" w:pos="9180"/>
                    </w:tabs>
                    <w:ind w:firstLine="567"/>
                    <w:jc w:val="both"/>
                  </w:pPr>
                  <w:r>
                    <w:t>Ozono pamatinis matavimo metodas aprašytas LST EN 14625:2005 „Oro kokybė. Standartinis ozono koncentracijos matavimo metodas, taikant ultravioletinę fotometriją“.</w:t>
                  </w:r>
                </w:p>
                <w:p>
                  <w:pPr>
                    <w:tabs>
                      <w:tab w:val="left" w:pos="9180"/>
                    </w:tabs>
                    <w:ind w:firstLine="567"/>
                    <w:jc w:val="both"/>
                  </w:pPr>
                </w:p>
              </w:sdtContent>
            </w:sdt>
          </w:sdtContent>
        </w:sdt>
        <w:sdt>
          <w:sdtPr>
            <w:alias w:val="skyrius"/>
            <w:tag w:val="part_6397a0f760c74939907ad777d8e696db"/>
            <w:lock w:val="sdtLocked"/>
            <w:richText/>
          </w:sdtPr>
          <w:sdtContent>
            <w:p>
              <w:pPr>
                <w:jc w:val="center"/>
                <w:outlineLvl w:val="1"/>
                <w:rPr>
                  <w:b/>
                  <w:bCs/>
                  <w:caps/>
                </w:rPr>
              </w:pPr>
              <w:sdt>
                <w:sdtPr>
                  <w:alias w:val="Numeris"/>
                  <w:tag w:val="nr_6397a0f760c74939907ad777d8e696db"/>
                  <w:lock w:val="sdtLocked"/>
                  <w:richText/>
                </w:sdtPr>
                <w:sdtContent>
                  <w:r>
                    <w:rPr>
                      <w:b/>
                      <w:bCs/>
                      <w:caps/>
                    </w:rPr>
                    <w:t>II</w:t>
                  </w:r>
                </w:sdtContent>
              </w:sdt>
              <w:r>
                <w:rPr>
                  <w:b/>
                  <w:bCs/>
                  <w:caps/>
                </w:rPr>
                <w:t xml:space="preserve">. </w:t>
              </w:r>
              <w:sdt>
                <w:sdtPr>
                  <w:alias w:val="Pavadinimas"/>
                  <w:tag w:val="title_6397a0f760c74939907ad777d8e696db"/>
                  <w:lock w:val="sdtLocked"/>
                  <w:richText/>
                </w:sdtPr>
                <w:sdtContent>
                  <w:r>
                    <w:rPr>
                      <w:b/>
                      <w:bCs/>
                      <w:caps/>
                    </w:rPr>
                    <w:t>Lygiavertiškumo įrodymas</w:t>
                  </w:r>
                </w:sdtContent>
              </w:sdt>
            </w:p>
            <w:p>
              <w:pPr>
                <w:ind w:firstLine="567"/>
                <w:jc w:val="both"/>
              </w:pPr>
            </w:p>
            <w:sdt>
              <w:sdtPr>
                <w:alias w:val="6 pr. 9 p."/>
                <w:tag w:val="part_b39957aff9194890b88b5de532db684c"/>
                <w:lock w:val="sdtLocked"/>
                <w:richText/>
              </w:sdtPr>
              <w:sdtContent>
                <w:p>
                  <w:pPr>
                    <w:ind w:firstLine="567"/>
                    <w:jc w:val="both"/>
                  </w:pPr>
                  <w:sdt>
                    <w:sdtPr>
                      <w:alias w:val="Numeris"/>
                      <w:tag w:val="nr_b39957aff9194890b88b5de532db684c"/>
                      <w:lock w:val="sdtLocked"/>
                      <w:richText/>
                    </w:sdtPr>
                    <w:sdtContent>
                      <w:r>
                        <w:t>9</w:t>
                      </w:r>
                    </w:sdtContent>
                  </w:sdt>
                  <w:r>
                    <w:t>. Galima naudoti bet kokį kitą metodą, jeigu galima įrodyti to metodo rezultatų lygiavertiškumą bet kuriam iš šio priedo I dalyje nurodytų metodų, arba kietųjų dalelių atveju – bet kurį kitą metodą, jeigu galima įrodyti tą metodą turint nuoseklų ryšį su pamatiniu metodu. Taikant kitą metodą gauti rezultatai turi būti koreguojami, kad būtų lygiaverčiai tiems, kurie būtų gauti naudojant pamatinį metodą.</w:t>
                  </w:r>
                </w:p>
              </w:sdtContent>
            </w:sdt>
            <w:sdt>
              <w:sdtPr>
                <w:alias w:val="6 pr. 10 p."/>
                <w:tag w:val="part_2609b3f6620d4ddba774b963eeadfc9f"/>
                <w:lock w:val="sdtLocked"/>
                <w:richText/>
              </w:sdtPr>
              <w:sdtContent>
                <w:p>
                  <w:pPr>
                    <w:ind w:firstLine="567"/>
                    <w:jc w:val="both"/>
                  </w:pPr>
                  <w:sdt>
                    <w:sdtPr>
                      <w:alias w:val="Numeris"/>
                      <w:tag w:val="nr_2609b3f6620d4ddba774b963eeadfc9f"/>
                      <w:lock w:val="sdtLocked"/>
                      <w:richText/>
                    </w:sdtPr>
                    <w:sdtContent>
                      <w:r>
                        <w:t>10</w:t>
                      </w:r>
                    </w:sdtContent>
                  </w:sdt>
                  <w:r>
                    <w:t>. Komisija gali paprašyti parengti ir pateikti ataskaitą dėl lygiavertiškumo įrodymo.</w:t>
                  </w:r>
                </w:p>
              </w:sdtContent>
            </w:sdt>
            <w:sdt>
              <w:sdtPr>
                <w:alias w:val="6 pr. 11 p."/>
                <w:tag w:val="part_b44cac8be4c14b0683f9d0f6eb547de8"/>
                <w:lock w:val="sdtLocked"/>
                <w:richText/>
              </w:sdtPr>
              <w:sdtContent>
                <w:p>
                  <w:pPr>
                    <w:ind w:firstLine="567"/>
                    <w:jc w:val="both"/>
                    <w:rPr>
                      <w:i/>
                      <w:iCs/>
                    </w:rPr>
                  </w:pPr>
                  <w:sdt>
                    <w:sdtPr>
                      <w:alias w:val="Numeris"/>
                      <w:tag w:val="nr_b44cac8be4c14b0683f9d0f6eb547de8"/>
                      <w:lock w:val="sdtLocked"/>
                      <w:richText/>
                    </w:sdtPr>
                    <w:sdtContent>
                      <w:r>
                        <w:t>11</w:t>
                      </w:r>
                    </w:sdtContent>
                  </w:sdt>
                  <w:r>
                    <w:t>. Lygiavertiškumo įrodymo</w:t>
                  </w:r>
                  <w:r>
                    <w:rPr>
                      <w:color w:val="800000"/>
                    </w:rPr>
                    <w:t xml:space="preserve"> </w:t>
                  </w:r>
                  <w:r>
                    <w:t xml:space="preserve">ataskaitos priimtinumą Komisija vertina vadovaudamasi gairėmis dėl lygiavertiškumo įrodymo (bus paskelbtos). Šiomis gairėmis turi būti vadovaujamasi ir rengiant ataskaitas dėl lygiavertiškumo įrodymo, lygiavertiškumą užtikrinančių preliminarių koeficientų patvirtinimui ir (arba) pakeitimui. </w:t>
                  </w:r>
                </w:p>
              </w:sdtContent>
            </w:sdt>
            <w:sdt>
              <w:sdtPr>
                <w:alias w:val="6 pr. 12 p."/>
                <w:tag w:val="part_d586b1a60bf545d5927c1d5b8878b5c5"/>
                <w:lock w:val="sdtLocked"/>
                <w:richText/>
              </w:sdtPr>
              <w:sdtContent>
                <w:p>
                  <w:pPr>
                    <w:ind w:firstLine="567"/>
                    <w:jc w:val="both"/>
                  </w:pPr>
                  <w:sdt>
                    <w:sdtPr>
                      <w:alias w:val="Numeris"/>
                      <w:tag w:val="nr_d586b1a60bf545d5927c1d5b8878b5c5"/>
                      <w:lock w:val="sdtLocked"/>
                      <w:richText/>
                    </w:sdtPr>
                    <w:sdtContent>
                      <w:r>
                        <w:t>12</w:t>
                      </w:r>
                    </w:sdtContent>
                  </w:sdt>
                  <w:r>
                    <w:t>. Turėtų būti užtikrinama, kad, kai tikslinga, siekiant geresnio duomenų palyginamumo, pataisos būtų taikomos ir atgaline data ankstesniems matavimų duomenims.</w:t>
                  </w:r>
                </w:p>
                <w:p>
                  <w:pPr>
                    <w:ind w:firstLine="567"/>
                    <w:jc w:val="both"/>
                    <w:outlineLvl w:val="1"/>
                    <w:rPr>
                      <w:b/>
                      <w:bCs/>
                      <w:caps/>
                    </w:rPr>
                  </w:pPr>
                </w:p>
              </w:sdtContent>
            </w:sdt>
          </w:sdtContent>
        </w:sdt>
        <w:sdt>
          <w:sdtPr>
            <w:alias w:val="skyrius"/>
            <w:tag w:val="part_6e96cb0689044fa6ab9d39ef802d836f"/>
            <w:lock w:val="sdtLocked"/>
            <w:richText/>
          </w:sdtPr>
          <w:sdtContent>
            <w:p>
              <w:pPr>
                <w:jc w:val="center"/>
                <w:outlineLvl w:val="1"/>
                <w:rPr>
                  <w:b/>
                  <w:bCs/>
                  <w:caps/>
                </w:rPr>
              </w:pPr>
              <w:sdt>
                <w:sdtPr>
                  <w:alias w:val="Numeris"/>
                  <w:tag w:val="nr_6e96cb0689044fa6ab9d39ef802d836f"/>
                  <w:lock w:val="sdtLocked"/>
                  <w:richText/>
                </w:sdtPr>
                <w:sdtContent>
                  <w:r>
                    <w:rPr>
                      <w:b/>
                      <w:bCs/>
                      <w:caps/>
                    </w:rPr>
                    <w:t>III</w:t>
                  </w:r>
                </w:sdtContent>
              </w:sdt>
              <w:r>
                <w:rPr>
                  <w:b/>
                  <w:bCs/>
                  <w:caps/>
                </w:rPr>
                <w:t xml:space="preserve">. </w:t>
              </w:r>
              <w:sdt>
                <w:sdtPr>
                  <w:alias w:val="Pavadinimas"/>
                  <w:tag w:val="title_6e96cb0689044fa6ab9d39ef802d836f"/>
                  <w:lock w:val="sdtLocked"/>
                  <w:richText/>
                </w:sdtPr>
                <w:sdtContent>
                  <w:r>
                    <w:rPr>
                      <w:b/>
                      <w:bCs/>
                      <w:caps/>
                    </w:rPr>
                    <w:t>Standartizavimas</w:t>
                  </w:r>
                </w:sdtContent>
              </w:sdt>
            </w:p>
            <w:p>
              <w:pPr>
                <w:ind w:firstLine="567"/>
                <w:jc w:val="both"/>
              </w:pPr>
            </w:p>
            <w:sdt>
              <w:sdtPr>
                <w:alias w:val="6 pr. 13 p."/>
                <w:tag w:val="part_9ca336af080b4b26a218c61191cd79e9"/>
                <w:lock w:val="sdtLocked"/>
                <w:richText/>
              </w:sdtPr>
              <w:sdtContent>
                <w:p>
                  <w:pPr>
                    <w:ind w:firstLine="567"/>
                    <w:jc w:val="both"/>
                  </w:pPr>
                  <w:sdt>
                    <w:sdtPr>
                      <w:alias w:val="Numeris"/>
                      <w:tag w:val="nr_9ca336af080b4b26a218c61191cd79e9"/>
                      <w:lock w:val="sdtLocked"/>
                      <w:richText/>
                    </w:sdtPr>
                    <w:sdtContent>
                      <w:r>
                        <w:t>13</w:t>
                      </w:r>
                    </w:sdtContent>
                  </w:sdt>
                  <w:r>
                    <w:t>. Dujinių teršalų tūrį reikia standartizuoti 293 K temperatūroje ir esant 101,3 kPa atmosferiniam slėgiui. Kietųjų dalelių ir medžiagų, analizuojamų kietosiose dalelėse (pvz., švinas), ėminių tūris nurodomas matavimų atlikimo dieną buvusiomis aplinkos (temperatūra ir atmosferos slėgis) sąlygomis.</w:t>
                  </w:r>
                </w:p>
                <w:p>
                  <w:pPr>
                    <w:jc w:val="both"/>
                  </w:pPr>
                </w:p>
              </w:sdtContent>
            </w:sdt>
          </w:sdtContent>
        </w:sdt>
        <w:sdt>
          <w:sdtPr>
            <w:alias w:val="pabaiga"/>
            <w:tag w:val="part_4ec23425d1844905ab3bb57635d3be29"/>
            <w:lock w:val="sdtLocked"/>
            <w:richText/>
          </w:sdtPr>
          <w:sdtContent>
            <w:p>
              <w:pPr>
                <w:jc w:val="center"/>
              </w:pPr>
              <w:r>
                <w:t>_________________</w:t>
              </w:r>
            </w:p>
          </w:sdtContent>
        </w:sdt>
      </w:sdtContent>
    </w:sdt>
    <w:sdt>
      <w:sdtPr>
        <w:alias w:val="7 pr."/>
        <w:tag w:val="part_577c357d83964c92b32b58103c96e58b"/>
        <w:lock w:val="sdtLocked"/>
        <w:richText/>
      </w:sdtPr>
      <w:sdtContent>
        <w:p>
          <w:pPr>
            <w:ind w:firstLine="5102"/>
          </w:pPr>
          <w:r>
            <w:br w:type="page"/>
          </w:r>
        </w:p>
        <w:p>
          <w:pPr>
            <w:ind w:firstLine="5102"/>
          </w:pPr>
          <w:r>
            <w:t xml:space="preserve">Aplinkos oro kokybės vertinimo tvarkos </w:t>
          </w:r>
        </w:p>
        <w:p>
          <w:pPr>
            <w:ind w:firstLine="5102"/>
          </w:pPr>
          <w:r>
            <w:t xml:space="preserve">aprašo </w:t>
          </w:r>
        </w:p>
        <w:p>
          <w:pPr>
            <w:ind w:firstLine="5102"/>
          </w:pPr>
          <w:sdt>
            <w:sdtPr>
              <w:alias w:val="Numeris"/>
              <w:tag w:val="nr_577c357d83964c92b32b58103c96e58b"/>
              <w:lock w:val="sdtLocked"/>
              <w:richText/>
            </w:sdtPr>
            <w:sdtContent>
              <w:r>
                <w:t>7</w:t>
              </w:r>
            </w:sdtContent>
          </w:sdt>
          <w:r>
            <w:t xml:space="preserve"> priedas</w:t>
          </w:r>
        </w:p>
        <w:p/>
        <w:p>
          <w:pPr>
            <w:jc w:val="center"/>
            <w:rPr>
              <w:b/>
              <w:bCs/>
              <w:caps/>
            </w:rPr>
          </w:pPr>
          <w:sdt>
            <w:sdtPr>
              <w:alias w:val="Pavadinimas"/>
              <w:tag w:val="title_577c357d83964c92b32b58103c96e58b"/>
              <w:lock w:val="sdtLocked"/>
              <w:richText/>
            </w:sdtPr>
            <w:sdtContent>
              <w:r>
                <w:rPr>
                  <w:b/>
                  <w:bCs/>
                  <w:caps/>
                </w:rPr>
                <w:t>EUROPOS KOMISIJAI teikiama INFORMACIJA apie ozoną ir</w:t>
              </w:r>
              <w:r>
                <w:rPr>
                  <w:b/>
                  <w:bCs/>
                  <w:sz w:val="20"/>
                </w:rPr>
                <w:t xml:space="preserve"> </w:t>
              </w:r>
              <w:r>
                <w:rPr>
                  <w:b/>
                  <w:bCs/>
                  <w:caps/>
                </w:rPr>
                <w:t>OZONO Duomenų sumavimo ir statistinių parametrų apskaičiavimo kriterijai</w:t>
              </w:r>
            </w:sdtContent>
          </w:sdt>
        </w:p>
        <w:p>
          <w:pPr>
            <w:jc w:val="center"/>
            <w:rPr>
              <w:b/>
              <w:bCs/>
            </w:rPr>
          </w:pPr>
        </w:p>
        <w:sdt>
          <w:sdtPr>
            <w:alias w:val="skyrius"/>
            <w:tag w:val="part_551c60a6162040d3b27a468fb51c651c"/>
            <w:lock w:val="sdtLocked"/>
            <w:richText/>
          </w:sdtPr>
          <w:sdtContent>
            <w:p>
              <w:pPr>
                <w:jc w:val="center"/>
                <w:rPr>
                  <w:b/>
                  <w:bCs/>
                  <w:caps/>
                </w:rPr>
              </w:pPr>
              <w:sdt>
                <w:sdtPr>
                  <w:alias w:val="Numeris"/>
                  <w:tag w:val="nr_551c60a6162040d3b27a468fb51c651c"/>
                  <w:lock w:val="sdtLocked"/>
                  <w:richText/>
                </w:sdtPr>
                <w:sdtContent>
                  <w:r>
                    <w:rPr>
                      <w:b/>
                      <w:bCs/>
                      <w:caps/>
                    </w:rPr>
                    <w:t>I</w:t>
                  </w:r>
                </w:sdtContent>
              </w:sdt>
              <w:r>
                <w:rPr>
                  <w:b/>
                  <w:bCs/>
                  <w:caps/>
                </w:rPr>
                <w:t xml:space="preserve">. </w:t>
              </w:r>
              <w:sdt>
                <w:sdtPr>
                  <w:alias w:val="Pavadinimas"/>
                  <w:tag w:val="title_551c60a6162040d3b27a468fb51c651c"/>
                  <w:lock w:val="sdtLocked"/>
                  <w:richText/>
                </w:sdtPr>
                <w:sdtContent>
                  <w:r>
                    <w:rPr>
                      <w:b/>
                      <w:bCs/>
                      <w:caps/>
                    </w:rPr>
                    <w:t>Europos Komisijai teikiama informacija</w:t>
                  </w:r>
                </w:sdtContent>
              </w:sdt>
            </w:p>
            <w:p>
              <w:pPr>
                <w:jc w:val="both"/>
                <w:rPr>
                  <w:b/>
                  <w:bCs/>
                  <w:caps/>
                </w:rPr>
              </w:pPr>
            </w:p>
            <w:sdt>
              <w:sdtPr>
                <w:alias w:val="7 pr. 1 p."/>
                <w:tag w:val="part_c54268d85f0d4724b536dfc25aa2d9c6"/>
                <w:lock w:val="sdtLocked"/>
                <w:richText/>
              </w:sdtPr>
              <w:sdtContent>
                <w:p>
                  <w:pPr>
                    <w:ind w:firstLine="567"/>
                    <w:jc w:val="both"/>
                  </w:pPr>
                  <w:sdt>
                    <w:sdtPr>
                      <w:alias w:val="Numeris"/>
                      <w:tag w:val="nr_c54268d85f0d4724b536dfc25aa2d9c6"/>
                      <w:lock w:val="sdtLocked"/>
                      <w:richText/>
                    </w:sdtPr>
                    <w:sdtContent>
                      <w:r>
                        <w:rPr>
                          <w:caps/>
                        </w:rPr>
                        <w:t>1</w:t>
                      </w:r>
                    </w:sdtContent>
                  </w:sdt>
                  <w:r>
                    <w:rPr>
                      <w:caps/>
                    </w:rPr>
                    <w:t xml:space="preserve">. </w:t>
                  </w:r>
                  <w:r>
                    <w:t>Europos Komisijai teikiama informacija:</w:t>
                  </w:r>
                </w:p>
                <w:p>
                  <w:pPr>
                    <w:jc w:val="both"/>
                    <w:rPr>
                      <w:caps/>
                    </w:rPr>
                  </w:pPr>
                </w:p>
                <w:tbl>
                  <w:tblPr>
                    <w:tblW w:w="0" w:type="auto"/>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80"/>
                    <w:gridCol w:w="1260"/>
                    <w:gridCol w:w="900"/>
                    <w:gridCol w:w="1260"/>
                    <w:gridCol w:w="2520"/>
                    <w:gridCol w:w="2340"/>
                  </w:tblGrid>
                  <w:tr>
                    <w:trPr>
                      <w:tblHeader/>
                    </w:trPr>
                    <w:tc>
                      <w:tcPr>
                        <w:tcW w:w="1080" w:type="dxa"/>
                      </w:tcPr>
                      <w:p>
                        <w:pPr>
                          <w:rPr>
                            <w:b/>
                            <w:sz w:val="22"/>
                            <w:szCs w:val="22"/>
                          </w:rPr>
                        </w:pPr>
                      </w:p>
                    </w:tc>
                    <w:tc>
                      <w:tcPr>
                        <w:tcW w:w="1260" w:type="dxa"/>
                      </w:tcPr>
                      <w:p>
                        <w:pPr>
                          <w:jc w:val="both"/>
                          <w:rPr>
                            <w:b/>
                            <w:sz w:val="22"/>
                            <w:szCs w:val="22"/>
                          </w:rPr>
                        </w:pPr>
                        <w:r>
                          <w:rPr>
                            <w:b/>
                            <w:sz w:val="22"/>
                            <w:szCs w:val="22"/>
                          </w:rPr>
                          <w:t>Stoties rūšis</w:t>
                        </w:r>
                      </w:p>
                    </w:tc>
                    <w:tc>
                      <w:tcPr>
                        <w:tcW w:w="900" w:type="dxa"/>
                      </w:tcPr>
                      <w:p>
                        <w:pPr>
                          <w:jc w:val="center"/>
                          <w:rPr>
                            <w:b/>
                            <w:sz w:val="22"/>
                            <w:szCs w:val="22"/>
                          </w:rPr>
                        </w:pPr>
                        <w:r>
                          <w:rPr>
                            <w:b/>
                            <w:sz w:val="22"/>
                            <w:szCs w:val="22"/>
                          </w:rPr>
                          <w:t>Vertė</w:t>
                        </w:r>
                      </w:p>
                    </w:tc>
                    <w:tc>
                      <w:tcPr>
                        <w:tcW w:w="1260" w:type="dxa"/>
                      </w:tcPr>
                      <w:p>
                        <w:pPr>
                          <w:jc w:val="center"/>
                          <w:rPr>
                            <w:b/>
                            <w:sz w:val="22"/>
                            <w:szCs w:val="22"/>
                          </w:rPr>
                        </w:pPr>
                        <w:r>
                          <w:rPr>
                            <w:b/>
                            <w:sz w:val="22"/>
                            <w:szCs w:val="22"/>
                          </w:rPr>
                          <w:t>Vidurkinimo laikotarpis</w:t>
                        </w:r>
                      </w:p>
                    </w:tc>
                    <w:tc>
                      <w:tcPr>
                        <w:tcW w:w="2520" w:type="dxa"/>
                      </w:tcPr>
                      <w:p>
                        <w:pPr>
                          <w:jc w:val="center"/>
                          <w:rPr>
                            <w:b/>
                            <w:sz w:val="22"/>
                            <w:szCs w:val="22"/>
                          </w:rPr>
                        </w:pPr>
                        <w:r>
                          <w:rPr>
                            <w:b/>
                            <w:sz w:val="22"/>
                            <w:szCs w:val="22"/>
                          </w:rPr>
                          <w:t xml:space="preserve">Privalomi duomenys, pateikiami kiekvieną mėnesį </w:t>
                        </w:r>
                      </w:p>
                    </w:tc>
                    <w:tc>
                      <w:tcPr>
                        <w:tcW w:w="2340" w:type="dxa"/>
                      </w:tcPr>
                      <w:p>
                        <w:pPr>
                          <w:jc w:val="center"/>
                          <w:rPr>
                            <w:b/>
                            <w:sz w:val="22"/>
                            <w:szCs w:val="22"/>
                          </w:rPr>
                        </w:pPr>
                        <w:r>
                          <w:rPr>
                            <w:b/>
                            <w:sz w:val="22"/>
                            <w:szCs w:val="22"/>
                          </w:rPr>
                          <w:t>Metinė ataskaita</w:t>
                        </w:r>
                      </w:p>
                    </w:tc>
                  </w:tr>
                  <w:tr>
                    <w:tc>
                      <w:tcPr>
                        <w:tcW w:w="1080" w:type="dxa"/>
                      </w:tcPr>
                      <w:p>
                        <w:pPr>
                          <w:rPr>
                            <w:sz w:val="22"/>
                            <w:szCs w:val="22"/>
                          </w:rPr>
                        </w:pPr>
                        <w:r>
                          <w:rPr>
                            <w:sz w:val="22"/>
                            <w:szCs w:val="22"/>
                          </w:rPr>
                          <w:t>Informavimo slenkstis</w:t>
                        </w:r>
                      </w:p>
                    </w:tc>
                    <w:tc>
                      <w:tcPr>
                        <w:tcW w:w="1260" w:type="dxa"/>
                      </w:tcPr>
                      <w:p>
                        <w:pPr>
                          <w:rPr>
                            <w:sz w:val="22"/>
                            <w:szCs w:val="22"/>
                          </w:rPr>
                        </w:pPr>
                        <w:r>
                          <w:rPr>
                            <w:sz w:val="22"/>
                            <w:szCs w:val="22"/>
                          </w:rPr>
                          <w:t>Bet kuri</w:t>
                        </w:r>
                      </w:p>
                    </w:tc>
                    <w:tc>
                      <w:tcPr>
                        <w:tcW w:w="900" w:type="dxa"/>
                      </w:tcPr>
                      <w:p>
                        <w:pPr>
                          <w:rPr>
                            <w:sz w:val="22"/>
                            <w:szCs w:val="22"/>
                          </w:rPr>
                        </w:pPr>
                        <w:r>
                          <w:rPr>
                            <w:sz w:val="22"/>
                            <w:szCs w:val="22"/>
                          </w:rPr>
                          <w:t>180 µg/m</w:t>
                        </w:r>
                        <w:r>
                          <w:rPr>
                            <w:sz w:val="22"/>
                            <w:szCs w:val="22"/>
                            <w:vertAlign w:val="superscript"/>
                          </w:rPr>
                          <w:t>3</w:t>
                        </w:r>
                      </w:p>
                    </w:tc>
                    <w:tc>
                      <w:tcPr>
                        <w:tcW w:w="1260" w:type="dxa"/>
                      </w:tcPr>
                      <w:p>
                        <w:pPr>
                          <w:rPr>
                            <w:sz w:val="22"/>
                            <w:szCs w:val="22"/>
                          </w:rPr>
                        </w:pPr>
                        <w:r>
                          <w:rPr>
                            <w:sz w:val="22"/>
                            <w:szCs w:val="22"/>
                          </w:rPr>
                          <w:t>1 valanda</w:t>
                        </w:r>
                      </w:p>
                    </w:tc>
                    <w:tc>
                      <w:tcPr>
                        <w:tcW w:w="2520" w:type="dxa"/>
                      </w:tcPr>
                      <w:p>
                        <w:pPr>
                          <w:rPr>
                            <w:sz w:val="22"/>
                            <w:szCs w:val="22"/>
                          </w:rPr>
                        </w:pPr>
                        <w:r>
                          <w:rPr>
                            <w:sz w:val="22"/>
                            <w:szCs w:val="22"/>
                          </w:rPr>
                          <w:t>– kiekvienos paros viršijimas: data, bendras viršijimo valandų skaičius, maksimali 1 valandos ozono ir su juo susijusio NO</w:t>
                        </w:r>
                        <w:r>
                          <w:rPr>
                            <w:sz w:val="22"/>
                            <w:szCs w:val="22"/>
                            <w:vertAlign w:val="subscript"/>
                          </w:rPr>
                          <w:t>2</w:t>
                        </w:r>
                        <w:r>
                          <w:rPr>
                            <w:sz w:val="22"/>
                            <w:szCs w:val="22"/>
                          </w:rPr>
                          <w:t xml:space="preserve"> vertė, jeigu reikalaujama,</w:t>
                        </w:r>
                      </w:p>
                      <w:p>
                        <w:pPr>
                          <w:rPr>
                            <w:sz w:val="22"/>
                            <w:szCs w:val="22"/>
                          </w:rPr>
                        </w:pPr>
                        <w:r>
                          <w:rPr>
                            <w:sz w:val="22"/>
                            <w:szCs w:val="22"/>
                          </w:rPr>
                          <w:t>– kas mėnesį, 1 val. didžiausias ozono kiekis</w:t>
                        </w:r>
                      </w:p>
                    </w:tc>
                    <w:tc>
                      <w:tcPr>
                        <w:tcW w:w="2340" w:type="dxa"/>
                      </w:tcPr>
                      <w:p>
                        <w:pPr>
                          <w:rPr>
                            <w:sz w:val="22"/>
                            <w:szCs w:val="22"/>
                          </w:rPr>
                        </w:pPr>
                        <w:r>
                          <w:rPr>
                            <w:sz w:val="22"/>
                            <w:szCs w:val="22"/>
                          </w:rPr>
                          <w:t>– kiekvienos paros viršijimas: data, bendras viršijimo valandų skaičius, maksimali 1 valandos ozono ir su juo susijusio NO</w:t>
                        </w:r>
                        <w:r>
                          <w:rPr>
                            <w:sz w:val="22"/>
                            <w:szCs w:val="22"/>
                            <w:vertAlign w:val="subscript"/>
                          </w:rPr>
                          <w:t>2</w:t>
                        </w:r>
                        <w:r>
                          <w:rPr>
                            <w:sz w:val="22"/>
                            <w:szCs w:val="22"/>
                          </w:rPr>
                          <w:t xml:space="preserve"> vertė, jeigu reikalaujama</w:t>
                        </w:r>
                      </w:p>
                    </w:tc>
                  </w:tr>
                  <w:tr>
                    <w:tc>
                      <w:tcPr>
                        <w:tcW w:w="1080" w:type="dxa"/>
                      </w:tcPr>
                      <w:p>
                        <w:pPr>
                          <w:rPr>
                            <w:sz w:val="22"/>
                            <w:szCs w:val="22"/>
                          </w:rPr>
                        </w:pPr>
                        <w:r>
                          <w:rPr>
                            <w:sz w:val="22"/>
                            <w:szCs w:val="22"/>
                          </w:rPr>
                          <w:t>Pavojaus slenkstis</w:t>
                        </w:r>
                      </w:p>
                    </w:tc>
                    <w:tc>
                      <w:tcPr>
                        <w:tcW w:w="1260" w:type="dxa"/>
                      </w:tcPr>
                      <w:p>
                        <w:pPr>
                          <w:rPr>
                            <w:sz w:val="22"/>
                            <w:szCs w:val="22"/>
                          </w:rPr>
                        </w:pPr>
                        <w:r>
                          <w:rPr>
                            <w:sz w:val="22"/>
                            <w:szCs w:val="22"/>
                          </w:rPr>
                          <w:t>Bet kuri</w:t>
                        </w:r>
                      </w:p>
                    </w:tc>
                    <w:tc>
                      <w:tcPr>
                        <w:tcW w:w="900" w:type="dxa"/>
                      </w:tcPr>
                      <w:p>
                        <w:pPr>
                          <w:rPr>
                            <w:sz w:val="22"/>
                            <w:szCs w:val="22"/>
                          </w:rPr>
                        </w:pPr>
                        <w:r>
                          <w:rPr>
                            <w:sz w:val="22"/>
                            <w:szCs w:val="22"/>
                          </w:rPr>
                          <w:t>240 µg/m</w:t>
                        </w:r>
                        <w:r>
                          <w:rPr>
                            <w:sz w:val="22"/>
                            <w:szCs w:val="22"/>
                            <w:vertAlign w:val="superscript"/>
                          </w:rPr>
                          <w:t>3</w:t>
                        </w:r>
                      </w:p>
                    </w:tc>
                    <w:tc>
                      <w:tcPr>
                        <w:tcW w:w="1260" w:type="dxa"/>
                      </w:tcPr>
                      <w:p>
                        <w:pPr>
                          <w:rPr>
                            <w:sz w:val="22"/>
                            <w:szCs w:val="22"/>
                          </w:rPr>
                        </w:pPr>
                        <w:r>
                          <w:rPr>
                            <w:sz w:val="22"/>
                            <w:szCs w:val="22"/>
                          </w:rPr>
                          <w:t>1 valanda</w:t>
                        </w:r>
                      </w:p>
                    </w:tc>
                    <w:tc>
                      <w:tcPr>
                        <w:tcW w:w="2520" w:type="dxa"/>
                      </w:tcPr>
                      <w:p>
                        <w:pPr>
                          <w:rPr>
                            <w:sz w:val="22"/>
                            <w:szCs w:val="22"/>
                          </w:rPr>
                        </w:pPr>
                        <w:r>
                          <w:rPr>
                            <w:sz w:val="22"/>
                            <w:szCs w:val="22"/>
                          </w:rPr>
                          <w:t>– kiekvienos paros viršijimas: data, bendras viršijimo valandų skaičius, maksimali 1 valandos ozono ir su juo susijusio NO</w:t>
                        </w:r>
                        <w:r>
                          <w:rPr>
                            <w:sz w:val="22"/>
                            <w:szCs w:val="22"/>
                            <w:vertAlign w:val="subscript"/>
                          </w:rPr>
                          <w:t>2</w:t>
                        </w:r>
                        <w:r>
                          <w:rPr>
                            <w:sz w:val="22"/>
                            <w:szCs w:val="22"/>
                          </w:rPr>
                          <w:t xml:space="preserve"> vertė, jeigu reikalaujama</w:t>
                        </w:r>
                      </w:p>
                    </w:tc>
                    <w:tc>
                      <w:tcPr>
                        <w:tcW w:w="2340" w:type="dxa"/>
                      </w:tcPr>
                      <w:p>
                        <w:pPr>
                          <w:rPr>
                            <w:sz w:val="22"/>
                            <w:szCs w:val="22"/>
                          </w:rPr>
                        </w:pPr>
                        <w:r>
                          <w:rPr>
                            <w:sz w:val="22"/>
                            <w:szCs w:val="22"/>
                          </w:rPr>
                          <w:t>– kiekvienos paros viršijimas: data, bendras viršijimo valandų skaičius, maksimali 1 valandos ozono ir su juo susijusio NO</w:t>
                        </w:r>
                        <w:r>
                          <w:rPr>
                            <w:sz w:val="22"/>
                            <w:szCs w:val="22"/>
                            <w:vertAlign w:val="subscript"/>
                          </w:rPr>
                          <w:t>2</w:t>
                        </w:r>
                        <w:r>
                          <w:rPr>
                            <w:sz w:val="22"/>
                            <w:szCs w:val="22"/>
                          </w:rPr>
                          <w:t xml:space="preserve"> vertė, jeigu reikalaujama</w:t>
                        </w:r>
                      </w:p>
                    </w:tc>
                  </w:tr>
                  <w:tr>
                    <w:tc>
                      <w:tcPr>
                        <w:tcW w:w="1080" w:type="dxa"/>
                      </w:tcPr>
                      <w:p>
                        <w:pPr>
                          <w:rPr>
                            <w:sz w:val="22"/>
                            <w:szCs w:val="22"/>
                          </w:rPr>
                        </w:pPr>
                        <w:r>
                          <w:rPr>
                            <w:sz w:val="22"/>
                            <w:szCs w:val="22"/>
                          </w:rPr>
                          <w:t xml:space="preserve">Žmonių sveikatos apsauga </w:t>
                        </w:r>
                      </w:p>
                    </w:tc>
                    <w:tc>
                      <w:tcPr>
                        <w:tcW w:w="1260" w:type="dxa"/>
                      </w:tcPr>
                      <w:p>
                        <w:pPr>
                          <w:rPr>
                            <w:sz w:val="22"/>
                            <w:szCs w:val="22"/>
                          </w:rPr>
                        </w:pPr>
                        <w:r>
                          <w:rPr>
                            <w:sz w:val="22"/>
                            <w:szCs w:val="22"/>
                          </w:rPr>
                          <w:t>Bet kuri</w:t>
                        </w:r>
                      </w:p>
                    </w:tc>
                    <w:tc>
                      <w:tcPr>
                        <w:tcW w:w="900" w:type="dxa"/>
                      </w:tcPr>
                      <w:p>
                        <w:pPr>
                          <w:rPr>
                            <w:sz w:val="22"/>
                            <w:szCs w:val="22"/>
                          </w:rPr>
                        </w:pPr>
                        <w:r>
                          <w:rPr>
                            <w:sz w:val="22"/>
                            <w:szCs w:val="22"/>
                          </w:rPr>
                          <w:t>120 µg/m</w:t>
                        </w:r>
                        <w:r>
                          <w:rPr>
                            <w:sz w:val="22"/>
                            <w:szCs w:val="22"/>
                            <w:vertAlign w:val="superscript"/>
                          </w:rPr>
                          <w:t>3</w:t>
                        </w:r>
                      </w:p>
                    </w:tc>
                    <w:tc>
                      <w:tcPr>
                        <w:tcW w:w="1260" w:type="dxa"/>
                      </w:tcPr>
                      <w:p>
                        <w:pPr>
                          <w:rPr>
                            <w:sz w:val="22"/>
                            <w:szCs w:val="22"/>
                          </w:rPr>
                        </w:pPr>
                        <w:r>
                          <w:rPr>
                            <w:sz w:val="22"/>
                            <w:szCs w:val="22"/>
                          </w:rPr>
                          <w:t>8 valandos</w:t>
                        </w:r>
                      </w:p>
                    </w:tc>
                    <w:tc>
                      <w:tcPr>
                        <w:tcW w:w="2520" w:type="dxa"/>
                      </w:tcPr>
                      <w:p>
                        <w:pPr>
                          <w:rPr>
                            <w:sz w:val="22"/>
                            <w:szCs w:val="22"/>
                          </w:rPr>
                        </w:pPr>
                        <w:r>
                          <w:rPr>
                            <w:sz w:val="22"/>
                            <w:szCs w:val="22"/>
                          </w:rPr>
                          <w:t xml:space="preserve">– kiekvienos paros  viršijimas: data, didžiausias per 8 valandas</w:t>
                        </w:r>
                        <w:r>
                          <w:rPr>
                            <w:sz w:val="22"/>
                            <w:szCs w:val="22"/>
                            <w:vertAlign w:val="superscript"/>
                          </w:rPr>
                          <w:t>2</w:t>
                        </w:r>
                      </w:p>
                    </w:tc>
                    <w:tc>
                      <w:tcPr>
                        <w:tcW w:w="2340" w:type="dxa"/>
                      </w:tcPr>
                      <w:p>
                        <w:pPr>
                          <w:rPr>
                            <w:sz w:val="22"/>
                            <w:szCs w:val="22"/>
                          </w:rPr>
                        </w:pPr>
                        <w:r>
                          <w:rPr>
                            <w:sz w:val="22"/>
                            <w:szCs w:val="22"/>
                          </w:rPr>
                          <w:t>– kiekvienos paros viršijimas: data, didžiausias per 8 valandas</w:t>
                        </w:r>
                        <w:r>
                          <w:rPr>
                            <w:sz w:val="22"/>
                            <w:szCs w:val="22"/>
                            <w:vertAlign w:val="superscript"/>
                          </w:rPr>
                          <w:t>2</w:t>
                        </w:r>
                      </w:p>
                    </w:tc>
                  </w:tr>
                  <w:tr>
                    <w:tc>
                      <w:tcPr>
                        <w:tcW w:w="1080" w:type="dxa"/>
                      </w:tcPr>
                      <w:p>
                        <w:pPr>
                          <w:rPr>
                            <w:sz w:val="22"/>
                            <w:szCs w:val="22"/>
                          </w:rPr>
                        </w:pPr>
                        <w:r>
                          <w:rPr>
                            <w:sz w:val="22"/>
                            <w:szCs w:val="22"/>
                          </w:rPr>
                          <w:t xml:space="preserve">Augmenijos apsauga </w:t>
                        </w:r>
                      </w:p>
                    </w:tc>
                    <w:tc>
                      <w:tcPr>
                        <w:tcW w:w="1260" w:type="dxa"/>
                      </w:tcPr>
                      <w:p>
                        <w:pPr>
                          <w:rPr>
                            <w:sz w:val="22"/>
                            <w:szCs w:val="22"/>
                          </w:rPr>
                        </w:pPr>
                        <w:r>
                          <w:rPr>
                            <w:sz w:val="22"/>
                            <w:szCs w:val="22"/>
                          </w:rPr>
                          <w:t>Priemiesčio, kaimo vietovės, foninės kaimo vietovės</w:t>
                        </w:r>
                      </w:p>
                    </w:tc>
                    <w:tc>
                      <w:tcPr>
                        <w:tcW w:w="900" w:type="dxa"/>
                      </w:tcPr>
                      <w:p>
                        <w:pPr>
                          <w:rPr>
                            <w:sz w:val="22"/>
                            <w:szCs w:val="22"/>
                          </w:rPr>
                        </w:pPr>
                        <w:r>
                          <w:rPr>
                            <w:sz w:val="22"/>
                            <w:szCs w:val="22"/>
                          </w:rPr>
                          <w:t>AOT40</w:t>
                        </w:r>
                        <w:r>
                          <w:rPr>
                            <w:sz w:val="22"/>
                            <w:szCs w:val="22"/>
                            <w:vertAlign w:val="superscript"/>
                          </w:rPr>
                          <w:t>1</w:t>
                        </w:r>
                        <w:r>
                          <w:rPr>
                            <w:sz w:val="22"/>
                            <w:szCs w:val="22"/>
                          </w:rPr>
                          <w:t xml:space="preserve"> = 6000 µg/m</w:t>
                        </w:r>
                        <w:r>
                          <w:rPr>
                            <w:sz w:val="22"/>
                            <w:szCs w:val="22"/>
                            <w:vertAlign w:val="superscript"/>
                          </w:rPr>
                          <w:t>3</w:t>
                        </w:r>
                        <w:r>
                          <w:rPr>
                            <w:sz w:val="22"/>
                            <w:szCs w:val="22"/>
                          </w:rPr>
                          <w:t xml:space="preserve"> x val.</w:t>
                        </w:r>
                      </w:p>
                    </w:tc>
                    <w:tc>
                      <w:tcPr>
                        <w:tcW w:w="1260" w:type="dxa"/>
                      </w:tcPr>
                      <w:p>
                        <w:pPr>
                          <w:rPr>
                            <w:sz w:val="22"/>
                            <w:szCs w:val="22"/>
                          </w:rPr>
                        </w:pPr>
                        <w:r>
                          <w:rPr>
                            <w:sz w:val="22"/>
                            <w:szCs w:val="22"/>
                          </w:rPr>
                          <w:t>Pagal 1 valandos vertes gegužės–liepos mėn.</w:t>
                        </w:r>
                      </w:p>
                    </w:tc>
                    <w:tc>
                      <w:tcPr>
                        <w:tcW w:w="2520" w:type="dxa"/>
                      </w:tcPr>
                      <w:p>
                        <w:pPr>
                          <w:rPr>
                            <w:sz w:val="22"/>
                            <w:szCs w:val="22"/>
                          </w:rPr>
                        </w:pPr>
                        <w:r>
                          <w:rPr>
                            <w:sz w:val="22"/>
                            <w:szCs w:val="22"/>
                          </w:rPr>
                          <w:t>–</w:t>
                        </w:r>
                      </w:p>
                    </w:tc>
                    <w:tc>
                      <w:tcPr>
                        <w:tcW w:w="2340" w:type="dxa"/>
                      </w:tcPr>
                      <w:p>
                        <w:pPr>
                          <w:rPr>
                            <w:sz w:val="22"/>
                            <w:szCs w:val="22"/>
                          </w:rPr>
                        </w:pPr>
                        <w:r>
                          <w:rPr>
                            <w:sz w:val="22"/>
                            <w:szCs w:val="22"/>
                          </w:rPr>
                          <w:t>Vertė</w:t>
                        </w:r>
                      </w:p>
                    </w:tc>
                  </w:tr>
                  <w:tr>
                    <w:trPr>
                      <w:cantSplit/>
                    </w:trPr>
                    <w:tc>
                      <w:tcPr>
                        <w:tcW w:w="1080" w:type="dxa"/>
                      </w:tcPr>
                      <w:p>
                        <w:pPr>
                          <w:rPr>
                            <w:sz w:val="22"/>
                            <w:szCs w:val="22"/>
                          </w:rPr>
                        </w:pPr>
                        <w:r>
                          <w:rPr>
                            <w:sz w:val="22"/>
                            <w:szCs w:val="22"/>
                          </w:rPr>
                          <w:t>Miškų apsauga</w:t>
                        </w:r>
                      </w:p>
                    </w:tc>
                    <w:tc>
                      <w:tcPr>
                        <w:tcW w:w="1260" w:type="dxa"/>
                      </w:tcPr>
                      <w:p>
                        <w:pPr>
                          <w:rPr>
                            <w:sz w:val="22"/>
                            <w:szCs w:val="22"/>
                          </w:rPr>
                        </w:pPr>
                        <w:r>
                          <w:rPr>
                            <w:sz w:val="22"/>
                            <w:szCs w:val="22"/>
                          </w:rPr>
                          <w:t>Priemiesčio, kaimo vietovės, foninės kaimo vietovės</w:t>
                        </w:r>
                      </w:p>
                    </w:tc>
                    <w:tc>
                      <w:tcPr>
                        <w:tcW w:w="900" w:type="dxa"/>
                      </w:tcPr>
                      <w:p>
                        <w:pPr>
                          <w:rPr>
                            <w:sz w:val="22"/>
                            <w:szCs w:val="22"/>
                          </w:rPr>
                        </w:pPr>
                        <w:r>
                          <w:rPr>
                            <w:sz w:val="22"/>
                            <w:szCs w:val="22"/>
                          </w:rPr>
                          <w:t>AOT40 = 20000 µg/m</w:t>
                        </w:r>
                        <w:r>
                          <w:rPr>
                            <w:sz w:val="22"/>
                            <w:szCs w:val="22"/>
                            <w:vertAlign w:val="superscript"/>
                          </w:rPr>
                          <w:t>3</w:t>
                        </w:r>
                        <w:r>
                          <w:rPr>
                            <w:sz w:val="22"/>
                            <w:szCs w:val="22"/>
                          </w:rPr>
                          <w:t xml:space="preserve"> x val.</w:t>
                        </w:r>
                      </w:p>
                    </w:tc>
                    <w:tc>
                      <w:tcPr>
                        <w:tcW w:w="1260" w:type="dxa"/>
                      </w:tcPr>
                      <w:p>
                        <w:pPr>
                          <w:rPr>
                            <w:sz w:val="22"/>
                            <w:szCs w:val="22"/>
                          </w:rPr>
                        </w:pPr>
                        <w:r>
                          <w:rPr>
                            <w:sz w:val="22"/>
                            <w:szCs w:val="22"/>
                          </w:rPr>
                          <w:t>Pagal 1 valandos vertes balandžio– rugsėjo mėn.</w:t>
                        </w:r>
                      </w:p>
                    </w:tc>
                    <w:tc>
                      <w:tcPr>
                        <w:tcW w:w="2520" w:type="dxa"/>
                      </w:tcPr>
                      <w:p>
                        <w:pPr>
                          <w:rPr>
                            <w:sz w:val="22"/>
                            <w:szCs w:val="22"/>
                          </w:rPr>
                        </w:pPr>
                        <w:r>
                          <w:rPr>
                            <w:sz w:val="22"/>
                            <w:szCs w:val="22"/>
                          </w:rPr>
                          <w:t>–</w:t>
                        </w:r>
                      </w:p>
                    </w:tc>
                    <w:tc>
                      <w:tcPr>
                        <w:tcW w:w="2340" w:type="dxa"/>
                      </w:tcPr>
                      <w:p>
                        <w:pPr>
                          <w:rPr>
                            <w:sz w:val="22"/>
                            <w:szCs w:val="22"/>
                          </w:rPr>
                        </w:pPr>
                        <w:r>
                          <w:rPr>
                            <w:sz w:val="22"/>
                            <w:szCs w:val="22"/>
                          </w:rPr>
                          <w:t>Vertė</w:t>
                        </w:r>
                      </w:p>
                    </w:tc>
                  </w:tr>
                  <w:tr>
                    <w:tc>
                      <w:tcPr>
                        <w:tcW w:w="1080" w:type="dxa"/>
                      </w:tcPr>
                      <w:p>
                        <w:pPr>
                          <w:rPr>
                            <w:sz w:val="22"/>
                            <w:szCs w:val="22"/>
                          </w:rPr>
                        </w:pPr>
                        <w:r>
                          <w:rPr>
                            <w:sz w:val="22"/>
                            <w:szCs w:val="22"/>
                          </w:rPr>
                          <w:t>Medžiagos</w:t>
                        </w:r>
                      </w:p>
                    </w:tc>
                    <w:tc>
                      <w:tcPr>
                        <w:tcW w:w="1260" w:type="dxa"/>
                      </w:tcPr>
                      <w:p>
                        <w:pPr>
                          <w:rPr>
                            <w:sz w:val="22"/>
                            <w:szCs w:val="22"/>
                          </w:rPr>
                        </w:pPr>
                        <w:r>
                          <w:rPr>
                            <w:sz w:val="22"/>
                            <w:szCs w:val="22"/>
                          </w:rPr>
                          <w:t>Bet kuri</w:t>
                        </w:r>
                      </w:p>
                    </w:tc>
                    <w:tc>
                      <w:tcPr>
                        <w:tcW w:w="900" w:type="dxa"/>
                      </w:tcPr>
                      <w:p>
                        <w:pPr>
                          <w:rPr>
                            <w:sz w:val="22"/>
                            <w:szCs w:val="22"/>
                          </w:rPr>
                        </w:pPr>
                        <w:r>
                          <w:rPr>
                            <w:sz w:val="22"/>
                            <w:szCs w:val="22"/>
                          </w:rPr>
                          <w:t>40 µg/m</w:t>
                        </w:r>
                        <w:r>
                          <w:rPr>
                            <w:sz w:val="22"/>
                            <w:szCs w:val="22"/>
                            <w:vertAlign w:val="superscript"/>
                          </w:rPr>
                          <w:t>3 3</w:t>
                        </w:r>
                      </w:p>
                    </w:tc>
                    <w:tc>
                      <w:tcPr>
                        <w:tcW w:w="1260" w:type="dxa"/>
                      </w:tcPr>
                      <w:p>
                        <w:pPr>
                          <w:rPr>
                            <w:sz w:val="22"/>
                            <w:szCs w:val="22"/>
                          </w:rPr>
                        </w:pPr>
                        <w:r>
                          <w:rPr>
                            <w:sz w:val="22"/>
                            <w:szCs w:val="22"/>
                          </w:rPr>
                          <w:t>1 metai</w:t>
                        </w:r>
                      </w:p>
                    </w:tc>
                    <w:tc>
                      <w:tcPr>
                        <w:tcW w:w="2520" w:type="dxa"/>
                      </w:tcPr>
                      <w:p>
                        <w:pPr>
                          <w:rPr>
                            <w:sz w:val="22"/>
                            <w:szCs w:val="22"/>
                          </w:rPr>
                        </w:pPr>
                        <w:r>
                          <w:rPr>
                            <w:sz w:val="22"/>
                            <w:szCs w:val="22"/>
                          </w:rPr>
                          <w:t>–</w:t>
                        </w:r>
                      </w:p>
                    </w:tc>
                    <w:tc>
                      <w:tcPr>
                        <w:tcW w:w="2340" w:type="dxa"/>
                      </w:tcPr>
                      <w:p>
                        <w:pPr>
                          <w:rPr>
                            <w:sz w:val="22"/>
                            <w:szCs w:val="22"/>
                          </w:rPr>
                        </w:pPr>
                        <w:r>
                          <w:rPr>
                            <w:sz w:val="22"/>
                            <w:szCs w:val="22"/>
                          </w:rPr>
                          <w:t>Vertė</w:t>
                        </w:r>
                      </w:p>
                    </w:tc>
                  </w:tr>
                  <w:tr>
                    <w:trPr>
                      <w:cantSplit/>
                    </w:trPr>
                    <w:tc>
                      <w:tcPr>
                        <w:tcW w:w="9360" w:type="dxa"/>
                        <w:gridSpan w:val="6"/>
                      </w:tcPr>
                      <w:p>
                        <w:pPr>
                          <w:rPr>
                            <w:sz w:val="22"/>
                            <w:szCs w:val="22"/>
                          </w:rPr>
                        </w:pPr>
                        <w:r>
                          <w:rPr>
                            <w:sz w:val="22"/>
                            <w:szCs w:val="22"/>
                            <w:vertAlign w:val="superscript"/>
                          </w:rPr>
                          <w:t>1</w:t>
                        </w:r>
                        <w:r>
                          <w:rPr>
                            <w:sz w:val="22"/>
                            <w:szCs w:val="22"/>
                          </w:rPr>
                          <w:t xml:space="preserve"> AOT40 apibrėžimas pateiktas šio priedo II skyriuje.</w:t>
                        </w:r>
                      </w:p>
                      <w:p>
                        <w:pPr>
                          <w:rPr>
                            <w:sz w:val="22"/>
                            <w:szCs w:val="22"/>
                          </w:rPr>
                        </w:pPr>
                        <w:r>
                          <w:rPr>
                            <w:sz w:val="22"/>
                            <w:szCs w:val="22"/>
                            <w:vertAlign w:val="superscript"/>
                          </w:rPr>
                          <w:t>2</w:t>
                        </w:r>
                        <w:r>
                          <w:rPr>
                            <w:sz w:val="22"/>
                            <w:szCs w:val="22"/>
                          </w:rPr>
                          <w:t xml:space="preserve"> Maksimalus paros 8 valandų vidurkis, nustatomas pagal Normose pateiktą išaiškinimą.</w:t>
                        </w:r>
                      </w:p>
                      <w:p>
                        <w:pPr>
                          <w:rPr>
                            <w:sz w:val="22"/>
                            <w:szCs w:val="22"/>
                          </w:rPr>
                        </w:pPr>
                        <w:r>
                          <w:rPr>
                            <w:sz w:val="22"/>
                            <w:szCs w:val="22"/>
                            <w:vertAlign w:val="superscript"/>
                          </w:rPr>
                          <w:t>3</w:t>
                        </w:r>
                        <w:r>
                          <w:rPr>
                            <w:sz w:val="22"/>
                            <w:szCs w:val="22"/>
                          </w:rPr>
                          <w:t xml:space="preserve"> Vertė, tikslinama atsižvelgiant į besikeičiančias mokslo žinias.</w:t>
                        </w:r>
                      </w:p>
                    </w:tc>
                  </w:tr>
                </w:tbl>
                <w:p>
                  <w:pPr>
                    <w:jc w:val="both"/>
                  </w:pPr>
                </w:p>
              </w:sdtContent>
            </w:sdt>
            <w:sdt>
              <w:sdtPr>
                <w:alias w:val="7 pr. 2 p."/>
                <w:tag w:val="part_1c686abfe4254dc78fefc8ac872c1125"/>
                <w:lock w:val="sdtLocked"/>
                <w:richText/>
              </w:sdtPr>
              <w:sdtContent>
                <w:p>
                  <w:pPr>
                    <w:ind w:firstLine="567"/>
                    <w:jc w:val="both"/>
                  </w:pPr>
                  <w:sdt>
                    <w:sdtPr>
                      <w:alias w:val="Numeris"/>
                      <w:tag w:val="nr_1c686abfe4254dc78fefc8ac872c1125"/>
                      <w:lock w:val="sdtLocked"/>
                      <w:richText/>
                    </w:sdtPr>
                    <w:sdtContent>
                      <w:r>
                        <w:t>2</w:t>
                      </w:r>
                    </w:sdtContent>
                  </w:sdt>
                  <w:r>
                    <w:t>. Kaip dalis metinės ataskaitos, taip pat turi būti pateikta informacija (jeigu visi turimi 1 valandos duomenys apie ozoną, azoto dioksidą ir azoto oksidus nagrinėjamais metais nebuvo pateikti pagal Komisijos sprendimą 97/101/EB) apie ozoną, azoto dioksidą, azoto oksidus, ozono ir azoto dioksido sumą (milijardinėmis dalimis ir išreikšto µg/m</w:t>
                  </w:r>
                  <w:r>
                    <w:rPr>
                      <w:vertAlign w:val="superscript"/>
                    </w:rPr>
                    <w:t xml:space="preserve">3 </w:t>
                  </w:r>
                  <w:r>
                    <w:t>ozono) – didžiausia vertė, 99,9-tasis, 98-tasis, 50-tasis procentilis, metinis vidurkis ir galiojantis (tinkamas) 1 valandos duomenų skaičius, taip pat didžiausia vertė, 98-tasis, 50-tasis procentilis ir metinis vidurkis, gautas iš 8 valandų ozono maksimumo.</w:t>
                  </w:r>
                </w:p>
              </w:sdtContent>
            </w:sdt>
            <w:sdt>
              <w:sdtPr>
                <w:alias w:val="7 pr. 3 p."/>
                <w:tag w:val="part_0d41a6078ad34bb58f7e1e064f5bdd49"/>
                <w:lock w:val="sdtLocked"/>
                <w:richText/>
              </w:sdtPr>
              <w:sdtContent>
                <w:p>
                  <w:pPr>
                    <w:ind w:firstLine="567"/>
                    <w:jc w:val="both"/>
                  </w:pPr>
                  <w:sdt>
                    <w:sdtPr>
                      <w:alias w:val="Numeris"/>
                      <w:tag w:val="nr_0d41a6078ad34bb58f7e1e064f5bdd49"/>
                      <w:lock w:val="sdtLocked"/>
                      <w:richText/>
                    </w:sdtPr>
                    <w:sdtContent>
                      <w:r>
                        <w:t>3</w:t>
                      </w:r>
                    </w:sdtContent>
                  </w:sdt>
                  <w:r>
                    <w:t>. Kas mėnesį pagal Tvarkos aprašo 37 punktą teikiamų ataskaitų duomenys yra laikomi preliminariais ir turi būti atnaujinami, jeigu reikia, pagal 32.6 punktą teikiamose ataskaitose.</w:t>
                  </w:r>
                </w:p>
                <w:p>
                  <w:pPr>
                    <w:rPr>
                      <w:b/>
                      <w:bCs/>
                    </w:rPr>
                  </w:pPr>
                </w:p>
              </w:sdtContent>
            </w:sdt>
          </w:sdtContent>
        </w:sdt>
        <w:sdt>
          <w:sdtPr>
            <w:alias w:val="skyrius"/>
            <w:tag w:val="part_101633642146487eb404d4af61d98df2"/>
            <w:lock w:val="sdtLocked"/>
            <w:richText/>
          </w:sdtPr>
          <w:sdtContent>
            <w:p>
              <w:pPr>
                <w:jc w:val="center"/>
                <w:rPr>
                  <w:b/>
                  <w:bCs/>
                  <w:caps/>
                </w:rPr>
              </w:pPr>
              <w:sdt>
                <w:sdtPr>
                  <w:alias w:val="Numeris"/>
                  <w:tag w:val="nr_101633642146487eb404d4af61d98df2"/>
                  <w:lock w:val="sdtLocked"/>
                  <w:richText/>
                </w:sdtPr>
                <w:sdtContent>
                  <w:r>
                    <w:rPr>
                      <w:b/>
                      <w:bCs/>
                      <w:caps/>
                    </w:rPr>
                    <w:t>II</w:t>
                  </w:r>
                </w:sdtContent>
              </w:sdt>
              <w:r>
                <w:rPr>
                  <w:b/>
                  <w:bCs/>
                  <w:caps/>
                </w:rPr>
                <w:t xml:space="preserve">. </w:t>
              </w:r>
              <w:sdt>
                <w:sdtPr>
                  <w:alias w:val="Pavadinimas"/>
                  <w:tag w:val="title_101633642146487eb404d4af61d98df2"/>
                  <w:lock w:val="sdtLocked"/>
                  <w:richText/>
                </w:sdtPr>
                <w:sdtContent>
                  <w:r>
                    <w:rPr>
                      <w:b/>
                      <w:bCs/>
                      <w:caps/>
                    </w:rPr>
                    <w:t>Ozono duomenų sumavimo ir statistinių parametrų apskaičiavimo kriterijai</w:t>
                  </w:r>
                </w:sdtContent>
              </w:sdt>
            </w:p>
            <w:p/>
            <w:tbl>
              <w:tblPr>
                <w:tblW w:w="9108"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0A0" w:firstRow="1" w:lastRow="0" w:firstColumn="1" w:lastColumn="0" w:noHBand="0" w:noVBand="0"/>
              </w:tblPr>
              <w:tblGrid>
                <w:gridCol w:w="3168"/>
                <w:gridCol w:w="180"/>
                <w:gridCol w:w="5160"/>
                <w:gridCol w:w="600"/>
              </w:tblGrid>
              <w:tr>
                <w:tc>
                  <w:tcPr>
                    <w:tcW w:w="3168" w:type="dxa"/>
                  </w:tcPr>
                  <w:p>
                    <w:pPr>
                      <w:jc w:val="center"/>
                      <w:rPr>
                        <w:sz w:val="22"/>
                      </w:rPr>
                    </w:pPr>
                    <w:r>
                      <w:rPr>
                        <w:sz w:val="22"/>
                      </w:rPr>
                      <w:t>Parametras</w:t>
                    </w:r>
                  </w:p>
                </w:tc>
                <w:tc>
                  <w:tcPr>
                    <w:tcW w:w="5940" w:type="dxa"/>
                    <w:gridSpan w:val="3"/>
                  </w:tcPr>
                  <w:p>
                    <w:pPr>
                      <w:jc w:val="center"/>
                      <w:rPr>
                        <w:sz w:val="22"/>
                      </w:rPr>
                    </w:pPr>
                    <w:r>
                      <w:rPr>
                        <w:sz w:val="22"/>
                      </w:rPr>
                      <w:t>Galiojančių duomenų reikiama proporcija</w:t>
                    </w:r>
                  </w:p>
                </w:tc>
              </w:tr>
              <w:tr>
                <w:tc>
                  <w:tcPr>
                    <w:tcW w:w="3168" w:type="dxa"/>
                  </w:tcPr>
                  <w:p>
                    <w:pPr>
                      <w:rPr>
                        <w:sz w:val="22"/>
                      </w:rPr>
                    </w:pPr>
                    <w:r>
                      <w:rPr>
                        <w:sz w:val="22"/>
                      </w:rPr>
                      <w:t xml:space="preserve">1 valandos vertė </w:t>
                    </w:r>
                  </w:p>
                </w:tc>
                <w:tc>
                  <w:tcPr>
                    <w:tcW w:w="5940" w:type="dxa"/>
                    <w:gridSpan w:val="3"/>
                  </w:tcPr>
                  <w:p>
                    <w:pPr>
                      <w:rPr>
                        <w:sz w:val="22"/>
                      </w:rPr>
                    </w:pPr>
                    <w:r>
                      <w:rPr>
                        <w:sz w:val="22"/>
                      </w:rPr>
                      <w:t xml:space="preserve">75 % (t. y. 45 minutės) </w:t>
                    </w:r>
                  </w:p>
                </w:tc>
              </w:tr>
              <w:tr>
                <w:tc>
                  <w:tcPr>
                    <w:tcW w:w="3168" w:type="dxa"/>
                  </w:tcPr>
                  <w:p>
                    <w:pPr>
                      <w:rPr>
                        <w:sz w:val="22"/>
                      </w:rPr>
                    </w:pPr>
                    <w:r>
                      <w:rPr>
                        <w:sz w:val="22"/>
                      </w:rPr>
                      <w:t xml:space="preserve">8 valandų vertė </w:t>
                    </w:r>
                  </w:p>
                </w:tc>
                <w:tc>
                  <w:tcPr>
                    <w:tcW w:w="5940" w:type="dxa"/>
                    <w:gridSpan w:val="3"/>
                  </w:tcPr>
                  <w:p>
                    <w:pPr>
                      <w:rPr>
                        <w:sz w:val="22"/>
                      </w:rPr>
                    </w:pPr>
                    <w:r>
                      <w:rPr>
                        <w:sz w:val="22"/>
                      </w:rPr>
                      <w:t xml:space="preserve">75 % verčių (t. y. 6 valandos) </w:t>
                    </w:r>
                  </w:p>
                </w:tc>
              </w:tr>
              <w:tr>
                <w:tc>
                  <w:tcPr>
                    <w:tcW w:w="3168" w:type="dxa"/>
                  </w:tcPr>
                  <w:p>
                    <w:pPr>
                      <w:rPr>
                        <w:sz w:val="22"/>
                      </w:rPr>
                    </w:pPr>
                    <w:r>
                      <w:rPr>
                        <w:sz w:val="22"/>
                      </w:rPr>
                      <w:t xml:space="preserve">Maksimalus paros 8 valandų vidurkis </w:t>
                    </w:r>
                  </w:p>
                </w:tc>
                <w:tc>
                  <w:tcPr>
                    <w:tcW w:w="5940" w:type="dxa"/>
                    <w:gridSpan w:val="3"/>
                  </w:tcPr>
                  <w:p>
                    <w:pPr>
                      <w:rPr>
                        <w:sz w:val="22"/>
                      </w:rPr>
                    </w:pPr>
                    <w:r>
                      <w:rPr>
                        <w:sz w:val="22"/>
                      </w:rPr>
                      <w:t xml:space="preserve">75 % kas valandą pasislenkančių 8 valandų vidurkių (t. y. 18 aštuonių (8) valandų vidurkių per parą) </w:t>
                    </w:r>
                  </w:p>
                </w:tc>
              </w:tr>
              <w:tr>
                <w:tc>
                  <w:tcPr>
                    <w:tcW w:w="3168" w:type="dxa"/>
                  </w:tcPr>
                  <w:p>
                    <w:pPr>
                      <w:rPr>
                        <w:sz w:val="22"/>
                      </w:rPr>
                    </w:pPr>
                    <w:r>
                      <w:rPr>
                        <w:sz w:val="22"/>
                      </w:rPr>
                      <w:t xml:space="preserve">AOT40 </w:t>
                    </w:r>
                    <w:r>
                      <w:rPr>
                        <w:sz w:val="22"/>
                        <w:vertAlign w:val="superscript"/>
                      </w:rPr>
                      <w:t>1</w:t>
                    </w:r>
                  </w:p>
                </w:tc>
                <w:tc>
                  <w:tcPr>
                    <w:tcW w:w="5940" w:type="dxa"/>
                    <w:gridSpan w:val="3"/>
                  </w:tcPr>
                  <w:p>
                    <w:pPr>
                      <w:rPr>
                        <w:sz w:val="22"/>
                      </w:rPr>
                    </w:pPr>
                    <w:r>
                      <w:rPr>
                        <w:sz w:val="22"/>
                      </w:rPr>
                      <w:t>90 % vienos valandos verčių per laikotarpį, nustatytą AOT40 vertės skaičiavimui</w:t>
                    </w:r>
                    <w:r>
                      <w:rPr>
                        <w:sz w:val="22"/>
                        <w:vertAlign w:val="superscript"/>
                      </w:rPr>
                      <w:t>2</w:t>
                    </w:r>
                    <w:r>
                      <w:rPr>
                        <w:sz w:val="22"/>
                      </w:rPr>
                      <w:t xml:space="preserve"> </w:t>
                    </w:r>
                  </w:p>
                </w:tc>
              </w:tr>
              <w:tr>
                <w:tc>
                  <w:tcPr>
                    <w:tcW w:w="3168" w:type="dxa"/>
                  </w:tcPr>
                  <w:p>
                    <w:pPr>
                      <w:rPr>
                        <w:sz w:val="22"/>
                      </w:rPr>
                    </w:pPr>
                    <w:r>
                      <w:rPr>
                        <w:sz w:val="22"/>
                      </w:rPr>
                      <w:t xml:space="preserve">Metinis vidurkis </w:t>
                    </w:r>
                  </w:p>
                </w:tc>
                <w:tc>
                  <w:tcPr>
                    <w:tcW w:w="5940" w:type="dxa"/>
                    <w:gridSpan w:val="3"/>
                  </w:tcPr>
                  <w:p>
                    <w:pPr>
                      <w:rPr>
                        <w:sz w:val="22"/>
                      </w:rPr>
                    </w:pPr>
                    <w:r>
                      <w:rPr>
                        <w:sz w:val="22"/>
                      </w:rPr>
                      <w:t xml:space="preserve">75 % vienos valandos verčių atskirai vasarą (balandžio–rugsėjo mėnesiais) ir 75 % atskirai žiemą (sausio–kovo, spalio–gruodžio mėnesiais) </w:t>
                    </w:r>
                  </w:p>
                </w:tc>
              </w:tr>
              <w:tr>
                <w:tc>
                  <w:tcPr>
                    <w:tcW w:w="3168" w:type="dxa"/>
                  </w:tcPr>
                  <w:p>
                    <w:pPr>
                      <w:rPr>
                        <w:sz w:val="22"/>
                      </w:rPr>
                    </w:pPr>
                    <w:r>
                      <w:rPr>
                        <w:sz w:val="22"/>
                      </w:rPr>
                      <w:t xml:space="preserve">Viršijimų ir maksimalių verčių skaičius per mėnesį </w:t>
                    </w:r>
                  </w:p>
                </w:tc>
                <w:tc>
                  <w:tcPr>
                    <w:tcW w:w="5940" w:type="dxa"/>
                    <w:gridSpan w:val="3"/>
                  </w:tcPr>
                  <w:p>
                    <w:pPr>
                      <w:rPr>
                        <w:sz w:val="22"/>
                      </w:rPr>
                    </w:pPr>
                    <w:r>
                      <w:rPr>
                        <w:sz w:val="22"/>
                      </w:rPr>
                      <w:t xml:space="preserve">90 % maksimalaus dienos 8 valandų vidurkio verčių (27 galimos dienos vertės per mėnesį), 90 % vienos valandos verčių nuo 8 iki 20 valandos CET </w:t>
                    </w:r>
                  </w:p>
                </w:tc>
              </w:tr>
              <w:tr>
                <w:tc>
                  <w:tcPr>
                    <w:tcW w:w="3168" w:type="dxa"/>
                    <w:tcBorders>
                      <w:bottom w:val="single" w:sz="6" w:space="0" w:color="000000"/>
                    </w:tcBorders>
                  </w:tcPr>
                  <w:p>
                    <w:pPr>
                      <w:rPr>
                        <w:sz w:val="22"/>
                      </w:rPr>
                    </w:pPr>
                    <w:r>
                      <w:rPr>
                        <w:sz w:val="22"/>
                      </w:rPr>
                      <w:t xml:space="preserve">Viršijimų ir maksimalių verčių skaičius per metus </w:t>
                    </w:r>
                  </w:p>
                </w:tc>
                <w:tc>
                  <w:tcPr>
                    <w:tcW w:w="5940" w:type="dxa"/>
                    <w:gridSpan w:val="3"/>
                    <w:tcBorders>
                      <w:bottom w:val="single" w:sz="6" w:space="0" w:color="000000"/>
                    </w:tcBorders>
                  </w:tcPr>
                  <w:p>
                    <w:pPr>
                      <w:rPr>
                        <w:sz w:val="22"/>
                      </w:rPr>
                    </w:pPr>
                    <w:r>
                      <w:rPr>
                        <w:sz w:val="22"/>
                      </w:rPr>
                      <w:t xml:space="preserve">penki iš šešių vasaros mėnesių (balandžio–rugsėjo mėnesiais) </w:t>
                    </w:r>
                  </w:p>
                </w:tc>
              </w:tr>
              <w:tr>
                <w:trPr>
                  <w:trHeight w:val="1515"/>
                </w:trPr>
                <w:tc>
                  <w:tcPr>
                    <w:tcW w:w="9108" w:type="dxa"/>
                    <w:gridSpan w:val="4"/>
                    <w:tcBorders>
                      <w:top w:val="single" w:sz="6" w:space="0" w:color="000000"/>
                      <w:bottom w:val="nil"/>
                    </w:tcBorders>
                  </w:tcPr>
                  <w:p>
                    <w:pPr>
                      <w:rPr>
                        <w:sz w:val="22"/>
                      </w:rPr>
                    </w:pPr>
                    <w:r>
                      <w:rPr>
                        <w:sz w:val="22"/>
                        <w:vertAlign w:val="superscript"/>
                      </w:rPr>
                      <w:t xml:space="preserve">1 </w:t>
                    </w:r>
                    <w:r>
                      <w:rPr>
                        <w:sz w:val="22"/>
                      </w:rPr>
                      <w:t>AOT40 (išreikštas µg/m</w:t>
                    </w:r>
                    <w:r>
                      <w:rPr>
                        <w:sz w:val="22"/>
                        <w:vertAlign w:val="superscript"/>
                      </w:rPr>
                      <w:t>3</w:t>
                    </w:r>
                    <w:r>
                      <w:rPr>
                        <w:sz w:val="22"/>
                      </w:rPr>
                      <w:t xml:space="preserve"> x h) yra skirtumų tarp valandinių koncentracijų, didesnių už 80 µg/m</w:t>
                    </w:r>
                    <w:r>
                      <w:rPr>
                        <w:sz w:val="22"/>
                        <w:vertAlign w:val="superscript"/>
                      </w:rPr>
                      <w:t xml:space="preserve">3 </w:t>
                    </w:r>
                    <w:r>
                      <w:rPr>
                        <w:sz w:val="22"/>
                      </w:rPr>
                      <w:t>(? 40 dalių vienam milijardui), ir 80 µg/m</w:t>
                    </w:r>
                    <w:r>
                      <w:rPr>
                        <w:sz w:val="22"/>
                        <w:vertAlign w:val="superscript"/>
                      </w:rPr>
                      <w:t xml:space="preserve">3 </w:t>
                    </w:r>
                    <w:r>
                      <w:rPr>
                        <w:sz w:val="22"/>
                      </w:rPr>
                      <w:t>suma per nustatytą laikotarpį, naudojant tik valandines vertes, matuotas nuo 8.00 iki 20.00 val. Vidurio Europos laiku (CET) kiekvieną dieną.</w:t>
                    </w:r>
                  </w:p>
                  <w:p>
                    <w:pPr>
                      <w:rPr>
                        <w:sz w:val="22"/>
                        <w:vertAlign w:val="superscript"/>
                      </w:rPr>
                    </w:pPr>
                  </w:p>
                  <w:p>
                    <w:pPr>
                      <w:rPr>
                        <w:sz w:val="22"/>
                      </w:rPr>
                    </w:pPr>
                    <w:r>
                      <w:rPr>
                        <w:sz w:val="22"/>
                        <w:vertAlign w:val="superscript"/>
                      </w:rPr>
                      <w:t>2</w:t>
                    </w:r>
                    <w:r>
                      <w:rPr>
                        <w:sz w:val="22"/>
                      </w:rPr>
                      <w:t xml:space="preserve"> Tais atvejais, kai neįmanoma gauti visų matavimo duomenų, skaičiuojant AOT40 vertes naudojami tokie koeficientai:</w:t>
                    </w:r>
                  </w:p>
                </w:tc>
              </w:tr>
              <w:tr>
                <w:trPr>
                  <w:trHeight w:val="70"/>
                </w:trPr>
                <w:tc>
                  <w:tcPr>
                    <w:tcW w:w="3348" w:type="dxa"/>
                    <w:gridSpan w:val="2"/>
                    <w:vMerge w:val="restart"/>
                    <w:tcBorders>
                      <w:top w:val="nil"/>
                      <w:bottom w:val="nil"/>
                      <w:right w:val="nil"/>
                    </w:tcBorders>
                    <w:vAlign w:val="center"/>
                  </w:tcPr>
                  <w:p>
                    <w:pPr>
                      <w:rPr>
                        <w:sz w:val="22"/>
                        <w:vertAlign w:val="superscript"/>
                      </w:rPr>
                    </w:pPr>
                    <w:r>
                      <w:rPr>
                        <w:bCs/>
                        <w:iCs/>
                        <w:sz w:val="22"/>
                      </w:rPr>
                      <w:t xml:space="preserve">AOT40 </w:t>
                    </w:r>
                    <w:r>
                      <w:rPr>
                        <w:bCs/>
                        <w:iCs/>
                        <w:sz w:val="22"/>
                        <w:vertAlign w:val="subscript"/>
                      </w:rPr>
                      <w:t>įvertis</w:t>
                    </w:r>
                    <w:r>
                      <w:rPr>
                        <w:bCs/>
                        <w:iCs/>
                        <w:sz w:val="22"/>
                      </w:rPr>
                      <w:t xml:space="preserve"> = AOT40 </w:t>
                    </w:r>
                    <w:r>
                      <w:rPr>
                        <w:bCs/>
                        <w:iCs/>
                        <w:sz w:val="22"/>
                        <w:vertAlign w:val="subscript"/>
                      </w:rPr>
                      <w:t>nustatytas</w:t>
                    </w:r>
                    <w:r>
                      <w:rPr>
                        <w:bCs/>
                        <w:iCs/>
                        <w:sz w:val="22"/>
                      </w:rPr>
                      <w:t xml:space="preserve"> x</w:t>
                    </w:r>
                  </w:p>
                </w:tc>
                <w:tc>
                  <w:tcPr>
                    <w:tcW w:w="5160" w:type="dxa"/>
                    <w:tcBorders>
                      <w:top w:val="nil"/>
                      <w:left w:val="nil"/>
                      <w:bottom w:val="single" w:sz="4" w:space="0" w:color="auto"/>
                      <w:right w:val="nil"/>
                    </w:tcBorders>
                  </w:tcPr>
                  <w:p>
                    <w:pPr>
                      <w:jc w:val="center"/>
                      <w:rPr>
                        <w:sz w:val="22"/>
                        <w:vertAlign w:val="superscript"/>
                      </w:rPr>
                    </w:pPr>
                    <w:r>
                      <w:rPr>
                        <w:bCs/>
                        <w:iCs/>
                        <w:sz w:val="22"/>
                      </w:rPr>
                      <w:t>visas galimas valandų skaičius*</w:t>
                    </w:r>
                  </w:p>
                </w:tc>
                <w:tc>
                  <w:tcPr>
                    <w:tcW w:w="600" w:type="dxa"/>
                    <w:tcBorders>
                      <w:top w:val="nil"/>
                      <w:left w:val="nil"/>
                      <w:bottom w:val="nil"/>
                    </w:tcBorders>
                  </w:tcPr>
                  <w:p>
                    <w:pPr>
                      <w:jc w:val="center"/>
                      <w:rPr>
                        <w:sz w:val="22"/>
                        <w:vertAlign w:val="superscript"/>
                      </w:rPr>
                    </w:pPr>
                  </w:p>
                </w:tc>
              </w:tr>
              <w:tr>
                <w:trPr>
                  <w:trHeight w:val="65"/>
                </w:trPr>
                <w:tc>
                  <w:tcPr>
                    <w:tcW w:w="3348" w:type="dxa"/>
                    <w:gridSpan w:val="2"/>
                    <w:vMerge/>
                    <w:tcBorders>
                      <w:top w:val="nil"/>
                      <w:bottom w:val="nil"/>
                      <w:right w:val="nil"/>
                    </w:tcBorders>
                  </w:tcPr>
                  <w:p>
                    <w:pPr>
                      <w:outlineLvl w:val="6"/>
                      <w:rPr>
                        <w:b/>
                        <w:bCs/>
                        <w:sz w:val="22"/>
                      </w:rPr>
                    </w:pPr>
                  </w:p>
                </w:tc>
                <w:tc>
                  <w:tcPr>
                    <w:tcW w:w="5160" w:type="dxa"/>
                    <w:tcBorders>
                      <w:top w:val="nil"/>
                      <w:left w:val="nil"/>
                      <w:bottom w:val="nil"/>
                      <w:right w:val="nil"/>
                    </w:tcBorders>
                  </w:tcPr>
                  <w:p>
                    <w:pPr>
                      <w:jc w:val="center"/>
                      <w:rPr>
                        <w:sz w:val="22"/>
                        <w:vertAlign w:val="superscript"/>
                      </w:rPr>
                    </w:pPr>
                    <w:r>
                      <w:rPr>
                        <w:sz w:val="22"/>
                      </w:rPr>
                      <w:t>matavimais nustatytų valandinių verčių skaičius</w:t>
                    </w:r>
                  </w:p>
                </w:tc>
                <w:tc>
                  <w:tcPr>
                    <w:tcW w:w="600" w:type="dxa"/>
                    <w:tcBorders>
                      <w:top w:val="nil"/>
                      <w:left w:val="nil"/>
                      <w:bottom w:val="nil"/>
                    </w:tcBorders>
                  </w:tcPr>
                  <w:p>
                    <w:pPr>
                      <w:jc w:val="center"/>
                      <w:rPr>
                        <w:sz w:val="22"/>
                        <w:vertAlign w:val="superscript"/>
                      </w:rPr>
                    </w:pPr>
                  </w:p>
                </w:tc>
              </w:tr>
              <w:tr>
                <w:trPr>
                  <w:trHeight w:val="1290"/>
                </w:trPr>
                <w:tc>
                  <w:tcPr>
                    <w:tcW w:w="9108" w:type="dxa"/>
                    <w:gridSpan w:val="4"/>
                    <w:tcBorders>
                      <w:top w:val="nil"/>
                      <w:bottom w:val="single" w:sz="4" w:space="0" w:color="auto"/>
                    </w:tcBorders>
                  </w:tcPr>
                  <w:p>
                    <w:pPr>
                      <w:rPr>
                        <w:sz w:val="22"/>
                      </w:rPr>
                    </w:pPr>
                  </w:p>
                  <w:p>
                    <w:pPr>
                      <w:rPr>
                        <w:rFonts w:eastAsia="Arial Unicode MS"/>
                        <w:sz w:val="22"/>
                      </w:rPr>
                    </w:pPr>
                    <w:r>
                      <w:rPr>
                        <w:sz w:val="22"/>
                        <w:vertAlign w:val="superscript"/>
                      </w:rPr>
                      <w:t>*</w:t>
                    </w:r>
                    <w:r>
                      <w:rPr>
                        <w:sz w:val="22"/>
                      </w:rPr>
                      <w:t xml:space="preserve"> valandų skaičius per AOT40 nustatymo laiką (t. y. nuo 8 iki 20 valandos CET nuo kiekvienų metų gegužės 1 d. iki liepos 31 d. augmenijos apsaugos atveju ir nuo kiekvienų metų balandžio 1 d. iki rugsėjo 30 d. miškų apsaugos atveju).</w:t>
                    </w:r>
                  </w:p>
                  <w:p>
                    <w:pPr>
                      <w:rPr>
                        <w:i/>
                        <w:iCs/>
                        <w:sz w:val="22"/>
                      </w:rPr>
                    </w:pPr>
                  </w:p>
                </w:tc>
              </w:tr>
            </w:tbl>
            <w:p/>
          </w:sdtContent>
        </w:sdt>
        <w:sdt>
          <w:sdtPr>
            <w:alias w:val="pabaiga"/>
            <w:tag w:val="part_f0a35ac036f14e179dfd1e4c0b80abb2"/>
            <w:lock w:val="sdtLocked"/>
            <w:richText/>
          </w:sdtPr>
          <w:sdtContent>
            <w:p>
              <w:pPr>
                <w:jc w:val="center"/>
              </w:pPr>
              <w:r>
                <w:t>_________________</w:t>
              </w:r>
            </w:p>
          </w:sdtContent>
        </w:sdt>
      </w:sdtContent>
    </w:sdt>
    <w:sdt>
      <w:sdtPr>
        <w:alias w:val="8 pr."/>
        <w:tag w:val="part_482c0ec9898444d1860baf8e8a2a952f"/>
        <w:lock w:val="sdtLocked"/>
        <w:richText/>
      </w:sdtPr>
      <w:sdtContent>
        <w:p>
          <w:pPr>
            <w:ind w:firstLine="5102"/>
          </w:pPr>
          <w:r>
            <w:br w:type="page"/>
          </w:r>
        </w:p>
        <w:p>
          <w:pPr>
            <w:ind w:firstLine="5102"/>
          </w:pPr>
          <w:r>
            <w:t xml:space="preserve">Aplinkos oro kokybės vertinimo tvarkos </w:t>
          </w:r>
        </w:p>
        <w:p>
          <w:pPr>
            <w:ind w:firstLine="5102"/>
          </w:pPr>
          <w:r>
            <w:t xml:space="preserve">aprašo </w:t>
          </w:r>
        </w:p>
        <w:p>
          <w:pPr>
            <w:ind w:firstLine="5102"/>
          </w:pPr>
          <w:sdt>
            <w:sdtPr>
              <w:alias w:val="Numeris"/>
              <w:tag w:val="nr_482c0ec9898444d1860baf8e8a2a952f"/>
              <w:lock w:val="sdtLocked"/>
              <w:richText/>
            </w:sdtPr>
            <w:sdtContent>
              <w:r>
                <w:t>8</w:t>
              </w:r>
            </w:sdtContent>
          </w:sdt>
          <w:r>
            <w:t xml:space="preserve"> priedas</w:t>
          </w:r>
        </w:p>
        <w:p>
          <w:pPr>
            <w:jc w:val="both"/>
          </w:pPr>
        </w:p>
        <w:p>
          <w:pPr>
            <w:jc w:val="center"/>
            <w:rPr>
              <w:b/>
              <w:bCs/>
              <w:caps/>
            </w:rPr>
          </w:pPr>
          <w:sdt>
            <w:sdtPr>
              <w:alias w:val="Pavadinimas"/>
              <w:tag w:val="title_482c0ec9898444d1860baf8e8a2a952f"/>
              <w:lock w:val="sdtLocked"/>
              <w:richText/>
            </w:sdtPr>
            <w:sdtContent>
              <w:r>
                <w:rPr>
                  <w:b/>
                  <w:bCs/>
                  <w:caps/>
                </w:rPr>
                <w:t xml:space="preserve">Ozono koncentracijos vertinimo ir ėminių ėmimo vietų klasifikavimo ir išdėstymo kriterijai, taikomi  Fiksuotiems matavimams</w:t>
              </w:r>
            </w:sdtContent>
          </w:sdt>
        </w:p>
        <w:p>
          <w:pPr>
            <w:jc w:val="center"/>
            <w:rPr>
              <w:b/>
              <w:bCs/>
              <w:caps/>
            </w:rPr>
          </w:pPr>
        </w:p>
        <w:sdt>
          <w:sdtPr>
            <w:alias w:val="skyrius"/>
            <w:tag w:val="part_74c929b8c26b4660891cd37c7f65b648"/>
            <w:lock w:val="sdtLocked"/>
            <w:richText/>
          </w:sdtPr>
          <w:sdtContent>
            <w:p>
              <w:pPr>
                <w:jc w:val="center"/>
                <w:outlineLvl w:val="2"/>
                <w:rPr>
                  <w:b/>
                  <w:bCs/>
                  <w:caps/>
                </w:rPr>
              </w:pPr>
              <w:sdt>
                <w:sdtPr>
                  <w:alias w:val="Numeris"/>
                  <w:tag w:val="nr_74c929b8c26b4660891cd37c7f65b648"/>
                  <w:lock w:val="sdtLocked"/>
                  <w:richText/>
                </w:sdtPr>
                <w:sdtContent>
                  <w:r>
                    <w:rPr>
                      <w:b/>
                      <w:bCs/>
                      <w:caps/>
                    </w:rPr>
                    <w:t>I</w:t>
                  </w:r>
                </w:sdtContent>
              </w:sdt>
              <w:r>
                <w:rPr>
                  <w:b/>
                  <w:bCs/>
                  <w:caps/>
                </w:rPr>
                <w:t xml:space="preserve">. </w:t>
              </w:r>
              <w:sdt>
                <w:sdtPr>
                  <w:alias w:val="Pavadinimas"/>
                  <w:tag w:val="title_74c929b8c26b4660891cd37c7f65b648"/>
                  <w:lock w:val="sdtLocked"/>
                  <w:richText/>
                </w:sdtPr>
                <w:sdtContent>
                  <w:r>
                    <w:rPr>
                      <w:b/>
                      <w:bCs/>
                      <w:caps/>
                    </w:rPr>
                    <w:t>Matavimo vietų išdėstymas makroskalėje</w:t>
                  </w:r>
                </w:sdtContent>
              </w:sdt>
            </w:p>
            <w:p/>
            <w:sdt>
              <w:sdtPr>
                <w:alias w:val="8 pr. 1 p."/>
                <w:tag w:val="part_fb047ae4b9554e509fc8fbdfff2f0b58"/>
                <w:lock w:val="sdtLocked"/>
                <w:richText/>
              </w:sdtPr>
              <w:sdtContent>
                <w:p>
                  <w:pPr>
                    <w:ind w:firstLine="567"/>
                    <w:jc w:val="both"/>
                  </w:pPr>
                  <w:sdt>
                    <w:sdtPr>
                      <w:alias w:val="Numeris"/>
                      <w:tag w:val="nr_fb047ae4b9554e509fc8fbdfff2f0b58"/>
                      <w:lock w:val="sdtLocked"/>
                      <w:richText/>
                    </w:sdtPr>
                    <w:sdtContent>
                      <w:r>
                        <w:t>1</w:t>
                      </w:r>
                    </w:sdtContent>
                  </w:sdt>
                  <w:r>
                    <w:t>. Matavimo vietų išdėstymas makroskalėje:</w:t>
                  </w:r>
                </w:p>
                <w:p/>
                <w:tbl>
                  <w:tblPr>
                    <w:tblW w:w="91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00"/>
                    <w:gridCol w:w="2340"/>
                    <w:gridCol w:w="1080"/>
                    <w:gridCol w:w="4860"/>
                  </w:tblGrid>
                  <w:tr>
                    <w:tc>
                      <w:tcPr>
                        <w:tcW w:w="900" w:type="dxa"/>
                      </w:tcPr>
                      <w:p>
                        <w:pPr>
                          <w:jc w:val="center"/>
                          <w:rPr>
                            <w:sz w:val="22"/>
                          </w:rPr>
                        </w:pPr>
                        <w:r>
                          <w:rPr>
                            <w:sz w:val="22"/>
                          </w:rPr>
                          <w:t>Stoties tipas</w:t>
                        </w:r>
                      </w:p>
                    </w:tc>
                    <w:tc>
                      <w:tcPr>
                        <w:tcW w:w="2340" w:type="dxa"/>
                      </w:tcPr>
                      <w:p>
                        <w:pPr>
                          <w:jc w:val="center"/>
                          <w:rPr>
                            <w:sz w:val="22"/>
                          </w:rPr>
                        </w:pPr>
                        <w:r>
                          <w:rPr>
                            <w:sz w:val="22"/>
                          </w:rPr>
                          <w:t>Matavimo tikslai</w:t>
                        </w:r>
                      </w:p>
                    </w:tc>
                    <w:tc>
                      <w:tcPr>
                        <w:tcW w:w="1080" w:type="dxa"/>
                      </w:tcPr>
                      <w:p>
                        <w:pPr>
                          <w:jc w:val="center"/>
                          <w:rPr>
                            <w:sz w:val="22"/>
                          </w:rPr>
                        </w:pPr>
                        <w:r>
                          <w:rPr>
                            <w:sz w:val="22"/>
                          </w:rPr>
                          <w:t>Tipiškumas</w:t>
                        </w:r>
                        <w:r>
                          <w:rPr>
                            <w:sz w:val="22"/>
                            <w:vertAlign w:val="superscript"/>
                          </w:rPr>
                          <w:t>1</w:t>
                        </w:r>
                      </w:p>
                    </w:tc>
                    <w:tc>
                      <w:tcPr>
                        <w:tcW w:w="4860" w:type="dxa"/>
                      </w:tcPr>
                      <w:p>
                        <w:pPr>
                          <w:jc w:val="center"/>
                          <w:rPr>
                            <w:sz w:val="22"/>
                          </w:rPr>
                        </w:pPr>
                        <w:r>
                          <w:rPr>
                            <w:sz w:val="22"/>
                          </w:rPr>
                          <w:t>Išdėstymo makroskalėje kriterijai</w:t>
                        </w:r>
                      </w:p>
                    </w:tc>
                  </w:tr>
                  <w:tr>
                    <w:tc>
                      <w:tcPr>
                        <w:tcW w:w="900" w:type="dxa"/>
                      </w:tcPr>
                      <w:p>
                        <w:pPr>
                          <w:rPr>
                            <w:sz w:val="22"/>
                          </w:rPr>
                        </w:pPr>
                        <w:r>
                          <w:rPr>
                            <w:sz w:val="22"/>
                          </w:rPr>
                          <w:t>Miesto</w:t>
                        </w:r>
                      </w:p>
                    </w:tc>
                    <w:tc>
                      <w:tcPr>
                        <w:tcW w:w="2340" w:type="dxa"/>
                      </w:tcPr>
                      <w:p>
                        <w:pPr>
                          <w:rPr>
                            <w:sz w:val="22"/>
                          </w:rPr>
                        </w:pPr>
                        <w:r>
                          <w:rPr>
                            <w:bCs/>
                            <w:sz w:val="22"/>
                            <w:u w:val="single"/>
                          </w:rPr>
                          <w:t>Žmonių sveikatos apsauga</w:t>
                        </w:r>
                        <w:r>
                          <w:rPr>
                            <w:bCs/>
                            <w:sz w:val="22"/>
                          </w:rPr>
                          <w:t xml:space="preserve">: </w:t>
                        </w:r>
                        <w:r>
                          <w:rPr>
                            <w:sz w:val="22"/>
                          </w:rPr>
                          <w:t>vertinti ozono poveikį žmonių sveikatai ten, kur didelis gyventojų tankis ir aukšta ozono koncentracija atspindi poveikį visiems miesto gyventojams</w:t>
                        </w:r>
                      </w:p>
                    </w:tc>
                    <w:tc>
                      <w:tcPr>
                        <w:tcW w:w="1080" w:type="dxa"/>
                      </w:tcPr>
                      <w:p>
                        <w:pPr>
                          <w:rPr>
                            <w:sz w:val="22"/>
                            <w:vertAlign w:val="superscript"/>
                          </w:rPr>
                        </w:pPr>
                        <w:r>
                          <w:rPr>
                            <w:sz w:val="22"/>
                          </w:rPr>
                          <w:t>Keli km</w:t>
                        </w:r>
                        <w:r>
                          <w:rPr>
                            <w:sz w:val="22"/>
                            <w:vertAlign w:val="superscript"/>
                          </w:rPr>
                          <w:t>2</w:t>
                        </w:r>
                      </w:p>
                    </w:tc>
                    <w:tc>
                      <w:tcPr>
                        <w:tcW w:w="4860" w:type="dxa"/>
                      </w:tcPr>
                      <w:p>
                        <w:pPr>
                          <w:rPr>
                            <w:sz w:val="22"/>
                          </w:rPr>
                        </w:pPr>
                        <w:r>
                          <w:rPr>
                            <w:sz w:val="22"/>
                          </w:rPr>
                          <w:t>Atokiai nuo vietinių išmetimo šaltinių, tokių kaip eismas, degalinės ir pan., įtakos.</w:t>
                        </w:r>
                      </w:p>
                      <w:p>
                        <w:pPr>
                          <w:rPr>
                            <w:sz w:val="22"/>
                          </w:rPr>
                        </w:pPr>
                        <w:r>
                          <w:rPr>
                            <w:sz w:val="22"/>
                          </w:rPr>
                          <w:t>Vietovės, kur galima išmatuoti gerai susimaišiusio aplinkos oro kokybę.</w:t>
                        </w:r>
                      </w:p>
                      <w:p>
                        <w:pPr>
                          <w:rPr>
                            <w:sz w:val="22"/>
                          </w:rPr>
                        </w:pPr>
                        <w:r>
                          <w:rPr>
                            <w:sz w:val="22"/>
                          </w:rPr>
                          <w:t>Vietovės, tokios kaip miestų gyvenamieji ir komerciniai rajonai, parkai (toliau nuo medžių), didelės gatvės arba aikštės, kuriose eismas nedidelis arba jo nėra, atviros teritorijos, būdingos švietimo, sporto arba rekreacijos objektams.</w:t>
                        </w:r>
                      </w:p>
                    </w:tc>
                  </w:tr>
                  <w:tr>
                    <w:tc>
                      <w:tcPr>
                        <w:tcW w:w="900" w:type="dxa"/>
                      </w:tcPr>
                      <w:p>
                        <w:pPr>
                          <w:rPr>
                            <w:sz w:val="22"/>
                          </w:rPr>
                        </w:pPr>
                        <w:r>
                          <w:rPr>
                            <w:sz w:val="22"/>
                          </w:rPr>
                          <w:t>Priemiesčio</w:t>
                        </w:r>
                      </w:p>
                    </w:tc>
                    <w:tc>
                      <w:tcPr>
                        <w:tcW w:w="2340" w:type="dxa"/>
                      </w:tcPr>
                      <w:p>
                        <w:pPr>
                          <w:rPr>
                            <w:bCs/>
                            <w:sz w:val="22"/>
                          </w:rPr>
                        </w:pPr>
                        <w:r>
                          <w:rPr>
                            <w:bCs/>
                            <w:sz w:val="22"/>
                            <w:u w:val="single"/>
                          </w:rPr>
                          <w:t>Žmonių sveikatos ir augmenijos apsauga</w:t>
                        </w:r>
                        <w:r>
                          <w:rPr>
                            <w:bCs/>
                            <w:sz w:val="22"/>
                          </w:rPr>
                          <w:t>:</w:t>
                        </w:r>
                      </w:p>
                      <w:p>
                        <w:pPr>
                          <w:rPr>
                            <w:sz w:val="22"/>
                          </w:rPr>
                        </w:pPr>
                        <w:r>
                          <w:rPr>
                            <w:sz w:val="22"/>
                          </w:rPr>
                          <w:t xml:space="preserve">vertinti poveikį žmonių sveikatai ir augmenijai aglomeracijos pakraščiuose, kur yra didžiausias ozono lygis, galintis daryti tiesioginį ar netiesioginį poveikį </w:t>
                        </w:r>
                      </w:p>
                    </w:tc>
                    <w:tc>
                      <w:tcPr>
                        <w:tcW w:w="1080" w:type="dxa"/>
                      </w:tcPr>
                      <w:p>
                        <w:pPr>
                          <w:rPr>
                            <w:sz w:val="22"/>
                          </w:rPr>
                        </w:pPr>
                        <w:r>
                          <w:rPr>
                            <w:sz w:val="22"/>
                          </w:rPr>
                          <w:t>Kelios dešimtys km</w:t>
                        </w:r>
                        <w:r>
                          <w:rPr>
                            <w:sz w:val="22"/>
                            <w:vertAlign w:val="superscript"/>
                          </w:rPr>
                          <w:t>2</w:t>
                        </w:r>
                      </w:p>
                    </w:tc>
                    <w:tc>
                      <w:tcPr>
                        <w:tcW w:w="4860" w:type="dxa"/>
                      </w:tcPr>
                      <w:p>
                        <w:pPr>
                          <w:rPr>
                            <w:sz w:val="22"/>
                          </w:rPr>
                        </w:pPr>
                        <w:r>
                          <w:rPr>
                            <w:sz w:val="22"/>
                          </w:rPr>
                          <w:t>Tam tikru atstumu nuo vietos, kur išmetamas didžiausias teršalų kiekis, pavėjui pagrindine vėjo kryptimi/kryptimis, esant palankioms ozono formavimuisi sąlygoms.</w:t>
                        </w:r>
                      </w:p>
                      <w:p>
                        <w:pPr>
                          <w:rPr>
                            <w:sz w:val="22"/>
                          </w:rPr>
                        </w:pPr>
                        <w:r>
                          <w:rPr>
                            <w:sz w:val="22"/>
                          </w:rPr>
                          <w:t>Kur gyventojams, pažeidžiamoms žemės ūkio kultūroms ar natūralioms ekosistemoms, esančioms aglomeracijos išoriniame pakraštyje, poveikį daro didelis ozono lygis.</w:t>
                        </w:r>
                      </w:p>
                      <w:p>
                        <w:pPr>
                          <w:rPr>
                            <w:sz w:val="22"/>
                          </w:rPr>
                        </w:pPr>
                        <w:r>
                          <w:rPr>
                            <w:sz w:val="22"/>
                          </w:rPr>
                          <w:t>Tam tikrais atvejais, kad būtų galima nustatyti regioninį foninį ozono lygį, kai kurios priemiesčio stotys įrengiamos prieš vėją nuo vietų, kuriose išmetamas didžiausias teršalų kiekis.</w:t>
                        </w:r>
                      </w:p>
                    </w:tc>
                  </w:tr>
                  <w:tr>
                    <w:tc>
                      <w:tcPr>
                        <w:tcW w:w="900" w:type="dxa"/>
                      </w:tcPr>
                      <w:p>
                        <w:pPr>
                          <w:rPr>
                            <w:sz w:val="22"/>
                          </w:rPr>
                        </w:pPr>
                        <w:r>
                          <w:rPr>
                            <w:sz w:val="22"/>
                          </w:rPr>
                          <w:t xml:space="preserve">Kaimo </w:t>
                        </w:r>
                      </w:p>
                    </w:tc>
                    <w:tc>
                      <w:tcPr>
                        <w:tcW w:w="2340" w:type="dxa"/>
                      </w:tcPr>
                      <w:p>
                        <w:pPr>
                          <w:rPr>
                            <w:sz w:val="22"/>
                          </w:rPr>
                        </w:pPr>
                        <w:r>
                          <w:rPr>
                            <w:sz w:val="22"/>
                            <w:u w:val="single"/>
                          </w:rPr>
                          <w:t>Žmonių sveikatos ir augmenijos apsauga</w:t>
                        </w:r>
                        <w:r>
                          <w:rPr>
                            <w:sz w:val="22"/>
                          </w:rPr>
                          <w:t>: vertinti subregioninio masto ozono koncentracijos poveikį žmonėms, kultūroms ir natūralioms ekosistemoms</w:t>
                        </w:r>
                      </w:p>
                    </w:tc>
                    <w:tc>
                      <w:tcPr>
                        <w:tcW w:w="1080" w:type="dxa"/>
                      </w:tcPr>
                      <w:p>
                        <w:pPr>
                          <w:rPr>
                            <w:sz w:val="22"/>
                          </w:rPr>
                        </w:pPr>
                        <w:r>
                          <w:rPr>
                            <w:sz w:val="22"/>
                          </w:rPr>
                          <w:t>Subregioninis lygis (keli šimtai km</w:t>
                        </w:r>
                        <w:r>
                          <w:rPr>
                            <w:sz w:val="22"/>
                            <w:vertAlign w:val="superscript"/>
                          </w:rPr>
                          <w:t>2</w:t>
                        </w:r>
                        <w:r>
                          <w:rPr>
                            <w:sz w:val="22"/>
                          </w:rPr>
                          <w:t>)</w:t>
                        </w:r>
                      </w:p>
                    </w:tc>
                    <w:tc>
                      <w:tcPr>
                        <w:tcW w:w="4860" w:type="dxa"/>
                      </w:tcPr>
                      <w:p>
                        <w:pPr>
                          <w:rPr>
                            <w:sz w:val="22"/>
                            <w:szCs w:val="22"/>
                          </w:rPr>
                        </w:pPr>
                        <w:r>
                          <w:rPr>
                            <w:sz w:val="22"/>
                            <w:szCs w:val="22"/>
                          </w:rPr>
                          <w:t>Mažose gyvenvietėse ir (arba) natūralių ekosistemų, miškų arba žemės ūkio kultūrų teritorijose.</w:t>
                        </w:r>
                      </w:p>
                      <w:p>
                        <w:pPr>
                          <w:rPr>
                            <w:sz w:val="22"/>
                            <w:szCs w:val="22"/>
                          </w:rPr>
                        </w:pPr>
                        <w:r>
                          <w:rPr>
                            <w:sz w:val="22"/>
                            <w:szCs w:val="22"/>
                          </w:rPr>
                          <w:t>Tipinėse ozonui vietovėse, toliau nuo tiesioginio vietinių taršos šaltinių, tokių kaip pramonės įrenginiai ir keliai, poveikio.</w:t>
                        </w:r>
                      </w:p>
                      <w:p>
                        <w:pPr>
                          <w:rPr>
                            <w:sz w:val="22"/>
                          </w:rPr>
                        </w:pPr>
                        <w:r>
                          <w:rPr>
                            <w:sz w:val="22"/>
                            <w:szCs w:val="22"/>
                          </w:rPr>
                          <w:t>Atvirose vietovėse, tačiau ne ant aukštesnių kalnų viršūnių.</w:t>
                        </w:r>
                      </w:p>
                    </w:tc>
                  </w:tr>
                  <w:tr>
                    <w:tc>
                      <w:tcPr>
                        <w:tcW w:w="900" w:type="dxa"/>
                      </w:tcPr>
                      <w:p>
                        <w:pPr>
                          <w:rPr>
                            <w:sz w:val="22"/>
                          </w:rPr>
                        </w:pPr>
                        <w:r>
                          <w:rPr>
                            <w:sz w:val="22"/>
                          </w:rPr>
                          <w:t xml:space="preserve">Foninė kaimo </w:t>
                        </w:r>
                      </w:p>
                    </w:tc>
                    <w:tc>
                      <w:tcPr>
                        <w:tcW w:w="2340" w:type="dxa"/>
                      </w:tcPr>
                      <w:p>
                        <w:pPr>
                          <w:rPr>
                            <w:b/>
                            <w:sz w:val="22"/>
                          </w:rPr>
                        </w:pPr>
                        <w:r>
                          <w:rPr>
                            <w:sz w:val="22"/>
                            <w:u w:val="single"/>
                          </w:rPr>
                          <w:t>Žmonių sveikatos ir augmenijos apsauga</w:t>
                        </w:r>
                        <w:r>
                          <w:rPr>
                            <w:sz w:val="22"/>
                          </w:rPr>
                          <w:t>: vertinti regioninio lygio ozono koncentracijos poveikį žemės ūkio kultūroms, natūralioms ekosistemoms ir žmonėms</w:t>
                        </w:r>
                      </w:p>
                    </w:tc>
                    <w:tc>
                      <w:tcPr>
                        <w:tcW w:w="1080" w:type="dxa"/>
                      </w:tcPr>
                      <w:p>
                        <w:pPr>
                          <w:rPr>
                            <w:sz w:val="22"/>
                          </w:rPr>
                        </w:pPr>
                        <w:r>
                          <w:rPr>
                            <w:sz w:val="22"/>
                          </w:rPr>
                          <w:t>Regioninis/ nacionalinis/ kontinentinis lygis (1000–10000 km</w:t>
                        </w:r>
                        <w:r>
                          <w:rPr>
                            <w:sz w:val="22"/>
                            <w:vertAlign w:val="superscript"/>
                          </w:rPr>
                          <w:t>2</w:t>
                        </w:r>
                        <w:r>
                          <w:rPr>
                            <w:sz w:val="22"/>
                          </w:rPr>
                          <w:t>)</w:t>
                        </w:r>
                      </w:p>
                    </w:tc>
                    <w:tc>
                      <w:tcPr>
                        <w:tcW w:w="4860" w:type="dxa"/>
                      </w:tcPr>
                      <w:p>
                        <w:pPr>
                          <w:rPr>
                            <w:sz w:val="22"/>
                          </w:rPr>
                        </w:pPr>
                        <w:r>
                          <w:rPr>
                            <w:sz w:val="22"/>
                          </w:rPr>
                          <w:t>Teritorijose, kur yra mažesnis gyventojų tankis, pvz., vietovėse su natūraliomis ekosistemomis, miškais, esančiais bent 20 km atstumu nuo miesto ir pramonės vietovių ir toliau nuo teršalų išmetimo objektų.</w:t>
                        </w:r>
                      </w:p>
                      <w:p>
                        <w:pPr>
                          <w:rPr>
                            <w:sz w:val="22"/>
                          </w:rPr>
                        </w:pPr>
                        <w:r>
                          <w:rPr>
                            <w:sz w:val="22"/>
                          </w:rPr>
                          <w:t>Vengti vietovių, kurioms būdingas padidintas pažemės inversijos sąlygų susidarymas; vengti aukštesnių kalnų viršūnių.</w:t>
                        </w:r>
                      </w:p>
                      <w:p>
                        <w:pPr>
                          <w:rPr>
                            <w:sz w:val="22"/>
                          </w:rPr>
                        </w:pPr>
                        <w:r>
                          <w:rPr>
                            <w:sz w:val="22"/>
                          </w:rPr>
                          <w:t>Nerekomenduojamos pakrantės vietovės, kuriose yra ryškūs vėjo ciklų paros svyravimai.</w:t>
                        </w:r>
                      </w:p>
                    </w:tc>
                  </w:tr>
                  <w:tr>
                    <w:trPr>
                      <w:cantSplit/>
                    </w:trPr>
                    <w:tc>
                      <w:tcPr>
                        <w:tcW w:w="9180" w:type="dxa"/>
                        <w:gridSpan w:val="4"/>
                      </w:tcPr>
                      <w:p>
                        <w:pPr>
                          <w:rPr>
                            <w:sz w:val="22"/>
                          </w:rPr>
                        </w:pPr>
                        <w:r>
                          <w:rPr>
                            <w:sz w:val="22"/>
                            <w:vertAlign w:val="superscript"/>
                          </w:rPr>
                          <w:t>1</w:t>
                        </w:r>
                        <w:r>
                          <w:rPr>
                            <w:sz w:val="22"/>
                          </w:rPr>
                          <w:t xml:space="preserve"> Kai įmanoma, ėminių ėmimo vietos turi būti tipiškos panašioms ne artimiausioje kaimynystėje esančioms vietovėms</w:t>
                        </w:r>
                      </w:p>
                    </w:tc>
                  </w:tr>
                </w:tbl>
                <w:p>
                  <w:pPr>
                    <w:jc w:val="both"/>
                  </w:pPr>
                </w:p>
              </w:sdtContent>
            </w:sdt>
            <w:sdt>
              <w:sdtPr>
                <w:alias w:val="8 pr. 2 p."/>
                <w:tag w:val="part_9ffbeb4155da478eb8c98999bc1d96d1"/>
                <w:lock w:val="sdtLocked"/>
                <w:richText/>
              </w:sdtPr>
              <w:sdtContent>
                <w:p>
                  <w:pPr>
                    <w:ind w:firstLine="567"/>
                    <w:jc w:val="both"/>
                  </w:pPr>
                  <w:sdt>
                    <w:sdtPr>
                      <w:alias w:val="Numeris"/>
                      <w:tag w:val="nr_9ffbeb4155da478eb8c98999bc1d96d1"/>
                      <w:lock w:val="sdtLocked"/>
                      <w:richText/>
                    </w:sdtPr>
                    <w:sdtContent>
                      <w:r>
                        <w:t>2</w:t>
                      </w:r>
                    </w:sdtContent>
                  </w:sdt>
                  <w:r>
                    <w:t>. Tam tikrais atvejais kaimo ir foninių kaimo stočių vietos turi būti parenkamos atsižvelgiant į 2006 m. lapkričio 7 d. Komisijos reglamento (EB) Nr. 1737/2006, nustatančio išsamias Europos Parlamento ir Tarybos reglamento (EB) Nr. 2152/2003 dėl miškų ir aplinkos sąveikos monitoringo Bendrijoje įgyvendinimo taisykles, monitoringo reikalavimus (OL 2006 L 334, p. 1).</w:t>
                  </w:r>
                </w:p>
                <w:p>
                  <w:pPr>
                    <w:jc w:val="both"/>
                  </w:pPr>
                </w:p>
              </w:sdtContent>
            </w:sdt>
          </w:sdtContent>
        </w:sdt>
        <w:sdt>
          <w:sdtPr>
            <w:alias w:val="skyrius"/>
            <w:tag w:val="part_8534e14e10cc458fb72ee8b3373f5a59"/>
            <w:lock w:val="sdtLocked"/>
            <w:richText/>
          </w:sdtPr>
          <w:sdtContent>
            <w:p>
              <w:pPr>
                <w:jc w:val="center"/>
                <w:outlineLvl w:val="2"/>
                <w:rPr>
                  <w:b/>
                  <w:bCs/>
                  <w:caps/>
                </w:rPr>
              </w:pPr>
              <w:sdt>
                <w:sdtPr>
                  <w:alias w:val="Numeris"/>
                  <w:tag w:val="nr_8534e14e10cc458fb72ee8b3373f5a59"/>
                  <w:lock w:val="sdtLocked"/>
                  <w:richText/>
                </w:sdtPr>
                <w:sdtContent>
                  <w:r>
                    <w:rPr>
                      <w:b/>
                      <w:bCs/>
                      <w:caps/>
                    </w:rPr>
                    <w:t>II</w:t>
                  </w:r>
                </w:sdtContent>
              </w:sdt>
              <w:r>
                <w:rPr>
                  <w:b/>
                  <w:bCs/>
                  <w:caps/>
                </w:rPr>
                <w:t xml:space="preserve">. </w:t>
              </w:r>
              <w:sdt>
                <w:sdtPr>
                  <w:alias w:val="Pavadinimas"/>
                  <w:tag w:val="title_8534e14e10cc458fb72ee8b3373f5a59"/>
                  <w:lock w:val="sdtLocked"/>
                  <w:richText/>
                </w:sdtPr>
                <w:sdtContent>
                  <w:r>
                    <w:rPr>
                      <w:b/>
                      <w:bCs/>
                      <w:caps/>
                    </w:rPr>
                    <w:t>Matavimo vietų išdėstymas mikroskalėje</w:t>
                  </w:r>
                </w:sdtContent>
              </w:sdt>
            </w:p>
            <w:p>
              <w:pPr>
                <w:jc w:val="both"/>
                <w:rPr>
                  <w:b/>
                  <w:bCs/>
                  <w:caps/>
                </w:rPr>
              </w:pPr>
            </w:p>
            <w:sdt>
              <w:sdtPr>
                <w:alias w:val="8 pr. 3 p."/>
                <w:tag w:val="part_b97755e18f894825af019149f88478c0"/>
                <w:lock w:val="sdtLocked"/>
                <w:richText/>
              </w:sdtPr>
              <w:sdtContent>
                <w:p>
                  <w:pPr>
                    <w:tabs>
                      <w:tab w:val="left" w:pos="9180"/>
                    </w:tabs>
                    <w:ind w:firstLine="720"/>
                    <w:jc w:val="both"/>
                  </w:pPr>
                  <w:sdt>
                    <w:sdtPr>
                      <w:alias w:val="Numeris"/>
                      <w:tag w:val="nr_b97755e18f894825af019149f88478c0"/>
                      <w:lock w:val="sdtLocked"/>
                      <w:richText/>
                    </w:sdtPr>
                    <w:sdtContent>
                      <w:r>
                        <w:t>3</w:t>
                      </w:r>
                    </w:sdtContent>
                  </w:sdt>
                  <w:r>
                    <w:t>. Tiek, kiek įmanoma praktikoje, turi būti taikoma Tvarkos aprašo 3 priedo III skyriuje nustatyta ėminių ėmimo vietų išdėstymo mikroskalėje tvarka, užtikrinama, kad ėmiklio įsiurbiamoji anga būtų gerokai toliau nuo tokių šaltinių, kaip kūryklos ir deginimo įrenginių dūmtakiai, ir daugiau kaip 10 m atstumu nuo artimiausio kelio. Šis atstumas turi būti didinamas didėjant eismo intensyvumui.</w:t>
                  </w:r>
                </w:p>
                <w:p>
                  <w:pPr>
                    <w:jc w:val="both"/>
                    <w:rPr>
                      <w:caps/>
                    </w:rPr>
                  </w:pPr>
                </w:p>
              </w:sdtContent>
            </w:sdt>
          </w:sdtContent>
        </w:sdt>
        <w:sdt>
          <w:sdtPr>
            <w:alias w:val="skyrius"/>
            <w:tag w:val="part_ea47494d5e9f45c8b29a92764c35d4c3"/>
            <w:lock w:val="sdtLocked"/>
            <w:richText/>
          </w:sdtPr>
          <w:sdtContent>
            <w:p>
              <w:pPr>
                <w:jc w:val="center"/>
                <w:rPr>
                  <w:b/>
                  <w:bCs/>
                  <w:caps/>
                </w:rPr>
              </w:pPr>
              <w:sdt>
                <w:sdtPr>
                  <w:alias w:val="Numeris"/>
                  <w:tag w:val="nr_ea47494d5e9f45c8b29a92764c35d4c3"/>
                  <w:lock w:val="sdtLocked"/>
                  <w:richText/>
                </w:sdtPr>
                <w:sdtContent>
                  <w:r>
                    <w:rPr>
                      <w:b/>
                      <w:bCs/>
                      <w:caps/>
                    </w:rPr>
                    <w:t>III</w:t>
                  </w:r>
                </w:sdtContent>
              </w:sdt>
              <w:r>
                <w:rPr>
                  <w:b/>
                  <w:bCs/>
                  <w:caps/>
                </w:rPr>
                <w:t xml:space="preserve">. </w:t>
              </w:r>
              <w:sdt>
                <w:sdtPr>
                  <w:alias w:val="Pavadinimas"/>
                  <w:tag w:val="title_ea47494d5e9f45c8b29a92764c35d4c3"/>
                  <w:lock w:val="sdtLocked"/>
                  <w:richText/>
                </w:sdtPr>
                <w:sdtContent>
                  <w:r>
                    <w:rPr>
                      <w:b/>
                      <w:bCs/>
                      <w:caps/>
                    </w:rPr>
                    <w:t>Ėminių ėmimo vietų parinkimo dokumentai ir vietų parinkimo peržiūra</w:t>
                  </w:r>
                </w:sdtContent>
              </w:sdt>
            </w:p>
            <w:p>
              <w:pPr>
                <w:jc w:val="both"/>
                <w:rPr>
                  <w:bCs/>
                  <w:caps/>
                </w:rPr>
              </w:pPr>
            </w:p>
            <w:sdt>
              <w:sdtPr>
                <w:alias w:val="8 pr. 4 p."/>
                <w:tag w:val="part_fe18d572cc1548908a8bd116433aae87"/>
                <w:lock w:val="sdtLocked"/>
                <w:richText/>
              </w:sdtPr>
              <w:sdtContent>
                <w:p>
                  <w:pPr>
                    <w:ind w:firstLine="720"/>
                    <w:jc w:val="both"/>
                    <w:rPr>
                      <w:i/>
                      <w:iCs/>
                    </w:rPr>
                  </w:pPr>
                  <w:sdt>
                    <w:sdtPr>
                      <w:alias w:val="Numeris"/>
                      <w:tag w:val="nr_fe18d572cc1548908a8bd116433aae87"/>
                      <w:lock w:val="sdtLocked"/>
                      <w:richText/>
                    </w:sdtPr>
                    <w:sdtContent>
                      <w:r>
                        <w:t>4</w:t>
                      </w:r>
                    </w:sdtContent>
                  </w:sdt>
                  <w:r>
                    <w:t>. Turi būti laikomasi Tvarkos aprašo 3 priedo IV skyriuje nustatytos tvarkos tam, kad būtų tinkamai atliekama monitoringo duomenų patikra ir aiškinimas, atsižvelgiant į meteorologinius ir fotocheminius procesus, darančius įtaką atitinkamoje vietoje matuojamai ozono koncentracijai</w:t>
                  </w:r>
                  <w:r>
                    <w:rPr>
                      <w:i/>
                      <w:iCs/>
                    </w:rPr>
                    <w:t xml:space="preserve">. </w:t>
                  </w:r>
                </w:p>
                <w:p>
                  <w:pPr>
                    <w:jc w:val="both"/>
                  </w:pPr>
                </w:p>
              </w:sdtContent>
            </w:sdt>
          </w:sdtContent>
        </w:sdt>
        <w:sdt>
          <w:sdtPr>
            <w:alias w:val="pabaiga"/>
            <w:tag w:val="part_9725383d0d5b4305a1d303d0c0eb13d7"/>
            <w:lock w:val="sdtLocked"/>
            <w:richText/>
          </w:sdtPr>
          <w:sdtContent>
            <w:p>
              <w:pPr>
                <w:jc w:val="center"/>
              </w:pPr>
              <w:r>
                <w:t>_________________</w:t>
              </w:r>
            </w:p>
          </w:sdtContent>
        </w:sdt>
      </w:sdtContent>
    </w:sdt>
    <w:sdt>
      <w:sdtPr>
        <w:alias w:val="9 pr."/>
        <w:tag w:val="part_2e2a1e2ebace4ff38f04526380e9b3fc"/>
        <w:lock w:val="sdtLocked"/>
        <w:richText/>
      </w:sdtPr>
      <w:sdtContent>
        <w:p>
          <w:pPr>
            <w:ind w:firstLine="5102"/>
          </w:pPr>
          <w:r>
            <w:br w:type="page"/>
          </w:r>
        </w:p>
        <w:p>
          <w:pPr>
            <w:ind w:firstLine="5102"/>
          </w:pPr>
          <w:r>
            <w:t xml:space="preserve">Aplinkos oro kokybės vertinimo tvarkos </w:t>
          </w:r>
        </w:p>
        <w:p>
          <w:pPr>
            <w:ind w:firstLine="5102"/>
          </w:pPr>
          <w:r>
            <w:t xml:space="preserve">aprašo </w:t>
          </w:r>
        </w:p>
        <w:p>
          <w:pPr>
            <w:ind w:firstLine="5102"/>
          </w:pPr>
          <w:sdt>
            <w:sdtPr>
              <w:alias w:val="Numeris"/>
              <w:tag w:val="nr_2e2a1e2ebace4ff38f04526380e9b3fc"/>
              <w:lock w:val="sdtLocked"/>
              <w:richText/>
            </w:sdtPr>
            <w:sdtContent>
              <w:r>
                <w:t>9</w:t>
              </w:r>
            </w:sdtContent>
          </w:sdt>
          <w:r>
            <w:t xml:space="preserve"> priedas</w:t>
          </w:r>
        </w:p>
        <w:p/>
        <w:p>
          <w:pPr>
            <w:jc w:val="center"/>
            <w:rPr>
              <w:b/>
              <w:bCs/>
              <w:caps/>
            </w:rPr>
          </w:pPr>
          <w:sdt>
            <w:sdtPr>
              <w:alias w:val="Pavadinimas"/>
              <w:tag w:val="title_2e2a1e2ebace4ff38f04526380e9b3fc"/>
              <w:lock w:val="sdtLocked"/>
              <w:richText/>
            </w:sdtPr>
            <w:sdtContent>
              <w:r>
                <w:rPr>
                  <w:b/>
                  <w:bCs/>
                  <w:caps/>
                </w:rPr>
                <w:t>Ozono koncentracijos fiksuotų matavimų ėminių ėmimo vietų mažiausio skaičiaus nustatymo kriterijai</w:t>
              </w:r>
            </w:sdtContent>
          </w:sdt>
        </w:p>
        <w:p>
          <w:pPr>
            <w:jc w:val="center"/>
            <w:rPr>
              <w:b/>
              <w:bCs/>
              <w:caps/>
            </w:rPr>
          </w:pPr>
        </w:p>
        <w:sdt>
          <w:sdtPr>
            <w:alias w:val="skyrius"/>
            <w:tag w:val="part_25e67be36c6d464f941314fc09b5107b"/>
            <w:lock w:val="sdtLocked"/>
            <w:richText/>
          </w:sdtPr>
          <w:sdtContent>
            <w:p>
              <w:pPr>
                <w:jc w:val="center"/>
                <w:rPr>
                  <w:b/>
                  <w:bCs/>
                  <w:caps/>
                </w:rPr>
              </w:pPr>
              <w:sdt>
                <w:sdtPr>
                  <w:alias w:val="Numeris"/>
                  <w:tag w:val="nr_25e67be36c6d464f941314fc09b5107b"/>
                  <w:lock w:val="sdtLocked"/>
                  <w:richText/>
                </w:sdtPr>
                <w:sdtContent>
                  <w:r>
                    <w:rPr>
                      <w:b/>
                      <w:bCs/>
                      <w:caps/>
                    </w:rPr>
                    <w:t>I</w:t>
                  </w:r>
                </w:sdtContent>
              </w:sdt>
              <w:r>
                <w:rPr>
                  <w:b/>
                  <w:bCs/>
                  <w:caps/>
                </w:rPr>
                <w:t xml:space="preserve">. </w:t>
              </w:r>
              <w:sdt>
                <w:sdtPr>
                  <w:alias w:val="Pavadinimas"/>
                  <w:tag w:val="title_25e67be36c6d464f941314fc09b5107b"/>
                  <w:lock w:val="sdtLocked"/>
                  <w:richText/>
                </w:sdtPr>
                <w:sdtContent>
                  <w:r>
                    <w:rPr>
                      <w:b/>
                      <w:bCs/>
                      <w:caps/>
                    </w:rPr>
                    <w:t>Mažiausias ėminių ėmimo vietų skaičius, reikalingas fiksuotiems nuolatiniams matavimams atlikti, kai tokie matavimai yra vienintelis informacijos šaltinis, siekiant įvertinti, kaip laikomasi siektinų verčių, ilgalaikių tikslų, informavimo ir pavojaus slenksčių</w:t>
                  </w:r>
                </w:sdtContent>
              </w:sdt>
            </w:p>
            <w:p>
              <w:pPr>
                <w:rPr>
                  <w:caps/>
                </w:rPr>
              </w:pPr>
            </w:p>
            <w:sdt>
              <w:sdtPr>
                <w:alias w:val="9 pr. 1 p."/>
                <w:tag w:val="part_cbe1cd8c265948c1bad09d6ac0bb8aa9"/>
                <w:lock w:val="sdtLocked"/>
                <w:richText/>
              </w:sdtPr>
              <w:sdtContent>
                <w:p>
                  <w:pPr>
                    <w:ind w:firstLine="567"/>
                    <w:jc w:val="both"/>
                  </w:pPr>
                  <w:sdt>
                    <w:sdtPr>
                      <w:alias w:val="Numeris"/>
                      <w:tag w:val="nr_cbe1cd8c265948c1bad09d6ac0bb8aa9"/>
                      <w:lock w:val="sdtLocked"/>
                      <w:richText/>
                    </w:sdtPr>
                    <w:sdtContent>
                      <w:r>
                        <w:rPr>
                          <w:caps/>
                        </w:rPr>
                        <w:t>1</w:t>
                      </w:r>
                    </w:sdtContent>
                  </w:sdt>
                  <w:r>
                    <w:rPr>
                      <w:caps/>
                    </w:rPr>
                    <w:t xml:space="preserve">. </w:t>
                  </w:r>
                  <w:r>
                    <w:t>Mažiausias ėminių ėmimo vietų skaičius:</w:t>
                  </w:r>
                </w:p>
                <w:p>
                  <w:pPr>
                    <w:jc w:val="both"/>
                  </w:pP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A0" w:firstRow="1" w:lastRow="0" w:firstColumn="1" w:lastColumn="0" w:noHBand="0" w:noVBand="0"/>
                  </w:tblPr>
                  <w:tblGrid>
                    <w:gridCol w:w="1800"/>
                    <w:gridCol w:w="2160"/>
                    <w:gridCol w:w="1980"/>
                    <w:gridCol w:w="3240"/>
                  </w:tblGrid>
                  <w:tr>
                    <w:tc>
                      <w:tcPr>
                        <w:tcW w:w="1800" w:type="dxa"/>
                        <w:vAlign w:val="center"/>
                      </w:tcPr>
                      <w:p>
                        <w:pPr>
                          <w:jc w:val="center"/>
                          <w:rPr>
                            <w:sz w:val="22"/>
                          </w:rPr>
                        </w:pPr>
                        <w:r>
                          <w:rPr>
                            <w:sz w:val="22"/>
                          </w:rPr>
                          <w:t>Gyventojų skaičius, tūkstančiais</w:t>
                        </w:r>
                      </w:p>
                    </w:tc>
                    <w:tc>
                      <w:tcPr>
                        <w:tcW w:w="2160" w:type="dxa"/>
                        <w:vAlign w:val="center"/>
                      </w:tcPr>
                      <w:p>
                        <w:pPr>
                          <w:jc w:val="center"/>
                          <w:rPr>
                            <w:sz w:val="22"/>
                          </w:rPr>
                        </w:pPr>
                        <w:r>
                          <w:rPr>
                            <w:sz w:val="22"/>
                          </w:rPr>
                          <w:t>Aglomeracijos (miesto ir priemiesčio) stotys</w:t>
                        </w:r>
                        <w:r>
                          <w:rPr>
                            <w:sz w:val="22"/>
                            <w:vertAlign w:val="superscript"/>
                          </w:rPr>
                          <w:t>1</w:t>
                        </w:r>
                      </w:p>
                    </w:tc>
                    <w:tc>
                      <w:tcPr>
                        <w:tcW w:w="1980" w:type="dxa"/>
                        <w:vAlign w:val="center"/>
                      </w:tcPr>
                      <w:p>
                        <w:pPr>
                          <w:jc w:val="center"/>
                          <w:rPr>
                            <w:sz w:val="22"/>
                          </w:rPr>
                        </w:pPr>
                        <w:r>
                          <w:rPr>
                            <w:sz w:val="22"/>
                          </w:rPr>
                          <w:t xml:space="preserve">Zonos (priemiesčio ir kaimo) stotys </w:t>
                        </w:r>
                        <w:r>
                          <w:rPr>
                            <w:sz w:val="22"/>
                            <w:vertAlign w:val="superscript"/>
                          </w:rPr>
                          <w:t>1</w:t>
                        </w:r>
                      </w:p>
                    </w:tc>
                    <w:tc>
                      <w:tcPr>
                        <w:tcW w:w="3240" w:type="dxa"/>
                        <w:vAlign w:val="center"/>
                      </w:tcPr>
                      <w:p>
                        <w:pPr>
                          <w:jc w:val="center"/>
                          <w:rPr>
                            <w:sz w:val="22"/>
                          </w:rPr>
                        </w:pPr>
                        <w:r>
                          <w:rPr>
                            <w:sz w:val="22"/>
                          </w:rPr>
                          <w:t>Foninė kaimo stotis</w:t>
                        </w:r>
                      </w:p>
                    </w:tc>
                  </w:tr>
                  <w:tr>
                    <w:trPr>
                      <w:cantSplit/>
                    </w:trPr>
                    <w:tc>
                      <w:tcPr>
                        <w:tcW w:w="1800" w:type="dxa"/>
                        <w:vAlign w:val="center"/>
                      </w:tcPr>
                      <w:p>
                        <w:pPr>
                          <w:jc w:val="center"/>
                          <w:rPr>
                            <w:sz w:val="22"/>
                          </w:rPr>
                        </w:pPr>
                        <w:r>
                          <w:rPr>
                            <w:sz w:val="22"/>
                          </w:rPr>
                          <w:t>0–249</w:t>
                        </w:r>
                      </w:p>
                    </w:tc>
                    <w:tc>
                      <w:tcPr>
                        <w:tcW w:w="2160" w:type="dxa"/>
                        <w:vAlign w:val="center"/>
                      </w:tcPr>
                      <w:p>
                        <w:pPr>
                          <w:jc w:val="center"/>
                          <w:rPr>
                            <w:sz w:val="22"/>
                          </w:rPr>
                        </w:pPr>
                        <w:r>
                          <w:rPr>
                            <w:sz w:val="22"/>
                          </w:rPr>
                          <w:t>–</w:t>
                        </w:r>
                      </w:p>
                    </w:tc>
                    <w:tc>
                      <w:tcPr>
                        <w:tcW w:w="1980" w:type="dxa"/>
                        <w:vAlign w:val="center"/>
                      </w:tcPr>
                      <w:p>
                        <w:pPr>
                          <w:jc w:val="center"/>
                          <w:rPr>
                            <w:sz w:val="22"/>
                          </w:rPr>
                        </w:pPr>
                        <w:r>
                          <w:rPr>
                            <w:sz w:val="22"/>
                          </w:rPr>
                          <w:t>1</w:t>
                        </w:r>
                      </w:p>
                    </w:tc>
                    <w:tc>
                      <w:tcPr>
                        <w:tcW w:w="3240" w:type="dxa"/>
                        <w:vMerge w:val="restart"/>
                        <w:vAlign w:val="center"/>
                      </w:tcPr>
                      <w:p>
                        <w:pPr>
                          <w:rPr>
                            <w:sz w:val="22"/>
                          </w:rPr>
                        </w:pPr>
                        <w:r>
                          <w:rPr>
                            <w:sz w:val="22"/>
                          </w:rPr>
                          <w:t>1 stotis 50 000 km</w:t>
                        </w:r>
                        <w:r>
                          <w:rPr>
                            <w:sz w:val="22"/>
                            <w:vertAlign w:val="superscript"/>
                          </w:rPr>
                          <w:t>2</w:t>
                        </w:r>
                        <w:r>
                          <w:rPr>
                            <w:sz w:val="22"/>
                          </w:rPr>
                          <w:t xml:space="preserve"> – vidutinis tankumas visoms zonoms šalyje </w:t>
                        </w:r>
                        <w:r>
                          <w:rPr>
                            <w:sz w:val="22"/>
                            <w:vertAlign w:val="superscript"/>
                          </w:rPr>
                          <w:t>2</w:t>
                        </w:r>
                        <w:r>
                          <w:rPr>
                            <w:sz w:val="22"/>
                          </w:rPr>
                          <w:t xml:space="preserve"> </w:t>
                        </w:r>
                      </w:p>
                    </w:tc>
                  </w:tr>
                  <w:tr>
                    <w:trPr>
                      <w:cantSplit/>
                    </w:trPr>
                    <w:tc>
                      <w:tcPr>
                        <w:tcW w:w="1800" w:type="dxa"/>
                      </w:tcPr>
                      <w:p>
                        <w:pPr>
                          <w:jc w:val="center"/>
                          <w:rPr>
                            <w:sz w:val="22"/>
                          </w:rPr>
                        </w:pPr>
                        <w:r>
                          <w:rPr>
                            <w:sz w:val="22"/>
                          </w:rPr>
                          <w:t>250–499</w:t>
                        </w:r>
                      </w:p>
                    </w:tc>
                    <w:tc>
                      <w:tcPr>
                        <w:tcW w:w="2160" w:type="dxa"/>
                      </w:tcPr>
                      <w:p>
                        <w:pPr>
                          <w:jc w:val="center"/>
                          <w:rPr>
                            <w:sz w:val="22"/>
                          </w:rPr>
                        </w:pPr>
                        <w:r>
                          <w:rPr>
                            <w:sz w:val="22"/>
                          </w:rPr>
                          <w:t>1</w:t>
                        </w:r>
                      </w:p>
                    </w:tc>
                    <w:tc>
                      <w:tcPr>
                        <w:tcW w:w="1980" w:type="dxa"/>
                      </w:tcPr>
                      <w:p>
                        <w:pPr>
                          <w:jc w:val="center"/>
                          <w:rPr>
                            <w:sz w:val="22"/>
                          </w:rPr>
                        </w:pPr>
                        <w:r>
                          <w:rPr>
                            <w:sz w:val="22"/>
                          </w:rPr>
                          <w:t>2</w:t>
                        </w:r>
                      </w:p>
                    </w:tc>
                    <w:tc>
                      <w:tcPr>
                        <w:tcW w:w="3240" w:type="dxa"/>
                        <w:vMerge/>
                      </w:tcPr>
                      <w:p>
                        <w:pPr>
                          <w:rPr>
                            <w:sz w:val="22"/>
                          </w:rPr>
                        </w:pPr>
                      </w:p>
                    </w:tc>
                  </w:tr>
                  <w:tr>
                    <w:trPr>
                      <w:cantSplit/>
                    </w:trPr>
                    <w:tc>
                      <w:tcPr>
                        <w:tcW w:w="1800" w:type="dxa"/>
                      </w:tcPr>
                      <w:p>
                        <w:pPr>
                          <w:jc w:val="center"/>
                          <w:rPr>
                            <w:sz w:val="22"/>
                          </w:rPr>
                        </w:pPr>
                        <w:r>
                          <w:rPr>
                            <w:sz w:val="22"/>
                          </w:rPr>
                          <w:t>500–999</w:t>
                        </w:r>
                      </w:p>
                    </w:tc>
                    <w:tc>
                      <w:tcPr>
                        <w:tcW w:w="2160" w:type="dxa"/>
                      </w:tcPr>
                      <w:p>
                        <w:pPr>
                          <w:jc w:val="center"/>
                          <w:rPr>
                            <w:sz w:val="22"/>
                          </w:rPr>
                        </w:pPr>
                        <w:r>
                          <w:rPr>
                            <w:sz w:val="22"/>
                          </w:rPr>
                          <w:t>2</w:t>
                        </w:r>
                      </w:p>
                    </w:tc>
                    <w:tc>
                      <w:tcPr>
                        <w:tcW w:w="1980" w:type="dxa"/>
                      </w:tcPr>
                      <w:p>
                        <w:pPr>
                          <w:jc w:val="center"/>
                          <w:rPr>
                            <w:sz w:val="22"/>
                          </w:rPr>
                        </w:pPr>
                        <w:r>
                          <w:rPr>
                            <w:sz w:val="22"/>
                          </w:rPr>
                          <w:t>2</w:t>
                        </w:r>
                      </w:p>
                    </w:tc>
                    <w:tc>
                      <w:tcPr>
                        <w:tcW w:w="3240" w:type="dxa"/>
                        <w:vMerge/>
                      </w:tcPr>
                      <w:p>
                        <w:pPr>
                          <w:rPr>
                            <w:sz w:val="22"/>
                          </w:rPr>
                        </w:pPr>
                      </w:p>
                    </w:tc>
                  </w:tr>
                  <w:tr>
                    <w:trPr>
                      <w:cantSplit/>
                    </w:trPr>
                    <w:tc>
                      <w:tcPr>
                        <w:tcW w:w="1800" w:type="dxa"/>
                      </w:tcPr>
                      <w:p>
                        <w:pPr>
                          <w:jc w:val="center"/>
                          <w:rPr>
                            <w:sz w:val="22"/>
                          </w:rPr>
                        </w:pPr>
                        <w:r>
                          <w:rPr>
                            <w:sz w:val="22"/>
                          </w:rPr>
                          <w:t>1000–1499</w:t>
                        </w:r>
                      </w:p>
                    </w:tc>
                    <w:tc>
                      <w:tcPr>
                        <w:tcW w:w="2160" w:type="dxa"/>
                      </w:tcPr>
                      <w:p>
                        <w:pPr>
                          <w:jc w:val="center"/>
                          <w:rPr>
                            <w:sz w:val="22"/>
                          </w:rPr>
                        </w:pPr>
                        <w:r>
                          <w:rPr>
                            <w:sz w:val="22"/>
                          </w:rPr>
                          <w:t>3</w:t>
                        </w:r>
                      </w:p>
                    </w:tc>
                    <w:tc>
                      <w:tcPr>
                        <w:tcW w:w="1980" w:type="dxa"/>
                      </w:tcPr>
                      <w:p>
                        <w:pPr>
                          <w:jc w:val="center"/>
                          <w:rPr>
                            <w:sz w:val="22"/>
                          </w:rPr>
                        </w:pPr>
                        <w:r>
                          <w:rPr>
                            <w:sz w:val="22"/>
                          </w:rPr>
                          <w:t>3</w:t>
                        </w:r>
                      </w:p>
                    </w:tc>
                    <w:tc>
                      <w:tcPr>
                        <w:tcW w:w="3240" w:type="dxa"/>
                        <w:vMerge/>
                      </w:tcPr>
                      <w:p>
                        <w:pPr>
                          <w:rPr>
                            <w:sz w:val="22"/>
                          </w:rPr>
                        </w:pPr>
                      </w:p>
                    </w:tc>
                  </w:tr>
                  <w:tr>
                    <w:trPr>
                      <w:cantSplit/>
                    </w:trPr>
                    <w:tc>
                      <w:tcPr>
                        <w:tcW w:w="1800" w:type="dxa"/>
                      </w:tcPr>
                      <w:p>
                        <w:pPr>
                          <w:jc w:val="center"/>
                          <w:rPr>
                            <w:sz w:val="22"/>
                          </w:rPr>
                        </w:pPr>
                        <w:r>
                          <w:rPr>
                            <w:sz w:val="22"/>
                          </w:rPr>
                          <w:t>1500–1999</w:t>
                        </w:r>
                      </w:p>
                    </w:tc>
                    <w:tc>
                      <w:tcPr>
                        <w:tcW w:w="2160" w:type="dxa"/>
                      </w:tcPr>
                      <w:p>
                        <w:pPr>
                          <w:jc w:val="center"/>
                          <w:rPr>
                            <w:sz w:val="22"/>
                          </w:rPr>
                        </w:pPr>
                        <w:r>
                          <w:rPr>
                            <w:sz w:val="22"/>
                          </w:rPr>
                          <w:t>3</w:t>
                        </w:r>
                      </w:p>
                    </w:tc>
                    <w:tc>
                      <w:tcPr>
                        <w:tcW w:w="1980" w:type="dxa"/>
                      </w:tcPr>
                      <w:p>
                        <w:pPr>
                          <w:jc w:val="center"/>
                          <w:rPr>
                            <w:sz w:val="22"/>
                          </w:rPr>
                        </w:pPr>
                        <w:r>
                          <w:rPr>
                            <w:sz w:val="22"/>
                          </w:rPr>
                          <w:t>4</w:t>
                        </w:r>
                      </w:p>
                    </w:tc>
                    <w:tc>
                      <w:tcPr>
                        <w:tcW w:w="3240" w:type="dxa"/>
                        <w:vMerge/>
                      </w:tcPr>
                      <w:p>
                        <w:pPr>
                          <w:rPr>
                            <w:sz w:val="22"/>
                          </w:rPr>
                        </w:pPr>
                      </w:p>
                    </w:tc>
                  </w:tr>
                  <w:tr>
                    <w:trPr>
                      <w:cantSplit/>
                    </w:trPr>
                    <w:tc>
                      <w:tcPr>
                        <w:tcW w:w="1800" w:type="dxa"/>
                      </w:tcPr>
                      <w:p>
                        <w:pPr>
                          <w:jc w:val="center"/>
                          <w:rPr>
                            <w:sz w:val="22"/>
                          </w:rPr>
                        </w:pPr>
                        <w:r>
                          <w:rPr>
                            <w:sz w:val="22"/>
                          </w:rPr>
                          <w:t>2000–2749</w:t>
                        </w:r>
                      </w:p>
                    </w:tc>
                    <w:tc>
                      <w:tcPr>
                        <w:tcW w:w="2160" w:type="dxa"/>
                      </w:tcPr>
                      <w:p>
                        <w:pPr>
                          <w:jc w:val="center"/>
                          <w:rPr>
                            <w:sz w:val="22"/>
                          </w:rPr>
                        </w:pPr>
                        <w:r>
                          <w:rPr>
                            <w:sz w:val="22"/>
                          </w:rPr>
                          <w:t>4</w:t>
                        </w:r>
                      </w:p>
                    </w:tc>
                    <w:tc>
                      <w:tcPr>
                        <w:tcW w:w="1980" w:type="dxa"/>
                      </w:tcPr>
                      <w:p>
                        <w:pPr>
                          <w:jc w:val="center"/>
                          <w:rPr>
                            <w:sz w:val="22"/>
                          </w:rPr>
                        </w:pPr>
                        <w:r>
                          <w:rPr>
                            <w:sz w:val="22"/>
                          </w:rPr>
                          <w:t>5</w:t>
                        </w:r>
                      </w:p>
                    </w:tc>
                    <w:tc>
                      <w:tcPr>
                        <w:tcW w:w="3240" w:type="dxa"/>
                        <w:vMerge/>
                      </w:tcPr>
                      <w:p>
                        <w:pPr>
                          <w:rPr>
                            <w:sz w:val="22"/>
                          </w:rPr>
                        </w:pPr>
                      </w:p>
                    </w:tc>
                  </w:tr>
                  <w:tr>
                    <w:trPr>
                      <w:cantSplit/>
                    </w:trPr>
                    <w:tc>
                      <w:tcPr>
                        <w:tcW w:w="1800" w:type="dxa"/>
                      </w:tcPr>
                      <w:p>
                        <w:pPr>
                          <w:jc w:val="center"/>
                          <w:rPr>
                            <w:sz w:val="22"/>
                          </w:rPr>
                        </w:pPr>
                        <w:r>
                          <w:rPr>
                            <w:sz w:val="22"/>
                          </w:rPr>
                          <w:t xml:space="preserve">2750–3749 </w:t>
                        </w:r>
                      </w:p>
                    </w:tc>
                    <w:tc>
                      <w:tcPr>
                        <w:tcW w:w="2160" w:type="dxa"/>
                      </w:tcPr>
                      <w:p>
                        <w:pPr>
                          <w:jc w:val="center"/>
                          <w:rPr>
                            <w:sz w:val="22"/>
                          </w:rPr>
                        </w:pPr>
                        <w:r>
                          <w:rPr>
                            <w:sz w:val="22"/>
                          </w:rPr>
                          <w:t>5</w:t>
                        </w:r>
                      </w:p>
                    </w:tc>
                    <w:tc>
                      <w:tcPr>
                        <w:tcW w:w="1980" w:type="dxa"/>
                      </w:tcPr>
                      <w:p>
                        <w:pPr>
                          <w:jc w:val="center"/>
                          <w:rPr>
                            <w:sz w:val="22"/>
                          </w:rPr>
                        </w:pPr>
                        <w:r>
                          <w:rPr>
                            <w:sz w:val="22"/>
                          </w:rPr>
                          <w:t>6</w:t>
                        </w:r>
                      </w:p>
                    </w:tc>
                    <w:tc>
                      <w:tcPr>
                        <w:tcW w:w="3240" w:type="dxa"/>
                        <w:vMerge/>
                      </w:tcPr>
                      <w:p>
                        <w:pPr>
                          <w:rPr>
                            <w:sz w:val="22"/>
                          </w:rPr>
                        </w:pPr>
                      </w:p>
                    </w:tc>
                  </w:tr>
                  <w:tr>
                    <w:trPr>
                      <w:cantSplit/>
                      <w:hidden/>
                    </w:trPr>
                    <w:tc>
                      <w:tcPr>
                        <w:tcW w:w="1800" w:type="dxa"/>
                      </w:tcPr>
                      <w:p>
                        <w:pPr>
                          <w:jc w:val="center"/>
                          <w:rPr>
                            <w:sz w:val="22"/>
                          </w:rPr>
                        </w:pPr>
                        <w:r>
                          <w:rPr>
                            <w:vanish/>
                            <w:sz w:val="22"/>
                          </w:rPr>
                          <w:t>&gt;=</w:t>
                        </w:r>
                        <w:r>
                          <w:rPr>
                            <w:sz w:val="22"/>
                          </w:rPr>
                          <w:t xml:space="preserve">? 3750 </w:t>
                        </w:r>
                      </w:p>
                    </w:tc>
                    <w:tc>
                      <w:tcPr>
                        <w:tcW w:w="2160" w:type="dxa"/>
                      </w:tcPr>
                      <w:p>
                        <w:pPr>
                          <w:jc w:val="center"/>
                          <w:rPr>
                            <w:sz w:val="22"/>
                          </w:rPr>
                        </w:pPr>
                        <w:r>
                          <w:rPr>
                            <w:sz w:val="22"/>
                          </w:rPr>
                          <w:t xml:space="preserve">1 papildoma stotis </w:t>
                        </w:r>
                      </w:p>
                      <w:p>
                        <w:pPr>
                          <w:jc w:val="center"/>
                          <w:rPr>
                            <w:sz w:val="22"/>
                          </w:rPr>
                        </w:pPr>
                        <w:r>
                          <w:rPr>
                            <w:sz w:val="22"/>
                          </w:rPr>
                          <w:t>2 milijonams gyventojų</w:t>
                        </w:r>
                      </w:p>
                    </w:tc>
                    <w:tc>
                      <w:tcPr>
                        <w:tcW w:w="1980" w:type="dxa"/>
                      </w:tcPr>
                      <w:p>
                        <w:pPr>
                          <w:jc w:val="center"/>
                          <w:rPr>
                            <w:sz w:val="22"/>
                          </w:rPr>
                        </w:pPr>
                        <w:r>
                          <w:rPr>
                            <w:sz w:val="22"/>
                          </w:rPr>
                          <w:t>1 papildoma stotis 2 milijonams gyventojų</w:t>
                        </w:r>
                      </w:p>
                    </w:tc>
                    <w:tc>
                      <w:tcPr>
                        <w:tcW w:w="3240" w:type="dxa"/>
                        <w:vMerge/>
                      </w:tcPr>
                      <w:p>
                        <w:pPr>
                          <w:rPr>
                            <w:sz w:val="22"/>
                          </w:rPr>
                        </w:pPr>
                      </w:p>
                    </w:tc>
                  </w:tr>
                  <w:tr>
                    <w:trPr>
                      <w:cantSplit/>
                    </w:trPr>
                    <w:tc>
                      <w:tcPr>
                        <w:tcW w:w="9180" w:type="dxa"/>
                        <w:gridSpan w:val="4"/>
                      </w:tcPr>
                      <w:p>
                        <w:pPr>
                          <w:rPr>
                            <w:sz w:val="22"/>
                          </w:rPr>
                        </w:pPr>
                        <w:r>
                          <w:rPr>
                            <w:sz w:val="22"/>
                            <w:vertAlign w:val="superscript"/>
                          </w:rPr>
                          <w:t>1</w:t>
                        </w:r>
                        <w:r>
                          <w:rPr>
                            <w:sz w:val="22"/>
                          </w:rPr>
                          <w:t xml:space="preserve"> Mažiausiai 1 stotis priemiesčio teritorijose, kur tikėtinas didžiausias poveikis gyventojams. Aglomeracijose mažiausiai 50 % stočių turi būti išdėstomos priemiesčio teritorijose.</w:t>
                        </w:r>
                      </w:p>
                      <w:p>
                        <w:pPr>
                          <w:rPr>
                            <w:sz w:val="22"/>
                            <w:vertAlign w:val="superscript"/>
                          </w:rPr>
                        </w:pPr>
                      </w:p>
                      <w:p>
                        <w:pPr>
                          <w:rPr>
                            <w:sz w:val="22"/>
                          </w:rPr>
                        </w:pPr>
                        <w:r>
                          <w:rPr>
                            <w:sz w:val="22"/>
                            <w:vertAlign w:val="superscript"/>
                          </w:rPr>
                          <w:t>2</w:t>
                        </w:r>
                        <w:r>
                          <w:rPr>
                            <w:sz w:val="22"/>
                          </w:rPr>
                          <w:t xml:space="preserve"> Sudėtingose vietovėse rekomenduojama 1 stotis 25 000 km</w:t>
                        </w:r>
                        <w:r>
                          <w:rPr>
                            <w:sz w:val="22"/>
                            <w:vertAlign w:val="superscript"/>
                          </w:rPr>
                          <w:t>2</w:t>
                        </w:r>
                        <w:r>
                          <w:rPr>
                            <w:sz w:val="22"/>
                          </w:rPr>
                          <w:t>.</w:t>
                        </w:r>
                      </w:p>
                    </w:tc>
                  </w:tr>
                </w:tbl>
                <w:p>
                  <w:pPr>
                    <w:jc w:val="both"/>
                  </w:pPr>
                </w:p>
              </w:sdtContent>
            </w:sdt>
          </w:sdtContent>
        </w:sdt>
        <w:sdt>
          <w:sdtPr>
            <w:alias w:val="skyrius"/>
            <w:tag w:val="part_4a50c6854fd24edea402356873122411"/>
            <w:lock w:val="sdtLocked"/>
            <w:richText/>
          </w:sdtPr>
          <w:sdtContent>
            <w:p>
              <w:pPr>
                <w:jc w:val="center"/>
                <w:rPr>
                  <w:b/>
                  <w:bCs/>
                  <w:caps/>
                </w:rPr>
              </w:pPr>
              <w:sdt>
                <w:sdtPr>
                  <w:alias w:val="Numeris"/>
                  <w:tag w:val="nr_4a50c6854fd24edea402356873122411"/>
                  <w:lock w:val="sdtLocked"/>
                  <w:richText/>
                </w:sdtPr>
                <w:sdtContent>
                  <w:r>
                    <w:rPr>
                      <w:b/>
                      <w:bCs/>
                      <w:caps/>
                    </w:rPr>
                    <w:t>II</w:t>
                  </w:r>
                </w:sdtContent>
              </w:sdt>
              <w:r>
                <w:rPr>
                  <w:b/>
                  <w:bCs/>
                  <w:caps/>
                </w:rPr>
                <w:t xml:space="preserve">. </w:t>
              </w:r>
              <w:sdt>
                <w:sdtPr>
                  <w:alias w:val="Pavadinimas"/>
                  <w:tag w:val="title_4a50c6854fd24edea402356873122411"/>
                  <w:lock w:val="sdtLocked"/>
                  <w:richText/>
                </w:sdtPr>
                <w:sdtContent>
                  <w:r>
                    <w:rPr>
                      <w:b/>
                      <w:bCs/>
                      <w:caps/>
                    </w:rPr>
                    <w:t>Mažiausias ėminių ėmimo vietų skaičius, reikalingas fiksuotiems matavimams atlikti, siekiant įvertinti, kaip zonose ir aglomeracijose įgyvendinami ilgalaikiai tikslai</w:t>
                  </w:r>
                </w:sdtContent>
              </w:sdt>
            </w:p>
            <w:p>
              <w:pPr>
                <w:jc w:val="both"/>
                <w:rPr>
                  <w:rFonts w:eastAsia="Arial Unicode MS"/>
                  <w:bCs/>
                  <w:caps/>
                </w:rPr>
              </w:pPr>
            </w:p>
            <w:sdt>
              <w:sdtPr>
                <w:alias w:val="9 pr. 2 p."/>
                <w:tag w:val="part_64de2414cfcc4d99b5b4e266467f8daf"/>
                <w:lock w:val="sdtLocked"/>
                <w:richText/>
              </w:sdtPr>
              <w:sdtContent>
                <w:p>
                  <w:pPr>
                    <w:ind w:firstLine="567"/>
                    <w:jc w:val="both"/>
                    <w:rPr>
                      <w:spacing w:val="-4"/>
                    </w:rPr>
                  </w:pPr>
                  <w:sdt>
                    <w:sdtPr>
                      <w:alias w:val="Numeris"/>
                      <w:tag w:val="nr_64de2414cfcc4d99b5b4e266467f8daf"/>
                      <w:lock w:val="sdtLocked"/>
                      <w:richText/>
                    </w:sdtPr>
                    <w:sdtContent>
                      <w:r>
                        <w:rPr>
                          <w:rFonts w:eastAsia="Arial Unicode MS"/>
                        </w:rPr>
                        <w:t>2</w:t>
                      </w:r>
                    </w:sdtContent>
                  </w:sdt>
                  <w:r>
                    <w:rPr>
                      <w:rFonts w:eastAsia="Arial Unicode MS"/>
                    </w:rPr>
                    <w:t xml:space="preserve">. </w:t>
                  </w:r>
                  <w:r>
                    <w:t xml:space="preserve">Ozono ėminių ėmimo vietų kiekis kartu su kitomis papildomo oro kokybės vertinimo priemonėmis, tokiomis kaip oro kokybės modeliavimas ir toje pačioje vietovėje atliekami </w:t>
                  </w:r>
                  <w:r>
                    <w:rPr>
                      <w:spacing w:val="-4"/>
                    </w:rPr>
                    <w:t xml:space="preserve">azoto dioksido matavimai, turi būti pakankamas ištirti ozono taršos tendencijas ir įvertinti, kaip įgyvendinami ilgalaikiai tikslai. I skyriuje apibrėžtas aglomeracijose ir kitose zonose esančių stočių skaičius gali būti </w:t>
                  </w:r>
                  <w:r>
                    <w:t>sumažintas</w:t>
                  </w:r>
                  <w:r>
                    <w:rPr>
                      <w:spacing w:val="-4"/>
                    </w:rPr>
                    <w:t xml:space="preserve"> vienu trečdaliu. Jeigu informacija, gauta iš fiksuotų matavimų stočių, yra vienintelis informacijos šaltinis, turėtų būti mažiausiai viena monitoringo stotis. Jeigu zonose, kuriose atliekami papildomi vertinimai, nebelieka matavimo stočių, derinant su kitomis kaimyninių zonų stotimis, turi būti užtikrintas tinkamas ozono koncentracijos vertinimas siekiant ilgalaikių tikslų. Foninėse kaimo vietovėse turi būti 1 stotis 100 000 km</w:t>
                  </w:r>
                  <w:r>
                    <w:rPr>
                      <w:spacing w:val="-4"/>
                      <w:vertAlign w:val="superscript"/>
                    </w:rPr>
                    <w:t>2</w:t>
                  </w:r>
                  <w:r>
                    <w:rPr>
                      <w:spacing w:val="-4"/>
                    </w:rPr>
                    <w:t>.</w:t>
                  </w:r>
                </w:p>
                <w:p>
                  <w:pPr>
                    <w:jc w:val="both"/>
                  </w:pPr>
                </w:p>
              </w:sdtContent>
            </w:sdt>
          </w:sdtContent>
        </w:sdt>
        <w:sdt>
          <w:sdtPr>
            <w:alias w:val="pabaiga"/>
            <w:tag w:val="part_bbf98cd5d1814ea9b4a5e459c43833fc"/>
            <w:lock w:val="sdtLocked"/>
            <w:richText/>
          </w:sdtPr>
          <w:sdtContent>
            <w:p>
              <w:pPr>
                <w:jc w:val="center"/>
              </w:pPr>
              <w:r>
                <w:t>_________________</w:t>
              </w:r>
            </w:p>
          </w:sdtContent>
        </w:sdt>
      </w:sdtContent>
    </w:sdt>
    <w:sdt>
      <w:sdtPr>
        <w:alias w:val="10 pr."/>
        <w:tag w:val="part_d2366a7b5d824614852e69cf43c601d4"/>
        <w:lock w:val="sdtLocked"/>
        <w:richText/>
      </w:sdtPr>
      <w:sdtContent>
        <w:p>
          <w:pPr>
            <w:ind w:firstLine="5102"/>
          </w:pPr>
          <w:r>
            <w:br w:type="page"/>
          </w:r>
        </w:p>
        <w:p>
          <w:pPr>
            <w:ind w:firstLine="5102"/>
          </w:pPr>
          <w:r>
            <w:t xml:space="preserve">Aplinkos oro kokybės vertinimo tvarkos </w:t>
          </w:r>
        </w:p>
        <w:p>
          <w:pPr>
            <w:ind w:firstLine="5102"/>
          </w:pPr>
          <w:r>
            <w:t xml:space="preserve">aprašo </w:t>
          </w:r>
        </w:p>
        <w:p>
          <w:pPr>
            <w:ind w:firstLine="5102"/>
          </w:pPr>
          <w:sdt>
            <w:sdtPr>
              <w:alias w:val="Numeris"/>
              <w:tag w:val="nr_d2366a7b5d824614852e69cf43c601d4"/>
              <w:lock w:val="sdtLocked"/>
              <w:richText/>
            </w:sdtPr>
            <w:sdtContent>
              <w:r>
                <w:t>10</w:t>
              </w:r>
            </w:sdtContent>
          </w:sdt>
          <w:r>
            <w:t xml:space="preserve"> priedas</w:t>
          </w:r>
        </w:p>
        <w:p/>
        <w:p>
          <w:pPr>
            <w:jc w:val="center"/>
            <w:rPr>
              <w:highlight w:val="yellow"/>
            </w:rPr>
          </w:pPr>
          <w:sdt>
            <w:sdtPr>
              <w:alias w:val="Pavadinimas"/>
              <w:tag w:val="title_d2366a7b5d824614852e69cf43c601d4"/>
              <w:lock w:val="sdtLocked"/>
              <w:richText/>
            </w:sdtPr>
            <w:sdtContent>
              <w:r>
                <w:rPr>
                  <w:b/>
                  <w:bCs/>
                </w:rPr>
                <w:t>OZONO PIRMTAKŲ (PREKURSORIŲ) MEDŽIAGŲ MATAVIMAI</w:t>
              </w:r>
            </w:sdtContent>
          </w:sdt>
        </w:p>
        <w:p>
          <w:pPr>
            <w:jc w:val="center"/>
            <w:rPr>
              <w:caps/>
            </w:rPr>
          </w:pPr>
        </w:p>
        <w:sdt>
          <w:sdtPr>
            <w:alias w:val="skyrius"/>
            <w:tag w:val="part_50d5c71fcf3243239078598219769d33"/>
            <w:lock w:val="sdtLocked"/>
            <w:richText/>
          </w:sdtPr>
          <w:sdtContent>
            <w:p>
              <w:pPr>
                <w:jc w:val="center"/>
                <w:rPr>
                  <w:b/>
                  <w:bCs/>
                  <w:caps/>
                </w:rPr>
              </w:pPr>
              <w:sdt>
                <w:sdtPr>
                  <w:alias w:val="Numeris"/>
                  <w:tag w:val="nr_50d5c71fcf3243239078598219769d33"/>
                  <w:lock w:val="sdtLocked"/>
                  <w:richText/>
                </w:sdtPr>
                <w:sdtContent>
                  <w:r>
                    <w:rPr>
                      <w:b/>
                      <w:bCs/>
                      <w:caps/>
                    </w:rPr>
                    <w:t>I</w:t>
                  </w:r>
                </w:sdtContent>
              </w:sdt>
              <w:r>
                <w:rPr>
                  <w:b/>
                  <w:bCs/>
                  <w:caps/>
                </w:rPr>
                <w:t xml:space="preserve">. </w:t>
              </w:r>
              <w:sdt>
                <w:sdtPr>
                  <w:alias w:val="Pavadinimas"/>
                  <w:tag w:val="title_50d5c71fcf3243239078598219769d33"/>
                  <w:lock w:val="sdtLocked"/>
                  <w:richText/>
                </w:sdtPr>
                <w:sdtContent>
                  <w:r>
                    <w:rPr>
                      <w:b/>
                      <w:bCs/>
                      <w:caps/>
                    </w:rPr>
                    <w:t>Tikslai</w:t>
                  </w:r>
                </w:sdtContent>
              </w:sdt>
            </w:p>
            <w:p>
              <w:pPr>
                <w:rPr>
                  <w:b/>
                  <w:bCs/>
                  <w:caps/>
                </w:rPr>
              </w:pPr>
            </w:p>
            <w:sdt>
              <w:sdtPr>
                <w:alias w:val="10 pr. 1 p."/>
                <w:tag w:val="part_e04d474c45be498f8959d722dcbec352"/>
                <w:lock w:val="sdtLocked"/>
                <w:richText/>
              </w:sdtPr>
              <w:sdtContent>
                <w:p>
                  <w:pPr>
                    <w:ind w:firstLine="720"/>
                    <w:jc w:val="both"/>
                  </w:pPr>
                  <w:sdt>
                    <w:sdtPr>
                      <w:alias w:val="Numeris"/>
                      <w:tag w:val="nr_e04d474c45be498f8959d722dcbec352"/>
                      <w:lock w:val="sdtLocked"/>
                      <w:richText/>
                    </w:sdtPr>
                    <w:sdtContent>
                      <w:r>
                        <w:t>1</w:t>
                      </w:r>
                    </w:sdtContent>
                  </w:sdt>
                  <w:r>
                    <w:t>. Pagrindinis tokių matavimų tikslas yra išanalizuoti visas ozono pirmtakų (prekursorių) medžiagų tendencijas, patikrinti taršos mažinimo strategijų veiksmingumą, patikrinti išmetamųjų teršalų apskaitos nuoseklumą ir padėti nustatyti taršos šaltinių ryšį su teršalų koncentracija.</w:t>
                  </w:r>
                </w:p>
              </w:sdtContent>
            </w:sdt>
            <w:sdt>
              <w:sdtPr>
                <w:alias w:val="10 pr. 2 p."/>
                <w:tag w:val="part_b0186859e3404d17bf896adfc5f9f701"/>
                <w:lock w:val="sdtLocked"/>
                <w:richText/>
              </w:sdtPr>
              <w:sdtContent>
                <w:p>
                  <w:pPr>
                    <w:ind w:firstLine="720"/>
                    <w:jc w:val="both"/>
                  </w:pPr>
                  <w:sdt>
                    <w:sdtPr>
                      <w:alias w:val="Numeris"/>
                      <w:tag w:val="nr_b0186859e3404d17bf896adfc5f9f701"/>
                      <w:lock w:val="sdtLocked"/>
                      <w:richText/>
                    </w:sdtPr>
                    <w:sdtContent>
                      <w:r>
                        <w:t>2</w:t>
                      </w:r>
                    </w:sdtContent>
                  </w:sdt>
                  <w:r>
                    <w:t>. Taip pat siekiama padėti suprasti ozono susidarymo ir pirmtakų (prekursorių) medžiagų sklaidos procesus ir taikyti fotocheminius modelius.</w:t>
                  </w:r>
                </w:p>
                <w:p>
                  <w:pPr>
                    <w:jc w:val="both"/>
                    <w:rPr>
                      <w:caps/>
                    </w:rPr>
                  </w:pPr>
                </w:p>
              </w:sdtContent>
            </w:sdt>
          </w:sdtContent>
        </w:sdt>
        <w:sdt>
          <w:sdtPr>
            <w:alias w:val="skyrius"/>
            <w:tag w:val="part_3b5bd479c1284ad88d71ddc0e7afad84"/>
            <w:lock w:val="sdtLocked"/>
            <w:richText/>
          </w:sdtPr>
          <w:sdtContent>
            <w:p>
              <w:pPr>
                <w:jc w:val="center"/>
                <w:rPr>
                  <w:b/>
                  <w:bCs/>
                  <w:caps/>
                </w:rPr>
              </w:pPr>
              <w:sdt>
                <w:sdtPr>
                  <w:alias w:val="Numeris"/>
                  <w:tag w:val="nr_3b5bd479c1284ad88d71ddc0e7afad84"/>
                  <w:lock w:val="sdtLocked"/>
                  <w:richText/>
                </w:sdtPr>
                <w:sdtContent>
                  <w:r>
                    <w:rPr>
                      <w:b/>
                      <w:bCs/>
                      <w:caps/>
                    </w:rPr>
                    <w:t>II</w:t>
                  </w:r>
                </w:sdtContent>
              </w:sdt>
              <w:r>
                <w:rPr>
                  <w:b/>
                  <w:bCs/>
                  <w:caps/>
                </w:rPr>
                <w:t xml:space="preserve">. </w:t>
              </w:r>
              <w:sdt>
                <w:sdtPr>
                  <w:alias w:val="Pavadinimas"/>
                  <w:tag w:val="title_3b5bd479c1284ad88d71ddc0e7afad84"/>
                  <w:lock w:val="sdtLocked"/>
                  <w:richText/>
                </w:sdtPr>
                <w:sdtContent>
                  <w:r>
                    <w:rPr>
                      <w:b/>
                      <w:bCs/>
                      <w:caps/>
                    </w:rPr>
                    <w:t>Medżiagos</w:t>
                  </w:r>
                </w:sdtContent>
              </w:sdt>
            </w:p>
            <w:p>
              <w:pPr>
                <w:rPr>
                  <w:b/>
                  <w:bCs/>
                  <w:caps/>
                </w:rPr>
              </w:pPr>
            </w:p>
            <w:sdt>
              <w:sdtPr>
                <w:alias w:val="10 pr. 3 p."/>
                <w:tag w:val="part_85e35ecba80940dfbecf03558d50cced"/>
                <w:lock w:val="sdtLocked"/>
                <w:richText/>
              </w:sdtPr>
              <w:sdtContent>
                <w:p>
                  <w:pPr>
                    <w:ind w:firstLine="567"/>
                    <w:jc w:val="both"/>
                  </w:pPr>
                  <w:sdt>
                    <w:sdtPr>
                      <w:alias w:val="Numeris"/>
                      <w:tag w:val="nr_85e35ecba80940dfbecf03558d50cced"/>
                      <w:lock w:val="sdtLocked"/>
                      <w:richText/>
                    </w:sdtPr>
                    <w:sdtContent>
                      <w:r>
                        <w:t>3</w:t>
                      </w:r>
                    </w:sdtContent>
                  </w:sdt>
                  <w:r>
                    <w:t>. Ozono pirmtakų (prekursorių) medžiagų matavimas turi apimti bent jau azoto oksidų (NO ir NO</w:t>
                  </w:r>
                  <w:r>
                    <w:rPr>
                      <w:vertAlign w:val="subscript"/>
                    </w:rPr>
                    <w:t>2</w:t>
                  </w:r>
                  <w:r>
                    <w:t>) ir atitinkamų lakiųjų organinių junginių (toliau – LOJ) matavimus.</w:t>
                  </w:r>
                </w:p>
              </w:sdtContent>
            </w:sdt>
            <w:sdt>
              <w:sdtPr>
                <w:alias w:val="10 pr. 4 p."/>
                <w:tag w:val="part_1fcf9c55f8d842beb07365ca89656cdd"/>
                <w:lock w:val="sdtLocked"/>
                <w:richText/>
              </w:sdtPr>
              <w:sdtContent>
                <w:p>
                  <w:pPr>
                    <w:ind w:firstLine="567"/>
                    <w:jc w:val="both"/>
                  </w:pPr>
                  <w:sdt>
                    <w:sdtPr>
                      <w:alias w:val="Numeris"/>
                      <w:tag w:val="nr_1fcf9c55f8d842beb07365ca89656cdd"/>
                      <w:lock w:val="sdtLocked"/>
                      <w:richText/>
                    </w:sdtPr>
                    <w:sdtContent>
                      <w:r>
                        <w:t>4</w:t>
                      </w:r>
                    </w:sdtContent>
                  </w:sdt>
                  <w:r>
                    <w:t>. Rekomenduojamų matuoti LOJ sąrašas:</w:t>
                  </w:r>
                </w:p>
                <w:p>
                  <w:pPr>
                    <w:ind w:right="-874"/>
                    <w:jc w:val="both"/>
                  </w:pPr>
                </w:p>
                <w:tbl>
                  <w:tblPr>
                    <w:tblW w:w="9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A0" w:firstRow="1" w:lastRow="0" w:firstColumn="1" w:lastColumn="0" w:noHBand="0" w:noVBand="0"/>
                  </w:tblPr>
                  <w:tblGrid>
                    <w:gridCol w:w="1908"/>
                    <w:gridCol w:w="2340"/>
                    <w:gridCol w:w="1980"/>
                    <w:gridCol w:w="2880"/>
                  </w:tblGrid>
                  <w:tr>
                    <w:tc>
                      <w:tcPr>
                        <w:tcW w:w="1908" w:type="dxa"/>
                      </w:tcPr>
                      <w:p>
                        <w:pPr>
                          <w:ind w:right="-874"/>
                          <w:jc w:val="both"/>
                          <w:rPr>
                            <w:sz w:val="22"/>
                          </w:rPr>
                        </w:pPr>
                      </w:p>
                    </w:tc>
                    <w:tc>
                      <w:tcPr>
                        <w:tcW w:w="2340" w:type="dxa"/>
                      </w:tcPr>
                      <w:p>
                        <w:pPr>
                          <w:ind w:right="-874"/>
                          <w:jc w:val="both"/>
                          <w:rPr>
                            <w:sz w:val="22"/>
                          </w:rPr>
                        </w:pPr>
                        <w:r>
                          <w:rPr>
                            <w:sz w:val="22"/>
                          </w:rPr>
                          <w:t xml:space="preserve">1-butenas </w:t>
                        </w:r>
                      </w:p>
                    </w:tc>
                    <w:tc>
                      <w:tcPr>
                        <w:tcW w:w="1980" w:type="dxa"/>
                      </w:tcPr>
                      <w:p>
                        <w:pPr>
                          <w:ind w:right="-874"/>
                          <w:jc w:val="both"/>
                          <w:rPr>
                            <w:sz w:val="22"/>
                          </w:rPr>
                        </w:pPr>
                        <w:r>
                          <w:rPr>
                            <w:sz w:val="22"/>
                          </w:rPr>
                          <w:t xml:space="preserve">izoprenas </w:t>
                        </w:r>
                      </w:p>
                    </w:tc>
                    <w:tc>
                      <w:tcPr>
                        <w:tcW w:w="2880" w:type="dxa"/>
                      </w:tcPr>
                      <w:p>
                        <w:pPr>
                          <w:jc w:val="both"/>
                          <w:rPr>
                            <w:sz w:val="22"/>
                          </w:rPr>
                        </w:pPr>
                        <w:r>
                          <w:rPr>
                            <w:sz w:val="22"/>
                          </w:rPr>
                          <w:t xml:space="preserve">etilbenzenas </w:t>
                        </w:r>
                      </w:p>
                    </w:tc>
                  </w:tr>
                  <w:tr>
                    <w:tc>
                      <w:tcPr>
                        <w:tcW w:w="1908" w:type="dxa"/>
                      </w:tcPr>
                      <w:p>
                        <w:pPr>
                          <w:ind w:right="-874"/>
                          <w:jc w:val="both"/>
                          <w:rPr>
                            <w:sz w:val="22"/>
                          </w:rPr>
                        </w:pPr>
                        <w:r>
                          <w:rPr>
                            <w:sz w:val="22"/>
                          </w:rPr>
                          <w:t xml:space="preserve">etanas </w:t>
                        </w:r>
                      </w:p>
                    </w:tc>
                    <w:tc>
                      <w:tcPr>
                        <w:tcW w:w="2340" w:type="dxa"/>
                      </w:tcPr>
                      <w:p>
                        <w:pPr>
                          <w:ind w:right="-874"/>
                          <w:jc w:val="both"/>
                          <w:rPr>
                            <w:sz w:val="22"/>
                          </w:rPr>
                        </w:pPr>
                        <w:r>
                          <w:rPr>
                            <w:sz w:val="22"/>
                          </w:rPr>
                          <w:t xml:space="preserve">trans-2-butenas </w:t>
                        </w:r>
                      </w:p>
                    </w:tc>
                    <w:tc>
                      <w:tcPr>
                        <w:tcW w:w="1980" w:type="dxa"/>
                      </w:tcPr>
                      <w:p>
                        <w:pPr>
                          <w:ind w:right="-874"/>
                          <w:jc w:val="both"/>
                          <w:rPr>
                            <w:sz w:val="22"/>
                          </w:rPr>
                        </w:pPr>
                        <w:r>
                          <w:rPr>
                            <w:sz w:val="22"/>
                          </w:rPr>
                          <w:t xml:space="preserve">n-heksanas </w:t>
                        </w:r>
                      </w:p>
                    </w:tc>
                    <w:tc>
                      <w:tcPr>
                        <w:tcW w:w="2880" w:type="dxa"/>
                      </w:tcPr>
                      <w:p>
                        <w:pPr>
                          <w:ind w:right="72"/>
                          <w:jc w:val="both"/>
                          <w:rPr>
                            <w:sz w:val="22"/>
                          </w:rPr>
                        </w:pPr>
                        <w:r>
                          <w:rPr>
                            <w:sz w:val="22"/>
                          </w:rPr>
                          <w:t xml:space="preserve">m + p-ksilenas </w:t>
                        </w:r>
                      </w:p>
                    </w:tc>
                  </w:tr>
                  <w:tr>
                    <w:tc>
                      <w:tcPr>
                        <w:tcW w:w="1908" w:type="dxa"/>
                      </w:tcPr>
                      <w:p>
                        <w:pPr>
                          <w:ind w:right="-874"/>
                          <w:jc w:val="both"/>
                          <w:rPr>
                            <w:sz w:val="22"/>
                          </w:rPr>
                        </w:pPr>
                        <w:r>
                          <w:rPr>
                            <w:sz w:val="22"/>
                          </w:rPr>
                          <w:t xml:space="preserve">etilenas </w:t>
                        </w:r>
                      </w:p>
                    </w:tc>
                    <w:tc>
                      <w:tcPr>
                        <w:tcW w:w="2340" w:type="dxa"/>
                      </w:tcPr>
                      <w:p>
                        <w:pPr>
                          <w:ind w:right="-874"/>
                          <w:jc w:val="both"/>
                          <w:rPr>
                            <w:sz w:val="22"/>
                          </w:rPr>
                        </w:pPr>
                        <w:r>
                          <w:rPr>
                            <w:sz w:val="22"/>
                          </w:rPr>
                          <w:t xml:space="preserve">cis-2-butenas </w:t>
                        </w:r>
                      </w:p>
                    </w:tc>
                    <w:tc>
                      <w:tcPr>
                        <w:tcW w:w="1980" w:type="dxa"/>
                      </w:tcPr>
                      <w:p>
                        <w:pPr>
                          <w:ind w:right="-874"/>
                          <w:jc w:val="both"/>
                          <w:rPr>
                            <w:sz w:val="22"/>
                          </w:rPr>
                        </w:pPr>
                        <w:r>
                          <w:rPr>
                            <w:sz w:val="22"/>
                          </w:rPr>
                          <w:t xml:space="preserve">i-heksanas </w:t>
                        </w:r>
                      </w:p>
                    </w:tc>
                    <w:tc>
                      <w:tcPr>
                        <w:tcW w:w="2880" w:type="dxa"/>
                      </w:tcPr>
                      <w:p>
                        <w:pPr>
                          <w:ind w:right="-108"/>
                          <w:jc w:val="both"/>
                          <w:rPr>
                            <w:sz w:val="22"/>
                          </w:rPr>
                        </w:pPr>
                        <w:r>
                          <w:rPr>
                            <w:sz w:val="22"/>
                          </w:rPr>
                          <w:t xml:space="preserve">o-ksilenas </w:t>
                        </w:r>
                      </w:p>
                    </w:tc>
                  </w:tr>
                  <w:tr>
                    <w:tc>
                      <w:tcPr>
                        <w:tcW w:w="1908" w:type="dxa"/>
                      </w:tcPr>
                      <w:p>
                        <w:pPr>
                          <w:ind w:right="-874"/>
                          <w:jc w:val="both"/>
                          <w:rPr>
                            <w:sz w:val="22"/>
                          </w:rPr>
                        </w:pPr>
                        <w:r>
                          <w:rPr>
                            <w:sz w:val="22"/>
                          </w:rPr>
                          <w:t xml:space="preserve">acetilenas </w:t>
                        </w:r>
                      </w:p>
                    </w:tc>
                    <w:tc>
                      <w:tcPr>
                        <w:tcW w:w="2340" w:type="dxa"/>
                      </w:tcPr>
                      <w:p>
                        <w:pPr>
                          <w:ind w:right="-874"/>
                          <w:jc w:val="both"/>
                          <w:rPr>
                            <w:sz w:val="22"/>
                          </w:rPr>
                        </w:pPr>
                        <w:r>
                          <w:rPr>
                            <w:sz w:val="22"/>
                          </w:rPr>
                          <w:t xml:space="preserve">1,3-butadienas </w:t>
                        </w:r>
                      </w:p>
                    </w:tc>
                    <w:tc>
                      <w:tcPr>
                        <w:tcW w:w="1980" w:type="dxa"/>
                      </w:tcPr>
                      <w:p>
                        <w:pPr>
                          <w:ind w:right="-874"/>
                          <w:jc w:val="both"/>
                          <w:rPr>
                            <w:sz w:val="22"/>
                          </w:rPr>
                        </w:pPr>
                        <w:r>
                          <w:rPr>
                            <w:sz w:val="22"/>
                          </w:rPr>
                          <w:t xml:space="preserve">n-heptanas </w:t>
                        </w:r>
                      </w:p>
                    </w:tc>
                    <w:tc>
                      <w:tcPr>
                        <w:tcW w:w="2880" w:type="dxa"/>
                      </w:tcPr>
                      <w:p>
                        <w:pPr>
                          <w:ind w:right="-108"/>
                          <w:jc w:val="both"/>
                          <w:rPr>
                            <w:sz w:val="22"/>
                          </w:rPr>
                        </w:pPr>
                        <w:r>
                          <w:rPr>
                            <w:sz w:val="22"/>
                          </w:rPr>
                          <w:t xml:space="preserve">1,2,4-trimetilbenzenas </w:t>
                        </w:r>
                      </w:p>
                    </w:tc>
                  </w:tr>
                  <w:tr>
                    <w:tc>
                      <w:tcPr>
                        <w:tcW w:w="1908" w:type="dxa"/>
                      </w:tcPr>
                      <w:p>
                        <w:pPr>
                          <w:ind w:right="-874"/>
                          <w:jc w:val="both"/>
                          <w:rPr>
                            <w:sz w:val="22"/>
                          </w:rPr>
                        </w:pPr>
                        <w:r>
                          <w:rPr>
                            <w:sz w:val="22"/>
                          </w:rPr>
                          <w:t xml:space="preserve">propanas </w:t>
                        </w:r>
                      </w:p>
                    </w:tc>
                    <w:tc>
                      <w:tcPr>
                        <w:tcW w:w="2340" w:type="dxa"/>
                      </w:tcPr>
                      <w:p>
                        <w:pPr>
                          <w:ind w:right="-874"/>
                          <w:jc w:val="both"/>
                          <w:rPr>
                            <w:sz w:val="22"/>
                          </w:rPr>
                        </w:pPr>
                        <w:r>
                          <w:rPr>
                            <w:sz w:val="22"/>
                          </w:rPr>
                          <w:t xml:space="preserve">n-pentanas </w:t>
                        </w:r>
                      </w:p>
                    </w:tc>
                    <w:tc>
                      <w:tcPr>
                        <w:tcW w:w="1980" w:type="dxa"/>
                      </w:tcPr>
                      <w:p>
                        <w:pPr>
                          <w:ind w:right="-874"/>
                          <w:jc w:val="both"/>
                          <w:rPr>
                            <w:sz w:val="22"/>
                          </w:rPr>
                        </w:pPr>
                        <w:r>
                          <w:rPr>
                            <w:sz w:val="22"/>
                          </w:rPr>
                          <w:t xml:space="preserve">n-oktanas </w:t>
                        </w:r>
                      </w:p>
                    </w:tc>
                    <w:tc>
                      <w:tcPr>
                        <w:tcW w:w="2880" w:type="dxa"/>
                      </w:tcPr>
                      <w:p>
                        <w:pPr>
                          <w:jc w:val="both"/>
                          <w:rPr>
                            <w:sz w:val="22"/>
                          </w:rPr>
                        </w:pPr>
                        <w:r>
                          <w:rPr>
                            <w:sz w:val="22"/>
                          </w:rPr>
                          <w:t xml:space="preserve">1,2,3-trimetilbenzenas </w:t>
                        </w:r>
                      </w:p>
                    </w:tc>
                  </w:tr>
                  <w:tr>
                    <w:tc>
                      <w:tcPr>
                        <w:tcW w:w="1908" w:type="dxa"/>
                      </w:tcPr>
                      <w:p>
                        <w:pPr>
                          <w:ind w:right="-874"/>
                          <w:jc w:val="both"/>
                          <w:rPr>
                            <w:sz w:val="22"/>
                          </w:rPr>
                        </w:pPr>
                        <w:r>
                          <w:rPr>
                            <w:sz w:val="22"/>
                          </w:rPr>
                          <w:t xml:space="preserve">propenas </w:t>
                        </w:r>
                      </w:p>
                    </w:tc>
                    <w:tc>
                      <w:tcPr>
                        <w:tcW w:w="2340" w:type="dxa"/>
                      </w:tcPr>
                      <w:p>
                        <w:pPr>
                          <w:ind w:right="-874"/>
                          <w:jc w:val="both"/>
                          <w:rPr>
                            <w:sz w:val="22"/>
                          </w:rPr>
                        </w:pPr>
                        <w:r>
                          <w:rPr>
                            <w:sz w:val="22"/>
                          </w:rPr>
                          <w:t xml:space="preserve">i-pentanas </w:t>
                        </w:r>
                      </w:p>
                    </w:tc>
                    <w:tc>
                      <w:tcPr>
                        <w:tcW w:w="1980" w:type="dxa"/>
                      </w:tcPr>
                      <w:p>
                        <w:pPr>
                          <w:ind w:right="-874"/>
                          <w:jc w:val="both"/>
                          <w:rPr>
                            <w:sz w:val="22"/>
                          </w:rPr>
                        </w:pPr>
                        <w:r>
                          <w:rPr>
                            <w:sz w:val="22"/>
                          </w:rPr>
                          <w:t xml:space="preserve">i-oktanas </w:t>
                        </w:r>
                      </w:p>
                    </w:tc>
                    <w:tc>
                      <w:tcPr>
                        <w:tcW w:w="2880" w:type="dxa"/>
                      </w:tcPr>
                      <w:p>
                        <w:pPr>
                          <w:ind w:right="-108"/>
                          <w:jc w:val="both"/>
                          <w:rPr>
                            <w:sz w:val="22"/>
                          </w:rPr>
                        </w:pPr>
                        <w:r>
                          <w:rPr>
                            <w:sz w:val="22"/>
                          </w:rPr>
                          <w:t xml:space="preserve">1,2,5-trimetilbenzenas </w:t>
                        </w:r>
                      </w:p>
                    </w:tc>
                  </w:tr>
                  <w:tr>
                    <w:tc>
                      <w:tcPr>
                        <w:tcW w:w="1908" w:type="dxa"/>
                      </w:tcPr>
                      <w:p>
                        <w:pPr>
                          <w:ind w:right="-874"/>
                          <w:jc w:val="both"/>
                          <w:rPr>
                            <w:sz w:val="22"/>
                          </w:rPr>
                        </w:pPr>
                        <w:r>
                          <w:rPr>
                            <w:sz w:val="22"/>
                          </w:rPr>
                          <w:t xml:space="preserve">n-butanas </w:t>
                        </w:r>
                      </w:p>
                    </w:tc>
                    <w:tc>
                      <w:tcPr>
                        <w:tcW w:w="2340" w:type="dxa"/>
                      </w:tcPr>
                      <w:p>
                        <w:pPr>
                          <w:ind w:right="-874"/>
                          <w:jc w:val="both"/>
                          <w:rPr>
                            <w:sz w:val="22"/>
                          </w:rPr>
                        </w:pPr>
                        <w:r>
                          <w:rPr>
                            <w:sz w:val="22"/>
                          </w:rPr>
                          <w:t xml:space="preserve">1-pentenas </w:t>
                        </w:r>
                      </w:p>
                    </w:tc>
                    <w:tc>
                      <w:tcPr>
                        <w:tcW w:w="1980" w:type="dxa"/>
                      </w:tcPr>
                      <w:p>
                        <w:pPr>
                          <w:ind w:right="-874"/>
                          <w:jc w:val="both"/>
                          <w:rPr>
                            <w:sz w:val="22"/>
                          </w:rPr>
                        </w:pPr>
                        <w:r>
                          <w:rPr>
                            <w:sz w:val="22"/>
                          </w:rPr>
                          <w:t xml:space="preserve">benzenas </w:t>
                        </w:r>
                      </w:p>
                    </w:tc>
                    <w:tc>
                      <w:tcPr>
                        <w:tcW w:w="2880" w:type="dxa"/>
                      </w:tcPr>
                      <w:p>
                        <w:pPr>
                          <w:jc w:val="both"/>
                          <w:rPr>
                            <w:sz w:val="22"/>
                          </w:rPr>
                        </w:pPr>
                        <w:r>
                          <w:rPr>
                            <w:sz w:val="22"/>
                          </w:rPr>
                          <w:t xml:space="preserve">formaldehidas </w:t>
                        </w:r>
                      </w:p>
                    </w:tc>
                  </w:tr>
                  <w:tr>
                    <w:tc>
                      <w:tcPr>
                        <w:tcW w:w="1908" w:type="dxa"/>
                      </w:tcPr>
                      <w:p>
                        <w:pPr>
                          <w:ind w:right="-874"/>
                          <w:jc w:val="both"/>
                          <w:rPr>
                            <w:sz w:val="22"/>
                          </w:rPr>
                        </w:pPr>
                        <w:r>
                          <w:rPr>
                            <w:sz w:val="22"/>
                          </w:rPr>
                          <w:t xml:space="preserve">i-butanas </w:t>
                        </w:r>
                      </w:p>
                    </w:tc>
                    <w:tc>
                      <w:tcPr>
                        <w:tcW w:w="2340" w:type="dxa"/>
                      </w:tcPr>
                      <w:p>
                        <w:pPr>
                          <w:ind w:right="-874"/>
                          <w:jc w:val="both"/>
                          <w:rPr>
                            <w:sz w:val="22"/>
                          </w:rPr>
                        </w:pPr>
                        <w:r>
                          <w:rPr>
                            <w:sz w:val="22"/>
                          </w:rPr>
                          <w:t xml:space="preserve">2-pentenas </w:t>
                        </w:r>
                      </w:p>
                    </w:tc>
                    <w:tc>
                      <w:tcPr>
                        <w:tcW w:w="1980" w:type="dxa"/>
                      </w:tcPr>
                      <w:p>
                        <w:pPr>
                          <w:ind w:right="-108"/>
                          <w:jc w:val="both"/>
                          <w:rPr>
                            <w:sz w:val="22"/>
                          </w:rPr>
                        </w:pPr>
                        <w:r>
                          <w:rPr>
                            <w:sz w:val="22"/>
                          </w:rPr>
                          <w:t xml:space="preserve">toluenas </w:t>
                        </w:r>
                      </w:p>
                    </w:tc>
                    <w:tc>
                      <w:tcPr>
                        <w:tcW w:w="2880" w:type="dxa"/>
                      </w:tcPr>
                      <w:p>
                        <w:pPr>
                          <w:ind w:right="72"/>
                          <w:jc w:val="both"/>
                          <w:rPr>
                            <w:sz w:val="22"/>
                          </w:rPr>
                        </w:pPr>
                        <w:r>
                          <w:rPr>
                            <w:sz w:val="22"/>
                          </w:rPr>
                          <w:t xml:space="preserve">nemetaninių LOJ suma </w:t>
                        </w:r>
                      </w:p>
                    </w:tc>
                  </w:tr>
                </w:tbl>
                <w:p>
                  <w:pPr>
                    <w:jc w:val="both"/>
                    <w:rPr>
                      <w:caps/>
                    </w:rPr>
                  </w:pPr>
                </w:p>
              </w:sdtContent>
            </w:sdt>
          </w:sdtContent>
        </w:sdt>
        <w:sdt>
          <w:sdtPr>
            <w:alias w:val="skyrius"/>
            <w:tag w:val="part_b9390e8b31234674a008fb18aa62c582"/>
            <w:lock w:val="sdtLocked"/>
            <w:richText/>
          </w:sdtPr>
          <w:sdtContent>
            <w:p>
              <w:pPr>
                <w:keepNext/>
                <w:jc w:val="center"/>
                <w:rPr>
                  <w:b/>
                  <w:bCs/>
                  <w:caps/>
                </w:rPr>
              </w:pPr>
              <w:sdt>
                <w:sdtPr>
                  <w:alias w:val="Numeris"/>
                  <w:tag w:val="nr_b9390e8b31234674a008fb18aa62c582"/>
                  <w:lock w:val="sdtLocked"/>
                  <w:richText/>
                </w:sdtPr>
                <w:sdtContent>
                  <w:r>
                    <w:rPr>
                      <w:b/>
                      <w:bCs/>
                      <w:caps/>
                    </w:rPr>
                    <w:t>III</w:t>
                  </w:r>
                </w:sdtContent>
              </w:sdt>
              <w:r>
                <w:rPr>
                  <w:b/>
                  <w:bCs/>
                  <w:caps/>
                </w:rPr>
                <w:t xml:space="preserve">. </w:t>
              </w:r>
              <w:sdt>
                <w:sdtPr>
                  <w:alias w:val="Pavadinimas"/>
                  <w:tag w:val="title_b9390e8b31234674a008fb18aa62c582"/>
                  <w:lock w:val="sdtLocked"/>
                  <w:richText/>
                </w:sdtPr>
                <w:sdtContent>
                  <w:r>
                    <w:rPr>
                      <w:b/>
                      <w:bCs/>
                      <w:caps/>
                    </w:rPr>
                    <w:t>Vietos parinkimas</w:t>
                  </w:r>
                </w:sdtContent>
              </w:sdt>
            </w:p>
            <w:p>
              <w:pPr>
                <w:keepNext/>
                <w:rPr>
                  <w:rFonts w:eastAsia="Arial Unicode MS"/>
                  <w:b/>
                  <w:bCs/>
                  <w:caps/>
                </w:rPr>
              </w:pPr>
            </w:p>
            <w:sdt>
              <w:sdtPr>
                <w:alias w:val="10 pr. 5 p."/>
                <w:tag w:val="part_9485ab98cae24474956aa6ea873b396b"/>
                <w:lock w:val="sdtLocked"/>
                <w:richText/>
              </w:sdtPr>
              <w:sdtContent>
                <w:p>
                  <w:pPr>
                    <w:keepNext/>
                    <w:ind w:firstLine="567"/>
                    <w:jc w:val="both"/>
                  </w:pPr>
                  <w:sdt>
                    <w:sdtPr>
                      <w:alias w:val="Numeris"/>
                      <w:tag w:val="nr_9485ab98cae24474956aa6ea873b396b"/>
                      <w:lock w:val="sdtLocked"/>
                      <w:richText/>
                    </w:sdtPr>
                    <w:sdtContent>
                      <w:r>
                        <w:t>5</w:t>
                      </w:r>
                    </w:sdtContent>
                  </w:sdt>
                  <w:r>
                    <w:t>. Matavimai turėtų būti atliekami miesto ar priemiesčio teritorijoje esančioje bet kurioje monitoringo vietoje, parinktoje pagal šio Tvarkos aprašo reikalavimus ir laikomoje tinkama I dalyje nurodytiems tikslams pasiekti.</w:t>
                  </w:r>
                </w:p>
                <w:p>
                  <w:pPr>
                    <w:jc w:val="both"/>
                  </w:pPr>
                </w:p>
              </w:sdtContent>
            </w:sdt>
          </w:sdtContent>
        </w:sdt>
        <w:sdt>
          <w:sdtPr>
            <w:alias w:val="pabaiga"/>
            <w:tag w:val="part_b8461501f2484392b1c2a46fe2a2dd03"/>
            <w:lock w:val="sdtLocked"/>
            <w:richText/>
          </w:sdtPr>
          <w:sdtContent>
            <w:p>
              <w:pPr>
                <w:jc w:val="center"/>
              </w:pPr>
              <w:r>
                <w:t>_________________</w:t>
              </w:r>
            </w:p>
          </w:sdtContent>
        </w:sdt>
      </w:sdtContent>
    </w:sdt>
    <w:sdt>
      <w:sdtPr>
        <w:alias w:val="11 pr."/>
        <w:tag w:val="part_d152e39f2820491ebd779edeed01b5f2"/>
        <w:lock w:val="sdtLocked"/>
        <w:richText/>
      </w:sdtPr>
      <w:sdtContent>
        <w:p>
          <w:pPr>
            <w:ind w:firstLine="5102"/>
          </w:pPr>
          <w:r>
            <w:br w:type="page"/>
          </w:r>
        </w:p>
        <w:p>
          <w:pPr>
            <w:ind w:firstLine="5102"/>
          </w:pPr>
          <w:r>
            <w:t xml:space="preserve">Aplinkos oro kokybės vertinimo tvarkos </w:t>
          </w:r>
        </w:p>
        <w:p>
          <w:pPr>
            <w:ind w:firstLine="5102"/>
          </w:pPr>
          <w:r>
            <w:t xml:space="preserve">aprašo </w:t>
          </w:r>
        </w:p>
        <w:p>
          <w:pPr>
            <w:ind w:firstLine="5102"/>
          </w:pPr>
          <w:sdt>
            <w:sdtPr>
              <w:alias w:val="Numeris"/>
              <w:tag w:val="nr_d152e39f2820491ebd779edeed01b5f2"/>
              <w:lock w:val="sdtLocked"/>
              <w:richText/>
            </w:sdtPr>
            <w:sdtContent>
              <w:r>
                <w:t>11</w:t>
              </w:r>
            </w:sdtContent>
          </w:sdt>
          <w:r>
            <w:t xml:space="preserve"> priedas</w:t>
          </w:r>
        </w:p>
        <w:p>
          <w:pPr>
            <w:jc w:val="both"/>
          </w:pPr>
        </w:p>
        <w:p>
          <w:pPr>
            <w:jc w:val="center"/>
            <w:rPr>
              <w:b/>
              <w:bCs/>
              <w:caps/>
            </w:rPr>
          </w:pPr>
          <w:sdt>
            <w:sdtPr>
              <w:alias w:val="Pavadinimas"/>
              <w:tag w:val="title_d152e39f2820491ebd779edeed01b5f2"/>
              <w:lock w:val="sdtLocked"/>
              <w:richText/>
            </w:sdtPr>
            <w:sdtContent>
              <w:r>
                <w:rPr>
                  <w:b/>
                  <w:bCs/>
                  <w:caps/>
                </w:rPr>
                <w:t>Duomenų sumavimo ir statistinių parametrų apskaičiavimo kriterijai</w:t>
              </w:r>
            </w:sdtContent>
          </w:sdt>
        </w:p>
        <w:p>
          <w:pPr>
            <w:jc w:val="both"/>
            <w:rPr>
              <w:caps/>
            </w:rPr>
          </w:pPr>
        </w:p>
        <w:p>
          <w:pPr>
            <w:ind w:firstLine="567"/>
            <w:jc w:val="both"/>
          </w:pPr>
          <w:r>
            <w:t xml:space="preserve">Šie kriterijai turi būti taikomi nepažeidžiant Tvarkos aprašo 1 priedo reikalavimų. </w:t>
          </w:r>
        </w:p>
        <w:p>
          <w:pPr>
            <w:ind w:right="-874"/>
            <w:jc w:val="both"/>
          </w:pPr>
        </w:p>
        <w:tbl>
          <w:tblPr>
            <w:tblW w:w="9000"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A0" w:firstRow="1" w:lastRow="0" w:firstColumn="1" w:lastColumn="0" w:noHBand="0" w:noVBand="0"/>
          </w:tblPr>
          <w:tblGrid>
            <w:gridCol w:w="2880"/>
            <w:gridCol w:w="6120"/>
          </w:tblGrid>
          <w:tr>
            <w:tc>
              <w:tcPr>
                <w:tcW w:w="2880" w:type="dxa"/>
              </w:tcPr>
              <w:p>
                <w:pPr>
                  <w:jc w:val="center"/>
                  <w:rPr>
                    <w:sz w:val="22"/>
                    <w:szCs w:val="22"/>
                  </w:rPr>
                </w:pPr>
                <w:r>
                  <w:rPr>
                    <w:sz w:val="22"/>
                    <w:szCs w:val="22"/>
                  </w:rPr>
                  <w:t>Parametras</w:t>
                </w:r>
              </w:p>
              <w:p>
                <w:pPr>
                  <w:jc w:val="center"/>
                  <w:rPr>
                    <w:sz w:val="22"/>
                    <w:szCs w:val="22"/>
                  </w:rPr>
                </w:pPr>
              </w:p>
            </w:tc>
            <w:tc>
              <w:tcPr>
                <w:tcW w:w="6120" w:type="dxa"/>
              </w:tcPr>
              <w:p>
                <w:pPr>
                  <w:jc w:val="center"/>
                  <w:rPr>
                    <w:sz w:val="22"/>
                    <w:szCs w:val="22"/>
                  </w:rPr>
                </w:pPr>
                <w:r>
                  <w:rPr>
                    <w:sz w:val="22"/>
                    <w:szCs w:val="22"/>
                  </w:rPr>
                  <w:t>Galiojančių duomenų reikiama proporcija</w:t>
                </w:r>
              </w:p>
            </w:tc>
          </w:tr>
          <w:tr>
            <w:tc>
              <w:tcPr>
                <w:tcW w:w="2880" w:type="dxa"/>
              </w:tcPr>
              <w:p>
                <w:pPr>
                  <w:rPr>
                    <w:sz w:val="22"/>
                    <w:szCs w:val="22"/>
                  </w:rPr>
                </w:pPr>
                <w:r>
                  <w:rPr>
                    <w:sz w:val="22"/>
                    <w:szCs w:val="22"/>
                  </w:rPr>
                  <w:t xml:space="preserve">1 valandos vertė </w:t>
                </w:r>
              </w:p>
              <w:p>
                <w:pPr>
                  <w:rPr>
                    <w:sz w:val="22"/>
                    <w:szCs w:val="22"/>
                  </w:rPr>
                </w:pPr>
              </w:p>
            </w:tc>
            <w:tc>
              <w:tcPr>
                <w:tcW w:w="6120" w:type="dxa"/>
              </w:tcPr>
              <w:p>
                <w:pPr>
                  <w:rPr>
                    <w:sz w:val="22"/>
                    <w:szCs w:val="22"/>
                  </w:rPr>
                </w:pPr>
                <w:r>
                  <w:rPr>
                    <w:sz w:val="22"/>
                    <w:szCs w:val="22"/>
                  </w:rPr>
                  <w:t xml:space="preserve">75 % (t. y. 45 minutės) </w:t>
                </w:r>
              </w:p>
            </w:tc>
          </w:tr>
          <w:tr>
            <w:tc>
              <w:tcPr>
                <w:tcW w:w="2880" w:type="dxa"/>
              </w:tcPr>
              <w:p>
                <w:pPr>
                  <w:rPr>
                    <w:sz w:val="22"/>
                    <w:szCs w:val="22"/>
                  </w:rPr>
                </w:pPr>
                <w:r>
                  <w:rPr>
                    <w:sz w:val="22"/>
                    <w:szCs w:val="22"/>
                  </w:rPr>
                  <w:t xml:space="preserve">8 valandų vertė </w:t>
                </w:r>
              </w:p>
              <w:p>
                <w:pPr>
                  <w:rPr>
                    <w:sz w:val="22"/>
                    <w:szCs w:val="22"/>
                  </w:rPr>
                </w:pPr>
              </w:p>
            </w:tc>
            <w:tc>
              <w:tcPr>
                <w:tcW w:w="6120" w:type="dxa"/>
              </w:tcPr>
              <w:p>
                <w:pPr>
                  <w:rPr>
                    <w:sz w:val="22"/>
                    <w:szCs w:val="22"/>
                  </w:rPr>
                </w:pPr>
                <w:r>
                  <w:rPr>
                    <w:sz w:val="22"/>
                    <w:szCs w:val="22"/>
                  </w:rPr>
                  <w:t xml:space="preserve">75 % verčių (t. y. 6 valandos) </w:t>
                </w:r>
              </w:p>
            </w:tc>
          </w:tr>
          <w:tr>
            <w:tc>
              <w:tcPr>
                <w:tcW w:w="2880" w:type="dxa"/>
              </w:tcPr>
              <w:p>
                <w:pPr>
                  <w:rPr>
                    <w:sz w:val="22"/>
                    <w:szCs w:val="22"/>
                  </w:rPr>
                </w:pPr>
                <w:r>
                  <w:rPr>
                    <w:sz w:val="22"/>
                    <w:szCs w:val="22"/>
                  </w:rPr>
                  <w:t xml:space="preserve">Maksimalus paros 8 valandų vidurkis </w:t>
                </w:r>
              </w:p>
              <w:p>
                <w:pPr>
                  <w:rPr>
                    <w:sz w:val="22"/>
                    <w:szCs w:val="22"/>
                  </w:rPr>
                </w:pPr>
              </w:p>
            </w:tc>
            <w:tc>
              <w:tcPr>
                <w:tcW w:w="6120" w:type="dxa"/>
              </w:tcPr>
              <w:p>
                <w:pPr>
                  <w:rPr>
                    <w:sz w:val="22"/>
                    <w:szCs w:val="22"/>
                  </w:rPr>
                </w:pPr>
                <w:r>
                  <w:rPr>
                    <w:sz w:val="22"/>
                    <w:szCs w:val="22"/>
                  </w:rPr>
                  <w:t xml:space="preserve">75 % kas valandą pasislenkančių 8 valandų vertės vidurkių (t. y. aštuoniolika 8 valandų vertės vidurkių per parą) </w:t>
                </w:r>
              </w:p>
            </w:tc>
          </w:tr>
          <w:tr>
            <w:tc>
              <w:tcPr>
                <w:tcW w:w="2880" w:type="dxa"/>
              </w:tcPr>
              <w:p>
                <w:pPr>
                  <w:rPr>
                    <w:sz w:val="22"/>
                    <w:szCs w:val="22"/>
                  </w:rPr>
                </w:pPr>
                <w:r>
                  <w:rPr>
                    <w:sz w:val="22"/>
                    <w:szCs w:val="22"/>
                  </w:rPr>
                  <w:t xml:space="preserve">24 valandų vertė </w:t>
                </w:r>
              </w:p>
              <w:p>
                <w:pPr>
                  <w:rPr>
                    <w:sz w:val="22"/>
                    <w:szCs w:val="22"/>
                  </w:rPr>
                </w:pPr>
              </w:p>
            </w:tc>
            <w:tc>
              <w:tcPr>
                <w:tcW w:w="6120" w:type="dxa"/>
              </w:tcPr>
              <w:p>
                <w:pPr>
                  <w:rPr>
                    <w:sz w:val="22"/>
                    <w:szCs w:val="22"/>
                  </w:rPr>
                </w:pPr>
                <w:r>
                  <w:rPr>
                    <w:sz w:val="22"/>
                    <w:szCs w:val="22"/>
                  </w:rPr>
                  <w:t xml:space="preserve">75 % 1 valandos vertės vidurkių (t. y. bent aštuoniolika 1 valandos verčių) </w:t>
                </w:r>
              </w:p>
            </w:tc>
          </w:tr>
          <w:tr>
            <w:tc>
              <w:tcPr>
                <w:tcW w:w="2880" w:type="dxa"/>
                <w:tcBorders>
                  <w:bottom w:val="single" w:sz="6" w:space="0" w:color="000000"/>
                </w:tcBorders>
              </w:tcPr>
              <w:p>
                <w:pPr>
                  <w:rPr>
                    <w:sz w:val="22"/>
                    <w:szCs w:val="22"/>
                  </w:rPr>
                </w:pPr>
                <w:r>
                  <w:rPr>
                    <w:sz w:val="22"/>
                    <w:szCs w:val="22"/>
                  </w:rPr>
                  <w:t xml:space="preserve">Metinis vidurkis </w:t>
                </w:r>
              </w:p>
              <w:p>
                <w:pPr>
                  <w:rPr>
                    <w:sz w:val="22"/>
                    <w:szCs w:val="22"/>
                  </w:rPr>
                </w:pPr>
              </w:p>
            </w:tc>
            <w:tc>
              <w:tcPr>
                <w:tcW w:w="6120" w:type="dxa"/>
                <w:tcBorders>
                  <w:bottom w:val="single" w:sz="6" w:space="0" w:color="000000"/>
                </w:tcBorders>
              </w:tcPr>
              <w:p>
                <w:pPr>
                  <w:rPr>
                    <w:sz w:val="22"/>
                    <w:szCs w:val="22"/>
                  </w:rPr>
                </w:pPr>
                <w:r>
                  <w:rPr>
                    <w:sz w:val="22"/>
                    <w:szCs w:val="22"/>
                  </w:rPr>
                  <w:t xml:space="preserve">90 % </w:t>
                </w:r>
                <w:r>
                  <w:rPr>
                    <w:sz w:val="22"/>
                    <w:szCs w:val="22"/>
                    <w:vertAlign w:val="superscript"/>
                  </w:rPr>
                  <w:t>1</w:t>
                </w:r>
                <w:r>
                  <w:rPr>
                    <w:sz w:val="22"/>
                    <w:szCs w:val="22"/>
                  </w:rPr>
                  <w:t xml:space="preserve"> 1 valandos verčių per metus arba, jei neturima 1 valandos verčių, 90 % 24 valandų verčių per metus </w:t>
                </w:r>
              </w:p>
            </w:tc>
          </w:tr>
          <w:tr>
            <w:trPr>
              <w:cantSplit/>
            </w:trPr>
            <w:tc>
              <w:tcPr>
                <w:tcW w:w="9000" w:type="dxa"/>
                <w:gridSpan w:val="2"/>
                <w:tcBorders>
                  <w:bottom w:val="single" w:sz="4" w:space="0" w:color="auto"/>
                  <w:right w:val="single" w:sz="4" w:space="0" w:color="auto"/>
                </w:tcBorders>
              </w:tcPr>
              <w:p>
                <w:pPr>
                  <w:ind w:right="72"/>
                  <w:rPr>
                    <w:sz w:val="22"/>
                    <w:szCs w:val="22"/>
                  </w:rPr>
                </w:pPr>
                <w:r>
                  <w:rPr>
                    <w:sz w:val="22"/>
                    <w:szCs w:val="22"/>
                    <w:vertAlign w:val="superscript"/>
                  </w:rPr>
                  <w:t>1</w:t>
                </w:r>
                <w:r>
                  <w:rPr>
                    <w:sz w:val="22"/>
                    <w:szCs w:val="22"/>
                  </w:rPr>
                  <w:t xml:space="preserve"> Apskaičiuojant metinius duomenis, neįtraukiamas duomenų praradimas dėl reguliaraus prietaisų kalibravimo arba įprastinės jų priežiūros.</w:t>
                </w:r>
              </w:p>
              <w:p>
                <w:pPr>
                  <w:rPr>
                    <w:sz w:val="22"/>
                    <w:szCs w:val="22"/>
                  </w:rPr>
                </w:pPr>
              </w:p>
            </w:tc>
          </w:tr>
        </w:tbl>
        <w:p/>
        <w:sdt>
          <w:sdtPr>
            <w:alias w:val="pabaiga"/>
            <w:tag w:val="part_71c2ec5e20ca48438c333f0a97a7116e"/>
            <w:lock w:val="sdtLocked"/>
            <w:richText/>
          </w:sdtPr>
          <w:sdtContent>
            <w:p>
              <w:pPr>
                <w:jc w:val="center"/>
              </w:pPr>
              <w:r>
                <w:t>_________________</w:t>
              </w:r>
            </w:p>
          </w:sdtContent>
        </w:sdt>
      </w:sdtContent>
    </w:sdt>
    <w:sdt>
      <w:sdtPr>
        <w:alias w:val="12 pr."/>
        <w:tag w:val="part_0f8b9f07961b46389b9f8648d6b9d2a8"/>
        <w:lock w:val="sdtLocked"/>
        <w:richText/>
      </w:sdtPr>
      <w:sdtContent>
        <w:p>
          <w:pPr>
            <w:ind w:firstLine="5102"/>
            <w:rPr>
              <w:rFonts w:eastAsia="Arial Unicode MS"/>
            </w:rPr>
          </w:pPr>
          <w:r>
            <w:rPr>
              <w:rFonts w:eastAsia="Arial Unicode MS"/>
            </w:rPr>
            <w:br w:type="page"/>
          </w:r>
        </w:p>
        <w:p>
          <w:pPr>
            <w:ind w:firstLine="5102"/>
          </w:pPr>
          <w:r>
            <w:t xml:space="preserve">Aplinkos oro kokybės vertinimo tvarkos </w:t>
          </w:r>
        </w:p>
        <w:p>
          <w:pPr>
            <w:ind w:firstLine="5102"/>
          </w:pPr>
          <w:r>
            <w:t xml:space="preserve">aprašo </w:t>
          </w:r>
        </w:p>
        <w:p>
          <w:pPr>
            <w:ind w:firstLine="5102"/>
          </w:pPr>
          <w:sdt>
            <w:sdtPr>
              <w:alias w:val="Numeris"/>
              <w:tag w:val="nr_0f8b9f07961b46389b9f8648d6b9d2a8"/>
              <w:lock w:val="sdtLocked"/>
              <w:richText/>
            </w:sdtPr>
            <w:sdtContent>
              <w:r>
                <w:t>12</w:t>
              </w:r>
            </w:sdtContent>
          </w:sdt>
          <w:r>
            <w:t xml:space="preserve"> priedas</w:t>
          </w:r>
        </w:p>
        <w:p>
          <w:pPr>
            <w:ind w:firstLine="5102"/>
            <w:rPr>
              <w:b/>
              <w:bCs/>
              <w:caps/>
            </w:rPr>
          </w:pPr>
        </w:p>
        <w:p>
          <w:pPr>
            <w:jc w:val="center"/>
            <w:rPr>
              <w:b/>
              <w:bCs/>
              <w:caps/>
            </w:rPr>
          </w:pPr>
          <w:sdt>
            <w:sdtPr>
              <w:alias w:val="Pavadinimas"/>
              <w:tag w:val="title_0f8b9f07961b46389b9f8648d6b9d2a8"/>
              <w:lock w:val="sdtLocked"/>
              <w:richText/>
            </w:sdtPr>
            <w:sdtContent>
              <w:r>
                <w:rPr>
                  <w:b/>
                  <w:bCs/>
                  <w:caps/>
                </w:rPr>
                <w:t>Vidutinio poveikio rodiklio nustatymas</w:t>
              </w:r>
            </w:sdtContent>
          </w:sdt>
        </w:p>
        <w:p>
          <w:pPr>
            <w:jc w:val="both"/>
            <w:rPr>
              <w:caps/>
            </w:rPr>
          </w:pPr>
        </w:p>
        <w:sdt>
          <w:sdtPr>
            <w:alias w:val="12 pr. 1 p."/>
            <w:tag w:val="part_daf3a6fcdcae4aa7bfb15a650ddea58d"/>
            <w:lock w:val="sdtLocked"/>
            <w:richText/>
          </w:sdtPr>
          <w:sdtContent>
            <w:p>
              <w:pPr>
                <w:ind w:firstLine="567"/>
                <w:jc w:val="both"/>
              </w:pPr>
              <w:sdt>
                <w:sdtPr>
                  <w:alias w:val="Numeris"/>
                  <w:tag w:val="nr_daf3a6fcdcae4aa7bfb15a650ddea58d"/>
                  <w:lock w:val="sdtLocked"/>
                  <w:richText/>
                </w:sdtPr>
                <w:sdtContent>
                  <w:r>
                    <w:t>1</w:t>
                  </w:r>
                </w:sdtContent>
              </w:sdt>
              <w:r>
                <w:t>. Vidutinio poveikio rodiklis, išreikštas µg/m</w:t>
              </w:r>
              <w:r>
                <w:rPr>
                  <w:vertAlign w:val="superscript"/>
                </w:rPr>
                <w:t>3</w:t>
              </w:r>
              <w:r>
                <w:t xml:space="preserve"> (toliau – VPR), nustatomas iš KD</w:t>
              </w:r>
              <w:r>
                <w:rPr>
                  <w:vertAlign w:val="subscript"/>
                </w:rPr>
                <w:t>2,5</w:t>
              </w:r>
              <w:r>
                <w:t xml:space="preserve"> koncentracijos matavimo visos šalies zonų ir aglomeracijų miesto foninėse vietovėse duomenų.</w:t>
              </w:r>
            </w:p>
          </w:sdtContent>
        </w:sdt>
        <w:sdt>
          <w:sdtPr>
            <w:alias w:val="12 pr. 2 p."/>
            <w:tag w:val="part_b1c5588a1e804139bb36fee9076a5bb0"/>
            <w:lock w:val="sdtLocked"/>
            <w:richText/>
          </w:sdtPr>
          <w:sdtContent>
            <w:p>
              <w:pPr>
                <w:ind w:firstLine="567"/>
                <w:jc w:val="both"/>
                <w:rPr>
                  <w:i/>
                  <w:iCs/>
                </w:rPr>
              </w:pPr>
              <w:sdt>
                <w:sdtPr>
                  <w:alias w:val="Numeris"/>
                  <w:tag w:val="nr_b1c5588a1e804139bb36fee9076a5bb0"/>
                  <w:lock w:val="sdtLocked"/>
                  <w:richText/>
                </w:sdtPr>
                <w:sdtContent>
                  <w:r>
                    <w:t>2</w:t>
                  </w:r>
                </w:sdtContent>
              </w:sdt>
              <w:r>
                <w:t>. VPR – tai slenkanti trejų kalendorinių metų vidutinė metinė koncentracija, kurios vidurkis nustatomas iš</w:t>
              </w:r>
              <w:r>
                <w:rPr>
                  <w:i/>
                  <w:iCs/>
                </w:rPr>
                <w:t xml:space="preserve"> </w:t>
              </w:r>
              <w:r>
                <w:t>visose ėminių ėmimo vietose, įsteigtose pagal Tvarkos aprašo 5 priedo II skyrių, gautų duomenų.</w:t>
              </w:r>
            </w:p>
          </w:sdtContent>
        </w:sdt>
        <w:sdt>
          <w:sdtPr>
            <w:alias w:val="12 pr. 3 p."/>
            <w:tag w:val="part_26a47b423c8146c18fe4fbcf1d529f8c"/>
            <w:lock w:val="sdtLocked"/>
            <w:richText/>
          </w:sdtPr>
          <w:sdtContent>
            <w:p>
              <w:pPr>
                <w:ind w:firstLine="567"/>
                <w:jc w:val="both"/>
              </w:pPr>
              <w:sdt>
                <w:sdtPr>
                  <w:alias w:val="Numeris"/>
                  <w:tag w:val="nr_26a47b423c8146c18fe4fbcf1d529f8c"/>
                  <w:lock w:val="sdtLocked"/>
                  <w:richText/>
                </w:sdtPr>
                <w:sdtContent>
                  <w:r>
                    <w:t>3</w:t>
                  </w:r>
                </w:sdtContent>
              </w:sdt>
              <w:r>
                <w:t>. VPR 2010 ataskaitiniams metams yra 2008, 2009 ir 2010 metų vidutinė koncentracija. Jei 2008 m. duomenų nėra, galima naudoti 2009 ir 2010 metų vidutinę koncentraciją arba 2009, 2010 ir 2011 metų vidutinę koncentraciją. Apie vieno iš šių laikotarpių pasirinkimą turi būti pranešta Komisijai iki 2008 m. rugsėjo 11 d.</w:t>
              </w:r>
            </w:p>
          </w:sdtContent>
        </w:sdt>
        <w:sdt>
          <w:sdtPr>
            <w:alias w:val="12 pr. 4 p."/>
            <w:tag w:val="part_1c409817c408473a8b751630b20796b4"/>
            <w:lock w:val="sdtLocked"/>
            <w:richText/>
          </w:sdtPr>
          <w:sdtContent>
            <w:p>
              <w:pPr>
                <w:ind w:firstLine="567"/>
                <w:jc w:val="both"/>
              </w:pPr>
              <w:sdt>
                <w:sdtPr>
                  <w:alias w:val="Numeris"/>
                  <w:tag w:val="nr_1c409817c408473a8b751630b20796b4"/>
                  <w:lock w:val="sdtLocked"/>
                  <w:richText/>
                </w:sdtPr>
                <w:sdtContent>
                  <w:r>
                    <w:t>4</w:t>
                  </w:r>
                </w:sdtContent>
              </w:sdt>
              <w:r>
                <w:t>. VPR 2015 metams yra slenkanti 2013, 2014 ir 2015 metų vidutinė koncentracija. Šis VPR naudojamas nustatyti, ar pasiektas įsipareigojimas dėl poveikio koncentracijos.</w:t>
              </w:r>
            </w:p>
          </w:sdtContent>
        </w:sdt>
        <w:sdt>
          <w:sdtPr>
            <w:alias w:val="12 pr. 5 p."/>
            <w:tag w:val="part_74303b5e8d374b4ea64d3580be6eb800"/>
            <w:lock w:val="sdtLocked"/>
            <w:richText/>
          </w:sdtPr>
          <w:sdtContent>
            <w:p>
              <w:pPr>
                <w:ind w:firstLine="567"/>
                <w:jc w:val="both"/>
              </w:pPr>
              <w:sdt>
                <w:sdtPr>
                  <w:alias w:val="Numeris"/>
                  <w:tag w:val="nr_74303b5e8d374b4ea64d3580be6eb800"/>
                  <w:lock w:val="sdtLocked"/>
                  <w:richText/>
                </w:sdtPr>
                <w:sdtContent>
                  <w:r>
                    <w:t>5</w:t>
                  </w:r>
                </w:sdtContent>
              </w:sdt>
              <w:r>
                <w:t>. VPR 2020 metams yra slenkanti 2018, 2019 ir 2020 metų vidutinė koncentracija. Šis VPR naudojamas nustatyti, ar pasiektas nacionalinis poveikio sumažinimo uždavinys.</w:t>
              </w:r>
            </w:p>
            <w:p>
              <w:pPr>
                <w:jc w:val="both"/>
                <w:rPr>
                  <w:iCs/>
                </w:rPr>
              </w:pPr>
            </w:p>
          </w:sdtContent>
        </w:sdt>
        <w:sdt>
          <w:sdtPr>
            <w:alias w:val="pabaiga"/>
            <w:tag w:val="part_03714c150c11455e95fbf8dd11b0780a"/>
            <w:lock w:val="sdtLocked"/>
            <w:richText/>
          </w:sdtPr>
          <w:sdtContent>
            <w:p>
              <w:pPr>
                <w:jc w:val="center"/>
              </w:pPr>
              <w:r>
                <w:rPr>
                  <w:bCs/>
                </w:rPr>
                <w:t>_________________</w:t>
              </w: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51BEFF6FD72">
            <w:r w:rsidRPr="00532B9F">
              <w:rPr>
                <w:rFonts w:ascii="Times New Roman" w:eastAsia="MS Mincho" w:hAnsi="Times New Roman"/>
                <w:sz w:val="20"/>
                <w:iCs/>
                <w:color w:val="0000FF" w:themeColor="hyperlink"/>
                <w:u w:val="single"/>
              </w:rPr>
              <w:t>D1-924</w:t>
            </w:r>
          </w:fldSimple>
          <w:r>
            <w:rPr>
              <w:rFonts w:ascii="Times New Roman" w:eastAsia="MS Mincho" w:hAnsi="Times New Roman"/>
              <w:sz w:val="20"/>
              <w:iCs/>
            </w:rPr>
            <w:t>,
2010-11-16,
Žin., 2010, Nr.
135-6912 (2010-11-18), i. k. 110301MISAK00D1-924                </w:t>
          </w:r>
        </w:p>
        <w:p>
          <w:pPr>
            <w:jc w:val="both"/>
            <w:rPr>
              <w:rFonts w:ascii="Times New Roman" w:hAnsi="Times New Roman"/>
            </w:rPr>
          </w:pPr>
          <w:r>
            <w:rPr>
              <w:rFonts w:ascii="Times New Roman" w:hAnsi="Times New Roman"/>
              <w:sz w:val="20"/>
            </w:rPr>
            <w:t>Dėl aplinkos ministro 2010 m. balandžio 6 d. įsakymo Nr. D1-279 "Dėl aplinkos ministro 2001 m. gruodžio 12 d. įsakymo Nr. 596 "Dėl aplinkos oro kokybės vertinimo"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670551C3BE9">
            <w:r w:rsidRPr="00532B9F">
              <w:rPr>
                <w:rFonts w:ascii="Times New Roman" w:eastAsia="MS Mincho" w:hAnsi="Times New Roman"/>
                <w:sz w:val="20"/>
                <w:iCs/>
                <w:color w:val="0000FF" w:themeColor="hyperlink"/>
                <w:u w:val="single"/>
              </w:rPr>
              <w:t>D1-462</w:t>
            </w:r>
          </w:fldSimple>
          <w:r>
            <w:rPr>
              <w:rFonts w:ascii="Times New Roman" w:eastAsia="MS Mincho" w:hAnsi="Times New Roman"/>
              <w:sz w:val="20"/>
              <w:iCs/>
            </w:rPr>
            <w:t>,
2012-05-30,
Žin., 2012, Nr.
63-3197 (2012-06-05), i. k. 112301MISAK00D1-462                </w:t>
          </w:r>
        </w:p>
        <w:p>
          <w:pPr>
            <w:jc w:val="both"/>
            <w:rPr>
              <w:rFonts w:ascii="Times New Roman" w:hAnsi="Times New Roman"/>
            </w:rPr>
          </w:pPr>
          <w:r>
            <w:rPr>
              <w:rFonts w:ascii="Times New Roman" w:hAnsi="Times New Roman"/>
              <w:sz w:val="20"/>
            </w:rPr>
            <w:t>Dėl aplinkos ministro 2010 m. balandžio 6 d. įsakymo Nr. D1-279 "Dėl 2001 m. gruodžio 12 d. įsakymo Nr. 596 "Dėl aplinkos oro kokybės vertinimo"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a6435708b9b11e6b969d7ae07280e89">
            <w:r w:rsidRPr="00532B9F">
              <w:rPr>
                <w:rFonts w:ascii="Times New Roman" w:eastAsia="MS Mincho" w:hAnsi="Times New Roman"/>
                <w:sz w:val="20"/>
                <w:iCs/>
                <w:color w:val="0000FF" w:themeColor="hyperlink"/>
                <w:u w:val="single"/>
              </w:rPr>
              <w:t>D1-654</w:t>
            </w:r>
          </w:fldSimple>
          <w:r>
            <w:rPr>
              <w:rFonts w:ascii="Times New Roman" w:eastAsia="MS Mincho" w:hAnsi="Times New Roman"/>
              <w:sz w:val="20"/>
              <w:iCs/>
            </w:rPr>
            <w:t>,
2016-10-03,
paskelbta TAR 2016-10-06, i. k. 2016-24713                </w:t>
          </w:r>
        </w:p>
        <w:p>
          <w:pPr>
            <w:jc w:val="both"/>
            <w:rPr>
              <w:rFonts w:ascii="Times New Roman" w:hAnsi="Times New Roman"/>
            </w:rPr>
          </w:pPr>
          <w:r>
            <w:rPr>
              <w:rFonts w:ascii="Times New Roman" w:hAnsi="Times New Roman"/>
              <w:sz w:val="20"/>
            </w:rPr>
            <w:t>Dėl Lietuvos Respublikos aplinkos ministro 2010 m. balandžio 6 d. įsakymo Nr. D1-279 „Dėl aplinkos ministro 2001 m. gruodžio 12 d. įsakymo Nr. 596 „Dėl aplinkos oro kokybės vertinimo“ pakeitimo“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709" w:footer="709" w:gutter="0"/>
      <w:cols w:space="708"/>
      <w:docGrid w:linePitch="326"/>
    </w:sectPr>
  </w:body>
</w:document>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720"/>
  <w:hyphenationZone w:val="396"/>
  <w:doNotHyphenateCaps/>
  <w:drawingGridHorizontalSpacing w:val="120"/>
  <w:drawingGridVerticalSpacing w:val="163"/>
  <w:displayHorizontalDrawingGridEvery w:val="0"/>
  <w:displayVerticalDrawingGridEvery w:val="2"/>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54033"/>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4DC521BE"/>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fontTable" Target="fontTable.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wmf"/>
  <Relationship Id="rId16" Type="http://schemas.openxmlformats.org/officeDocument/2006/relationships/control" Target="activeX/activeX2.xml"/>
  <Relationship Id="rId17" Type="http://schemas.openxmlformats.org/officeDocument/2006/relationships/hyperlink" TargetMode="External" Target="https://www.e-tar.lt/portal/lt/legalAct/TAR.9A844F180551"/>
  <Relationship Id="rId18" Type="http://schemas.openxmlformats.org/officeDocument/2006/relationships/hyperlink" TargetMode="External" Target="https://www.e-tar.lt/portal/lt/legalAct/TAR.6C0C05271A8C"/>
  <Relationship Id="rId19" Type="http://schemas.openxmlformats.org/officeDocument/2006/relationships/hyperlink" TargetMode="External" Target="https://www.e-tar.lt/portal/lt/legalAct/TAR.D42D4A429640"/>
  <Relationship Id="rId2" Type="http://schemas.openxmlformats.org/officeDocument/2006/relationships/hyperlink" TargetMode="External" Target="https://www.e-tar.lt/portal/lt/legalAct/TAR.1A98CE535B1C"/>
  <Relationship Id="rId20" Type="http://schemas.openxmlformats.org/officeDocument/2006/relationships/hyperlink" TargetMode="External" Target="https://www.e-tar.lt/portal/lt/legalAct/TAR.60112119E2FD"/>
  <Relationship Id="rId21" Type="http://schemas.openxmlformats.org/officeDocument/2006/relationships/hyperlink" TargetMode="External" Target="https://www.e-tar.lt/portal/lt/legalAct/TAR.ED13284EBC72"/>
  <Relationship Id="rId22" Type="http://schemas.openxmlformats.org/officeDocument/2006/relationships/hyperlink" TargetMode="External" Target="https://www.e-tar.lt/portal/lt/legalAct/TAR.B987C740A952"/>
  <Relationship Id="rId23" Type="http://schemas.openxmlformats.org/officeDocument/2006/relationships/hyperlink" TargetMode="External" Target="https://www.e-tar.lt/portal/lt/legalAct/TAR.406F0E655679"/>
  <Relationship Id="rId24" Type="http://schemas.openxmlformats.org/officeDocument/2006/relationships/hyperlink" TargetMode="External" Target="https://www.e-tar.lt/portal/lt/legalAct/TAR.F69EF012D841"/>
  <Relationship Id="rId25" Type="http://schemas.openxmlformats.org/officeDocument/2006/relationships/hyperlink" TargetMode="External" Target="https://www.e-tar.lt/portal/lt/legalAct/TAR.50DA9F66CD09"/>
  <Relationship Id="rId26" Type="http://schemas.openxmlformats.org/officeDocument/2006/relationships/hyperlink" TargetMode="External" Target="https://www.e-tar.lt/portal/lt/legalAct/TAR.9062DC5A0136"/>
  <Relationship Id="rId27" Type="http://schemas.openxmlformats.org/officeDocument/2006/relationships/hyperlink" TargetMode="External" Target="https://www.e-tar.lt/portal/lt/legalAct/TAR.9A844F180551"/>
  <Relationship Id="rId28" Type="http://schemas.openxmlformats.org/officeDocument/2006/relationships/hyperlink" TargetMode="External" Target="https://www.e-tar.lt/portal/lt/legalAct/TAR.B42DD484EF9C"/>
  <Relationship Id="rId29" Type="http://schemas.openxmlformats.org/officeDocument/2006/relationships/hyperlink" TargetMode="External" Target="https://www.e-tar.lt/portal/lt/legalAct/TAR.2F2F7EC848A9"/>
  <Relationship Id="rId3" Type="http://schemas.openxmlformats.org/officeDocument/2006/relationships/hyperlink" TargetMode="External" Target="https://www.e-tar.lt/portal/lt/legalAct/TAR.1B65CB41E273"/>
  <Relationship Id="rId30" Type="http://schemas.openxmlformats.org/officeDocument/2006/relationships/customXml" Target="../customXml/item1.xml"/>
  <Relationship Id="rId4" Type="http://schemas.openxmlformats.org/officeDocument/2006/relationships/hyperlink" TargetMode="External" Target="https://www.e-tar.lt/portal/lt/legalAct/TAR.406F0E655679"/>
  <Relationship Id="rId5" Type="http://schemas.openxmlformats.org/officeDocument/2006/relationships/hyperlink" TargetMode="External" Target="https://www.e-tar.lt/portal/lt/legalAct/TAR.50DA9F66CD09"/>
  <Relationship Id="rId6" Type="http://schemas.openxmlformats.org/officeDocument/2006/relationships/hyperlink" TargetMode="External" Target="https://www.e-tar.lt/portal/lt/legalAct/TAR.9062DC5A0136"/>
  <Relationship Id="rId7" Type="http://schemas.openxmlformats.org/officeDocument/2006/relationships/hyperlink" TargetMode="External" Target="https://www.e-tar.lt/portal/lt/legalAct/TAR.98E6D3052DC6"/>
  <Relationship Id="rId8" Type="http://schemas.openxmlformats.org/officeDocument/2006/relationships/hyperlink" TargetMode="External" Target="https://www.e-tar.lt/portal/lt/legalAct/TAR.B987C740A952"/>
  <Relationship Id="rId9" Type="http://schemas.openxmlformats.org/officeDocument/2006/relationships/hyperlink" TargetMode="External" Target="https://www.e-tar.lt/portal/lt/legalAct/TAR.ED13284EBC72"/>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2984b04f8614388a7c2450cfc087788" PartId="dbdbef031da74d98911eca4e13e5977a">
    <Part Type="preambule" DocPartId="dc9ee14c991649f3b6f8ff69277237f0" PartId="75fbb747e59d4316a2e022577721dd10"/>
    <Part Type="punktas" Nr="1" Abbr="1 p." DocPartId="551e20fd34b348c08df664d00fc6e8af" PartId="43eb0c50d0f74146a602bd4a79a2eb82"/>
    <Part Type="punktas" Nr="2" Abbr="2 p." DocPartId="21cb0bd2491145618a5cb6ebee2bcc6e" PartId="902aaeff56cd400ea3bb23412f96ff43"/>
    <Part Type="punktas" Nr="3" Abbr="3 p." DocPartId="a0402cfcadb04b218f8ab9fe6828df16" PartId="1af5445bb4c443888f105da05c75f0e7"/>
    <Part Type="punktas" Nr="4" Abbr="4 p." DocPartId="7cfb8dfcd0094990a6d260a8a09c8196" PartId="048ad139da844fa5b4c11a02811eeaa3"/>
    <Part Type="punktas" Nr="5" Abbr="5 p." DocPartId="270ade2b7cfd4eb6ab33776f79649a96" PartId="b98a33cc53494976ab87590092a11cea"/>
    <Part Type="punktas" Nr="6" Abbr="6 p." DocPartId="6d0841b97abb449b9a5c617c21d46c8f" PartId="6dcb2aea801f422ea587f4aa52ec97f3">
      <Part Type="punktas" Nr="6.1" Abbr="6.1 p." DocPartId="39a067743b604417bbfff01d2cbcb4ab" PartId="1ebeb34f48e24ea98c192cbc28b1d08a"/>
      <Part Type="punktas" Nr="6.2" Abbr="6.2 p." DocPartId="eba608f77635474c944469548cf50c13" PartId="9e403b4474f142ffbb51f2b215d14768"/>
    </Part>
    <Part Type="signatura" DocPartId="ed59aa9817704916848961b477f23083" PartId="ad289ac9e8c04ddfb5bd02130aaa2af5"/>
  </Part>
  <Part Type="patvirtinta" Title="APLINKOS ORO KOKYBĖS VERTINIMO TVARKOS APRAŠAS" DocPartId="5121406f0f4842e9a58b2d835c541f21" PartId="ad105fb3d9c74a839b37e645707e6ddd">
    <Part Type="skyrius" Nr="1" Title="BENDROSIOS NUOSTATOS" DocPartId="92c3fcf044b7453d94ff99a4e2af8bc0" PartId="e8bb65bb3f3b4ea585594078e7dc4bae">
      <Part Type="punktas" Nr="1" Abbr="1 p." DocPartId="7cf9abbda324495f8821e51c59e3e312" PartId="237265e6d82941e88309e6aabf772db6">
        <Part Type="punktas" Nr="1.1" Abbr="1.1 p." DocPartId="b58f49fe6c034b3ea5832d02db416534" PartId="9d66078ee2c9460597944288e8505d9d"/>
        <Part Type="punktas" Nr="1.2" Abbr="1.2 p." DocPartId="863d6d9df9be40649d6d1a71d8a4b2c8" PartId="2c0dbea9654c496fbff6e74bd63fc45f"/>
      </Part>
      <Part Type="punktas" Nr="2" Abbr="2 p." DocPartId="7feae265a3eb471bb403d5a82639764e" PartId="719d80b65a5c4b9ca4a34a6be91a0bba"/>
    </Part>
    <Part Type="skyrius" Nr="2" Title="REIKALAVIMAI APLINKOS ORO UŽTERŠTUMO SIEROS DIOKSIDU, AZOTO DIOKSIDU IR AZOTO OKSIDAIS, BENZENU, ANGLIES MONOKSIDU, ŠVINU IR KIETOSIOMIS DALELĖMIS VERTINIMUI" DocPartId="d01f87ed21804d418d8e446fa27dde5d" PartId="0e5ccfea6c2e4797bc4bcdf2939f64f6"/>
    <Part Type="skyrius" Nr="1" Title="VERTINIMO TVARKA" DocPartId="38c119b6c13847b69890f5040f0bca87" PartId="cbef144dd05f420789b62d3c7821199d">
      <Part Type="punktas" Nr="3" Abbr="3 p." DocPartId="922ab3865697457981a63e3d109f4b7f" PartId="f71d2a39a5c044afa457932cd19b4c04"/>
      <Part Type="punktas" Nr="4" Abbr="4 p." DocPartId="66763ad9875f4d53b027eecace1ade4c" PartId="fe72646fceb6479db5888d7535b21364"/>
      <Part Type="punktas" Nr="5" Abbr="5 p." DocPartId="e6e35a4e248c42249861f4aabbe2c5f4" PartId="b9a4f32cdc234dc1bcd2328283ade853"/>
      <Part Type="punktas" Nr="6" Abbr="6 p." DocPartId="4927a4dc5e2e447184e0c0865e4286f7" PartId="d8a5896783ae478bb5144018e0b61f80"/>
      <Part Type="punktas" Nr="7" Abbr="7 p." DocPartId="6e444a828afd4e808af19ef353b59252" PartId="56eff790f38a4964bc7aaf5524f502e2"/>
      <Part Type="punktas" Nr="8" Abbr="8 p." DocPartId="7f1c3dfa9d1d42148b2480a022f63955" PartId="9a141e9cfeef4ce683304ae72e1c2dbf"/>
    </Part>
    <Part Type="skyrius" Nr="2" Title="VERTINIMO KRITERIJAI" DocPartId="ca600f9b754e449da60f186c95a3a4be" PartId="8a392c805de0469eb3d3cd2b326bb32c">
      <Part Type="punktas" Nr="9" Abbr="9 p." DocPartId="ce7974bbe4d64fbb88e5e744378e8531" PartId="b0d7d8dd11e94dbaac294fe35904afbf">
        <Part Type="punktas" Nr="9.1" Abbr="9.1 p." DocPartId="04a8c2fec83549b4bf1b87e2d78cf3d6" PartId="80cc506456fa4433b283e573fbdd3de3"/>
        <Part Type="punktas" Nr="9.2" Abbr="9.2 p." DocPartId="5e0d6f0fce2d46cf933495d67da33230" PartId="6fb71b6ab1754190b0889b4eeb7ee309"/>
        <Part Type="punktas" Nr="9.3" Abbr="9.3 p." DocPartId="7b94cf6bb37a4ef5a8d9c54acad9078d" PartId="805d9eb22c4b47bdb074f89d382d9944"/>
      </Part>
      <Part Type="punktas" Nr="10" Abbr="10 p." DocPartId="43ac18133faf4b3c8778d916d737076d" PartId="3914174f703d4ff79a8dd5d686e2dcf6">
        <Part Type="punktas" Nr="10.1" Abbr="10.1 p." DocPartId="8285bc5536204924a1e3f34d7b584cd6" PartId="7b9647fd9e7a433086bbdf18a9677d45"/>
        <Part Type="punktas" Nr="10.2" Abbr="10.2 p." DocPartId="e20ae89ed98b4d48acde7106f13d0f89" PartId="65e10198418348d2b85cacd759da984b"/>
        <Part Type="punktas" Nr="10.3" Abbr="10.3 p." DocPartId="f1c6d00ed8cd406cbce7219701f0a4fa" PartId="9132fb53ac6c4626a0d764183427e2c0"/>
        <Part Type="punktas" Nr="10.4" Abbr="10.4 p." DocPartId="10a26db32e544a82a590087ca92800ef" PartId="3409cb8bf6f54d06920959114d722f94"/>
      </Part>
      <Part Type="punktas" Nr="11" Abbr="11 p." DocPartId="7f7613f5f52a4729abeeab4f4ffa43a6" PartId="78c4c9c75fa141539d81299fdf808fd7"/>
    </Part>
    <Part Type="skyrius" Nr="3" Title="ĖMINIŲ ĖMIMO VIETOS" DocPartId="2039a5e023f4431ca9a6d376ed183c68" PartId="9d6a05bac1314b179065c1aedd9b08eb">
      <Part Type="punktas" Nr="12" Abbr="12 p." DocPartId="01f05e7be3984d2bb3b6cc141f8ff515" PartId="f0c107864c7b43dab3d7dc09e2ac640e"/>
      <Part Type="punktas" Nr="13" Abbr="13 p." DocPartId="e83d552fda544276920ae7a02ea72b9b" PartId="6253745cef9b48109fc0dcc51bd18edf"/>
      <Part Type="punktas" Nr="14" Abbr="14 p." DocPartId="44483a70df664cf6a4fa15b2e5d6ae35" PartId="1d59bdea83a74243b27df40da31a319a">
        <Part Type="punktas" Nr="14.1" Abbr="14.1 p." DocPartId="3b542fbf095f45928d110ce7934b6a78" PartId="633917d82cc44729a7fef28617c39840"/>
        <Part Type="punktas" Nr="14.2" Abbr="14.2 p." DocPartId="7a2f3aa314514f78b36d59be6769313f" PartId="76660124878042aaadf858f3b8db7d92"/>
      </Part>
    </Part>
    <Part Type="skyrius" Nr="4" Title="PAMATINIAI MATAVIMO METODAI" DocPartId="b8a7098d7cdd470a8e664c15d3366a4c" PartId="4eb1c82fed9d46caa91e88f28e91e1fa">
      <Part Type="punktas" Nr="15" Abbr="15 p." DocPartId="59fedd034201436cbf2c789953f11352" PartId="2f293324af864826b0b24841ad357535"/>
      <Part Type="punktas" Nr="16" Abbr="16 p." DocPartId="49654789b865439fa97e7c4ef4a7fa5c" PartId="6ea8ff840e8e4b0d96c78b5f4a952af2"/>
    </Part>
    <Part Type="skyrius" Nr="3" Title="REIKALAVIMAI APLINKOS ORO UŽTERŠTUMO OZONU VERTINIMUI" DocPartId="6f3a91fce0fa4258b869b4db0b4a09d5" PartId="b8fbd534e5334c66bb864b126d5e20a1"/>
    <Part Type="skyrius" Nr="1" Title="VERTINIMO KRITERIJAI" DocPartId="f916d236287f427fb3600d078a0eceb4" PartId="46beecbfcebb4c1f85ea6f5cf9237559">
      <Part Type="punktas" Nr="17" Abbr="17 p." DocPartId="7f86378d83ba4d51ab619057fa2afa8b" PartId="bdfbf0cae73044aa9643feb9c99f73b8"/>
      <Part Type="punktas" Nr="18" Abbr="18 p." DocPartId="159508807ffd4ce1bbab5e06d2126573" PartId="53a0c23dcfce4543b1d7d34f2c6dcd3f"/>
      <Part Type="punktas" Nr="19" Abbr="19 p." DocPartId="ab54e138bbbe441b82ecd8a35815ce9f" PartId="f4f73211ab1f4c9bbfed494d163213d6"/>
    </Part>
    <Part Type="skyrius" Nr="2" Title="ĖMINIŲ ĖMIMO VIETOS" DocPartId="a1a07c829344499ca6046913d9177e28" PartId="d0f69497516a48e3bc8c3e720a74c849">
      <Part Type="punktas" Nr="20" Abbr="20 p." DocPartId="870f5ac6012d4f2cac77f8185cc9f7bb" PartId="65d3cfe1810b414884ccd70ac7f8d97b"/>
      <Part Type="punktas" Nr="21" Abbr="21 p." DocPartId="33947aeb3d734ae386f08bcfbe46b216" PartId="56c3ac51e3e84ad3ad4c80f038a6c764"/>
      <Part Type="punktas" Nr="22" Abbr="22 p." DocPartId="437704f436624d938439e78dedb92249" PartId="e824698ee9e54cb4a71be10d4cfb046c">
        <Part Type="punktas" Nr="22.1" Abbr="22.1 p." DocPartId="5d4c879f48984248baf422a31a8cc142" PartId="448c123b0ac74d0a891575122c6265aa"/>
        <Part Type="punktas" Nr="22.2" Abbr="22.2 p." DocPartId="16e1bb2d07e4462fa0b7736a56a0c7da" PartId="35d2bf03959a4791842477bbbb9f8519"/>
        <Part Type="punktas" Nr="22.3" Abbr="22.3 p." DocPartId="7b41cac4b2594566a3e632234752935c" PartId="9a3fadfa9f404663afaa52ba986729ee"/>
        <Part Type="punktas" Nr="22.4" Abbr="22.4 p." DocPartId="5cb0a7bab8814c8bb7f5b0890347840e" PartId="268bfaa3021c458b8419b32eb823f811"/>
      </Part>
      <Part Type="punktas" Nr="23" Abbr="23 p." DocPartId="a50e9fce8d30404da2a8c9981f57aebe" PartId="9353d5e714304409b124d88a91815d05"/>
      <Part Type="punktas" Nr="24" Abbr="24 p." DocPartId="bc10ff5e520a4109bf08fe66f83fe990" PartId="5d9b04b3a7d847f0802ad2a8494dd1f8"/>
      <Part Type="punktas" Nr="25" Abbr="25 p." DocPartId="bc5e95e7622840439a5b6402a81d19aa" PartId="8f56a4a861a84075b06731a6f8b151c1"/>
    </Part>
    <Part Type="skyrius" Nr="3" Title="PAMATINIAI MATAVIMO METODAI" DocPartId="831e5a2474de4a54b27075ca73f7dc0a" PartId="c43760262d3544dfaa0e0c6153d2cd18">
      <Part Type="punktas" Nr="26" Abbr="26 p." DocPartId="6a7e73477f164362b6924fa6a7b21978" PartId="4c5b1760cfce48f38173d859b72afe0a"/>
    </Part>
    <Part Type="skyrius" Nr="4" Title="TARŠOS IŠ GAMTINIŲ TERŠIMO ŠALTINIŲ POVEIKIO APLINKOS ORO UŽTERŠTUMO LYGIUI VERTINIMAS" DocPartId="90766d0771eb4c4dbe57f97d7dcadfbb" PartId="4ab49babeb464a8381a42f10872d7381">
      <Part Type="punktas" Nr="27" Abbr="27 p." DocPartId="6945256d90ff499ea69d26e9d20f5013" PartId="3cdde42f95c748948bcbfdcbad85006b"/>
      <Part Type="punktas" Nr="28" Abbr="28 p." DocPartId="e4967372a3844895ad27f6861da9f70b" PartId="a2bcd1868bd3423e81a250a94e991711"/>
    </Part>
    <Part Type="skyrius" Nr="5" Title="TARŠOS DĖL ŽIEMĄ KELIŲ BARSTYMO SMĖLIU AR DRUSKA POVEIKIO APLINKOS ORO UŽTERŠTUMO LYGIUI VERTINIMAS" DocPartId="444b8043dcf748489fb4551f9d123532" PartId="f89e8fdca8c84701ae8b32e589cab764">
      <Part Type="punktas" Nr="29" Abbr="29 p." DocPartId="06689289222e4059a24d8388ed6cf209" PartId="ced3076fccac42ee9ebf85180571a2bd"/>
      <Part Type="punktas" Nr="30" Abbr="30 p." DocPartId="58a39f762ca148c68f60359ab2dfe71b" PartId="fb9b1a02e3834179bf42b86ee53747fb"/>
    </Part>
    <Part Type="skyrius" Nr="6" Title="REIKALAVIMAI INFORMACIJOS IR ATASKAITŲ KOMISIJAI TEIKIMUI" DocPartId="7755786022174b9494ded01798a5ed93" PartId="73841648420948d8839d65f9416a7af1">
      <Part Type="punktas" Nr="31" Abbr="31 p." DocPartId="40912f68cccb42539f1c8719eace2343" PartId="0ea481db67464350b95af7dc1c7e1641">
        <Part Type="punktas" Nr="31.1" Abbr="31.1 p." DocPartId="4dc8553fd62346cf95b97da87e26227d" PartId="08c08910b2554cdeb06ea4c09af3efbc"/>
        <Part Type="punktas" Nr="31.2" Abbr="31.2 p." DocPartId="4e3062af0f9940689ef3b37fa682b0d2" PartId="0faa8569d80b408ab84b5e570bfc1e39"/>
        <Part Type="punktas" Nr="31.3" Abbr="31.3 p." DocPartId="da472eb923f7478c88575a8676033288" PartId="3072f58516a1481abe9c12f472082c0e"/>
        <Part Type="punktas" Nr="31.4" Abbr="31.4 p." DocPartId="8c82ecc683ea4f19b189e8ace4aa3395" PartId="dd1cd70749ea4f7187b4971f3b239c85"/>
      </Part>
      <Part Type="punktas" Nr="32" Abbr="32 p." DocPartId="d415eee058124b2c8e157c3fe2092c8e" PartId="e806933de9a34f7cbba4b0b312e6ecdb">
        <Part Type="punktas" Nr="32.1" Abbr="32.1 p." DocPartId="55b66fcb82b54d43a5483cabe52bbbf5" PartId="2951c989ed8e4420a0904a5b16454969"/>
        <Part Type="punktas" Nr="32.2" Abbr="32.2 p." DocPartId="46361ae62c6544c5813563c78e4a63d7" PartId="f6a65a06dac641ee8104c934c45dd9e2"/>
        <Part Type="punktas" Nr="32.3" Abbr="32.3 p." DocPartId="92553d4d2bcd402f9fa9a72c9bf4d58a" PartId="1b8152fd0100415b888934e96bb93890"/>
        <Part Type="punktas" Nr="32.4" Abbr="32.4 p." DocPartId="02011ff924314188a6c47e2d4e740812" PartId="358492998a5d474a87c14e808ca8f9ce"/>
        <Part Type="punktas" Nr="32.5" Abbr="32.5 p." DocPartId="677133e79e904b6bbf8b21b3af765e20" PartId="66859d71681c4230b5dc1e3fa18d7aa1"/>
        <Part Type="punktas" Nr="32.6" Abbr="32.6 p." DocPartId="ed329e9f8a4248038f9e971da91cadba" PartId="39a9869af31e4a32826786e8ed778cbe"/>
      </Part>
      <Part Type="punktas" Nr="33" Abbr="33 p." DocPartId="b5b2fcd6fac34247a180e221fdb2c616" PartId="2cb13148c90c42a590f9ff08f8155731"/>
      <Part Type="punktas" Nr="34" Abbr="34 p." DocPartId="fc17de60061b4aaebf7c9745823fa056" PartId="2b6d084409a64930bf707cb106dbafb8"/>
      <Part Type="punktas" Nr="35" Abbr="35 p." DocPartId="fc0e623adfb8458d8ee83c8d76e435ff" PartId="b49d1b29f13a4e48be99f524392d54ba"/>
      <Part Type="punktas" Nr="36" Abbr="36 p." DocPartId="5f6b611913af416c846028816f7a04fe" PartId="0e1625205ca0468a83f699ccdded8747">
        <Part Type="punktas" Nr="36.1" Abbr="36.1 p." DocPartId="17cd179c290e4200a1e37ed58a6cb33b" PartId="9a3f9cc358be4304900fada7cfd140d0"/>
        <Part Type="punktas" Nr="36.2" Abbr="36.2 p." DocPartId="82dfc6fb9b034fac8df20c302de4e43f" PartId="15cc411e3398436c8e565d7d2ffb26de"/>
        <Part Type="punktas" Nr="36.3" Abbr="36.3 p." DocPartId="17c60dbe878843869233bbfc8dc9d201" PartId="3c1518a59db7498f94f65dcfd92339e4"/>
      </Part>
      <Part Type="punktas" Nr="37" Abbr="37 p." DocPartId="6347ffa13298443ab89ef26ea8a17348" PartId="cb12be1eae704aad92a6b8f43eec607c"/>
    </Part>
    <Part Type="skyrius" Nr="7" Title="VISUOMENĖS INFORMAVIMAS" DocPartId="ffb66299700948e0a3119aad95e733bc" PartId="215da28a23a4447183f2de230a26887e">
      <Part Type="punktas" Nr="38" Abbr="38 p." DocPartId="9a51835ccc1743838a512233cff914c4" PartId="b78126d5296546a7946061693f329fe7"/>
    </Part>
    <Part Type="pabaiga" DocPartId="a67a23cdd0fc4fcd8a42b301600baaad" PartId="eeff4161f6e3472b97c8a5a282221c2f"/>
  </Part>
  <Part Type="priedas" Nr="1" Abbr="1 pr." Title="DUOMENŲ KOKYBĖS TIKSLAI" DocPartId="825a7cc50d604e108273b707ddd46318" PartId="194393db01a7462d8cf4f3116c81d9de">
    <Part Type="skyrius" Nr="1" Title="DUOMENŲ KOKYBĖS TIKSLAI VERTINANT APLINKOS ORO KOKYBĘ" DocPartId="357e977b916f49a3980f9f93d149624e" PartId="ed2c06ae9e194bb4a52321aa36f8e5c2">
      <Part Type="punktas" Nr="1" Abbr="1 pr. 1 p." DocPartId="447df4069d724d5d9dbc8d2484ea9c90" PartId="ac5b82c229564540999af561dbd0aa38"/>
      <Part Type="punktas" Nr="2" Abbr="1 pr. 2 p." DocPartId="4b8dd87cd66845dbafb1a42740c96587" PartId="d1d211a965f64822ab0108e8ecc7b891"/>
      <Part Type="punktas" Nr="3" Abbr="1 pr. 3 p." DocPartId="20c1ef7221934cb292f4f773f93f2e48" PartId="86fdee0393c1470aa1bedf93265871cd"/>
      <Part Type="punktas" Nr="4" Abbr="1 pr. 4 p." DocPartId="8a90518a4f334e30ba80237a48c7349b" PartId="7666deeb06404e78a03ed8f3d3a7c24c"/>
      <Part Type="punktas" Nr="5" Abbr="1 pr. 5 p." DocPartId="1beaca8a792a4fa49faacba126a35f65" PartId="332e4b5fffc147648c4e37010a64e6ba"/>
    </Part>
    <Part Type="skyrius" Nr="2" Title="ORO KOKYBĖS VERTINIMO REZULTATAI" DocPartId="ad2ea3bcb3c248ebb6115d3ce0646114" PartId="05f7a7e30e894fa3a551f589dbf15ecd">
      <Part Type="punktas" Nr="6" Abbr="1 pr. 6 p." DocPartId="b84274bc9b2949e0b26c5cd238f359eb" PartId="8b95f1ab5c8e4f6181c5c1460bfaefc3">
        <Part Type="punktas" Nr="6.1" Abbr="1 pr. 6.1 p." DocPartId="a2dd86e8936643ffa9ce8572f6c7cf1f" PartId="0e3701d5675e461abf0ac9522c5139f6"/>
        <Part Type="punktas" Nr="6.2" Abbr="1 pr. 6.2 p." DocPartId="31ac9318019d40e7bb819716f5f59ba2" PartId="ede8218f961b495a9a80566d86073b8d"/>
        <Part Type="punktas" Nr="6.3" Abbr="1 pr. 6.3 p." DocPartId="88aad7a2e3d341049555eb8d66140385" PartId="1924622072e543beb1b4485034360ec5"/>
        <Part Type="punktas" Nr="6.4" Abbr="1 pr. 6.4 p." DocPartId="476f9dd9f8ff4d17a2ed505a41bae054" PartId="6a7a62a8174042b38920c610efd692f0"/>
        <Part Type="punktas" Nr="6.5" Abbr="1 pr. 6.5 p." DocPartId="a300b9b324ae40269eb278e5fb13b6e6" PartId="426b57fb347c4491b47c9ac0ba9d5033"/>
      </Part>
    </Part>
    <Part Type="skyrius" Nr="3" Title="APLINKOS ORO KOKYBĖS VERTINIMO KOKYBĖS UŽTIKRINIMAS: DUOMENŲ PATVIRTINIMAS" DocPartId="f33cc26fab834973a57331c11226f91d" PartId="e42a60561ecb423a9d584fa56d6ba459">
      <Part Type="punktas" Nr="7" Abbr="1 pr. 7 p." DocPartId="4e8e226b0e6145a19521c31edaf483b6" PartId="f7467ce332fc46fa8d7514918af2bc98">
        <Part Type="punktas" Nr="7.1" Abbr="1 pr. 7.1 p." DocPartId="ff6c6993bedc4b0caac5617a7f0544ff" PartId="0db63945071e479aa4c8a9ba47387c0e"/>
        <Part Type="punktas" Nr="7.2" Abbr="1 pr. 7.2 p." DocPartId="17fc7365e1a246839c1bbeec59537e8f" PartId="397efed01e5e4b17b4e2dba008b4a42a"/>
        <Part Type="punktas" Nr="7.3" Abbr="1 pr. 7.3 p." DocPartId="3a30420eb3b548f3be529c7c20605822" PartId="0f517433aab04c78b78728f4ffd74106"/>
        <Part Type="punktas" Nr="7.4" Abbr="1 pr. 7.4 p." DocPartId="cf71b1f5d1d8409698145c19435027c9" PartId="f2f4117275dc4e49b48c70ed92c1a63a"/>
      </Part>
      <Part Type="punktas" Nr="8" Abbr="1 pr. 8 p." DocPartId="34a8e67cc46d45f9b022a3b28d842dec" PartId="3e0cbdc6ea5c4f849e449a729badb09e"/>
    </Part>
    <Part Type="pabaiga" DocPartId="c33c898719264091a360c14f8ac1eaa1" PartId="ce2a75a9413a44d091596c0739a11524"/>
  </Part>
  <Part Type="priedas" Nr="2" Abbr="2 pr." Title="SIEROS DIOKSIDO, AZOTO DIOKSIDO IR AZOTO OKSIDŲ, KIETŲJŲ DALELIŲ, ŠVINO, BENZENO IR ANGLIES MONOKSIDO KONCENTRACIJOS ZONOS AR AGLOMERACIJOS APLINKOS ORE VERTINIMO REIKALAVIMAI" DocPartId="043207b0beb745ffae7d64f7b4f06e62" PartId="68bfe4b1411e49e0801eceb3efbc26ab">
    <Part Type="skyrius" Nr="1" Title="TAIKOMOS VIRŠUTINĖ IR ŽEMUTINĖ VERTINIMO RIBOS" DocPartId="07628d651ab14487a031ada320bd6e40" PartId="28c827f182fe410fb55ba282cb7123dd">
      <Part Type="punktas" Nr="1" Abbr="2 pr. 1 p." DocPartId="880dbf1fa7134b51a6256591c72d7ba0" PartId="f842176ab38540c6801fcbdde9217b5d"/>
      <Part Type="punktas" Nr="2" Abbr="2 pr. 2 p." DocPartId="9fa1ffd672444cdc9eaa13a1f1772ea2" PartId="6cad3a09e13c450691342846b56779d1"/>
      <Part Type="punktas" Nr="3" Abbr="2 pr. 3 p." DocPartId="501ea82cf5d144a692abe5ce87964d97" PartId="262d46942673431e979e490b3fbfccad"/>
      <Part Type="punktas" Nr="4" Abbr="2 pr. 4 p." DocPartId="244705c7e52a43e9a2e9b9efce14fcc3" PartId="3e45e3e6fc2d48da8e74b4a94c94fce7"/>
      <Part Type="punktas" Nr="5" Abbr="2 pr. 5 p." DocPartId="f2b2e3ff65e249648e38200ad518e16a" PartId="bb1bdd8a3f314d05a1550fc491ff55b5"/>
      <Part Type="punktas" Nr="6" Abbr="2 pr. 6 p." DocPartId="ad66541482ae4b8bbf0e91eaee1c15f2" PartId="cb730b0eda64442e97a79e7b1350baa0"/>
    </Part>
    <Part Type="skyrius" Nr="2" Title="VIRŠUTINĖS IR ŽEMUTINĖS VERTINIMO RIBOS VIRŠIJIMO NUSTATYMAS" DocPartId="d9d82720d16a48f989a4d2023be2c9c3" PartId="9f6d144ad9544de6b4aef7ecd4269dcb">
      <Part Type="punktas" Nr="7" Abbr="2 pr. 7 p." DocPartId="e50b4bb43b0144e9b2115658cb56cef3" PartId="f5a5b5e7f51044119788ea5ecdc1cfee"/>
      <Part Type="punktas" Nr="8" Abbr="2 pr. 8 p." DocPartId="0bd804c9263e453b9ab6bb6928a05651" PartId="b6232a16f31e46b1b0ccb03b097a7e96"/>
    </Part>
    <Part Type="pabaiga" DocPartId="03a3fa46314c48a78bd65ec3ab30235c" PartId="438c4bd0b7d2470896945f8f89885f30"/>
  </Part>
  <Part Type="priedas" Nr="3" Abbr="3 pr." Title="APLINKOS ORO KOKYBĖS VERTINIMAS IR APLINKOS ORE ESANČIO SIEROS DIOKSIDO, AZOTO DIOKSIDO IR AZOTO OKSIDŲ, KIETŲJŲ DALELIŲ, ŠVINO, BENZENO IR ANGLIES MONOKSIDO MATAVIMŲ ĖMINIŲ ĖMIMO VIETŲ IŠDĖSTYMAS" DocPartId="6b60dadd85a14776a1e34086a12df46f" PartId="805aa875da21483d8e60321c73dfaa34">
    <Part Type="skyrius" Nr="1" Title="BENDRIEJI REIKALAVIMAI" DocPartId="86054093a49e4e1095b3352894523d4e" PartId="27c1270d0b19402d9530b88f895bcb47">
      <Part Type="punktas" Nr="1" Abbr="3 pr. 1 p." DocPartId="262273597a0549b286332a7e0047196c" PartId="634c27cddc434d67a016a55f05f5a3ff">
        <Part Type="punktas" Nr="1.1" Abbr="3 pr. 1.1 p." DocPartId="426e1ce3cc97416caf953321c03d3fb8" PartId="55d41b9480c740ed90552081d70343c8"/>
        <Part Type="punktas" Nr="1.2" Abbr="3 pr. 1.2 p." DocPartId="d5ae23a22ba04d16b857c57c061b4cc1" PartId="b02ede2c3deb48468f11ee08501e05ef">
          <Part Type="punktas" Nr="1.2.1" Abbr="3 pr. 1.2.1 p." DocPartId="f30c660f065b4eb58fc3261902444af8" PartId="67b4be72f2fe40a38883fc766fce7901"/>
          <Part Type="punktas" Nr="1.2.2" Abbr="3 pr. 1.2.2 p." DocPartId="d9067afc45774d75ab9047fb274fa93c" PartId="88eaa6af97454a3cacea3a5d2a7e8bc2"/>
          <Part Type="punktas" Nr="1.2.3" Abbr="3 pr. 1.2.3 p." DocPartId="38db81b9fbaa44fa8fb9e84c572882e0" PartId="ae9c1e4c3b8e4b5f9784b5ebed984741"/>
        </Part>
      </Part>
    </Part>
    <Part Type="skyrius" Nr="2" Title="ĖMINIŲ ĖMIMO VIETŲ IŠDĖSTYMAS MAKROSKALĖJE" DocPartId="159fedf567db4d1ab81690d7e18d9b03" PartId="def773d817a84b07a5b7217bb215131b">
      <Part Type="punktas" Nr="2" Abbr="3 pr. 2 p." DocPartId="c8b6163f4a7e4d528395644767106976" PartId="ad1e92564873453a81ea5827c3887c6b">
        <Part Type="punktas" Nr="2.1" Abbr="3 pr. 2.1 p." DocPartId="2b086ddc91cd417bb5e53f2f0729a9af" PartId="6e4e68aaf56b4553ab9de71f22f797ee">
          <Part Type="punktas" Nr="2.1.1" Abbr="3 pr. 2.1.1 p." DocPartId="a4fd9b3e41fe4f5083267db8e76d9ce7" PartId="20fa238e080141a091cf26925cd77c9b"/>
          <Part Type="punktas" Nr="2.1.2" Abbr="3 pr. 2.1.2 p." DocPartId="31500cf8095d41c6b698d42c69ea40a5" PartId="78ecf927792344d4af12e9bdf0cc2246"/>
        </Part>
        <Part Type="punktas" Nr="2.2" Abbr="3 pr. 2.2 p." DocPartId="5a938fb826ff4456a827da91bec00fb7" PartId="b04bad84a2b94986a75d5a5699adf3bf"/>
        <Part Type="punktas" Nr="2.3" Abbr="3 pr. 2.3 p." DocPartId="154e4b23b67944edaed54029702eccb8" PartId="f606a7e9b91940d49fd5d58e484b5cb6"/>
        <Part Type="punktas" Nr="2.4" Abbr="3 pr. 2.4 p." DocPartId="160e82cf01a54b74b564a93dd1ad2419" PartId="4be77344d72245b3bb3811210258fe8e"/>
        <Part Type="punktas" Nr="2.5" Abbr="3 pr. 2.5 p." DocPartId="5b5781eed0764b1c879e3e5a87c97016" PartId="bce24009a56f4b9c89114cb7a1100b18"/>
        <Part Type="punktas" Nr="2.6" Abbr="3 pr. 2.6 p." DocPartId="0e1d96cad0cb432e979f18ad72ed4a1d" PartId="56b6ef9f8e884c2faf72bec8c263c24d"/>
        <Part Type="punktas" Nr="2.7" Abbr="3 pr. 2.7 p." DocPartId="d82b56c64ecf422c88b0bf3033388732" PartId="df7b78bb1b07409182d147d5f8f95bda"/>
      </Part>
      <Part Type="punktas" Nr="3" Abbr="3 pr. 3 p." DocPartId="65d6057ece174a5c9b29c70edfdafa55" PartId="cb5ecd947f0c4e2da6c8895697f5f2a8">
        <Part Type="punktas" Nr="3.1" Abbr="3 pr. 3.1 p." DocPartId="d621e0c469fd47f283a319b399dbe2bc" PartId="fdccf53531ea4bc6ae96ba3f101ad4d9"/>
        <Part Type="punktas" Nr="3.2" Abbr="3 pr. 3.2 p." DocPartId="24176c8bc5f64cfc873aa8412dbb00cf" PartId="fee2d67742f544eeb0711a76d4cf5539"/>
      </Part>
    </Part>
    <Part Type="skyrius" Nr="3" Title="ĖMINIŲ ĖMIMO VIETŲ IŠDĖSTYMAS MIKROSKALĖJE" DocPartId="81833002cc0946c8a2435e0ab768b279" PartId="1590736236a5453f80e51142175561c5">
      <Part Type="punktas" Nr="4" Abbr="3 pr. 4 p." DocPartId="aaee0cd7ea79461fafc22ff8ec34f33d" PartId="cefc662985c04bd4bf01b50039e6d623">
        <Part Type="punktas" Nr="4.1" Abbr="3 pr. 4.1 p." DocPartId="f812c6a4f234439abe4a9c42ef6be94e" PartId="dbe8e550b9264b14a77b27fb5cdf980b"/>
        <Part Type="punktas" Nr="4.2" Abbr="3 pr. 4.2 p." DocPartId="f63b0c85670a4451bda802460818beaa" PartId="d9053241836d4d4995dc5f758b710f88"/>
        <Part Type="punktas" Nr="4.3" Abbr="3 pr. 4.3 p." DocPartId="3c2d0663ec1f421ba19ba8e755b73ff5" PartId="6388d2f7a2a441b0a5816e01f2cec1b9"/>
        <Part Type="punktas" Nr="4.4" Abbr="3 pr. 4.4 p." DocPartId="825c205a44e240a893488544c094f250" PartId="dd455599c80a4e58bde8d7fad78a9f6a"/>
        <Part Type="punktas" Nr="4.5" Abbr="3 pr. 4.5 p." DocPartId="dc4cb942efc14224a0a70cf7ed8b9288" PartId="b23a883f41bd41c1b89e90bf1be9118c"/>
      </Part>
      <Part Type="punktas" Nr="5" Abbr="3 pr. 5 p." DocPartId="551c435045eb427b92bcff2143977333" PartId="4429ed5d669d43689e6abdeec7856ce3">
        <Part Type="punktas" Nr="5.1" Abbr="3 pr. 5.1 p." DocPartId="3eba5f07b8194ad7aeef97c75a41337c" PartId="59ccd5c8d15147539c75e1060fae2ffa"/>
        <Part Type="punktas" Nr="5.2" Abbr="3 pr. 5.2 p." DocPartId="aa9adfed396241eeab819073cc2c5b98" PartId="67103bdbc171470383f46f021ba9b316"/>
        <Part Type="punktas" Nr="5.3" Abbr="3 pr. 5.3 p." DocPartId="6d20a19217ec4d6cbf950ce5f7f9ca77" PartId="db683a1d15a94ffdb675e24c48de54a6"/>
        <Part Type="punktas" Nr="5.4" Abbr="3 pr. 5.4 p." DocPartId="d0a1aacc9e4945f6b51c928a1f93cb67" PartId="2ae1bbe7eea242b189f796e0385a7e77"/>
        <Part Type="punktas" Nr="5.5" Abbr="3 pr. 5.5 p." DocPartId="7f940d8d869743469e45a439fd14c84f" PartId="d19de10624194f25ac941df9b4c914d5"/>
        <Part Type="punktas" Nr="5.6" Abbr="3 pr. 5.6 p." DocPartId="8fd156056ddf434f8e428bd85939493d" PartId="90e98de5f7794c00a3ead251869eeadd"/>
        <Part Type="punktas" Nr="5.7" Abbr="3 pr. 5.7 p." DocPartId="aff2abf9493245b7b17272a3b34d6e53" PartId="43ce81ffd59045a1b8fc7b00c0eb42ec"/>
        <Part Type="punktas" Nr="5.8" Abbr="3 pr. 5.8 p." DocPartId="2854061c05b840f59115576322ab2f32" PartId="faa47242a67c400aa269000c0bca1963"/>
      </Part>
    </Part>
    <Part Type="skyrius" Nr="4" Title="ĖMINIŲ ĖMIMO VIETŲ PARINKIMO DOKUMENTAI IR VIETŲ PARINKIMO PERŽIŪRA" DocPartId="ecc6b1db87d0482ca7d6f1dcddb3f825" PartId="71e4a797ba2147598bed7a5f607e238b">
      <Part Type="punktas" Nr="6" Abbr="3 pr. 6 p." DocPartId="49d9ae430cdd4c25892af1424416215f" PartId="2e3fa36234ba42a0851e7a34e23fa096"/>
    </Part>
    <Part Type="pabaiga" DocPartId="2e9adafb1afe4c9d9154e527ac496c40" PartId="981128d34e0944399ab8d3e91b9b4cb9"/>
  </Part>
  <Part Type="priedas" Nr="4" Abbr="4 pr." Title="MATAVIMAI FONINĖSE KAIMO VIETOVĖSE, NEATSIŽVELGIANT Į KONCENTRACIJĄ" DocPartId="1e81317f96e748218dfd780b6c649e47" PartId="f00533ef1a31403f960e5c9ac42a0811">
    <Part Type="skyrius" Nr="1" Title="TIKSLAI" DocPartId="77edbe3de3e442d5b50d18d0c3082f31" PartId="2ea98c537c5f468483b15fad1ddef26b">
      <Part Type="punktas" Nr="1" Abbr="4 pr. 1 p." DocPartId="ea53be5503e44e51aa0bd58eec34d5d3" PartId="5a637b0303ce49a6a083e3ff53c02928"/>
    </Part>
    <Part Type="skyrius" Nr="2" Title="MEDŽIAGOS" DocPartId="10909c6a2a2041b6b53beba5a9f93f35" PartId="761a950655e04bbda284ca072f43d118">
      <Part Type="punktas" Nr="2" Abbr="4 pr. 2 p." DocPartId="4943bae1c056460c957d58823241687d" PartId="452615024a13498d8317d7be37429c17"/>
    </Part>
    <Part Type="skyrius" Nr="3" Title="VIETOS PARINKIMAS" DocPartId="e40c4b58605945deb5bbaef3aa50716d" PartId="9d7f6ad54be8496fabfae94da7ff271f">
      <Part Type="punktas" Nr="3" Abbr="4 pr. 3 p." DocPartId="fde1dbdd107e4f21bed913290baf3018" PartId="139b29bf7edd4e71bf66992d9b4e8c3d"/>
    </Part>
    <Part Type="pabaiga" DocPartId="3a02dcd902aa45ca84a13bbeed932b26" PartId="df5fcb0e838646e7b8075f1662cc80c1"/>
  </Part>
  <Part Type="priedas" Nr="5" Abbr="5 pr." Title="APLINKOS ORE ESANČIOS SIEROS DIOKSIDO, AZOTO DIOKSIDO IR AZOTO OKSIDŲ, KIETŲJŲ DALELIŲ, ŠVINO, BENZENO IR ANGLIES MONOKSIDO KONCENTRACIJOS FIKSUOTŲ MATAVIMŲ ĖMINIŲ ĖMIMO VIETŲ MAŽIAUSIO SKAIČIAUS NUSTATYMO KRITERIJAI" DocPartId="e2c0d78becf2442abf642665d7bee3f7" PartId="da4cabb5400d4e019482b4ef8ba181be">
    <Part Type="skyrius" Nr="1" Title="MAŽIAUSIAS ĖMINIŲ ĖMIMO VIETŲ SKAIČIUS, REIKALINGAS FIKSUOTIEMS MATAVIMAMS ATLIKTI, SIEKIANT ĮVERTINTI, KAIP LAIKOMASI RIBINIŲ VERČIŲ, NUSTATYTŲ ŽMONIŲ SVEIKATOS APSAUGAI, IR PAVOJAUS SLENKSČIŲ ZONOSE IR AGLOMERACIJOSE, KURIOSE MATAVIMAI YRA VIENINTELIS INFORMACIJOS ŠALTINIS" DocPartId="9f8d4fa6844148289b85f2be68f349d8" PartId="d1d14da0d8f7439e99973b97c819d7cf">
      <Part Type="punktas" Nr="1" Abbr="5 pr. 1 p." DocPartId="437cae6a8175431dba611c2963fce289" PartId="77c14afac9df4fc19dcfc05246819d33"/>
      <Part Type="punktas" Nr="2" Abbr="5 pr. 2 p." DocPartId="77cb890e6fe840dc8b772e7b66c5cb6b" PartId="0f6ea398883649b5b2c14f34ca0a51e2"/>
    </Part>
    <Part Type="skyrius" Nr="2" Title="MAŽIAUSIAS ĖMINIŲ ĖMIMO VIETŲ, SKIRTŲ FIKSUOTIEMS MATAVIMAMS, VERTINANT, KAIP LAIKOMASI NACIONALINIO KD2,5 POVEIKIO SUMAŽINIMO UŽDAVINIO, SKAIČIUS" DocPartId="e53a4c0b6c13467cbeed86396c841b03" PartId="6d0629d619414eedaf9015f434a0037a">
      <Part Type="punktas" Nr="3" Abbr="5 pr. 3 p." DocPartId="645290c24ad4456e91036dc50eceab5f" PartId="662e16ae00914b38a1e0b2b0479ece09"/>
    </Part>
    <Part Type="skyrius" Nr="3" Title="MAŽIAUSIAS ĖMINIŲ ĖMIMO VIETŲ, SKIRTŲ FIKSUOTIEMS MATAVIMAMS, VERTINANT, KAIP LAIKOMASI RIBINIŲ VERČIŲ, NUSTATYTŲ AUGMENIJOS APSAUGAI, ZONOSE, IŠSKYRUS AGLOMERACIJAS, SKAIČIUS" DocPartId="5c0addb74d5049daa7cf5ba2c368a962" PartId="6eb5fa0425c840beb20a39f403554b0e">
      <Part Type="punktas" Nr="4" Abbr="5 pr. 4 p." DocPartId="6f3aff1b7c9a4a439ce8a61e24da78a8" PartId="1a96b5a0098d4284aa56d270cf298f3a"/>
      <Part Type="punktas" Nr="5" Abbr="5 pr. 5 p." DocPartId="a5713cbfd57746d2b7dfaf967cf89bf5" PartId="6aa8dfc716a04007a087ce1159e53217"/>
    </Part>
    <Part Type="pabaiga" DocPartId="c65fde7f135a41308e767398a693d7c7" PartId="6e79753d589e4af4a2b77dcb6ae778bd"/>
  </Part>
  <Part Type="priedas" Nr="6" Abbr="6 pr." Title="SIEROS DIOKSIDO, AZOTO DIOKSIDO IR AZOTO OKSIDŲ, KIETŲJŲ DALELIŲ, ŠVINO, BENZENO, ANGLIES MONOKSIDO IR OZONO KONCENTRACIJOS VERTINIMO PAMATINIAI METODAI" DocPartId="3b70e3110b1a4e78a35e7e75280d871c" PartId="2c661b7258504a47ab721cedf3e223cc">
    <Part Type="skyrius" Nr="1" Title="PAMATINIAI MATAVIMO METODAI" DocPartId="89520be0acac42f68c3bbd323dc2e7f5" PartId="4a547268d4594079a73f2b9fb3073c50">
      <Part Type="punktas" Nr="1" Abbr="6 pr. 1 p." DocPartId="50fc4183600c4751824225864b8ff4ab" PartId="f30ab01b40954f0597d795c6ea93fee0"/>
      <Part Type="punktas" Nr="2" Abbr="6 pr. 2 p." DocPartId="92cc9bd5d0d24ae28768864e15895f63" PartId="9c94a3dc4e09435cb9d39588aa17d0ad"/>
      <Part Type="punktas" Nr="3" Abbr="6 pr. 3 p." DocPartId="e014d7ab62e748998f242fef7c3595b4" PartId="1e9fa04a3f8848d8907b71ec306e950e">
        <Part Type="punktas" Nr="3.1" Abbr="6 pr. 3.1 p." DocPartId="15c637b2546942c0b1ad16ec31015703" PartId="5fb275ef7c814d7094e92643a4b451d9"/>
        <Part Type="punktas" Nr="3.2" Abbr="6 pr. 3.2 p." DocPartId="f13a499507b74dc09f376ade52e1f310" PartId="85c557cab18149cfa984c5cbb7948463"/>
      </Part>
      <Part Type="punktas" Nr="4" Abbr="6 pr. 4 p." DocPartId="82cfcfef34dc43dc947ad4a49b030286" PartId="7fdfc9f5a5474d6d9d80f56b17f73947"/>
      <Part Type="punktas" Nr="5" Abbr="6 pr. 5 p." DocPartId="37183ea83c9c4a01a1a67cbe3d1a1989" PartId="445e31545e7540b5b63d3e486eabb286"/>
      <Part Type="punktas" Nr="6" Abbr="6 pr. 6 p." DocPartId="eb280564ed27440b9acb8c5648c85480" PartId="f5db12858bc7459f82f21c7e2fbc854a"/>
      <Part Type="punktas" Nr="7" Abbr="6 pr. 7 p." DocPartId="c735e94a461e4dc3906b499ee88eeb9d" PartId="f1744646e8974e17b8a097a7d50b66de"/>
      <Part Type="punktas" Nr="8" Abbr="6 pr. 8 p." DocPartId="36879fb5e73e4114af78eda6e444f1fa" PartId="e7bc8ad584644aa884bbcf303b14f4d9"/>
    </Part>
    <Part Type="skyrius" Nr="2" Title="LYGIAVERTIŠKUMO ĮRODYMAS" DocPartId="7761b196b9914877bf36e3e58d32faf3" PartId="6397a0f760c74939907ad777d8e696db">
      <Part Type="punktas" Nr="9" Abbr="6 pr. 9 p." DocPartId="35f248a2db904b708eb27f6cdc243bdc" PartId="b39957aff9194890b88b5de532db684c"/>
      <Part Type="punktas" Nr="10" Abbr="6 pr. 10 p." DocPartId="653d623e0b894343805f0a72ff3cfeb3" PartId="2609b3f6620d4ddba774b963eeadfc9f"/>
      <Part Type="punktas" Nr="11" Abbr="6 pr. 11 p." DocPartId="499e3aa9aed74ee59e8a16875c142814" PartId="b44cac8be4c14b0683f9d0f6eb547de8"/>
      <Part Type="punktas" Nr="12" Abbr="6 pr. 12 p." DocPartId="e1459af7e2b74f939b8bedd2b628ced7" PartId="d586b1a60bf545d5927c1d5b8878b5c5"/>
    </Part>
    <Part Type="skyrius" Nr="3" Title="STANDARTIZAVIMAS" DocPartId="660cd62d09f149b7ab3899168b3b13ab" PartId="6e96cb0689044fa6ab9d39ef802d836f">
      <Part Type="punktas" Nr="13" Abbr="6 pr. 13 p." DocPartId="8f37ef98a95a4861b56890aab9509c45" PartId="9ca336af080b4b26a218c61191cd79e9"/>
    </Part>
    <Part Type="pabaiga" DocPartId="83b1085452894f839119876c679f4366" PartId="4ec23425d1844905ab3bb57635d3be29"/>
  </Part>
  <Part Type="priedas" Nr="7" Abbr="7 pr." Title="EUROPOS KOMISIJAI TEIKIAMA INFORMACIJA APIE OZONĄ IR OZONO DUOMENŲ SUMAVIMO IR STATISTINIŲ PARAMETRŲ APSKAIČIAVIMO KRITERIJAI" DocPartId="3b2f21297a9840328430969473b50f21" PartId="577c357d83964c92b32b58103c96e58b">
    <Part Type="skyrius" Nr="1" Title="EUROPOS KOMISIJAI TEIKIAMA INFORMACIJA" DocPartId="5337aeec4bdf4a139bdcebba084bb77e" PartId="551c60a6162040d3b27a468fb51c651c">
      <Part Type="punktas" Nr="1" Abbr="7 pr. 1 p." DocPartId="61f35a07727c41919cbf14257eb032d8" PartId="c54268d85f0d4724b536dfc25aa2d9c6"/>
      <Part Type="punktas" Nr="2" Abbr="7 pr. 2 p." DocPartId="e06c55a666d941a9bed79afc1b8f9b60" PartId="1c686abfe4254dc78fefc8ac872c1125"/>
      <Part Type="punktas" Nr="3" Abbr="7 pr. 3 p." DocPartId="fd28d42d24034379947e2134ea7f9d28" PartId="0d41a6078ad34bb58f7e1e064f5bdd49"/>
    </Part>
    <Part Type="skyrius" Nr="2" Title="OZONO DUOMENŲ SUMAVIMO IR STATISTINIŲ PARAMETRŲ APSKAIČIAVIMO KRITERIJAI" DocPartId="9b717558a8f9436ab08725a59a9ba130" PartId="101633642146487eb404d4af61d98df2"/>
    <Part Type="pabaiga" DocPartId="d7440fc0440c44a984d8a638ca444fa8" PartId="f0a35ac036f14e179dfd1e4c0b80abb2"/>
  </Part>
  <Part Type="priedas" Nr="8" Abbr="8 pr." Title="OZONO KONCENTRACIJOS VERTINIMO IR ĖMINIŲ ĖMIMO VIETŲ KLASIFIKAVIMO IR IŠDĖSTYMO KRITERIJAI, TAIKOMI FIKSUOTIEMS MATAVIMAMS" DocPartId="568eca362206494ebbbbe3d2cbe45aad" PartId="482c0ec9898444d1860baf8e8a2a952f">
    <Part Type="skyrius" Nr="1" Title="MATAVIMO VIETŲ IŠDĖSTYMAS MAKROSKALĖJE" DocPartId="f907b48f521444bca42fc31cae7df110" PartId="74c929b8c26b4660891cd37c7f65b648">
      <Part Type="punktas" Nr="1" Abbr="8 pr. 1 p." DocPartId="485dbcc0efbc451a82908c6da5e2d99d" PartId="fb047ae4b9554e509fc8fbdfff2f0b58"/>
      <Part Type="punktas" Nr="2" Abbr="8 pr. 2 p." DocPartId="7505996abe5b44fb899be8a363b42d2e" PartId="9ffbeb4155da478eb8c98999bc1d96d1"/>
    </Part>
    <Part Type="skyrius" Nr="2" Title="MATAVIMO VIETŲ IŠDĖSTYMAS MIKROSKALĖJE" DocPartId="2aad9f4a39624b98a60c7ec22dc3d6a2" PartId="8534e14e10cc458fb72ee8b3373f5a59">
      <Part Type="punktas" Nr="3" Abbr="8 pr. 3 p." DocPartId="ac5a465ab3a94cbabad9c437356dbe07" PartId="b97755e18f894825af019149f88478c0"/>
    </Part>
    <Part Type="skyrius" Nr="3" Title="ĖMINIŲ ĖMIMO VIETŲ PARINKIMO DOKUMENTAI IR VIETŲ PARINKIMO PERŽIŪRA" DocPartId="a2a2529c187a449a8ed03a6a256de54a" PartId="ea47494d5e9f45c8b29a92764c35d4c3">
      <Part Type="punktas" Nr="4" Abbr="8 pr. 4 p." DocPartId="b35f81f47f7f4951a67abda525a2c0af" PartId="fe18d572cc1548908a8bd116433aae87"/>
    </Part>
    <Part Type="pabaiga" DocPartId="4b8f36ca8197451a887fe4da7cf7dcfb" PartId="9725383d0d5b4305a1d303d0c0eb13d7"/>
  </Part>
  <Part Type="priedas" Nr="9" Abbr="9 pr." Title="OZONO KONCENTRACIJOS FIKSUOTŲ MATAVIMŲ ĖMINIŲ ĖMIMO VIETŲ MAŽIAUSIO SKAIČIAUS NUSTATYMO KRITERIJAI" DocPartId="175f9b81ef15411c8fa58425e06a4e63" PartId="2e2a1e2ebace4ff38f04526380e9b3fc">
    <Part Type="skyrius" Nr="1" Title="MAŽIAUSIAS ĖMINIŲ ĖMIMO VIETŲ SKAIČIUS, REIKALINGAS FIKSUOTIEMS NUOLATINIAMS MATAVIMAMS ATLIKTI, KAI TOKIE MATAVIMAI YRA VIENINTELIS INFORMACIJOS ŠALTINIS, SIEKIANT ĮVERTINTI, KAIP LAIKOMASI SIEKTINŲ VERČIŲ, ILGALAIKIŲ TIKSLŲ, INFORMAVIMO IR PAVOJAUS SLENKSČIŲ" DocPartId="c99de45b5cd143ada591ee0750d3bee4" PartId="25e67be36c6d464f941314fc09b5107b">
      <Part Type="punktas" Nr="1" Abbr="9 pr. 1 p." DocPartId="2404817a23ad4fde9521cd161702bde7" PartId="cbe1cd8c265948c1bad09d6ac0bb8aa9"/>
    </Part>
    <Part Type="skyrius" Nr="2" Title="MAŽIAUSIAS ĖMINIŲ ĖMIMO VIETŲ SKAIČIUS, REIKALINGAS FIKSUOTIEMS MATAVIMAMS ATLIKTI, SIEKIANT ĮVERTINTI, KAIP ZONOSE IR AGLOMERACIJOSE ĮGYVENDINAMI ILGALAIKIAI TIKSLAI" DocPartId="051bf407a68a45cdb73b6689871497f0" PartId="4a50c6854fd24edea402356873122411">
      <Part Type="punktas" Nr="2" Abbr="9 pr. 2 p." DocPartId="e03afdd2a83c4e52bf55dcc07a46c57b" PartId="64de2414cfcc4d99b5b4e266467f8daf"/>
    </Part>
    <Part Type="pabaiga" DocPartId="39047a44c1b244b187b426470bbd1114" PartId="bbf98cd5d1814ea9b4a5e459c43833fc"/>
  </Part>
  <Part Type="priedas" Nr="10" Abbr="10 pr." Title="OZONO PIRMTAKŲ (PREKURSORIŲ) MEDŽIAGŲ MATAVIMAI" DocPartId="7757b112c6564c5c9130d0d3fa8ff246" PartId="d2366a7b5d824614852e69cf43c601d4">
    <Part Type="skyrius" Nr="1" Title="TIKSLAI" DocPartId="e4d03e6800a84f93b09a09f7e583f0f7" PartId="50d5c71fcf3243239078598219769d33">
      <Part Type="punktas" Nr="1" Abbr="10 pr. 1 p." DocPartId="6caefbbaf86942c7b8b95a6784921d09" PartId="e04d474c45be498f8959d722dcbec352"/>
      <Part Type="punktas" Nr="2" Abbr="10 pr. 2 p." DocPartId="530734390bee4bc89176a17b87f03347" PartId="b0186859e3404d17bf896adfc5f9f701"/>
    </Part>
    <Part Type="skyrius" Nr="2" Title="MEDŻIAGOS" DocPartId="2b46cfb691b14207a49f49051536b4b4" PartId="3b5bd479c1284ad88d71ddc0e7afad84">
      <Part Type="punktas" Nr="3" Abbr="10 pr. 3 p." DocPartId="da194168c84e40cf9390b3afe87044a8" PartId="85e35ecba80940dfbecf03558d50cced"/>
      <Part Type="punktas" Nr="4" Abbr="10 pr. 4 p." DocPartId="ac18175f2ead4a799e20686c21a77647" PartId="1fcf9c55f8d842beb07365ca89656cdd"/>
    </Part>
    <Part Type="skyrius" Nr="3" Title="VIETOS PARINKIMAS" DocPartId="2ac46296906e411cbb888572b738ae8f" PartId="b9390e8b31234674a008fb18aa62c582">
      <Part Type="punktas" Nr="5" Abbr="10 pr. 5 p." DocPartId="9eb958fbb17b430ba091ff49ef309aeb" PartId="9485ab98cae24474956aa6ea873b396b"/>
    </Part>
    <Part Type="pabaiga" DocPartId="056d136efd9b4c4b8b06680336f4dcb2" PartId="b8461501f2484392b1c2a46fe2a2dd03"/>
  </Part>
  <Part Type="priedas" Nr="11" Abbr="11 pr." Title="DUOMENŲ SUMAVIMO IR STATISTINIŲ PARAMETRŲ APSKAIČIAVIMO KRITERIJAI" DocPartId="5d572027eacb47f8abaa45ccf4948080" PartId="d152e39f2820491ebd779edeed01b5f2">
    <Part Type="pabaiga" DocPartId="577821197c8247f5a62991b4017513be" PartId="71c2ec5e20ca48438c333f0a97a7116e"/>
  </Part>
  <Part Type="priedas" Nr="12" Abbr="12 pr." Title="VIDUTINIO POVEIKIO RODIKLIO NUSTATYMAS" DocPartId="3b0917c76946418c855b59172a6d00e7" PartId="0f8b9f07961b46389b9f8648d6b9d2a8">
    <Part Type="punktas" Nr="1" Abbr="12 pr. 1 p." DocPartId="09d4de7503884476a1bc9bfffaff107d" PartId="daf3a6fcdcae4aa7bfb15a650ddea58d"/>
    <Part Type="punktas" Nr="2" Abbr="12 pr. 2 p." DocPartId="2be943b39fb140b59a2941210ed905e1" PartId="b1c5588a1e804139bb36fee9076a5bb0"/>
    <Part Type="punktas" Nr="3" Abbr="12 pr. 3 p." DocPartId="a7da61dcccfb4f37ad3e46994e1c79fa" PartId="26a47b423c8146c18fe4fbcf1d529f8c"/>
    <Part Type="punktas" Nr="4" Abbr="12 pr. 4 p." DocPartId="9283f10898b14e65b5f2929798dddc4b" PartId="1c409817c408473a8b751630b20796b4"/>
    <Part Type="punktas" Nr="5" Abbr="12 pr. 5 p." DocPartId="6bfacfafce2247e9b1e4c0eeff70fda4" PartId="74303b5e8d374b4ea64d3580be6eb800"/>
    <Part Type="pabaiga" DocPartId="a49051df49204ad5966cfda962ad647e" PartId="03714c150c11455e95fbf8dd11b0780a"/>
  </Part>
</Parts>
</file>

<file path=customXml/itemProps1.xml><?xml version="1.0" encoding="utf-8"?>
<ds:datastoreItem xmlns:ds="http://schemas.openxmlformats.org/officeDocument/2006/customXml" ds:itemID="{CB612EDF-2C4A-4EA0-A142-AD143763B93A}">
  <ds:schemaRefs>
    <ds:schemaRef ds:uri="http://lrs.lt/TAIS/DocParts"/>
  </ds:schemaRefs>
</ds:datastoreItem>
</file>

<file path=docProps/app.xml><?xml version="1.0" encoding="utf-8"?>
<Properties xmlns="http://schemas.openxmlformats.org/officeDocument/2006/extended-properties">
  <Template>Normal.dotm</Template>
  <TotalTime>4</TotalTime>
  <Pages>31</Pages>
  <Words>47262</Words>
  <Characters>26940</Characters>
  <Application>Microsoft Office Word</Application>
  <DocSecurity>0</DocSecurity>
  <Lines>224</Lines>
  <Paragraphs>148</Paragraphs>
  <ScaleCrop>false</ScaleCrop>
  <Company>Teisines informacijos centras</Company>
  <LinksUpToDate>false</LinksUpToDate>
  <CharactersWithSpaces>74054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2015-06-01T17:00:00Z</dcterms:created>
  <dc:creator>Sandra</dc:creator>
  <lastModifiedBy>JUOSPONIENĖ Karolina</lastModifiedBy>
  <dcterms:modified xsi:type="dcterms:W3CDTF">2016-10-07T05:44:00Z</dcterms:modified>
  <revision>7</revision>
  <dc:title>LIETUVOS RESPUBLIKOS APLINKOS MINISTRO</dc:title>
</coreProperties>
</file>