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1cc3b5fecfdc48bf93c15191f90377aa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2015-08-05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Nutarimas paskelbtas: Žin. 1997, Nr. </w:t>
          </w:r>
          <w:fldSimple w:instr="HYPERLINK https://www.e-tar.lt/portal/legalAct.html?documentId=TAR.A29EA0FE3562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24-556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0971100NUTA00000222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2015-08-05: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52c1a31039f911e5aee6f3ae4a9cfa2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766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2015-07-29,
paskelbta TAR 2015-08-04, i. k. 2015-11949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LIETUVOS RESPUBLIKOS VYRIAUSYBĖ</w:t>
          </w:r>
        </w:p>
        <w:p>
          <w:pPr>
            <w:jc w:val="center"/>
            <w:rPr>
              <w:b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NUTARIMAS</w:t>
          </w:r>
        </w:p>
        <w:p>
          <w:pPr>
            <w:jc w:val="center"/>
            <w:rPr>
              <w:b/>
              <w:lang w:eastAsia="lt-LT"/>
            </w:rPr>
          </w:pPr>
          <w:r>
            <w:rPr>
              <w:b/>
              <w:lang w:eastAsia="lt-LT"/>
            </w:rPr>
            <w:t>DĖL NENUGALIMOS JĖGOS (</w:t>
          </w:r>
          <w:r>
            <w:rPr>
              <w:b/>
              <w:i/>
              <w:lang w:eastAsia="lt-LT"/>
            </w:rPr>
            <w:t>FORCE MAJEURE</w:t>
          </w:r>
          <w:r>
            <w:rPr>
              <w:b/>
              <w:lang w:eastAsia="lt-LT"/>
            </w:rPr>
            <w:t>) APLINKYBES LIUDIJANČIŲ PAŽYMŲ IŠDAVIMO TVARKOS APRAŠO PATVIRTINIMO</w:t>
          </w:r>
        </w:p>
        <w:p>
          <w:pPr>
            <w:jc w:val="center"/>
            <w:rPr>
              <w:lang w:eastAsia="lt-LT"/>
            </w:rPr>
          </w:pPr>
        </w:p>
        <w:p>
          <w:pPr>
            <w:jc w:val="center"/>
            <w:rPr>
              <w:lang w:eastAsia="lt-LT"/>
            </w:rPr>
          </w:pPr>
          <w:r>
            <w:rPr>
              <w:color w:val="000000"/>
            </w:rPr>
            <w:t>1997 m. kovo 13 d. Nr. 222</w:t>
          </w:r>
        </w:p>
        <w:p>
          <w:pPr>
            <w:jc w:val="center"/>
            <w:rPr>
              <w:lang w:eastAsia="lt-LT"/>
            </w:rPr>
          </w:pPr>
          <w:r>
            <w:rPr>
              <w:lang w:eastAsia="lt-LT"/>
            </w:rPr>
            <w:t>Vilnius</w:t>
          </w:r>
        </w:p>
        <w:p>
          <w:pPr>
            <w:jc w:val="center"/>
            <w:rPr>
              <w:lang w:eastAsia="lt-LT"/>
            </w:rPr>
          </w:pPr>
        </w:p>
        <w:sdt>
          <w:sdtPr>
            <w:alias w:val="preambule"/>
            <w:tag w:val="part_c97d3f418a2846868e4dc07f55e429fc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Vadovaudamasi Lietuvos Respublikos prekybos, pramonės ir amatų rūmų įstatymo 5 straipsnio 10 punktu, Lietuvos Respublikos 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c6e4176ca44d41aa8e59d423680f33a8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</w:pPr>
              <w:r>
                <w:rPr>
                  <w:lang w:eastAsia="lt-LT"/>
                </w:rPr>
                <w:t>Patvirtinti Nenugalimos jėgos (</w:t>
              </w:r>
              <w:r>
                <w:rPr>
                  <w:i/>
                  <w:lang w:eastAsia="lt-LT"/>
                </w:rPr>
                <w:t>force majeure</w:t>
              </w:r>
              <w:r>
                <w:rPr>
                  <w:lang w:eastAsia="lt-LT"/>
                </w:rPr>
                <w:t>) aplinkybes liudijančių pažymų išdavimo tvarkos aprašą (pridedama).</w:t>
              </w:r>
              <w:r>
                <w:t xml:space="preserve"> </w:t>
              </w:r>
            </w:p>
          </w:sdtContent>
        </w:sdt>
        <w:sdt>
          <w:sdtPr>
            <w:alias w:val="signatura"/>
            <w:tag w:val="part_1417ef6a87fe41799c3f10c4c576365a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  <w:r>
                <w:t>MINISTRAS PIRMININKAS</w:t>
                <w:tab/>
                <w:t>GEDIMINAS VAGNORIUS</w:t>
              </w:r>
            </w:p>
            <w:p>
              <w:pPr>
                <w:ind w:firstLine="708"/>
                <w:rPr>
                  <w:color w:val="000000"/>
                </w:rPr>
              </w:pPr>
            </w:p>
            <w:p>
              <w:pPr>
                <w:ind w:firstLine="708"/>
                <w:rPr>
                  <w:color w:val="000000"/>
                </w:rPr>
              </w:pPr>
            </w:p>
            <w:p>
              <w:pPr>
                <w:ind w:firstLine="708"/>
                <w:rPr>
                  <w:color w:val="000000"/>
                </w:rPr>
              </w:pPr>
            </w:p>
            <w:p>
              <w:pPr>
                <w:tabs>
                  <w:tab w:val="right" w:pos="9639"/>
                </w:tabs>
                <w:rPr>
                  <w:color w:val="000000"/>
                </w:rPr>
              </w:pPr>
              <w:r>
                <w:t>ŪKIO MINISTRAS</w:t>
                <w:tab/>
                <w:t>VINCAS BABILIUS</w:t>
              </w:r>
            </w:p>
          </w:sdtContent>
        </w:sdt>
        <w:p/>
      </w:sdtContent>
    </w:sdt>
    <w:sdt>
      <w:sdtPr>
        <w:alias w:val="patvirtinta"/>
        <w:tag w:val="part_cbcc0663f8fb4ccdbc53dd51d6564bc9"/>
        <w:lock w:val="sdtLocked"/>
        <w:richText/>
      </w:sdtPr>
      <w:sdtContent>
        <w:p>
          <w:pPr>
            <w:ind w:left="4820"/>
          </w:pPr>
        </w:p>
        <w:p>
          <w:pPr/>
          <w:r>
            <w:br w:type="page"/>
          </w:r>
        </w:p>
        <w:p>
          <w:pPr>
            <w:ind w:left="4820"/>
            <w:rPr>
              <w:lang w:eastAsia="lt-LT"/>
            </w:rPr>
          </w:pPr>
          <w:r>
            <w:rPr>
              <w:lang w:eastAsia="ar-SA"/>
            </w:rPr>
            <w:t>PATVIRTINTA</w:t>
            <w:br/>
            <w:t>Lietuvos Respublikos Vyriausybės</w:t>
            <w:br/>
            <w:t>1997 m. kovo 13 d. nutarimu Nr. 222</w:t>
            <w:br/>
            <w:t>(Lietuvos Respublikos Vyriausybės</w:t>
            <w:br/>
          </w:r>
          <w:r>
            <w:rPr>
              <w:lang w:eastAsia="lt-LT"/>
            </w:rPr>
            <w:t>2015 m. liepos 29 d.</w:t>
          </w:r>
          <w:r>
            <w:rPr>
              <w:lang w:eastAsia="ar-SA"/>
            </w:rPr>
            <w:t xml:space="preserve"> nutarimo Nr. </w:t>
          </w:r>
          <w:r>
            <w:rPr>
              <w:lang w:eastAsia="lt-LT"/>
            </w:rPr>
            <w:t>766</w:t>
            <w:br/>
            <w:t>redakcija)</w:t>
          </w:r>
        </w:p>
        <w:p>
          <w:pPr>
            <w:tabs>
              <w:tab w:val="left" w:pos="-426"/>
            </w:tabs>
            <w:rPr>
              <w:lang w:eastAsia="lt-LT"/>
            </w:rPr>
          </w:pPr>
        </w:p>
        <w:p>
          <w:pPr>
            <w:tabs>
              <w:tab w:val="left" w:pos="-426"/>
            </w:tabs>
            <w:rPr>
              <w:lang w:eastAsia="lt-LT"/>
            </w:rPr>
          </w:pPr>
        </w:p>
        <w:p>
          <w:pPr>
            <w:tabs>
              <w:tab w:val="left" w:pos="6237"/>
            </w:tabs>
            <w:rPr>
              <w:color w:val="000000"/>
              <w:lang w:eastAsia="lt-LT"/>
            </w:rPr>
          </w:pPr>
        </w:p>
        <w:p>
          <w:pPr>
            <w:jc w:val="center"/>
            <w:rPr>
              <w:b/>
              <w:lang w:eastAsia="lt-LT"/>
            </w:rPr>
          </w:pPr>
          <w:sdt>
            <w:sdtPr>
              <w:alias w:val="Pavadinimas"/>
              <w:tag w:val="title_cbcc0663f8fb4ccdbc53dd51d6564bc9"/>
              <w:lock w:val="sdtLocked"/>
              <w:richText/>
            </w:sdtPr>
            <w:sdtContent>
              <w:r>
                <w:rPr>
                  <w:b/>
                  <w:lang w:eastAsia="lt-LT"/>
                </w:rPr>
                <w:t>NENUGALIMOS JĖGOS (</w:t>
              </w:r>
              <w:r>
                <w:rPr>
                  <w:b/>
                  <w:i/>
                  <w:lang w:eastAsia="lt-LT"/>
                </w:rPr>
                <w:t>FORCE MAJEURE</w:t>
              </w:r>
              <w:r>
                <w:rPr>
                  <w:b/>
                  <w:lang w:eastAsia="lt-LT"/>
                </w:rPr>
                <w:t>) APLINKYBES LIUDIJANČIŲ PAŽYMŲ IŠDAVIMO TVARKOS APRAŠAS</w:t>
              </w:r>
            </w:sdtContent>
          </w:sdt>
        </w:p>
        <w:p>
          <w:pPr>
            <w:rPr>
              <w:lang w:eastAsia="lt-LT"/>
            </w:rPr>
          </w:pPr>
        </w:p>
        <w:p>
          <w:pPr>
            <w:rPr>
              <w:lang w:eastAsia="lt-LT"/>
            </w:rPr>
          </w:pPr>
        </w:p>
        <w:p>
          <w:pPr>
            <w:rPr>
              <w:lang w:eastAsia="lt-LT"/>
            </w:rPr>
          </w:pPr>
        </w:p>
        <w:sdt>
          <w:sdtPr>
            <w:alias w:val="1 p."/>
            <w:tag w:val="part_8625a17280144b15b590e0bb7c929a9d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8625a17280144b15b590e0bb7c929a9d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 Nenugalimos jėgos (</w:t>
              </w:r>
              <w:r>
                <w:rPr>
                  <w:i/>
                  <w:lang w:eastAsia="lt-LT"/>
                </w:rPr>
                <w:t>force majeure</w:t>
              </w:r>
              <w:r>
                <w:rPr>
                  <w:lang w:eastAsia="lt-LT"/>
                </w:rPr>
                <w:t>) aplinkybes liudijančių pažymų išdavimo tvarkos aprašas (toliau – Aprašas) nustato nenugalimos jėgos (</w:t>
              </w:r>
              <w:r>
                <w:rPr>
                  <w:i/>
                  <w:lang w:eastAsia="lt-LT"/>
                </w:rPr>
                <w:t>force majeure</w:t>
              </w:r>
              <w:r>
                <w:rPr>
                  <w:lang w:eastAsia="lt-LT"/>
                </w:rPr>
                <w:t>) aplinkybes liudijančių pažymų (toliau – pažymos) išdavimo tvarką.</w:t>
              </w:r>
            </w:p>
          </w:sdtContent>
        </w:sdt>
        <w:sdt>
          <w:sdtPr>
            <w:alias w:val="2 p."/>
            <w:tag w:val="part_7f1688106b3e4260826c3c89dc51e9c1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7f1688106b3e4260826c3c89dc51e9c1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Pažymas išduoda Vilniaus, Kauno, Klaipėdos, Šiaulių, Panevėžio prekybos, pramonės ir amatų rūmai (toliau – rūmai) pagal veiklos zonas. Pažymos išduodamos dėl nenugalimos jėgos (</w:t>
              </w:r>
              <w:r>
                <w:rPr>
                  <w:i/>
                  <w:lang w:eastAsia="lt-LT"/>
                </w:rPr>
                <w:t>force majeure</w:t>
              </w:r>
              <w:r>
                <w:rPr>
                  <w:lang w:eastAsia="lt-LT"/>
                </w:rPr>
                <w:t>) aplinkybių, kurios atsirado ir egzistuoja ar egzistavo Lietuvos Respublikos teritorijoje.</w:t>
              </w:r>
            </w:p>
          </w:sdtContent>
        </w:sdt>
        <w:sdt>
          <w:sdtPr>
            <w:alias w:val="3 p."/>
            <w:tag w:val="part_63ed2ceb6f5c418fa75d646276169b3b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63ed2ceb6f5c418fa75d646276169b3b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>. Pažymos išduodamos Lietuvos Respublikoje įsteigtiems juridiniams asmenims, užsienio valstybių juridiniams asmenims ir kitoms organizacijoms bei jų padaliniams, taip pat fiziniams asmenims (toliau – asmenys).</w:t>
              </w:r>
            </w:p>
          </w:sdtContent>
        </w:sdt>
        <w:sdt>
          <w:sdtPr>
            <w:alias w:val="4 p."/>
            <w:tag w:val="part_78db19dd2b2e4b23acdf9a3451901d2a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78db19dd2b2e4b23acdf9a3451901d2a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4</w:t>
                  </w:r>
                </w:sdtContent>
              </w:sdt>
              <w:r>
                <w:rPr>
                  <w:lang w:eastAsia="lt-LT"/>
                </w:rPr>
                <w:t xml:space="preserve">. Asmuo, norintis gauti pažymą, per protingą terminą nuo nenugalimos jėgos </w:t>
              </w:r>
              <w:r>
                <w:rPr>
                  <w:i/>
                  <w:lang w:eastAsia="lt-LT"/>
                </w:rPr>
                <w:t>(force majeure)</w:t>
              </w:r>
              <w:r>
                <w:rPr>
                  <w:lang w:eastAsia="lt-LT"/>
                </w:rPr>
                <w:t xml:space="preserve"> aplinkybių atsiradimo pradžios, per kurį būtų neišnykę įrodymai, kuriais remiantis būtų galima nustatyti nenugalimos jėgos </w:t>
              </w:r>
              <w:r>
                <w:rPr>
                  <w:i/>
                  <w:lang w:eastAsia="lt-LT"/>
                </w:rPr>
                <w:t>(force majeure)</w:t>
              </w:r>
              <w:r>
                <w:rPr>
                  <w:lang w:eastAsia="lt-LT"/>
                </w:rPr>
                <w:t xml:space="preserve"> buvimo faktą, tiesiogiai kreipdamasis arba per atstumą pateikia rūmams, kurių veiklos zonoje atsirado ir egzistuoja ar </w:t>
              </w:r>
              <w:r>
                <w:rPr>
                  <w:bCs/>
                  <w:iCs/>
                  <w:lang w:eastAsia="lt-LT"/>
                </w:rPr>
                <w:t xml:space="preserve">egzistavo nenugalimos jėgos </w:t>
              </w:r>
              <w:r>
                <w:rPr>
                  <w:i/>
                  <w:lang w:eastAsia="lt-LT"/>
                </w:rPr>
                <w:t>(force majeure)</w:t>
              </w:r>
              <w:r>
                <w:rPr>
                  <w:lang w:eastAsia="lt-LT"/>
                </w:rPr>
                <w:t xml:space="preserve"> </w:t>
              </w:r>
              <w:r>
                <w:rPr>
                  <w:bCs/>
                  <w:iCs/>
                  <w:lang w:eastAsia="lt-LT"/>
                </w:rPr>
                <w:t>aplinkybės,</w:t>
              </w:r>
              <w:r>
                <w:rPr>
                  <w:b/>
                  <w:bCs/>
                  <w:i/>
                  <w:iCs/>
                  <w:lang w:eastAsia="lt-LT"/>
                </w:rPr>
                <w:t xml:space="preserve"> </w:t>
              </w:r>
              <w:r>
                <w:rPr>
                  <w:lang w:eastAsia="lt-LT"/>
                </w:rPr>
                <w:t>šiuos dokumentus:</w:t>
              </w:r>
            </w:p>
            <w:sdt>
              <w:sdtPr>
                <w:alias w:val="4.1 p."/>
                <w:tag w:val="part_c3e3f593fb33453c9a78611a5d46f5e2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c3e3f593fb33453c9a78611a5d46f5e2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4.1</w:t>
                      </w:r>
                    </w:sdtContent>
                  </w:sdt>
                  <w:r>
                    <w:rPr>
                      <w:lang w:eastAsia="lt-LT"/>
                    </w:rPr>
                    <w:t>. prašymą rūmų generaliniam direktoriui;</w:t>
                  </w:r>
                </w:p>
              </w:sdtContent>
            </w:sdt>
            <w:sdt>
              <w:sdtPr>
                <w:alias w:val="4.2 p."/>
                <w:tag w:val="part_8e8ede39b19f433182a61aad007dd192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8e8ede39b19f433182a61aad007dd192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4.2</w:t>
                      </w:r>
                    </w:sdtContent>
                  </w:sdt>
                  <w:r>
                    <w:rPr>
                      <w:lang w:eastAsia="lt-LT"/>
                    </w:rPr>
                    <w:t>. sutarties ir jos lydimųjų dokumentų (išskyrus konfidencialią informaciją, kurios šalys sutarė neatskleisti tretiesiems asmenims), pagal kuriuos asmuo dėl nenugalimos jėgos (</w:t>
                  </w:r>
                  <w:r>
                    <w:rPr>
                      <w:i/>
                      <w:lang w:eastAsia="lt-LT"/>
                    </w:rPr>
                    <w:t>force majeure</w:t>
                  </w:r>
                  <w:r>
                    <w:rPr>
                      <w:lang w:eastAsia="lt-LT"/>
                    </w:rPr>
                    <w:t xml:space="preserve">) aplinkybių neįvykdė savo įsipareigojimų, kopijas; </w:t>
                  </w:r>
                </w:p>
              </w:sdtContent>
            </w:sdt>
            <w:sdt>
              <w:sdtPr>
                <w:alias w:val="4.3 p."/>
                <w:tag w:val="part_caad982caaff437fb2d4332799fe815b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caad982caaff437fb2d4332799fe815b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4.3</w:t>
                      </w:r>
                    </w:sdtContent>
                  </w:sdt>
                  <w:r>
                    <w:rPr>
                      <w:lang w:eastAsia="lt-LT"/>
                    </w:rPr>
                    <w:t xml:space="preserve">. kompetentingų institucijų išduotų dokumentų, įrodančių egzistavimą tam tikrų faktinių aplinkybių, iš kurių galima spręsti apie nenugalimos jėgos </w:t>
                  </w:r>
                  <w:r>
                    <w:rPr>
                      <w:i/>
                      <w:lang w:eastAsia="lt-LT"/>
                    </w:rPr>
                    <w:t>(force majeure)</w:t>
                  </w:r>
                  <w:r>
                    <w:rPr>
                      <w:lang w:eastAsia="lt-LT"/>
                    </w:rPr>
                    <w:t xml:space="preserve"> aplinkybių egzistavimą, kopijas;</w:t>
                  </w:r>
                </w:p>
              </w:sdtContent>
            </w:sdt>
            <w:sdt>
              <w:sdtPr>
                <w:alias w:val="4.4 p."/>
                <w:tag w:val="part_ec293b7b10c0488984dd96f3364efa32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ec293b7b10c0488984dd96f3364efa32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4.4</w:t>
                      </w:r>
                    </w:sdtContent>
                  </w:sdt>
                  <w:r>
                    <w:rPr>
                      <w:lang w:eastAsia="lt-LT"/>
                    </w:rPr>
                    <w:t>. dokumentų, patvirtinančių, kad asmuo per protingą terminą pranešė apie nenugalimos jėgos (</w:t>
                  </w:r>
                  <w:r>
                    <w:rPr>
                      <w:i/>
                      <w:lang w:eastAsia="lt-LT"/>
                    </w:rPr>
                    <w:t>force majeure</w:t>
                  </w:r>
                  <w:r>
                    <w:rPr>
                      <w:lang w:eastAsia="lt-LT"/>
                    </w:rPr>
                    <w:t>) aplinkybių egzistavimą kitai sutarties šaliai, kopijas;</w:t>
                  </w:r>
                </w:p>
              </w:sdtContent>
            </w:sdt>
            <w:sdt>
              <w:sdtPr>
                <w:alias w:val="4.5 p."/>
                <w:tag w:val="part_a98f3e7b34ff421aa252b9f2797f8c76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lang w:eastAsia="lt-LT"/>
                    </w:rPr>
                  </w:pPr>
                  <w:sdt>
                    <w:sdtPr>
                      <w:alias w:val="Numeris"/>
                      <w:tag w:val="nr_a98f3e7b34ff421aa252b9f2797f8c76"/>
                      <w:lock w:val="sdtLocked"/>
                      <w:richText/>
                    </w:sdtPr>
                    <w:sdtContent>
                      <w:r>
                        <w:rPr>
                          <w:lang w:eastAsia="lt-LT"/>
                        </w:rPr>
                        <w:t>4.5</w:t>
                      </w:r>
                    </w:sdtContent>
                  </w:sdt>
                  <w:r>
                    <w:rPr>
                      <w:lang w:eastAsia="lt-LT"/>
                    </w:rPr>
                    <w:t xml:space="preserve">. kitų dokumentų, pagrindžiančių nenugalimos jėgos </w:t>
                  </w:r>
                  <w:r>
                    <w:rPr>
                      <w:i/>
                      <w:lang w:eastAsia="lt-LT"/>
                    </w:rPr>
                    <w:t>(force majeure)</w:t>
                  </w:r>
                  <w:r>
                    <w:rPr>
                      <w:lang w:eastAsia="lt-LT"/>
                    </w:rPr>
                    <w:t xml:space="preserve"> aplinkybių egzistavimą, kopijas.</w:t>
                  </w:r>
                </w:p>
              </w:sdtContent>
            </w:sdt>
          </w:sdtContent>
        </w:sdt>
        <w:sdt>
          <w:sdtPr>
            <w:alias w:val="5 p."/>
            <w:tag w:val="part_23e595334dfa40408a21188f0c4baddc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23e595334dfa40408a21188f0c4baddc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5</w:t>
                  </w:r>
                </w:sdtContent>
              </w:sdt>
              <w:r>
                <w:rPr>
                  <w:lang w:eastAsia="lt-LT"/>
                </w:rPr>
                <w:t>. Rūmų prašymu asmuo turi pateikti Aprašo 4.2–4.5 papunkčiuose nurodytų dokumentų originalus.</w:t>
              </w:r>
            </w:p>
          </w:sdtContent>
        </w:sdt>
        <w:sdt>
          <w:sdtPr>
            <w:alias w:val="6 p."/>
            <w:tag w:val="part_f829e30d8ec44ae380043bc30d8ee9e2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f829e30d8ec44ae380043bc30d8ee9e2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6</w:t>
                  </w:r>
                </w:sdtContent>
              </w:sdt>
              <w:r>
                <w:rPr>
                  <w:lang w:eastAsia="lt-LT"/>
                </w:rPr>
                <w:t xml:space="preserve">. Asmuo, prieš pateikdamas Aprašo 4 punkte nurodytus dokumentus, rūmams sumoka rūmų tarybos nustatyto dydžio atlygį (toliau – atlygis), atitinkantį rūmų turėtas pateiktų duomenų nagrinėjimo, nenugalimos jėgos </w:t>
              </w:r>
              <w:r>
                <w:rPr>
                  <w:i/>
                  <w:lang w:eastAsia="lt-LT"/>
                </w:rPr>
                <w:t>(force majeure)</w:t>
              </w:r>
              <w:r>
                <w:rPr>
                  <w:lang w:eastAsia="lt-LT"/>
                </w:rPr>
                <w:t xml:space="preserve"> aplinkybių egzistavimo nustatymo, pažymos parengimo ir išdavimo išlaidas. Rūmai imasi šiame punkte nurodytų veiksmų tik asmeniui sumokėjus atlygį. Rūmams motyvuotai atsisakius išduoti pažymą, rūmams sumokėtas atlygis asmeniui negrąžinamas.</w:t>
              </w:r>
            </w:p>
          </w:sdtContent>
        </w:sdt>
        <w:sdt>
          <w:sdtPr>
            <w:alias w:val="7 p."/>
            <w:tag w:val="part_ae213104cf6a46f5bdb805d18e8b36c4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ae213104cf6a46f5bdb805d18e8b36c4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7</w:t>
                  </w:r>
                </w:sdtContent>
              </w:sdt>
              <w:r>
                <w:rPr>
                  <w:lang w:eastAsia="lt-LT"/>
                </w:rPr>
                <w:t xml:space="preserve">. Rūmai išnagrinėja asmens prašymą ir išduoda pažymą arba motyvuotai atsisako ją išduoti per 20 darbo dienų nuo visų Aprašo 4 arba 5 punkte nurodytų dokumentų gavimo. Prireikus rūmai gali per 5 darbo dienas nuo visų Aprašo 4 arba 5 punkte nurodytų dokumentų gavimo kreiptis į asmenį su rašytiniu prašymu patikslinti ir (ar) papildyti pateiktus dokumentus. Tokiu atveju prašymo nagrinėjimo terminas skaičiuojamas nuo visų patikslintų ir (ar) papildytų dokumentų gavimo rūmuose dienos. </w:t>
              </w:r>
            </w:p>
          </w:sdtContent>
        </w:sdt>
        <w:sdt>
          <w:sdtPr>
            <w:alias w:val="8 p."/>
            <w:tag w:val="part_6be0ccda0bfa4ff3b0229b25482b0720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6be0ccda0bfa4ff3b0229b25482b0720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8</w:t>
                  </w:r>
                </w:sdtContent>
              </w:sdt>
              <w:r>
                <w:rPr>
                  <w:lang w:eastAsia="lt-LT"/>
                </w:rPr>
                <w:t>. Rūmai išduoda pažymą, jeigu asmens pateikti ir vadovaujantis Aprašo 9 punktu surinkti dokumentai įrodo, kad egzistuoja (egzistavo) aplinkybės ir sąlygos, nurodytos Atleidimo nuo atsakomybės esant nenugalimos jėgos (</w:t>
              </w:r>
              <w:r>
                <w:rPr>
                  <w:i/>
                  <w:lang w:eastAsia="lt-LT"/>
                </w:rPr>
                <w:t>force majeure</w:t>
              </w:r>
              <w:r>
                <w:rPr>
                  <w:lang w:eastAsia="lt-LT"/>
                </w:rPr>
                <w:t xml:space="preserve">) aplinkybėms taisyklėse, patvirtintose Lietuvos Respublikos Vyriausybės </w:t>
              </w:r>
              <w:smartTag w:uri="urn:schemas-microsoft-com:office:smarttags" w:element="metricconverter">
                <w:smartTagPr>
                  <w:attr w:name="ProductID" w:val="1996 m"/>
                </w:smartTagPr>
                <w:r>
                  <w:rPr>
                    <w:lang w:eastAsia="lt-LT"/>
                  </w:rPr>
                  <w:t>1996 m</w:t>
                </w:r>
              </w:smartTag>
              <w:r>
                <w:rPr>
                  <w:lang w:eastAsia="lt-LT"/>
                </w:rPr>
                <w:t>. liepos 15 d. nutarimu Nr. 840 „Dėl Atleidimo nuo atsakomybės esant nenugalimos jėgos (</w:t>
              </w:r>
              <w:r>
                <w:rPr>
                  <w:i/>
                  <w:lang w:eastAsia="lt-LT"/>
                </w:rPr>
                <w:t>force majeure</w:t>
              </w:r>
              <w:r>
                <w:rPr>
                  <w:lang w:eastAsia="lt-LT"/>
                </w:rPr>
                <w:t>) aplinkybėms taisyklių patvirtinimo“.</w:t>
              </w:r>
            </w:p>
          </w:sdtContent>
        </w:sdt>
        <w:sdt>
          <w:sdtPr>
            <w:alias w:val="9 p."/>
            <w:tag w:val="part_7d711f482d2649b3b72d41076445c8b0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7d711f482d2649b3b72d41076445c8b0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9</w:t>
                  </w:r>
                </w:sdtContent>
              </w:sdt>
              <w:r>
                <w:rPr>
                  <w:lang w:eastAsia="lt-LT"/>
                </w:rPr>
                <w:t>. Jeigu asmuo pats negali gauti dokumentų, nurodytų Aprašo 4.3 papunktyje, asmens prašymu rūmai imasi veiksmų, padedančių nustatyti nenugalimos jėgos (</w:t>
              </w:r>
              <w:r>
                <w:rPr>
                  <w:i/>
                  <w:lang w:eastAsia="lt-LT"/>
                </w:rPr>
                <w:t>force majeure</w:t>
              </w:r>
              <w:r>
                <w:rPr>
                  <w:lang w:eastAsia="lt-LT"/>
                </w:rPr>
                <w:t xml:space="preserve">) aplinkybių egzistavimą. </w:t>
              </w:r>
            </w:p>
          </w:sdtContent>
        </w:sdt>
        <w:sdt>
          <w:sdtPr>
            <w:alias w:val="10 p."/>
            <w:tag w:val="part_55522db9509242cd9385895ff88e4092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55522db9509242cd9385895ff88e4092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10</w:t>
                  </w:r>
                </w:sdtContent>
              </w:sdt>
              <w:r>
                <w:rPr>
                  <w:lang w:eastAsia="lt-LT"/>
                </w:rPr>
                <w:t xml:space="preserve">. Jeigu asmenų pateikti dokumentai ir rūmų nustatyti faktai neįrodo Aprašo 4 punkte nurodytų aplinkybių ir sąlygų, rūmai išduoda asmeniui motyvuotą atsisakymą išduoti pažymą. </w:t>
              </w:r>
            </w:p>
          </w:sdtContent>
        </w:sdt>
        <w:sdt>
          <w:sdtPr>
            <w:alias w:val="11 p."/>
            <w:tag w:val="part_0c55dbd0283448a59ba9cad4948c8aa4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color w:val="000000"/>
                  <w:lang w:eastAsia="lt-LT"/>
                </w:rPr>
              </w:pPr>
              <w:sdt>
                <w:sdtPr>
                  <w:alias w:val="Numeris"/>
                  <w:tag w:val="nr_0c55dbd0283448a59ba9cad4948c8aa4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11</w:t>
                  </w:r>
                </w:sdtContent>
              </w:sdt>
              <w:r>
                <w:rPr>
                  <w:lang w:eastAsia="lt-LT"/>
                </w:rPr>
                <w:t>. Pažyma įforminama rūmų blanke 2 egzemplioriais. Pažymoje nurodoma: pažymos numeris, data, pateikusio prašymą asmens vardas ir pavardė (arba pavadinimas), adresas, sutarties šalys, sutarties sudarymo vieta, nenugalimos jėgos (</w:t>
              </w:r>
              <w:r>
                <w:rPr>
                  <w:i/>
                  <w:lang w:eastAsia="lt-LT"/>
                </w:rPr>
                <w:t>force majeure</w:t>
              </w:r>
              <w:r>
                <w:rPr>
                  <w:lang w:eastAsia="lt-LT"/>
                </w:rPr>
                <w:t>) aplinkybės, jų egzistavimo laikotarpis (arba jų pradžios momentas, jeigu aplinkybės dar egzistuoja) ir rūmams pateiktų dokumentų sąrašas. Pažyma pasirašoma rūmų generalinio direktoriaus ar jo įgalioto asmens.</w:t>
              </w:r>
            </w:p>
          </w:sdtContent>
        </w:sdt>
        <w:sdt>
          <w:sdtPr>
            <w:alias w:val="pabaiga"/>
            <w:tag w:val="part_88b5a4d5bdfd4badb6c70f01162d4c8b"/>
            <w:lock w:val="sdtLocked"/>
            <w:richText/>
          </w:sdtPr>
          <w:sdtContent>
            <w:p>
              <w:pPr>
                <w:tabs>
                  <w:tab w:val="left" w:pos="6237"/>
                </w:tabs>
                <w:jc w:val="center"/>
              </w:pPr>
              <w:r>
                <w:rPr>
                  <w:color w:val="000000"/>
                  <w:lang w:eastAsia="lt-LT"/>
                </w:rPr>
                <w:t>––––––––––––––––––––</w:t>
              </w:r>
            </w:p>
          </w:sdtContent>
        </w:sdt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52c1a31039f911e5aee6f3ae4a9cfa2d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766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2015-07-29,
paskelbta TAR 2015-08-04, i. k. 2015-11949    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2c1a31039f911e5aee6f3ae4a9cfa2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766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2015-07-29,
paskelbta TAR 2015-08-04, i. k. 2015-11949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1997 m. kovo 13 d. nutarimo Nr. 222 „Dėl Nenugalimos jėgos (force majeure) aplinkybes liudijančių pažymų išdavimo tvarkos patvirtinimo“ pakeitimo  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133" w:right="567" w:bottom="1133" w:left="1700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lang w:val="en-GB"/>
      </w:rPr>
    </w:pPr>
    <w:r>
      <w:rPr>
        <w:lang w:val="en-GB"/>
      </w:rPr>
      <w:fldChar w:fldCharType="begin"/>
    </w:r>
    <w:r>
      <w:rPr>
        <w:lang w:val="en-GB"/>
      </w:rPr>
      <w:instrText xml:space="preserve">PAGE  </w:instrText>
    </w:r>
    <w:r>
      <w:rPr>
        <w:lang w:val="en-GB"/>
      </w:rPr>
      <w:fldChar w:fldCharType="separate"/>
    </w:r>
    <w:r>
      <w:rPr>
        <w:lang w:val="en-GB"/>
      </w:rPr>
      <w:t>5</w:t>
    </w:r>
    <w:r>
      <w:rPr>
        <w:lang w:val="en-GB"/>
      </w:rP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defaultTabStop w:val="1296"/>
  <w:hyphenationZone w:val="396"/>
  <w:doNotHyphenateCaps/>
  <w:drawingGridHorizontalSpacing w:val="18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0D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9"/>
    <o:shapelayout v:ext="edit">
      <o:idmap v:ext="edit" data="1"/>
    </o:shapelayout>
  </w:shapeDefaults>
  <w:decimalSymbol w:val=","/>
  <w:listSeparator w:val=";"/>
  <w14:docId w14:val="3C8F52E5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footnotes" Target="footnotes.xml"/>
  <Relationship Id="rId11" Type="http://schemas.openxmlformats.org/officeDocument/2006/relationships/hyperlink" TargetMode="External" Target="https://www.e-tar.lt/portal/lt/legalAct/TAR.6E3127CAC371"/>
  <Relationship Id="rId12" Type="http://schemas.openxmlformats.org/officeDocument/2006/relationships/hyperlink" TargetMode="External" Target="https://www.e-tar.lt/portal/lt/legalAct/TAR.B35BAADC3F4E"/>
  <Relationship Id="rId13" Type="http://schemas.openxmlformats.org/officeDocument/2006/relationships/image" Target="media/image1.wmf"/>
  <Relationship Id="rId14" Type="http://schemas.openxmlformats.org/officeDocument/2006/relationships/settings" Target="settings.xml"/>
  <Relationship Id="rId15" Type="http://schemas.openxmlformats.org/officeDocument/2006/relationships/styles" Target="styles.xml"/>
  <Relationship Id="rId16" Type="http://schemas.microsoft.com/office/2007/relationships/stylesWithEffects" Target="stylesWithEffects.xml"/>
  <Relationship Id="rId17" Type="http://schemas.openxmlformats.org/officeDocument/2006/relationships/theme" Target="theme/theme1.xml"/>
  <Relationship Id="rId18" Type="http://schemas.openxmlformats.org/officeDocument/2006/relationships/webSettings" Target="webSettings.xml"/>
  <Relationship Id="rId19" Type="http://schemas.openxmlformats.org/officeDocument/2006/relationships/customXml" Target="../customXml/item1.xml"/>
  <Relationship Id="rId2" Type="http://schemas.openxmlformats.org/officeDocument/2006/relationships/header" Target="header2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control" Target="activeX/activeX1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68d54cd757b419bb19ee9b517f0e46b" PartId="1cc3b5fecfdc48bf93c15191f90377aa">
    <Part Type="preambule" DocPartId="5a7cb2cd7590489c8d8828f15e5927e7" PartId="c97d3f418a2846868e4dc07f55e429fc"/>
    <Part Type="pastraipa" DocPartId="b49c6192d1d34a4dbe9f4ac90a10e136" PartId="c6e4176ca44d41aa8e59d423680f33a8"/>
    <Part Type="signatura" DocPartId="c52fc7bdc79841ae9d4cedb34cd0cf74" PartId="1417ef6a87fe41799c3f10c4c576365a"/>
  </Part>
  <Part Type="patvirtinta" Title="NENUGALIMOS JĖGOS (FORCE MAJEURE) APLINKYBES LIUDIJANČIŲ PAŽYMŲ IŠDAVIMO TVARKOS APRAŠAS" DocPartId="727dab2b2d5d4cebac34775bd49a5cd1" PartId="cbcc0663f8fb4ccdbc53dd51d6564bc9">
    <Part Type="punktas" Nr="1" Abbr="1 p." DocPartId="cb2716b9f6354c5eb029ec831ad008c1" PartId="8625a17280144b15b590e0bb7c929a9d"/>
    <Part Type="punktas" Nr="2" Abbr="2 p." DocPartId="f04a1845c84549ef8a8bbb6e01de6cc3" PartId="7f1688106b3e4260826c3c89dc51e9c1"/>
    <Part Type="punktas" Nr="3" Abbr="3 p." DocPartId="74a2fea79bef4911a2af26f329e86709" PartId="63ed2ceb6f5c418fa75d646276169b3b"/>
    <Part Type="punktas" Nr="4" Abbr="4 p." DocPartId="946d39a0867b4436bce2a08de1d38d50" PartId="78db19dd2b2e4b23acdf9a3451901d2a">
      <Part Type="punktas" Nr="4.1" Abbr="4.1 p." DocPartId="32afbeb44abb43b3bf0ed390adffaacb" PartId="c3e3f593fb33453c9a78611a5d46f5e2"/>
      <Part Type="punktas" Nr="4.2" Abbr="4.2 p." DocPartId="1acbc0f84a1c4711a3eb49000f64969b" PartId="8e8ede39b19f433182a61aad007dd192"/>
      <Part Type="punktas" Nr="4.3" Abbr="4.3 p." DocPartId="1f30943ab00f4c65a034abe1c72dc754" PartId="caad982caaff437fb2d4332799fe815b"/>
      <Part Type="punktas" Nr="4.4" Abbr="4.4 p." DocPartId="37fca516de464c30813d1026c5049b7e" PartId="ec293b7b10c0488984dd96f3364efa32"/>
      <Part Type="punktas" Nr="4.5" Abbr="4.5 p." DocPartId="1dc6f19e5c804a04bb05442d830f0f25" PartId="a98f3e7b34ff421aa252b9f2797f8c76"/>
    </Part>
    <Part Type="punktas" Nr="5" Abbr="5 p." DocPartId="8a7444bf033d473d91087653bacf989b" PartId="23e595334dfa40408a21188f0c4baddc"/>
    <Part Type="punktas" Nr="6" Abbr="6 p." DocPartId="22cc1ec16f9142c0b67b76d58512ae35" PartId="f829e30d8ec44ae380043bc30d8ee9e2"/>
    <Part Type="punktas" Nr="7" Abbr="7 p." DocPartId="3d35ae5173ba4a5fad0b36964255207c" PartId="ae213104cf6a46f5bdb805d18e8b36c4"/>
    <Part Type="punktas" Nr="8" Abbr="8 p." DocPartId="f4311ef806aa4a7493b77ba287804601" PartId="6be0ccda0bfa4ff3b0229b25482b0720"/>
    <Part Type="punktas" Nr="9" Abbr="9 p." DocPartId="f54e15ef2a9c46ca9b0696258f03e75f" PartId="7d711f482d2649b3b72d41076445c8b0"/>
    <Part Type="punktas" Nr="10" Abbr="10 p." DocPartId="a627907656b546af983c5938aabf7c87" PartId="55522db9509242cd9385895ff88e4092"/>
    <Part Type="punktas" Nr="11" Abbr="11 p." DocPartId="89fc2d6eef0e485b9c17e15335bdfc39" PartId="0c55dbd0283448a59ba9cad4948c8aa4"/>
    <Part Type="pabaiga" DocPartId="2d833b5f57874463b70d393d3ff0e53a" PartId="88b5a4d5bdfd4badb6c70f01162d4c8b"/>
  </Part>
</Parts>
</file>

<file path=customXml/itemProps1.xml><?xml version="1.0" encoding="utf-8"?>
<ds:datastoreItem xmlns:ds="http://schemas.openxmlformats.org/officeDocument/2006/customXml" ds:itemID="{5A91C706-B3DE-407A-BAE6-9D481840F27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2</TotalTime>
  <Pages>5</Pages>
  <Words>5833</Words>
  <Characters>3325</Characters>
  <Application>Microsoft Office Word</Application>
  <DocSecurity>0</DocSecurity>
  <Lines>27</Lines>
  <Paragraphs>18</Paragraphs>
  <ScaleCrop>false</ScaleCrop>
  <Company/>
  <LinksUpToDate>false</LinksUpToDate>
  <CharactersWithSpaces>9140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2015-08-04T10:50:00Z</dcterms:created>
  <dc:creator>User</dc:creator>
  <lastModifiedBy>BODIN Aušra</lastModifiedBy>
  <dcterms:modified xsi:type="dcterms:W3CDTF">2015-08-11T11:50:00Z</dcterms:modified>
  <revision>5</revision>
</coreProperties>
</file>