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7b772bc772574d34ae41e0c349fd5cd5"/>
        <w:lock w:val="sdtLocked"/>
        <w:richText/>
      </w:sdtPr>
      <w:sdtContent>
        <w:p>
          <w:pPr>
            <w:jc w:val="both"/>
            <w:rPr>
              <w:rFonts w:ascii="Times New Roman" w:hAnsi="Times New Roman"/>
            </w:rPr>
          </w:pPr>
          <w:r>
            <w:rPr>
              <w:rFonts w:ascii="Times New Roman" w:hAnsi="Times New Roman"/>
              <w:b/>
              <w:i/>
            </w:rPr>
            <w:t>Suvestinė redakcija nuo 2019-01-01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2010, Nr. </w:t>
          </w:r>
          <w:fldSimple w:instr="HYPERLINK https://www.e-tar.lt/portal/legalAct.html?documentId=TAR.6297DD0DA077">
            <w:r w:rsidRPr="00532B9F">
              <w:rPr>
                <w:rFonts w:ascii="Times New Roman" w:eastAsia="MS Mincho" w:hAnsi="Times New Roman"/>
                <w:sz w:val="20"/>
                <w:i/>
                <w:iCs/>
                <w:color w:val="0000FF" w:themeColor="hyperlink"/>
                <w:u w:val="single"/>
              </w:rPr>
              <w:t>23-1102</w:t>
            </w:r>
          </w:fldSimple>
          <w:r>
            <w:rPr>
              <w:rFonts w:ascii="Times New Roman" w:eastAsia="MS Mincho" w:hAnsi="Times New Roman"/>
              <w:sz w:val="20"/>
              <w:i/>
              <w:iCs/>
            </w:rPr>
            <w:t>, i. k. 110231GISAK00001-62</w:t>
          </w:r>
        </w:p>
        <w:p>
          <w:pPr>
            <w:jc w:val="both"/>
            <w:rPr>
              <w:rFonts w:ascii="Times New Roman" w:hAnsi="Times New Roman"/>
              <w:sz w:val="20"/>
            </w:rPr>
          </w:pPr>
        </w:p>
        <w:p>
          <w:pPr>
            <w:widowControl w:val="0"/>
            <w:suppressAutoHyphens/>
            <w:jc w:val="center"/>
            <w:rPr>
              <w:color w:val="000000"/>
            </w:rPr>
          </w:pPr>
          <w:r>
            <w:rPr>
              <w:color w:val="000000"/>
              <w:lang w:val="en-US"/>
            </w:rPr>
            <w:pict>
              <v:shapetype id="_x0000_t201" coordsize="21600,21600" o:spt="201" path="m,l,21600r21600,l21600,xe">
                <v:stroke joinstyle="miter"/>
                <v:path shadowok="f" o:extrusionok="f" strokeok="f" fillok="f" o:connecttype="rect"/>
                <o:lock v:ext="edit" shapetype="t"/>
              </v:shapetype>
              <v:shape id="_x0000_s1026" type="#_x0000_t201" style="position:absolute;left:0;text-align:left;margin-left:0;margin-top:0;width:.75pt;height:.75pt;z-index:251657728;visibility:hidden;mso-position-horizontal-relative:text;mso-position-vertical-relative:text" stroked="f">
                <v:imagedata r:id="rId9" o:title=""/>
              </v:shape>
              <w:control r:id="rId10" w:name="Control 2" w:shapeid="_x0000_s1026"/>
            </w:pict>
          </w:r>
          <w:r>
            <w:rPr>
              <w:color w:val="000000"/>
            </w:rPr>
            <w:t>PRIEŠGAISRINĖS APSAUGOS IR GELBĖJIMO DEPARTAMENTO</w:t>
          </w:r>
        </w:p>
        <w:p>
          <w:pPr>
            <w:widowControl w:val="0"/>
            <w:suppressAutoHyphens/>
            <w:jc w:val="center"/>
            <w:rPr>
              <w:color w:val="000000"/>
            </w:rPr>
          </w:pPr>
          <w:r>
            <w:rPr>
              <w:color w:val="000000"/>
            </w:rPr>
            <w:t>PRIE VIDAUS REIKALŲ MINISTERIJOS DIREKTORIAUS</w:t>
          </w:r>
        </w:p>
        <w:p>
          <w:pPr>
            <w:widowControl w:val="0"/>
            <w:suppressAutoHyphens/>
            <w:jc w:val="center"/>
            <w:rPr>
              <w:color w:val="000000"/>
            </w:rPr>
          </w:pPr>
          <w:r>
            <w:rPr>
              <w:color w:val="000000"/>
            </w:rPr>
            <w:t>Į S A K Y M A S</w:t>
          </w:r>
        </w:p>
        <w:p>
          <w:pPr>
            <w:widowControl w:val="0"/>
            <w:suppressAutoHyphens/>
            <w:jc w:val="center"/>
            <w:rPr>
              <w:color w:val="000000"/>
            </w:rPr>
          </w:pPr>
        </w:p>
        <w:p>
          <w:pPr>
            <w:widowControl w:val="0"/>
            <w:suppressAutoHyphens/>
            <w:jc w:val="center"/>
            <w:rPr>
              <w:b/>
              <w:bCs/>
              <w:caps/>
              <w:color w:val="000000"/>
            </w:rPr>
          </w:pPr>
          <w:r>
            <w:rPr>
              <w:b/>
              <w:bCs/>
              <w:caps/>
              <w:color w:val="000000"/>
            </w:rPr>
            <w:t>DĖL OBJEKTO ATITIKTIES PRIEŠGAISRINĘ SAUGĄ REGLAMENTUOJANTIEMS TEISĖS AKTAMS DEKLARAVIMO TVARKOS APRAŠO PATVIRTINIMO</w:t>
          </w:r>
        </w:p>
        <w:p>
          <w:pPr>
            <w:widowControl w:val="0"/>
            <w:suppressAutoHyphens/>
            <w:jc w:val="center"/>
            <w:rPr>
              <w:color w:val="000000"/>
            </w:rPr>
          </w:pPr>
        </w:p>
        <w:p>
          <w:pPr>
            <w:widowControl w:val="0"/>
            <w:suppressAutoHyphens/>
            <w:jc w:val="center"/>
            <w:rPr>
              <w:color w:val="000000"/>
            </w:rPr>
          </w:pPr>
          <w:r>
            <w:rPr>
              <w:color w:val="000000"/>
            </w:rPr>
            <w:t>2010 m. vasario 22 d. Nr. 1-62</w:t>
          </w:r>
        </w:p>
        <w:p>
          <w:pPr>
            <w:widowControl w:val="0"/>
            <w:suppressAutoHyphens/>
            <w:jc w:val="center"/>
            <w:rPr>
              <w:color w:val="000000"/>
            </w:rPr>
          </w:pPr>
          <w:r>
            <w:rPr>
              <w:color w:val="000000"/>
            </w:rPr>
            <w:t>Vilnius</w:t>
          </w:r>
        </w:p>
        <w:p>
          <w:pPr>
            <w:widowControl w:val="0"/>
            <w:suppressAutoHyphens/>
            <w:ind w:firstLine="567"/>
            <w:jc w:val="both"/>
            <w:rPr>
              <w:color w:val="000000"/>
            </w:rPr>
          </w:pPr>
        </w:p>
        <w:p>
          <w:pPr>
            <w:widowControl w:val="0"/>
            <w:suppressAutoHyphens/>
            <w:ind w:firstLine="567"/>
            <w:jc w:val="both"/>
            <w:rPr>
              <w:color w:val="000000"/>
            </w:rPr>
          </w:pPr>
        </w:p>
        <w:sdt>
          <w:sdtPr>
            <w:alias w:val="preambule"/>
            <w:tag w:val="part_10f0ffbac07f482581526ccdaad4d734"/>
            <w:lock w:val="sdtLocked"/>
            <w:richText/>
          </w:sdtPr>
          <w:sdtContent>
            <w:p>
              <w:pPr>
                <w:widowControl w:val="0"/>
                <w:suppressAutoHyphens/>
                <w:ind w:firstLine="567"/>
                <w:jc w:val="both"/>
                <w:rPr>
                  <w:color w:val="000000"/>
                </w:rPr>
              </w:pPr>
              <w:r>
                <w:rPr>
                  <w:color w:val="000000"/>
                </w:rPr>
                <w:t xml:space="preserve">Vadovaudamasis Lietuvos Respublikos priešgaisrinės saugos įstatymo (Žin., 2002, Nr. </w:t>
              </w:r>
              <w:hyperlink r:id="rId11" w:tgtFrame="_blank" w:history="1">
                <w:r>
                  <w:rPr>
                    <w:color w:val="0000FF" w:themeColor="hyperlink"/>
                    <w:u w:val="single"/>
                  </w:rPr>
                  <w:t>123-5518</w:t>
                </w:r>
              </w:hyperlink>
              <w:r>
                <w:rPr>
                  <w:color w:val="000000"/>
                </w:rPr>
                <w:t xml:space="preserve">; 2008, Nr. </w:t>
              </w:r>
              <w:hyperlink r:id="rId12" w:tgtFrame="_blank" w:history="1">
                <w:r>
                  <w:rPr>
                    <w:color w:val="0000FF" w:themeColor="hyperlink"/>
                    <w:u w:val="single"/>
                  </w:rPr>
                  <w:t>71-2704</w:t>
                </w:r>
              </w:hyperlink>
              <w:r>
                <w:rPr>
                  <w:color w:val="000000"/>
                </w:rPr>
                <w:t xml:space="preserve">; 2010, Nr. </w:t>
              </w:r>
              <w:hyperlink r:id="rId13" w:tgtFrame="_blank" w:history="1">
                <w:r>
                  <w:rPr>
                    <w:color w:val="0000FF" w:themeColor="hyperlink"/>
                    <w:u w:val="single"/>
                  </w:rPr>
                  <w:t>1-30</w:t>
                </w:r>
              </w:hyperlink>
              <w:r>
                <w:rPr>
                  <w:color w:val="000000"/>
                </w:rPr>
                <w:t>) 7 straipsnio 1 dalies 6 punktu:</w:t>
              </w:r>
            </w:p>
          </w:sdtContent>
        </w:sdt>
        <w:sdt>
          <w:sdtPr>
            <w:alias w:val="1 p."/>
            <w:tag w:val="part_cbd84fc9a3da42aeb6a3703a6ad59e95"/>
            <w:lock w:val="sdtLocked"/>
            <w:richText/>
          </w:sdtPr>
          <w:sdtContent>
            <w:p>
              <w:pPr>
                <w:widowControl w:val="0"/>
                <w:suppressAutoHyphens/>
                <w:ind w:firstLine="567"/>
                <w:jc w:val="both"/>
                <w:rPr>
                  <w:color w:val="000000"/>
                </w:rPr>
              </w:pPr>
              <w:sdt>
                <w:sdtPr>
                  <w:alias w:val="Numeris"/>
                  <w:tag w:val="nr_cbd84fc9a3da42aeb6a3703a6ad59e95"/>
                  <w:lock w:val="sdtLocked"/>
                  <w:richText/>
                </w:sdtPr>
                <w:sdtContent>
                  <w:r>
                    <w:rPr>
                      <w:color w:val="000000"/>
                    </w:rPr>
                    <w:t>1</w:t>
                  </w:r>
                </w:sdtContent>
              </w:sdt>
              <w:r>
                <w:rPr>
                  <w:color w:val="000000"/>
                </w:rPr>
                <w:t>. T v i r t i n u Objekto atitikties priešgaisrinę saugą reglamentuojantiems teisės aktams deklaravimo tvarkos aprašą (pridedama).</w:t>
              </w:r>
            </w:p>
          </w:sdtContent>
        </w:sdt>
        <w:sdt>
          <w:sdtPr>
            <w:alias w:val="2 p."/>
            <w:tag w:val="part_8d61cfa6e7e1481b8117829b0aeec4a7"/>
            <w:lock w:val="sdtLocked"/>
            <w:richText/>
          </w:sdtPr>
          <w:sdtContent>
            <w:p>
              <w:pPr>
                <w:widowControl w:val="0"/>
                <w:suppressAutoHyphens/>
                <w:ind w:firstLine="567"/>
                <w:jc w:val="both"/>
                <w:rPr>
                  <w:caps/>
                  <w:color w:val="000000"/>
                </w:rPr>
              </w:pPr>
              <w:sdt>
                <w:sdtPr>
                  <w:alias w:val="Numeris"/>
                  <w:tag w:val="nr_8d61cfa6e7e1481b8117829b0aeec4a7"/>
                  <w:lock w:val="sdtLocked"/>
                  <w:richText/>
                </w:sdtPr>
                <w:sdtContent>
                  <w:r>
                    <w:rPr>
                      <w:color w:val="000000"/>
                    </w:rPr>
                    <w:t>2</w:t>
                  </w:r>
                </w:sdtContent>
              </w:sdt>
              <w:r>
                <w:rPr>
                  <w:color w:val="000000"/>
                </w:rPr>
                <w:t>. N u s t a t a u, kad įsakymas įsigalioja 2010 m. kovo 1 d.</w:t>
              </w:r>
            </w:p>
          </w:sdtContent>
        </w:sdt>
        <w:sdt>
          <w:sdtPr>
            <w:alias w:val="signatura"/>
            <w:tag w:val="part_6c8d96cc767041228d92e56ebc89b3be"/>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aps/>
                  <w:color w:val="000000"/>
                </w:rPr>
              </w:pPr>
              <w:r>
                <w:rPr>
                  <w:caps/>
                  <w:color w:val="000000"/>
                </w:rPr>
                <w:t>Direktorius</w:t>
              </w:r>
            </w:p>
            <w:p>
              <w:pPr>
                <w:widowControl w:val="0"/>
                <w:tabs>
                  <w:tab w:val="right" w:pos="9071"/>
                </w:tabs>
                <w:suppressAutoHyphens/>
                <w:rPr>
                  <w:color w:val="000000"/>
                </w:rPr>
              </w:pPr>
              <w:r>
                <w:rPr>
                  <w:caps/>
                  <w:color w:val="000000"/>
                </w:rPr>
                <w:t>vidaus tarnybos generolas</w:t>
                <w:tab/>
                <w:t>Remigijus Baniulis</w:t>
              </w:r>
            </w:p>
          </w:sdtContent>
        </w:sdt>
      </w:sdtContent>
    </w:sdt>
    <w:sdt>
      <w:sdtPr>
        <w:alias w:val="patvirtinta"/>
        <w:tag w:val="part_413dc9d9efb644a0952985513e7246b2"/>
        <w:lock w:val="sdtLocked"/>
        <w:richText/>
      </w:sdtPr>
      <w:sdtContent>
        <w:p>
          <w:pPr>
            <w:widowControl w:val="0"/>
            <w:suppressAutoHyphens/>
            <w:ind w:left="4535"/>
            <w:rPr>
              <w:color w:val="000000"/>
            </w:rPr>
            <w:sectPr>
              <w:headerReference w:type="even" r:id="rId14"/>
              <w:headerReference w:type="default" r:id="rId15"/>
              <w:footerReference w:type="even" r:id="rId16"/>
              <w:footerReference w:type="default" r:id="rId17"/>
              <w:headerReference w:type="first" r:id="rId18"/>
              <w:footerReference w:type="first" r:id="rId19"/>
              <w:pgSz w:w="11907" w:h="16840" w:code="9"/>
              <w:pgMar w:top="1701" w:right="567" w:bottom="1134" w:left="1701" w:header="709" w:footer="709" w:gutter="0"/>
              <w:pgNumType w:start="1"/>
              <w:cols w:space="708"/>
              <w:titlePg/>
              <w:docGrid w:linePitch="326"/>
            </w:sectPr>
          </w:pPr>
        </w:p>
        <w:p>
          <w:pPr>
            <w:widowControl w:val="0"/>
            <w:suppressAutoHyphens/>
            <w:ind w:left="4535"/>
            <w:rPr>
              <w:color w:val="000000"/>
            </w:rPr>
          </w:pPr>
          <w:r>
            <w:rPr>
              <w:color w:val="000000"/>
            </w:rPr>
            <w:t>PATVIRTINTA</w:t>
          </w:r>
        </w:p>
        <w:p>
          <w:pPr>
            <w:widowControl w:val="0"/>
            <w:suppressAutoHyphens/>
            <w:ind w:left="4535"/>
            <w:rPr>
              <w:color w:val="000000"/>
            </w:rPr>
          </w:pPr>
          <w:r>
            <w:rPr>
              <w:color w:val="000000"/>
            </w:rPr>
            <w:t xml:space="preserve">Priešgaisrinės apsaugos ir gelbėjimo </w:t>
          </w:r>
        </w:p>
        <w:p>
          <w:pPr>
            <w:widowControl w:val="0"/>
            <w:suppressAutoHyphens/>
            <w:ind w:left="4535"/>
            <w:rPr>
              <w:color w:val="000000"/>
            </w:rPr>
          </w:pPr>
          <w:r>
            <w:rPr>
              <w:color w:val="000000"/>
            </w:rPr>
            <w:t xml:space="preserve">departamento prie Vidaus reikalų </w:t>
          </w:r>
        </w:p>
        <w:p>
          <w:pPr>
            <w:widowControl w:val="0"/>
            <w:suppressAutoHyphens/>
            <w:ind w:left="4535"/>
            <w:rPr>
              <w:color w:val="000000"/>
            </w:rPr>
          </w:pPr>
          <w:r>
            <w:rPr>
              <w:color w:val="000000"/>
            </w:rPr>
            <w:t xml:space="preserve">ministerijos direktoriaus </w:t>
          </w:r>
        </w:p>
        <w:p>
          <w:pPr>
            <w:widowControl w:val="0"/>
            <w:suppressAutoHyphens/>
            <w:ind w:left="4535"/>
            <w:rPr>
              <w:color w:val="000000"/>
            </w:rPr>
          </w:pPr>
          <w:r>
            <w:rPr>
              <w:color w:val="000000"/>
            </w:rPr>
            <w:t>2010 m. vasario 22 d. įsakymu Nr. 1-62</w:t>
          </w:r>
        </w:p>
        <w:p>
          <w:pPr>
            <w:widowControl w:val="0"/>
            <w:suppressAutoHyphens/>
            <w:ind w:firstLine="567"/>
            <w:jc w:val="both"/>
            <w:rPr>
              <w:color w:val="000000"/>
            </w:rPr>
          </w:pPr>
        </w:p>
        <w:p>
          <w:pPr>
            <w:widowControl w:val="0"/>
            <w:suppressAutoHyphens/>
            <w:jc w:val="center"/>
            <w:rPr>
              <w:b/>
              <w:bCs/>
              <w:caps/>
              <w:color w:val="000000"/>
            </w:rPr>
          </w:pPr>
          <w:sdt>
            <w:sdtPr>
              <w:alias w:val="Pavadinimas"/>
              <w:tag w:val="title_413dc9d9efb644a0952985513e7246b2"/>
              <w:lock w:val="sdtLocked"/>
              <w:richText/>
            </w:sdtPr>
            <w:sdtContent>
              <w:r>
                <w:rPr>
                  <w:b/>
                  <w:bCs/>
                  <w:caps/>
                  <w:color w:val="000000"/>
                </w:rPr>
                <w:t>OBJEKTO ATITIKTIES GAISRINĘ SAUGĄ REGLAMENTUOJANTIEMS TEISĖS AKTAMS DEKLARAVIMO TVARKOS APRAŠAS</w:t>
              </w:r>
            </w:sdtContent>
          </w:sdt>
        </w:p>
        <w:p>
          <w:pPr>
            <w:widowControl w:val="0"/>
            <w:suppressAutoHyphens/>
            <w:jc w:val="center"/>
            <w:rPr>
              <w:b/>
              <w:bCs/>
              <w:caps/>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
          <w:sdtPr>
            <w:alias w:val="skyrius"/>
            <w:tag w:val="part_9acd75749c4046b4a5cd11862031a6bd"/>
            <w:lock w:val="sdtLocked"/>
            <w:richText/>
          </w:sdtPr>
          <w:sdtContent>
            <w:p>
              <w:pPr>
                <w:widowControl w:val="0"/>
                <w:suppressAutoHyphens/>
                <w:jc w:val="center"/>
                <w:rPr>
                  <w:b/>
                  <w:bCs/>
                  <w:caps/>
                  <w:color w:val="000000"/>
                </w:rPr>
              </w:pPr>
              <w:sdt>
                <w:sdtPr>
                  <w:alias w:val="Numeris"/>
                  <w:tag w:val="nr_9acd75749c4046b4a5cd11862031a6bd"/>
                  <w:lock w:val="sdtLocked"/>
                  <w:richText/>
                </w:sdtPr>
                <w:sdtContent>
                  <w:r>
                    <w:rPr>
                      <w:b/>
                      <w:bCs/>
                      <w:caps/>
                      <w:color w:val="000000"/>
                    </w:rPr>
                    <w:t>I</w:t>
                  </w:r>
                </w:sdtContent>
              </w:sdt>
              <w:r>
                <w:rPr>
                  <w:b/>
                  <w:bCs/>
                  <w:caps/>
                  <w:color w:val="000000"/>
                </w:rPr>
                <w:t xml:space="preserve">. </w:t>
              </w:r>
              <w:sdt>
                <w:sdtPr>
                  <w:alias w:val="Pavadinimas"/>
                  <w:tag w:val="title_9acd75749c4046b4a5cd11862031a6bd"/>
                  <w:lock w:val="sdtLocked"/>
                  <w:richText/>
                </w:sdtPr>
                <w:sdtContent>
                  <w:r>
                    <w:rPr>
                      <w:b/>
                      <w:bCs/>
                      <w:caps/>
                      <w:color w:val="000000"/>
                    </w:rPr>
                    <w:t>BENDROSIOS NUOSTATOS</w:t>
                  </w:r>
                </w:sdtContent>
              </w:sdt>
            </w:p>
            <w:p>
              <w:pPr>
                <w:widowControl w:val="0"/>
                <w:suppressAutoHyphens/>
                <w:ind w:firstLine="567"/>
                <w:jc w:val="both"/>
                <w:rPr>
                  <w:color w:val="000000"/>
                </w:rPr>
              </w:pPr>
            </w:p>
            <w:sdt>
              <w:sdtPr>
                <w:alias w:val="1 p."/>
                <w:tag w:val="part_321be92596ac4605a96ada1021b92391"/>
                <w:lock w:val="sdtLocked"/>
                <w:richText/>
              </w:sdtPr>
              <w:sdtContent>
                <w:p>
                  <w:pPr>
                    <w:widowControl w:val="0"/>
                    <w:suppressAutoHyphens/>
                    <w:ind w:firstLine="567"/>
                    <w:jc w:val="both"/>
                    <w:rPr>
                      <w:color w:val="000000"/>
                    </w:rPr>
                  </w:pPr>
                  <w:sdt>
                    <w:sdtPr>
                      <w:alias w:val="Numeris"/>
                      <w:tag w:val="nr_321be92596ac4605a96ada1021b92391"/>
                      <w:lock w:val="sdtLocked"/>
                      <w:richText/>
                    </w:sdtPr>
                    <w:sdtContent>
                      <w:r>
                        <w:rPr>
                          <w:color w:val="000000"/>
                        </w:rPr>
                        <w:t>1</w:t>
                      </w:r>
                    </w:sdtContent>
                  </w:sdt>
                  <w:r>
                    <w:rPr>
                      <w:color w:val="000000"/>
                    </w:rPr>
                    <w:t>. Objekto atitikties gaisrinę saugą reglamentuojantiems teisės aktams deklaravimo tvarkos aprašas (toliau – Aprašas) nustato objekto atitikties gaisrinę saugą reglamentuojantiems teisės aktams deklaracijų (toliau – Deklaracija) pildymo, teikimo ir vertinimo tvarką.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
              <w:sdtPr>
                <w:alias w:val="2 p."/>
                <w:tag w:val="part_52b601dd317345e889d31c15b14d7713"/>
                <w:lock w:val="sdtLocked"/>
                <w:richText/>
              </w:sdtPr>
              <w:sdtContent>
                <w:p>
                  <w:pPr>
                    <w:widowControl w:val="0"/>
                    <w:suppressAutoHyphens/>
                    <w:ind w:firstLine="567"/>
                    <w:jc w:val="both"/>
                    <w:rPr>
                      <w:color w:val="000000"/>
                    </w:rPr>
                  </w:pPr>
                  <w:sdt>
                    <w:sdtPr>
                      <w:alias w:val="Numeris"/>
                      <w:tag w:val="nr_52b601dd317345e889d31c15b14d7713"/>
                      <w:lock w:val="sdtLocked"/>
                      <w:richText/>
                    </w:sdtPr>
                    <w:sdtContent>
                      <w:r>
                        <w:rPr>
                          <w:color w:val="000000"/>
                        </w:rPr>
                        <w:t>2</w:t>
                      </w:r>
                    </w:sdtContent>
                  </w:sdt>
                  <w:r>
                    <w:rPr>
                      <w:color w:val="000000"/>
                    </w:rPr>
                    <w:t>. Deklaracija – šio Aprašo priede pateiktas nustatytos formos dokumentas, kuriame įmonė, įstaiga, organizacija nurodo savo eksploatuojamų objektų atitiktį gaisrinę saugą reglamentuojančių teisės aktų reikalavimams.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
              <w:sdtPr>
                <w:alias w:val="3 p."/>
                <w:tag w:val="part_3477c836209c433e812e117d307e05b9"/>
                <w:lock w:val="sdtLocked"/>
                <w:richText/>
              </w:sdtPr>
              <w:sdtContent>
                <w:p>
                  <w:pPr>
                    <w:widowControl w:val="0"/>
                    <w:suppressAutoHyphens/>
                    <w:ind w:firstLine="567"/>
                    <w:jc w:val="both"/>
                    <w:rPr>
                      <w:color w:val="000000"/>
                    </w:rPr>
                  </w:pPr>
                  <w:sdt>
                    <w:sdtPr>
                      <w:alias w:val="Numeris"/>
                      <w:tag w:val="nr_3477c836209c433e812e117d307e05b9"/>
                      <w:lock w:val="sdtLocked"/>
                      <w:richText/>
                    </w:sdtPr>
                    <w:sdtContent>
                      <w:r>
                        <w:rPr>
                          <w:color w:val="000000"/>
                        </w:rPr>
                        <w:t>3</w:t>
                      </w:r>
                    </w:sdtContent>
                  </w:sdt>
                  <w:r>
                    <w:rPr>
                      <w:color w:val="000000"/>
                    </w:rPr>
                    <w:t>. Objektų atitiktį gaisrinę saugą reglamentuojantiems teisės aktams deklaruoja įmonės, įstaigos, organizacijos (toliau – deklaruojančioji įmonė), kurios eksploatuoja Priešgaisrinės apsaugos ir gelbėjimo departamento prie Vidaus reikalų ministerijos (toliau – PAGD) nustatyta tvarka I–III grupėms priskiriamus objektus, išskyrus:</w:t>
                  </w:r>
                </w:p>
                <w:sdt>
                  <w:sdtPr>
                    <w:alias w:val="3.1 p."/>
                    <w:tag w:val="part_ce5baca004284c72baef87761dd8312c"/>
                    <w:lock w:val="sdtLocked"/>
                    <w:richText/>
                  </w:sdtPr>
                  <w:sdtContent>
                    <w:p>
                      <w:pPr>
                        <w:widowControl w:val="0"/>
                        <w:suppressAutoHyphens/>
                        <w:ind w:firstLine="567"/>
                        <w:jc w:val="both"/>
                        <w:rPr>
                          <w:color w:val="000000"/>
                        </w:rPr>
                      </w:pPr>
                      <w:sdt>
                        <w:sdtPr>
                          <w:alias w:val="Numeris"/>
                          <w:tag w:val="nr_ce5baca004284c72baef87761dd8312c"/>
                          <w:lock w:val="sdtLocked"/>
                          <w:richText/>
                        </w:sdtPr>
                        <w:sdtContent>
                          <w:r>
                            <w:rPr>
                              <w:color w:val="000000"/>
                            </w:rPr>
                            <w:t>3.1</w:t>
                          </w:r>
                        </w:sdtContent>
                      </w:sdt>
                      <w:r>
                        <w:rPr>
                          <w:color w:val="000000"/>
                        </w:rPr>
                        <w:t xml:space="preserve">. objektus, kurie pagal Pramoninių avarijų prevencijos, likvidavimo ir tyrimo nuostatus, patvirtintus Lietuvos Respublikos Vyriausybės 2004 m. rugpjūčio 17 d. nutarimu Nr. 966 (Žin., 2004, Nr. </w:t>
                      </w:r>
                      <w:hyperlink r:id="rId20" w:tgtFrame="_blank" w:history="1">
                        <w:r>
                          <w:rPr>
                            <w:color w:val="0000FF" w:themeColor="hyperlink"/>
                            <w:u w:val="single"/>
                          </w:rPr>
                          <w:t>130-4649</w:t>
                        </w:r>
                      </w:hyperlink>
                      <w:r>
                        <w:rPr>
                          <w:color w:val="000000"/>
                        </w:rPr>
                        <w:t xml:space="preserve">; 2008, Nr. </w:t>
                      </w:r>
                      <w:hyperlink r:id="rId21" w:tgtFrame="_blank" w:history="1">
                        <w:r>
                          <w:rPr>
                            <w:color w:val="0000FF" w:themeColor="hyperlink"/>
                            <w:u w:val="single"/>
                          </w:rPr>
                          <w:t>109-4159</w:t>
                        </w:r>
                      </w:hyperlink>
                      <w:r>
                        <w:rPr>
                          <w:color w:val="000000"/>
                        </w:rPr>
                        <w:t>), priskiriami pavojingiesiems objektams;</w:t>
                      </w:r>
                    </w:p>
                  </w:sdtContent>
                </w:sdt>
                <w:sdt>
                  <w:sdtPr>
                    <w:alias w:val="3.2 p."/>
                    <w:tag w:val="part_0f0052099aa842e6af27e705a32d7fba"/>
                    <w:lock w:val="sdtLocked"/>
                    <w:richText/>
                  </w:sdtPr>
                  <w:sdtContent>
                    <w:p>
                      <w:pPr>
                        <w:widowControl w:val="0"/>
                        <w:suppressAutoHyphens/>
                        <w:ind w:firstLine="567"/>
                        <w:jc w:val="both"/>
                        <w:rPr>
                          <w:color w:val="000000"/>
                        </w:rPr>
                      </w:pPr>
                      <w:sdt>
                        <w:sdtPr>
                          <w:alias w:val="Numeris"/>
                          <w:tag w:val="nr_0f0052099aa842e6af27e705a32d7fba"/>
                          <w:lock w:val="sdtLocked"/>
                          <w:richText/>
                        </w:sdtPr>
                        <w:sdtContent>
                          <w:r>
                            <w:rPr>
                              <w:color w:val="000000"/>
                            </w:rPr>
                            <w:t>3.2</w:t>
                          </w:r>
                        </w:sdtContent>
                      </w:sdt>
                      <w:r>
                        <w:rPr>
                          <w:color w:val="000000"/>
                        </w:rPr>
                        <w:t xml:space="preserve">. objektus, kurie atitinka Gaisro atžvilgiu pavojingų objektų, kurių savininkui (valdytojui) atsiranda pareiga steigti priešgaisrinius gelbėjimo padalinius (žinybines priešgaisrines pajėgas), kriterijus, patvirtintus Lietuvos Respublikos Vyriausybės 2003 m. birželio 19 d. nutarimu Nr. 794 (Žin., 2003, Nr. </w:t>
                      </w:r>
                      <w:hyperlink r:id="rId22" w:tgtFrame="_blank" w:history="1">
                        <w:r>
                          <w:rPr>
                            <w:color w:val="0000FF" w:themeColor="hyperlink"/>
                            <w:u w:val="single"/>
                          </w:rPr>
                          <w:t>60-2726</w:t>
                        </w:r>
                      </w:hyperlink>
                      <w:r>
                        <w:rPr>
                          <w:color w:val="000000"/>
                        </w:rPr>
                        <w:t>).</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
              <w:sdtPr>
                <w:alias w:val="4 p."/>
                <w:tag w:val="part_2cad0da4e37c4826aa828957f0ebc94a"/>
                <w:lock w:val="sdtLocked"/>
                <w:richText/>
              </w:sdtPr>
              <w:sdtContent>
                <w:p>
                  <w:pPr>
                    <w:widowControl w:val="0"/>
                    <w:suppressAutoHyphens/>
                    <w:ind w:firstLine="567"/>
                    <w:jc w:val="both"/>
                    <w:rPr>
                      <w:color w:val="000000"/>
                    </w:rPr>
                  </w:pPr>
                  <w:sdt>
                    <w:sdtPr>
                      <w:alias w:val="Numeris"/>
                      <w:tag w:val="nr_2cad0da4e37c4826aa828957f0ebc94a"/>
                      <w:lock w:val="sdtLocked"/>
                      <w:richText/>
                    </w:sdtPr>
                    <w:sdtContent>
                      <w:r>
                        <w:rPr>
                          <w:color w:val="000000"/>
                        </w:rPr>
                        <w:t>4</w:t>
                      </w:r>
                    </w:sdtContent>
                  </w:sdt>
                  <w:r>
                    <w:rPr>
                      <w:color w:val="000000"/>
                    </w:rPr>
                    <w:t>. Deklaracijų neteikiančių įmonių objektai tikrinami PAGD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Content>
        </w:sdt>
        <w:sdt>
          <w:sdtPr>
            <w:alias w:val="skyrius"/>
            <w:tag w:val="part_4c09ee9af2134622bc2dc08db698e340"/>
            <w:lock w:val="sdtLocked"/>
            <w:richText/>
          </w:sdtPr>
          <w:sdtContent>
            <w:p>
              <w:pPr>
                <w:widowControl w:val="0"/>
                <w:suppressAutoHyphens/>
                <w:jc w:val="center"/>
                <w:rPr>
                  <w:b/>
                  <w:bCs/>
                  <w:caps/>
                  <w:color w:val="000000"/>
                </w:rPr>
              </w:pPr>
              <w:sdt>
                <w:sdtPr>
                  <w:alias w:val="Numeris"/>
                  <w:tag w:val="nr_4c09ee9af2134622bc2dc08db698e340"/>
                  <w:lock w:val="sdtLocked"/>
                  <w:richText/>
                </w:sdtPr>
                <w:sdtContent>
                  <w:r>
                    <w:rPr>
                      <w:b/>
                      <w:bCs/>
                      <w:caps/>
                      <w:color w:val="000000"/>
                    </w:rPr>
                    <w:t>II</w:t>
                  </w:r>
                </w:sdtContent>
              </w:sdt>
              <w:r>
                <w:rPr>
                  <w:b/>
                  <w:bCs/>
                  <w:caps/>
                  <w:color w:val="000000"/>
                </w:rPr>
                <w:t xml:space="preserve">. </w:t>
              </w:r>
              <w:sdt>
                <w:sdtPr>
                  <w:alias w:val="Pavadinimas"/>
                  <w:tag w:val="title_4c09ee9af2134622bc2dc08db698e340"/>
                  <w:lock w:val="sdtLocked"/>
                  <w:richText/>
                </w:sdtPr>
                <w:sdtContent>
                  <w:r>
                    <w:rPr>
                      <w:b/>
                      <w:bCs/>
                      <w:caps/>
                      <w:color w:val="000000"/>
                    </w:rPr>
                    <w:t>DEKLARACIJOS PILDYMAS</w:t>
                  </w:r>
                </w:sdtContent>
              </w:sdt>
            </w:p>
            <w:p>
              <w:pPr>
                <w:widowControl w:val="0"/>
                <w:suppressAutoHyphens/>
                <w:ind w:firstLine="567"/>
                <w:jc w:val="both"/>
                <w:rPr>
                  <w:color w:val="000000"/>
                </w:rPr>
              </w:pPr>
            </w:p>
            <w:sdt>
              <w:sdtPr>
                <w:alias w:val="5 p."/>
                <w:tag w:val="part_1398ccf89df74a5b9b339ff109f862a6"/>
                <w:lock w:val="sdtLocked"/>
                <w:richText/>
              </w:sdtPr>
              <w:sdtContent>
                <w:p>
                  <w:pPr>
                    <w:widowControl w:val="0"/>
                    <w:suppressAutoHyphens/>
                    <w:ind w:firstLine="567"/>
                    <w:jc w:val="both"/>
                    <w:rPr>
                      <w:color w:val="000000"/>
                    </w:rPr>
                  </w:pPr>
                  <w:sdt>
                    <w:sdtPr>
                      <w:alias w:val="Numeris"/>
                      <w:tag w:val="nr_1398ccf89df74a5b9b339ff109f862a6"/>
                      <w:lock w:val="sdtLocked"/>
                      <w:richText/>
                    </w:sdtPr>
                    <w:sdtContent>
                      <w:r>
                        <w:rPr>
                          <w:color w:val="000000"/>
                        </w:rPr>
                        <w:t>5</w:t>
                      </w:r>
                    </w:sdtContent>
                  </w:sdt>
                  <w:r>
                    <w:rPr>
                      <w:color w:val="000000"/>
                    </w:rPr>
                    <w:t>. Deklaruojančiosios įmonės savininkas, teisėtas valdytojas, vadovas arba jų įgaliotas asmuo (toliau – vadovas) užpildo visus Deklaracijos laukus. Šalia Deklaracijos 5 dalyje nurodytų klausimų esančiuose laukuose įrašoma žyma „Įvykdyta“ („Vykdoma“), jeigu atitinkamas reikalavimas objekte įvykdytas (vykdomas), arba žyma „Netaikoma“, jeigu atitinkamas reikalavimas objektui netaikomas.</w:t>
                  </w:r>
                </w:p>
              </w:sdtContent>
            </w:sdt>
            <w:sdt>
              <w:sdtPr>
                <w:alias w:val="6 p."/>
                <w:tag w:val="part_90b32105ad774f21ac991140f3bd6df6"/>
                <w:lock w:val="sdtLocked"/>
                <w:richText/>
              </w:sdtPr>
              <w:sdtContent>
                <w:p>
                  <w:pPr>
                    <w:widowControl w:val="0"/>
                    <w:suppressAutoHyphens/>
                    <w:ind w:firstLine="567"/>
                    <w:jc w:val="both"/>
                    <w:rPr>
                      <w:color w:val="000000"/>
                    </w:rPr>
                  </w:pPr>
                  <w:sdt>
                    <w:sdtPr>
                      <w:alias w:val="Numeris"/>
                      <w:tag w:val="nr_90b32105ad774f21ac991140f3bd6df6"/>
                      <w:lock w:val="sdtLocked"/>
                      <w:richText/>
                    </w:sdtPr>
                    <w:sdtContent>
                      <w:r>
                        <w:rPr>
                          <w:color w:val="000000"/>
                        </w:rPr>
                        <w:t>6</w:t>
                      </w:r>
                    </w:sdtContent>
                  </w:sdt>
                  <w:r>
                    <w:rPr>
                      <w:color w:val="000000"/>
                    </w:rPr>
                    <w:t>. Kai reikalavimai, nurodyti Deklaracijos 5 dalyje, neįvykdyti (nevykdomi), Deklaracija nepildoma.</w:t>
                  </w:r>
                </w:p>
              </w:sdtContent>
            </w:sdt>
            <w:sdt>
              <w:sdtPr>
                <w:alias w:val="7 p."/>
                <w:tag w:val="part_dfc2af986e264e2fb6177b17e153549f"/>
                <w:lock w:val="sdtLocked"/>
                <w:richText/>
              </w:sdtPr>
              <w:sdtContent>
                <w:p>
                  <w:pPr>
                    <w:widowControl w:val="0"/>
                    <w:suppressAutoHyphens/>
                    <w:ind w:firstLine="567"/>
                    <w:jc w:val="both"/>
                    <w:rPr>
                      <w:color w:val="000000"/>
                    </w:rPr>
                  </w:pPr>
                  <w:sdt>
                    <w:sdtPr>
                      <w:alias w:val="Numeris"/>
                      <w:tag w:val="nr_dfc2af986e264e2fb6177b17e153549f"/>
                      <w:lock w:val="sdtLocked"/>
                      <w:richText/>
                    </w:sdtPr>
                    <w:sdtContent>
                      <w:r>
                        <w:rPr>
                          <w:color w:val="000000"/>
                        </w:rPr>
                        <w:t>7</w:t>
                      </w:r>
                    </w:sdtContent>
                  </w:sdt>
                  <w:r>
                    <w:rPr>
                      <w:color w:val="000000"/>
                    </w:rPr>
                    <w:t>. Deklaracija turi būti tikslinama (ne vėliau kaip per mėnesį):</w:t>
                  </w:r>
                </w:p>
                <w:sdt>
                  <w:sdtPr>
                    <w:alias w:val="7.1 p."/>
                    <w:tag w:val="part_05dfa0ccd6ea41f99a7b625eeb60c829"/>
                    <w:lock w:val="sdtLocked"/>
                    <w:richText/>
                  </w:sdtPr>
                  <w:sdtContent>
                    <w:p>
                      <w:pPr>
                        <w:widowControl w:val="0"/>
                        <w:suppressAutoHyphens/>
                        <w:ind w:firstLine="567"/>
                        <w:jc w:val="both"/>
                        <w:rPr>
                          <w:color w:val="000000"/>
                        </w:rPr>
                      </w:pPr>
                      <w:sdt>
                        <w:sdtPr>
                          <w:alias w:val="Numeris"/>
                          <w:tag w:val="nr_05dfa0ccd6ea41f99a7b625eeb60c829"/>
                          <w:lock w:val="sdtLocked"/>
                          <w:richText/>
                        </w:sdtPr>
                        <w:sdtContent>
                          <w:r>
                            <w:rPr>
                              <w:color w:val="000000"/>
                            </w:rPr>
                            <w:t>7.1</w:t>
                          </w:r>
                        </w:sdtContent>
                      </w:sdt>
                      <w:r>
                        <w:rPr>
                          <w:color w:val="000000"/>
                        </w:rPr>
                        <w:t>. pasikeitus objekto naudojimo paskirčiai, jame vykdomiems technologiniams procesams;</w:t>
                      </w:r>
                    </w:p>
                  </w:sdtContent>
                </w:sdt>
                <w:sdt>
                  <w:sdtPr>
                    <w:alias w:val="7.2 p."/>
                    <w:tag w:val="part_b27e3a77ec6243febfe24fba8ccec215"/>
                    <w:lock w:val="sdtLocked"/>
                    <w:richText/>
                  </w:sdtPr>
                  <w:sdtContent>
                    <w:p>
                      <w:pPr>
                        <w:widowControl w:val="0"/>
                        <w:suppressAutoHyphens/>
                        <w:ind w:firstLine="567"/>
                        <w:jc w:val="both"/>
                        <w:rPr>
                          <w:color w:val="000000"/>
                        </w:rPr>
                      </w:pPr>
                      <w:sdt>
                        <w:sdtPr>
                          <w:alias w:val="Numeris"/>
                          <w:tag w:val="nr_b27e3a77ec6243febfe24fba8ccec215"/>
                          <w:lock w:val="sdtLocked"/>
                          <w:richText/>
                        </w:sdtPr>
                        <w:sdtContent>
                          <w:r>
                            <w:rPr>
                              <w:color w:val="000000"/>
                            </w:rPr>
                            <w:t>7.2</w:t>
                          </w:r>
                        </w:sdtContent>
                      </w:sdt>
                      <w:r>
                        <w:rPr>
                          <w:color w:val="000000"/>
                        </w:rPr>
                        <w:t>. pasikeitus pateiktos Deklaracijos 5 dalyje nurodytiems objekto gaisrinės būklės vertinimo rezultatams;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
                  <w:sdtPr>
                    <w:alias w:val="7.3 p."/>
                    <w:tag w:val="part_861ebe7b9d714726855071b1fd86ee07"/>
                    <w:lock w:val="sdtLocked"/>
                    <w:richText/>
                  </w:sdtPr>
                  <w:sdtContent>
                    <w:p>
                      <w:pPr>
                        <w:widowControl w:val="0"/>
                        <w:suppressAutoHyphens/>
                        <w:ind w:firstLine="567"/>
                        <w:jc w:val="both"/>
                        <w:rPr>
                          <w:color w:val="000000"/>
                        </w:rPr>
                      </w:pPr>
                      <w:sdt>
                        <w:sdtPr>
                          <w:alias w:val="Numeris"/>
                          <w:tag w:val="nr_861ebe7b9d714726855071b1fd86ee07"/>
                          <w:lock w:val="sdtLocked"/>
                          <w:richText/>
                        </w:sdtPr>
                        <w:sdtContent>
                          <w:r>
                            <w:rPr>
                              <w:color w:val="000000"/>
                            </w:rPr>
                            <w:t>7.3</w:t>
                          </w:r>
                        </w:sdtContent>
                      </w:sdt>
                      <w:r>
                        <w:rPr>
                          <w:color w:val="000000"/>
                        </w:rPr>
                        <w:t>. pasikeitus deklaruojančiosios įmonės vadovui.</w:t>
                      </w:r>
                    </w:p>
                    <w:p>
                      <w:pPr>
                        <w:widowControl w:val="0"/>
                        <w:suppressAutoHyphens/>
                        <w:ind w:firstLine="567"/>
                        <w:jc w:val="both"/>
                        <w:rPr>
                          <w:color w:val="000000"/>
                        </w:rPr>
                      </w:pPr>
                    </w:p>
                  </w:sdtContent>
                </w:sdt>
              </w:sdtContent>
            </w:sdt>
          </w:sdtContent>
        </w:sdt>
        <w:sdt>
          <w:sdtPr>
            <w:alias w:val="skyrius"/>
            <w:tag w:val="part_4ffde1ff8ee14e569cba29dfdc1184dd"/>
            <w:lock w:val="sdtLocked"/>
            <w:richText/>
          </w:sdtPr>
          <w:sdtContent>
            <w:p>
              <w:pPr>
                <w:widowControl w:val="0"/>
                <w:suppressAutoHyphens/>
                <w:jc w:val="center"/>
                <w:rPr>
                  <w:b/>
                  <w:bCs/>
                  <w:caps/>
                  <w:color w:val="000000"/>
                </w:rPr>
              </w:pPr>
              <w:sdt>
                <w:sdtPr>
                  <w:alias w:val="Numeris"/>
                  <w:tag w:val="nr_4ffde1ff8ee14e569cba29dfdc1184dd"/>
                  <w:lock w:val="sdtLocked"/>
                  <w:richText/>
                </w:sdtPr>
                <w:sdtContent>
                  <w:r>
                    <w:rPr>
                      <w:b/>
                      <w:bCs/>
                      <w:caps/>
                      <w:color w:val="000000"/>
                    </w:rPr>
                    <w:t>III</w:t>
                  </w:r>
                </w:sdtContent>
              </w:sdt>
              <w:r>
                <w:rPr>
                  <w:b/>
                  <w:bCs/>
                  <w:caps/>
                  <w:color w:val="000000"/>
                </w:rPr>
                <w:t xml:space="preserve">. </w:t>
              </w:r>
              <w:sdt>
                <w:sdtPr>
                  <w:alias w:val="Pavadinimas"/>
                  <w:tag w:val="title_4ffde1ff8ee14e569cba29dfdc1184dd"/>
                  <w:lock w:val="sdtLocked"/>
                  <w:richText/>
                </w:sdtPr>
                <w:sdtContent>
                  <w:r>
                    <w:rPr>
                      <w:b/>
                      <w:bCs/>
                      <w:caps/>
                      <w:color w:val="000000"/>
                    </w:rPr>
                    <w:t>DEKLARACIJOS PATEIKIMAS IR VERTINIMAS</w:t>
                  </w:r>
                </w:sdtContent>
              </w:sdt>
            </w:p>
            <w:p>
              <w:pPr>
                <w:widowControl w:val="0"/>
                <w:suppressAutoHyphens/>
                <w:ind w:firstLine="567"/>
                <w:jc w:val="both"/>
                <w:rPr>
                  <w:color w:val="000000"/>
                </w:rPr>
              </w:pPr>
            </w:p>
            <w:sdt>
              <w:sdtPr>
                <w:alias w:val="8 p."/>
                <w:tag w:val="part_0c35049da631493ca025a3fc7012933f"/>
                <w:lock w:val="sdtLocked"/>
                <w:richText/>
              </w:sdtPr>
              <w:sdtContent>
                <w:p>
                  <w:pPr>
                    <w:suppressAutoHyphens/>
                    <w:ind w:firstLine="567"/>
                    <w:jc w:val="both"/>
                    <w:textAlignment w:val="center"/>
                    <w:rPr>
                      <w:color w:val="000000"/>
                    </w:rPr>
                  </w:pPr>
                  <w:sdt>
                    <w:sdtPr>
                      <w:alias w:val="Numeris"/>
                      <w:tag w:val="nr_0c35049da631493ca025a3fc7012933f"/>
                      <w:lock w:val="sdtLocked"/>
                      <w:richText/>
                    </w:sdtPr>
                    <w:sdtContent>
                      <w:r>
                        <w:rPr>
                          <w:color w:val="000000"/>
                          <w:szCs w:val="24"/>
                        </w:rPr>
                        <w:t>8</w:t>
                      </w:r>
                    </w:sdtContent>
                  </w:sdt>
                  <w:r>
                    <w:rPr>
                      <w:color w:val="000000"/>
                      <w:szCs w:val="24"/>
                    </w:rPr>
                    <w:t xml:space="preserve">. </w:t>
                  </w:r>
                  <w:r>
                    <w:rPr>
                      <w:color w:val="000000"/>
                    </w:rPr>
                    <w:t xml:space="preserve">Užpildyta Deklaracija pateikiama PAGD </w:t>
                  </w:r>
                  <w:r>
                    <w:rPr>
                      <w:color w:val="000000"/>
                      <w:szCs w:val="24"/>
                    </w:rPr>
                    <w:t>priešgaisrinei gelbėjimo valdybai ar priešgaisrinei gelbėjimo tarnybai</w:t>
                  </w:r>
                  <w:r>
                    <w:rPr>
                      <w:color w:val="000000"/>
                    </w:rPr>
                    <w:t>, atliekančiai objekto valstybinę priešgaisrinę priežiūrą, deklaruojančiajai įmonei priimtinu būdu (tiesiogiai, per kurjerį, paštu, faksu, elektroniniu paštu). Tokiu pat būdu teikiamos Aprašo 7 punkte nurodytais atvejais patikslintos Deklaracijos</w:t>
                  </w:r>
                  <w:r>
                    <w:rPr>
                      <w:rFonts w:eastAsia="Calibri"/>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
              <w:sdtPr>
                <w:alias w:val="9 p."/>
                <w:tag w:val="part_04b82bffff45444c98aaad276acf2228"/>
                <w:lock w:val="sdtLocked"/>
                <w:richText/>
              </w:sdtPr>
              <w:sdtContent>
                <w:p>
                  <w:pPr>
                    <w:suppressAutoHyphens/>
                    <w:ind w:firstLine="567"/>
                    <w:jc w:val="both"/>
                    <w:textAlignment w:val="center"/>
                    <w:rPr>
                      <w:color w:val="000000"/>
                    </w:rPr>
                  </w:pPr>
                  <w:sdt>
                    <w:sdtPr>
                      <w:alias w:val="Numeris"/>
                      <w:tag w:val="nr_04b82bffff45444c98aaad276acf2228"/>
                      <w:lock w:val="sdtLocked"/>
                      <w:richText/>
                    </w:sdtPr>
                    <w:sdtContent>
                      <w:r>
                        <w:rPr>
                          <w:rFonts w:eastAsia="Calibri"/>
                          <w:szCs w:val="24"/>
                        </w:rPr>
                        <w:t>9</w:t>
                      </w:r>
                    </w:sdtContent>
                  </w:sdt>
                  <w:r>
                    <w:rPr>
                      <w:rFonts w:eastAsia="Calibri"/>
                      <w:szCs w:val="24"/>
                    </w:rPr>
                    <w:t xml:space="preserve">. </w:t>
                  </w:r>
                  <w:r>
                    <w:rPr>
                      <w:color w:val="000000"/>
                    </w:rPr>
                    <w:t xml:space="preserve">PAGD </w:t>
                  </w:r>
                  <w:r>
                    <w:rPr>
                      <w:color w:val="000000"/>
                      <w:szCs w:val="24"/>
                    </w:rPr>
                    <w:t>priešgaisrinė gelbėjimo valdyba ar priešgaisrinė gelbėjimo tarnyba</w:t>
                  </w:r>
                  <w:r>
                    <w:rPr>
                      <w:color w:val="000000"/>
                    </w:rPr>
                    <w:t xml:space="preserve">, gavusi pirminę Deklaraciją, ją peržiūri, įvertina ir per 3 mėnesius nuo Deklaracijos gavimo PAGD </w:t>
                  </w:r>
                  <w:r>
                    <w:rPr>
                      <w:color w:val="000000"/>
                      <w:szCs w:val="24"/>
                    </w:rPr>
                    <w:t>priešgaisrinėje gelbėjimo valdyboje ar priešgaisrinėje gelbėjimo tarnyboje</w:t>
                  </w:r>
                  <w:r>
                    <w:rPr>
                      <w:color w:val="000000"/>
                    </w:rPr>
                    <w:t xml:space="preserve"> atlieka Deklaracijoje nurodytos informacijos atitikties faktinėms aplinkybėms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
              <w:sdtPr>
                <w:alias w:val="10 p."/>
                <w:tag w:val="part_e9579dfd023b4086a531081d7b4207c9"/>
                <w:lock w:val="sdtLocked"/>
                <w:richText/>
              </w:sdtPr>
              <w:sdtContent>
                <w:p>
                  <w:pPr>
                    <w:suppressAutoHyphens/>
                    <w:ind w:firstLine="567"/>
                    <w:jc w:val="both"/>
                    <w:textAlignment w:val="center"/>
                  </w:pPr>
                  <w:sdt>
                    <w:sdtPr>
                      <w:alias w:val="Numeris"/>
                      <w:tag w:val="nr_e9579dfd023b4086a531081d7b4207c9"/>
                      <w:lock w:val="sdtLocked"/>
                      <w:richText/>
                    </w:sdtPr>
                    <w:sdtContent>
                      <w:r>
                        <w:rPr>
                          <w:color w:val="000000"/>
                          <w:szCs w:val="24"/>
                        </w:rPr>
                        <w:t>10</w:t>
                      </w:r>
                    </w:sdtContent>
                  </w:sdt>
                  <w:r>
                    <w:rPr>
                      <w:color w:val="000000"/>
                      <w:szCs w:val="24"/>
                    </w:rPr>
                    <w:t xml:space="preserve">. </w:t>
                  </w:r>
                  <w:r>
                    <w:rPr>
                      <w:color w:val="000000"/>
                    </w:rPr>
                    <w:t xml:space="preserve">Patikrinimo metu nenustačius Deklaracijoje nurodytos informacijos neatitikties faktinėms aplinkybėms, tai patvirtinama PAGD </w:t>
                  </w:r>
                  <w:r>
                    <w:rPr>
                      <w:color w:val="000000"/>
                      <w:szCs w:val="24"/>
                    </w:rPr>
                    <w:t>priešgaisrinėje gelbėjimo valdyboje ar priešgaisrinėje gelbėjimo tarnyboje</w:t>
                  </w:r>
                  <w:r>
                    <w:rPr>
                      <w:color w:val="000000"/>
                    </w:rPr>
                    <w:t xml:space="preserve"> pareigūno parašu Deklaracijos 9.1 dalyje</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
              <w:sdtPr>
                <w:alias w:val="11 p."/>
                <w:tag w:val="part_88f6437dbaf64894b0f851d109eb8b61"/>
                <w:lock w:val="sdtLocked"/>
                <w:richText/>
              </w:sdtPr>
              <w:sdtContent>
                <w:p>
                  <w:pPr>
                    <w:widowControl w:val="0"/>
                    <w:suppressAutoHyphens/>
                    <w:ind w:firstLine="567"/>
                    <w:jc w:val="both"/>
                    <w:rPr>
                      <w:color w:val="000000"/>
                    </w:rPr>
                  </w:pPr>
                  <w:sdt>
                    <w:sdtPr>
                      <w:alias w:val="Numeris"/>
                      <w:tag w:val="nr_88f6437dbaf64894b0f851d109eb8b61"/>
                      <w:lock w:val="sdtLocked"/>
                      <w:richText/>
                    </w:sdtPr>
                    <w:sdtContent>
                      <w:r>
                        <w:rPr>
                          <w:color w:val="000000"/>
                        </w:rPr>
                        <w:t>11</w:t>
                      </w:r>
                    </w:sdtContent>
                  </w:sdt>
                  <w:r>
                    <w:rPr>
                      <w:color w:val="000000"/>
                    </w:rPr>
                    <w:t>. Nustačius, kad gaisrinės saugos reikalavimai, pažymėti žyma „Įvykdyta“ („Vykdoma“), faktiškai neįvykdyti (nevykdomi), Deklaracijos 9.2 dalyje nurodomi neįvykdyti (nevykdomi) gaisrinės saugos reikalavimai ir jų įvykdymo terminai (ne ilgesni kaip 4 mėn.), o deklaruojančiosios įmonės vadovui taikomos įstatymų numatytos poveikio priemonės.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
              <w:sdtPr>
                <w:alias w:val="12 p."/>
                <w:tag w:val="part_4261316f76fb4b31825637a2143a1123"/>
                <w:lock w:val="sdtLocked"/>
                <w:richText/>
              </w:sdtPr>
              <w:sdtContent>
                <w:p>
                  <w:pPr>
                    <w:widowControl w:val="0"/>
                    <w:suppressAutoHyphens/>
                    <w:ind w:firstLine="567"/>
                    <w:jc w:val="both"/>
                    <w:rPr>
                      <w:color w:val="000000"/>
                    </w:rPr>
                  </w:pPr>
                  <w:sdt>
                    <w:sdtPr>
                      <w:alias w:val="Numeris"/>
                      <w:tag w:val="nr_4261316f76fb4b31825637a2143a1123"/>
                      <w:lock w:val="sdtLocked"/>
                      <w:richText/>
                    </w:sdtPr>
                    <w:sdtContent>
                      <w:r>
                        <w:rPr>
                          <w:color w:val="000000"/>
                        </w:rPr>
                        <w:t>12</w:t>
                      </w:r>
                    </w:sdtContent>
                  </w:sdt>
                  <w:r>
                    <w:rPr>
                      <w:color w:val="000000"/>
                    </w:rPr>
                    <w:t>. Už gaisrinės saugos reikalavimų pažeidimus, nustatytus pirmą kartą pateiktos Deklaracijos atitikties faktinėms aplinkybėms patikrinimo metu, deklaruojančiosios įmonės vadovui įstatymų numatytos poveikio priemonės netaikomos (išskyrus pažeidimus, dėl kurių gali kilti gaisras, sprogimas ir neužtikrinama objekte, kuriame nustatyta pažeidimų, ir aplinkiniuose objektuose esančių žmonių sauga), o suteikiama konsultacija Deklaracijų pildymo bei kitais gaisrinės saugos klausimais.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sdtContent>
            </w:sdt>
            <w:sdt>
              <w:sdtPr>
                <w:alias w:val="13 p."/>
                <w:tag w:val="part_2173c104f81c44528b3138c54bf99b04"/>
                <w:lock w:val="sdtLocked"/>
                <w:richText/>
              </w:sdtPr>
              <w:sdtContent>
                <w:p>
                  <w:pPr>
                    <w:suppressAutoHyphens/>
                    <w:ind w:firstLine="567"/>
                    <w:jc w:val="both"/>
                    <w:textAlignment w:val="center"/>
                    <w:rPr>
                      <w:color w:val="000000"/>
                    </w:rPr>
                  </w:pPr>
                  <w:sdt>
                    <w:sdtPr>
                      <w:alias w:val="Numeris"/>
                      <w:tag w:val="nr_2173c104f81c44528b3138c54bf99b04"/>
                      <w:lock w:val="sdtLocked"/>
                      <w:richText/>
                    </w:sdtPr>
                    <w:sdtContent>
                      <w:r>
                        <w:rPr>
                          <w:color w:val="000000"/>
                          <w:szCs w:val="24"/>
                        </w:rPr>
                        <w:t>13</w:t>
                      </w:r>
                    </w:sdtContent>
                  </w:sdt>
                  <w:r>
                    <w:rPr>
                      <w:color w:val="000000"/>
                      <w:szCs w:val="24"/>
                    </w:rPr>
                    <w:t xml:space="preserve">. </w:t>
                  </w:r>
                  <w:r>
                    <w:rPr>
                      <w:color w:val="000000"/>
                    </w:rPr>
                    <w:t>Įvykdžius Deklaracijos 9.2 dalyje nurodytus gaisrinės saugos reikalavimus, PAGD</w:t>
                  </w:r>
                  <w:r>
                    <w:rPr>
                      <w:color w:val="000000"/>
                      <w:highlight w:val="yellow"/>
                    </w:rPr>
                    <w:t xml:space="preserve"> </w:t>
                  </w:r>
                  <w:r>
                    <w:rPr>
                      <w:color w:val="000000"/>
                      <w:szCs w:val="24"/>
                    </w:rPr>
                    <w:t>priešgaisrinei gelbėjimo valdybai ar priešgaisrinei gelbėjimo tarnybai</w:t>
                  </w:r>
                  <w:r>
                    <w:rPr>
                      <w:color w:val="000000"/>
                    </w:rPr>
                    <w:t xml:space="preserve"> pateikiama patikslinta Deklaracija. PAGD </w:t>
                  </w:r>
                  <w:r>
                    <w:rPr>
                      <w:color w:val="000000"/>
                      <w:szCs w:val="24"/>
                    </w:rPr>
                    <w:t>priešgaisrinė gelbėjimo valdyba ar priešgaisrinė gelbėjimo tarnyba</w:t>
                  </w:r>
                  <w:r>
                    <w:rPr>
                      <w:color w:val="000000"/>
                    </w:rPr>
                    <w:t xml:space="preserve"> turi teisę patikrinti šioje Deklaracijoje nurodytos informacijos atitiktį faktinėms aplinkybėms. Nustačius, kad pirminėje Deklaracijoje nurodyti gaisrinės saugos reikalavimai faktiškai neįvykdyti (nevykdomi), deklaruojančiosios įmonės vadovui taikomos įstatymų numatytos poveikio priemonės. Patikslintos Deklaracijos nepateikus, PAGD nustatyta tvarka atliekamas operatyvinis deklaruojančiosios įmonės objektų patikrinimas</w:t>
                  </w:r>
                  <w:r>
                    <w:rPr>
                      <w:color w:val="000000"/>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
              <w:sdtPr>
                <w:alias w:val="14 p."/>
                <w:tag w:val="part_919ea0753fad4b8aa7d37fc864e52001"/>
                <w:lock w:val="sdtLocked"/>
                <w:richText/>
              </w:sdtPr>
              <w:sdtContent>
                <w:p>
                  <w:pPr>
                    <w:suppressAutoHyphens/>
                    <w:ind w:firstLine="567"/>
                    <w:jc w:val="both"/>
                    <w:textAlignment w:val="center"/>
                    <w:rPr>
                      <w:color w:val="000000"/>
                    </w:rPr>
                  </w:pPr>
                  <w:sdt>
                    <w:sdtPr>
                      <w:alias w:val="Numeris"/>
                      <w:tag w:val="nr_919ea0753fad4b8aa7d37fc864e52001"/>
                      <w:lock w:val="sdtLocked"/>
                      <w:richText/>
                    </w:sdtPr>
                    <w:sdtContent>
                      <w:r>
                        <w:rPr>
                          <w:bCs/>
                          <w:szCs w:val="24"/>
                        </w:rPr>
                        <w:t>14</w:t>
                      </w:r>
                    </w:sdtContent>
                  </w:sdt>
                  <w:r>
                    <w:rPr>
                      <w:bCs/>
                      <w:szCs w:val="24"/>
                    </w:rPr>
                    <w:t xml:space="preserve">. </w:t>
                  </w:r>
                  <w:r>
                    <w:rPr>
                      <w:color w:val="000000"/>
                    </w:rPr>
                    <w:t xml:space="preserve">Deklaracija PAGD </w:t>
                  </w:r>
                  <w:r>
                    <w:rPr>
                      <w:color w:val="000000"/>
                      <w:szCs w:val="24"/>
                    </w:rPr>
                    <w:t>priešgaisrinei gelbėjimo valdybai ar priešgaisrinei gelbėjimo tarnybai</w:t>
                  </w:r>
                  <w:r>
                    <w:rPr>
                      <w:color w:val="000000"/>
                    </w:rPr>
                    <w:t xml:space="preserve"> teikiama ir joje pateiktos informacijos atitikties faktinėms aplinkybėms patikrinimas atliekamas:</w:t>
                  </w:r>
                </w:p>
                <w:sdt>
                  <w:sdtPr>
                    <w:alias w:val="14.1 pp."/>
                    <w:tag w:val="part_3ea304c594a14a4c8f1c52a907f7834f"/>
                    <w:lock w:val="sdtLocked"/>
                    <w:richText/>
                  </w:sdtPr>
                  <w:sdtContent>
                    <w:p>
                      <w:pPr>
                        <w:suppressAutoHyphens/>
                        <w:ind w:firstLine="567"/>
                        <w:jc w:val="both"/>
                        <w:textAlignment w:val="center"/>
                        <w:rPr>
                          <w:color w:val="000000"/>
                        </w:rPr>
                      </w:pPr>
                      <w:sdt>
                        <w:sdtPr>
                          <w:alias w:val="Numeris"/>
                          <w:tag w:val="nr_3ea304c594a14a4c8f1c52a907f7834f"/>
                          <w:lock w:val="sdtLocked"/>
                          <w:richText/>
                        </w:sdtPr>
                        <w:sdtContent>
                          <w:r>
                            <w:rPr>
                              <w:color w:val="000000"/>
                            </w:rPr>
                            <w:t>14.1</w:t>
                          </w:r>
                        </w:sdtContent>
                      </w:sdt>
                      <w:r>
                        <w:rPr>
                          <w:color w:val="000000"/>
                        </w:rPr>
                        <w:t>. I grupei priskiriamų objektų – kas 3 metai;</w:t>
                      </w:r>
                    </w:p>
                  </w:sdtContent>
                </w:sdt>
                <w:sdt>
                  <w:sdtPr>
                    <w:alias w:val="14.2 pp."/>
                    <w:tag w:val="part_589ccebdbf354fe984e264cb73d69704"/>
                    <w:lock w:val="sdtLocked"/>
                    <w:richText/>
                  </w:sdtPr>
                  <w:sdtContent>
                    <w:p>
                      <w:pPr>
                        <w:suppressAutoHyphens/>
                        <w:ind w:firstLine="567"/>
                        <w:jc w:val="both"/>
                        <w:textAlignment w:val="center"/>
                        <w:rPr>
                          <w:color w:val="000000"/>
                        </w:rPr>
                      </w:pPr>
                      <w:sdt>
                        <w:sdtPr>
                          <w:alias w:val="Numeris"/>
                          <w:tag w:val="nr_589ccebdbf354fe984e264cb73d69704"/>
                          <w:lock w:val="sdtLocked"/>
                          <w:richText/>
                        </w:sdtPr>
                        <w:sdtContent>
                          <w:r>
                            <w:rPr>
                              <w:color w:val="000000"/>
                            </w:rPr>
                            <w:t>14.2</w:t>
                          </w:r>
                        </w:sdtContent>
                      </w:sdt>
                      <w:r>
                        <w:rPr>
                          <w:color w:val="000000"/>
                        </w:rPr>
                        <w:t>. II grupei priskiriamų objektų – kas 4 metai;</w:t>
                      </w:r>
                    </w:p>
                  </w:sdtContent>
                </w:sdt>
                <w:sdt>
                  <w:sdtPr>
                    <w:alias w:val="14.3 pp."/>
                    <w:tag w:val="part_df4e25468b9d4bd7aa1703a6f32ad16e"/>
                    <w:lock w:val="sdtLocked"/>
                    <w:richText/>
                  </w:sdtPr>
                  <w:sdtContent>
                    <w:p>
                      <w:pPr>
                        <w:suppressAutoHyphens/>
                        <w:ind w:firstLine="567"/>
                        <w:jc w:val="both"/>
                        <w:textAlignment w:val="center"/>
                        <w:rPr>
                          <w:color w:val="000000"/>
                        </w:rPr>
                      </w:pPr>
                      <w:sdt>
                        <w:sdtPr>
                          <w:alias w:val="Numeris"/>
                          <w:tag w:val="nr_df4e25468b9d4bd7aa1703a6f32ad16e"/>
                          <w:lock w:val="sdtLocked"/>
                          <w:richText/>
                        </w:sdtPr>
                        <w:sdtContent>
                          <w:r>
                            <w:rPr>
                              <w:color w:val="000000"/>
                            </w:rPr>
                            <w:t>14.3</w:t>
                          </w:r>
                        </w:sdtContent>
                      </w:sdt>
                      <w:r>
                        <w:rPr>
                          <w:color w:val="000000"/>
                        </w:rPr>
                        <w:t>. III grupei priskiriamų objektų – kas 5 metai</w:t>
                      </w:r>
                      <w:r>
                        <w:rPr>
                          <w:color w:val="000000"/>
                          <w:szCs w:val="24"/>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
              <w:sdtPr>
                <w:alias w:val="15 p."/>
                <w:tag w:val="part_dfc91f839b364c4e9e5b55e75c75612a"/>
                <w:lock w:val="sdtLocked"/>
                <w:richText/>
              </w:sdtPr>
              <w:sdtContent>
                <w:p>
                  <w:pPr>
                    <w:suppressAutoHyphens/>
                    <w:ind w:firstLine="567"/>
                    <w:jc w:val="both"/>
                    <w:textAlignment w:val="center"/>
                    <w:rPr>
                      <w:color w:val="000000"/>
                    </w:rPr>
                  </w:pPr>
                  <w:sdt>
                    <w:sdtPr>
                      <w:alias w:val="Numeris"/>
                      <w:tag w:val="nr_dfc91f839b364c4e9e5b55e75c75612a"/>
                      <w:lock w:val="sdtLocked"/>
                      <w:richText/>
                    </w:sdtPr>
                    <w:sdtContent>
                      <w:r>
                        <w:rPr>
                          <w:bCs/>
                          <w:szCs w:val="24"/>
                        </w:rPr>
                        <w:t>15</w:t>
                      </w:r>
                    </w:sdtContent>
                  </w:sdt>
                  <w:r>
                    <w:rPr>
                      <w:bCs/>
                      <w:szCs w:val="24"/>
                    </w:rPr>
                    <w:t xml:space="preserve">. </w:t>
                  </w:r>
                  <w:r>
                    <w:rPr>
                      <w:color w:val="000000"/>
                    </w:rPr>
                    <w:t xml:space="preserve">PAGD </w:t>
                  </w:r>
                  <w:r>
                    <w:rPr>
                      <w:color w:val="000000"/>
                      <w:szCs w:val="24"/>
                    </w:rPr>
                    <w:t>priešgaisrinei gelbėjimo valdybai ar priešgaisrinei gelbėjimo tarnybai</w:t>
                  </w:r>
                  <w:r>
                    <w:rPr>
                      <w:color w:val="000000"/>
                    </w:rPr>
                    <w:t xml:space="preserve"> tiriant gautą skundą, pranešimą ar turint kitos pagrįstos informacijos apie gaisrinės saugos reikalavimų nevykdymą deklaruojančiosios įmonės objektuose, atliekamas operatyvinis šių objektų patikrinimas PAGD nustatyta tvarka</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
              <w:sdtPr>
                <w:alias w:val="16 p."/>
                <w:tag w:val="part_a3617c66d4784cecb65d41f04af65292"/>
                <w:lock w:val="sdtLocked"/>
                <w:richText/>
              </w:sdtPr>
              <w:sdtContent>
                <w:p>
                  <w:pPr>
                    <w:suppressAutoHyphens/>
                    <w:ind w:firstLine="567"/>
                    <w:jc w:val="both"/>
                    <w:textAlignment w:val="center"/>
                  </w:pPr>
                  <w:sdt>
                    <w:sdtPr>
                      <w:alias w:val="Numeris"/>
                      <w:tag w:val="nr_a3617c66d4784cecb65d41f04af65292"/>
                      <w:lock w:val="sdtLocked"/>
                      <w:richText/>
                    </w:sdtPr>
                    <w:sdtContent>
                      <w:r>
                        <w:rPr>
                          <w:bCs/>
                          <w:szCs w:val="24"/>
                        </w:rPr>
                        <w:t>16</w:t>
                      </w:r>
                    </w:sdtContent>
                  </w:sdt>
                  <w:r>
                    <w:rPr>
                      <w:bCs/>
                      <w:szCs w:val="24"/>
                    </w:rPr>
                    <w:t xml:space="preserve">. </w:t>
                  </w:r>
                  <w:r>
                    <w:rPr>
                      <w:color w:val="000000"/>
                    </w:rPr>
                    <w:t xml:space="preserve">Gautos Deklaracijos PAGD </w:t>
                  </w:r>
                  <w:r>
                    <w:rPr>
                      <w:color w:val="000000"/>
                      <w:szCs w:val="24"/>
                    </w:rPr>
                    <w:t>priešgaisrinėje gelbėjimo valdyboje ar priešgaisrinėje gelbėjimo tarnyboje</w:t>
                  </w:r>
                  <w:r>
                    <w:rPr>
                      <w:color w:val="000000"/>
                    </w:rPr>
                    <w:t xml:space="preserve"> saugomos objektų priežiūros bylose</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5f7a210f96311e89953b467accabea6">
                    <w:r w:rsidRPr="00532B9F">
                      <w:rPr>
                        <w:rFonts w:ascii="Times New Roman" w:eastAsia="MS Mincho" w:hAnsi="Times New Roman"/>
                        <w:sz w:val="20"/>
                        <w:i/>
                        <w:iCs/>
                        <w:color w:val="0000FF" w:themeColor="hyperlink"/>
                        <w:u w:val="single"/>
                      </w:rPr>
                      <w:t>1-452</w:t>
                    </w:r>
                  </w:fldSimple>
                  <w:r>
                    <w:rPr>
                      <w:rFonts w:ascii="Times New Roman" w:eastAsia="MS Mincho" w:hAnsi="Times New Roman"/>
                      <w:sz w:val="20"/>
                      <w:i/>
                      <w:iCs/>
                    </w:rPr>
                    <w:t>,
2018-12-06,
paskelbta TAR 2018-12-07, i. k. 2018-19994            </w:t>
                  </w:r>
                </w:p>
                <w:p/>
              </w:sdtContent>
            </w:sdt>
          </w:sdtContent>
        </w:sdt>
        <w:sdt>
          <w:sdtPr>
            <w:alias w:val="pabaiga"/>
            <w:tag w:val="part_81504f348fd846318684a979a954657e"/>
            <w:lock w:val="sdtLocked"/>
            <w:richText/>
          </w:sdtPr>
          <w:sdtContent>
            <w:p>
              <w:pPr>
                <w:jc w:val="center"/>
              </w:pPr>
              <w:r>
                <w:t>_________________</w:t>
              </w:r>
            </w:p>
          </w:sdtContent>
        </w:sdt>
      </w:sdtContent>
    </w:sdt>
    <w:sdt>
      <w:sdtPr>
        <w:alias w:val="pr."/>
        <w:tag w:val="part_a4b86e8cbb9543baafe6ef71afbc2540"/>
        <w:lock w:val="sdtLocked"/>
        <w:richText/>
      </w:sdtPr>
      <w:sdtContent>
        <w:p>
          <w:pPr>
            <w:suppressAutoHyphens/>
            <w:ind w:left="4535"/>
            <w:rPr>
              <w:lang w:eastAsia="ar-SA"/>
            </w:rPr>
            <w:sectPr>
              <w:pgSz w:w="11907" w:h="16840" w:code="9"/>
              <w:pgMar w:top="1701" w:right="567" w:bottom="1134" w:left="1701" w:header="709" w:footer="709" w:gutter="0"/>
              <w:pgNumType w:start="1"/>
              <w:cols w:space="708"/>
              <w:titlePg/>
              <w:docGrid w:linePitch="326"/>
            </w:sectPr>
          </w:pPr>
        </w:p>
        <w:p>
          <w:pPr>
            <w:suppressAutoHyphens/>
            <w:ind w:left="4535"/>
            <w:rPr>
              <w:lang w:eastAsia="ar-SA"/>
            </w:rPr>
          </w:pPr>
          <w:r>
            <w:rPr>
              <w:lang w:eastAsia="ar-SA"/>
            </w:rPr>
            <w:t xml:space="preserve">Objekto atitikties gaisrinę saugą </w:t>
          </w:r>
        </w:p>
        <w:p>
          <w:pPr>
            <w:suppressAutoHyphens/>
            <w:ind w:left="4535"/>
            <w:rPr>
              <w:lang w:eastAsia="ar-SA"/>
            </w:rPr>
          </w:pPr>
          <w:r>
            <w:rPr>
              <w:lang w:eastAsia="ar-SA"/>
            </w:rPr>
            <w:t xml:space="preserve">reglamentuojantiems teisės aktams </w:t>
          </w:r>
        </w:p>
        <w:p>
          <w:pPr>
            <w:suppressAutoHyphens/>
            <w:ind w:left="4535"/>
            <w:rPr>
              <w:lang w:eastAsia="ar-SA"/>
            </w:rPr>
          </w:pPr>
          <w:r>
            <w:rPr>
              <w:lang w:eastAsia="ar-SA"/>
            </w:rPr>
            <w:t>deklaravimo tvarkos aprašo</w:t>
          </w:r>
        </w:p>
        <w:p>
          <w:pPr>
            <w:suppressAutoHyphens/>
            <w:ind w:left="4535"/>
            <w:rPr>
              <w:lang w:eastAsia="ar-SA"/>
            </w:rPr>
          </w:pPr>
          <w:r>
            <w:rPr>
              <w:lang w:eastAsia="ar-SA"/>
            </w:rPr>
            <w:t>priedas</w:t>
          </w:r>
        </w:p>
        <w:p>
          <w:pPr>
            <w:suppressAutoHyphens/>
            <w:jc w:val="both"/>
            <w:rPr>
              <w:lang w:eastAsia="ar-SA"/>
            </w:rPr>
          </w:pPr>
        </w:p>
        <w:p>
          <w:pPr>
            <w:tabs>
              <w:tab w:val="left" w:pos="2268"/>
            </w:tabs>
            <w:suppressAutoHyphens/>
            <w:jc w:val="center"/>
            <w:rPr>
              <w:b/>
              <w:lang w:eastAsia="ar-SA"/>
            </w:rPr>
          </w:pPr>
          <w:sdt>
            <w:sdtPr>
              <w:alias w:val="Pavadinimas"/>
              <w:tag w:val="title_a4b86e8cbb9543baafe6ef71afbc2540"/>
              <w:lock w:val="sdtLocked"/>
              <w:richText/>
            </w:sdtPr>
            <w:sdtContent>
              <w:r>
                <w:rPr>
                  <w:b/>
                  <w:lang w:eastAsia="ar-SA"/>
                </w:rPr>
                <w:t>(Objekto atitikties gaisrinę saugą reglamentuojantiems teisės aktams deklaracijos formos pavyzdys)</w:t>
              </w:r>
            </w:sdtContent>
          </w:sdt>
        </w:p>
        <w:p>
          <w:pPr>
            <w:suppressAutoHyphens/>
            <w:jc w:val="center"/>
            <w:rPr>
              <w:b/>
              <w:lang w:eastAsia="ar-SA"/>
            </w:rPr>
          </w:pPr>
        </w:p>
        <w:sdt>
          <w:sdtPr>
            <w:alias w:val="skirsnis"/>
            <w:tag w:val="part_d65bd5dc87e84da3adbb68947b4fc168"/>
            <w:lock w:val="sdtLocked"/>
            <w:richText/>
          </w:sdtPr>
          <w:sdtContent>
            <w:p>
              <w:pPr>
                <w:suppressAutoHyphens/>
                <w:jc w:val="center"/>
                <w:rPr>
                  <w:b/>
                  <w:bCs/>
                  <w:lang w:eastAsia="ar-SA"/>
                </w:rPr>
              </w:pPr>
              <w:sdt>
                <w:sdtPr>
                  <w:alias w:val="Pavadinimas"/>
                  <w:tag w:val="title_d65bd5dc87e84da3adbb68947b4fc168"/>
                  <w:lock w:val="sdtLocked"/>
                  <w:richText/>
                </w:sdtPr>
                <w:sdtContent>
                  <w:r>
                    <w:rPr>
                      <w:b/>
                      <w:bCs/>
                      <w:lang w:eastAsia="ar-SA"/>
                    </w:rPr>
                    <w:t xml:space="preserve">OBJEKTO ATITIKTIES GAISRINĘ SAUGĄ REGLAMENTUOJANTIEMS TEISĖS AKTAMS DEKLARACIJA </w:t>
                  </w:r>
                </w:sdtContent>
              </w:sdt>
            </w:p>
            <w:p>
              <w:pPr>
                <w:suppressAutoHyphens/>
                <w:jc w:val="center"/>
                <w:rPr>
                  <w:lang w:eastAsia="ar-SA"/>
                </w:rPr>
              </w:pPr>
            </w:p>
            <w:p>
              <w:pPr>
                <w:suppressAutoHyphens/>
                <w:jc w:val="center"/>
                <w:rPr>
                  <w:lang w:eastAsia="ar-SA"/>
                </w:rPr>
              </w:pPr>
              <w:r>
                <w:rPr>
                  <w:lang w:eastAsia="ar-SA"/>
                </w:rPr>
                <w:t>__________________</w:t>
              </w:r>
            </w:p>
            <w:p>
              <w:pPr>
                <w:suppressAutoHyphens/>
                <w:jc w:val="center"/>
                <w:rPr>
                  <w:sz w:val="22"/>
                  <w:lang w:eastAsia="ar-SA"/>
                </w:rPr>
              </w:pPr>
              <w:r>
                <w:rPr>
                  <w:sz w:val="22"/>
                  <w:lang w:eastAsia="ar-SA"/>
                </w:rPr>
                <w:t>(data)</w:t>
              </w:r>
            </w:p>
            <w:p>
              <w:pPr>
                <w:suppressAutoHyphens/>
                <w:jc w:val="center"/>
                <w:rPr>
                  <w:lang w:eastAsia="ar-SA"/>
                </w:rPr>
              </w:pPr>
              <w:r>
                <w:rPr>
                  <w:lang w:eastAsia="ar-SA"/>
                </w:rPr>
                <w:t>_________________</w:t>
              </w:r>
            </w:p>
            <w:p>
              <w:pPr>
                <w:suppressAutoHyphens/>
                <w:jc w:val="center"/>
                <w:rPr>
                  <w:sz w:val="22"/>
                  <w:lang w:eastAsia="ar-SA"/>
                </w:rPr>
              </w:pPr>
              <w:r>
                <w:rPr>
                  <w:sz w:val="22"/>
                  <w:lang w:eastAsia="ar-SA"/>
                </w:rPr>
                <w:t>(sudarymo vieta)</w:t>
              </w:r>
            </w:p>
            <w:p>
              <w:pPr>
                <w:suppressAutoHyphens/>
                <w:rPr>
                  <w:lang w:eastAsia="ar-SA"/>
                </w:rPr>
              </w:pPr>
            </w:p>
            <w:p>
              <w:pPr>
                <w:tabs>
                  <w:tab w:val="left" w:pos="1900"/>
                </w:tabs>
                <w:suppressAutoHyphens/>
                <w:rPr>
                  <w:lang w:eastAsia="ar-SA"/>
                </w:rPr>
              </w:pPr>
              <w:r>
                <w:rPr>
                  <w:b/>
                  <w:lang w:eastAsia="ar-SA"/>
                </w:rPr>
                <w:t>Pirminė</w:t>
              </w:r>
              <w:r>
                <w:rPr>
                  <w:lang w:eastAsia="ar-SA"/>
                </w:rPr>
                <w:tab/>
                <w:sym w:font="Wingdings 2" w:char="F0A3"/>
              </w:r>
              <w:r>
                <w:rPr>
                  <w:vanish/>
                  <w:lang w:eastAsia="ar-SA"/>
                </w:rPr>
                <w:t>[]</w:t>
              </w:r>
            </w:p>
            <w:p>
              <w:pPr>
                <w:tabs>
                  <w:tab w:val="left" w:pos="1900"/>
                </w:tabs>
                <w:suppressAutoHyphens/>
                <w:rPr>
                  <w:lang w:eastAsia="ar-SA"/>
                </w:rPr>
              </w:pPr>
              <w:r>
                <w:rPr>
                  <w:b/>
                  <w:lang w:eastAsia="ar-SA"/>
                </w:rPr>
                <w:t>Patikslinta</w:t>
              </w:r>
              <w:r>
                <w:rPr>
                  <w:lang w:eastAsia="ar-SA"/>
                </w:rPr>
                <w:tab/>
                <w:sym w:font="Wingdings 2" w:char="F0A3"/>
              </w:r>
              <w:r>
                <w:rPr>
                  <w:vanish/>
                  <w:lang w:eastAsia="ar-SA"/>
                </w:rPr>
                <w:t>[]</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184"/>
                <w:gridCol w:w="2719"/>
                <w:gridCol w:w="1046"/>
                <w:gridCol w:w="2195"/>
                <w:gridCol w:w="776"/>
                <w:gridCol w:w="909"/>
                <w:gridCol w:w="924"/>
              </w:tblGrid>
              <w:tr>
                <w:trPr>
                  <w:trHeight w:val="20"/>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1.</w:t>
                    </w:r>
                  </w:p>
                </w:tc>
                <w:tc>
                  <w:tcPr>
                    <w:tcW w:w="8069" w:type="dxa"/>
                    <w:gridSpan w:val="6"/>
                    <w:tcBorders>
                      <w:top w:val="single" w:sz="4" w:space="0" w:color="auto"/>
                      <w:left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Deklaruojančiosios įmonės pavadinimas, administracijos buveinės adresas</w:t>
                    </w:r>
                  </w:p>
                </w:tc>
              </w:tr>
              <w:tr>
                <w:trPr>
                  <w:trHeight w:val="20"/>
                </w:trPr>
                <w:tc>
                  <w:tcPr>
                    <w:tcW w:w="9184" w:type="dxa"/>
                    <w:gridSpan w:val="7"/>
                    <w:tcBorders>
                      <w:left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9184" w:type="dxa"/>
                    <w:gridSpan w:val="7"/>
                    <w:tcBorders>
                      <w:left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1115" w:type="dxa"/>
                    <w:tcBorders>
                      <w:top w:val="single" w:sz="4" w:space="0" w:color="auto"/>
                      <w:left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2.</w:t>
                    </w:r>
                  </w:p>
                </w:tc>
                <w:tc>
                  <w:tcPr>
                    <w:tcW w:w="8069"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 xml:space="preserve">Objekto pavadinimas, adresas, naudojimo paskirtis </w:t>
                    </w:r>
                    <w:r>
                      <w:rPr>
                        <w:color w:val="000000"/>
                        <w:sz w:val="22"/>
                        <w:szCs w:val="22"/>
                        <w:lang w:eastAsia="ar-SA"/>
                      </w:rPr>
                      <w:t>(pagal</w:t>
                    </w:r>
                    <w:r>
                      <w:rPr>
                        <w:sz w:val="22"/>
                        <w:szCs w:val="22"/>
                        <w:lang w:eastAsia="ar-SA"/>
                      </w:rPr>
                      <w:t xml:space="preserve"> </w:t>
                    </w:r>
                    <w:r>
                      <w:rPr>
                        <w:color w:val="000000"/>
                        <w:sz w:val="22"/>
                        <w:szCs w:val="22"/>
                        <w:lang w:eastAsia="ar-SA"/>
                      </w:rPr>
                      <w:t xml:space="preserve">Lietuvos Respublikos nekilnojamojo turto kadastro nuostatus (Žin., 2002, Nr. </w:t>
                    </w:r>
                    <w:hyperlink r:id="rId23" w:tgtFrame="_blank" w:history="1">
                      <w:r>
                        <w:rPr>
                          <w:color w:val="0000FF" w:themeColor="hyperlink"/>
                          <w:sz w:val="22"/>
                          <w:szCs w:val="22"/>
                          <w:u w:val="single"/>
                          <w:lang w:eastAsia="ar-SA"/>
                        </w:rPr>
                        <w:t>41-1539</w:t>
                      </w:r>
                    </w:hyperlink>
                    <w:r>
                      <w:rPr>
                        <w:color w:val="000000"/>
                        <w:sz w:val="22"/>
                        <w:szCs w:val="22"/>
                        <w:lang w:eastAsia="ar-SA"/>
                      </w:rPr>
                      <w:t>)</w:t>
                    </w:r>
                  </w:p>
                </w:tc>
              </w:tr>
              <w:tr>
                <w:trPr>
                  <w:trHeight w:val="20"/>
                </w:trPr>
                <w:tc>
                  <w:tcPr>
                    <w:tcW w:w="9184" w:type="dxa"/>
                    <w:gridSpan w:val="7"/>
                    <w:tcBorders>
                      <w:left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9184" w:type="dxa"/>
                    <w:gridSpan w:val="7"/>
                    <w:tcBorders>
                      <w:left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9184" w:type="dxa"/>
                    <w:gridSpan w:val="7"/>
                    <w:tcBorders>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1115" w:type="dxa"/>
                    <w:tcBorders>
                      <w:top w:val="single" w:sz="4" w:space="0" w:color="auto"/>
                      <w:left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3.</w:t>
                    </w:r>
                  </w:p>
                </w:tc>
                <w:tc>
                  <w:tcPr>
                    <w:tcW w:w="8069" w:type="dxa"/>
                    <w:gridSpan w:val="6"/>
                    <w:tcBorders>
                      <w:top w:val="single" w:sz="4" w:space="0" w:color="auto"/>
                      <w:left w:val="single" w:sz="4" w:space="0" w:color="auto"/>
                      <w:right w:val="single" w:sz="4" w:space="0" w:color="auto"/>
                    </w:tcBorders>
                    <w:tcMar>
                      <w:left w:w="57" w:type="dxa"/>
                      <w:right w:w="57" w:type="dxa"/>
                    </w:tcMar>
                  </w:tcPr>
                  <w:p>
                    <w:pPr>
                      <w:outlineLvl w:val="5"/>
                      <w:rPr>
                        <w:b/>
                        <w:bCs/>
                        <w:sz w:val="22"/>
                        <w:szCs w:val="22"/>
                      </w:rPr>
                    </w:pPr>
                    <w:r>
                      <w:rPr>
                        <w:b/>
                        <w:bCs/>
                        <w:sz w:val="22"/>
                        <w:szCs w:val="22"/>
                      </w:rPr>
                      <w:t>Deklaruojančiosios įmonės vadovo vardas, pavardė, kontaktiniai duomenys</w:t>
                    </w:r>
                  </w:p>
                </w:tc>
              </w:tr>
              <w:tr>
                <w:trPr>
                  <w:trHeight w:val="20"/>
                </w:trPr>
                <w:tc>
                  <w:tcPr>
                    <w:tcW w:w="9184" w:type="dxa"/>
                    <w:gridSpan w:val="7"/>
                    <w:tcBorders>
                      <w:left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9184" w:type="dxa"/>
                    <w:gridSpan w:val="7"/>
                    <w:tcBorders>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1115" w:type="dxa"/>
                    <w:tcBorders>
                      <w:top w:val="single" w:sz="4" w:space="0" w:color="auto"/>
                      <w:left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4.</w:t>
                    </w:r>
                  </w:p>
                </w:tc>
                <w:tc>
                  <w:tcPr>
                    <w:tcW w:w="8069" w:type="dxa"/>
                    <w:gridSpan w:val="6"/>
                    <w:tcBorders>
                      <w:top w:val="single" w:sz="4" w:space="0" w:color="auto"/>
                      <w:left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Atsakingo už objekto gaisrinę būklę asmens vardas, pavardė, kontaktiniai duomenys</w:t>
                    </w:r>
                  </w:p>
                </w:tc>
              </w:tr>
              <w:tr>
                <w:trPr>
                  <w:trHeight w:val="20"/>
                </w:trPr>
                <w:tc>
                  <w:tcPr>
                    <w:tcW w:w="9184" w:type="dxa"/>
                    <w:gridSpan w:val="7"/>
                    <w:tcBorders>
                      <w:left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9184" w:type="dxa"/>
                    <w:gridSpan w:val="7"/>
                    <w:tcBorders>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tcPr>
                  <w:p>
                    <w:pPr>
                      <w:keepNext/>
                      <w:suppressAutoHyphens/>
                      <w:spacing w:line="250" w:lineRule="atLeast"/>
                      <w:outlineLvl w:val="1"/>
                      <w:rPr>
                        <w:b/>
                        <w:color w:val="000000"/>
                        <w:sz w:val="22"/>
                        <w:szCs w:val="22"/>
                        <w:lang w:eastAsia="ar-SA"/>
                      </w:rPr>
                    </w:pPr>
                    <w:r>
                      <w:rPr>
                        <w:b/>
                        <w:color w:val="000000"/>
                        <w:sz w:val="22"/>
                        <w:szCs w:val="22"/>
                        <w:lang w:eastAsia="ar-SA"/>
                      </w:rPr>
                      <w:t>5.</w:t>
                    </w:r>
                  </w:p>
                </w:tc>
                <w:tc>
                  <w:tcPr>
                    <w:tcW w:w="8069"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keepNext/>
                      <w:suppressAutoHyphens/>
                      <w:spacing w:line="250" w:lineRule="atLeast"/>
                      <w:outlineLvl w:val="1"/>
                      <w:rPr>
                        <w:b/>
                        <w:color w:val="000000"/>
                        <w:sz w:val="22"/>
                        <w:szCs w:val="22"/>
                        <w:lang w:eastAsia="ar-SA"/>
                      </w:rPr>
                    </w:pPr>
                    <w:r>
                      <w:rPr>
                        <w:b/>
                        <w:color w:val="000000"/>
                        <w:sz w:val="22"/>
                        <w:szCs w:val="22"/>
                        <w:lang w:eastAsia="ar-SA"/>
                      </w:rPr>
                      <w:t>Objekto atitikties gaisrinę saugą reglamentuojantiems teisės aktams</w:t>
                    </w:r>
                    <w:r>
                      <w:rPr>
                        <w:color w:val="000000"/>
                        <w:sz w:val="22"/>
                        <w:szCs w:val="22"/>
                        <w:lang w:eastAsia="ar-SA"/>
                      </w:rPr>
                      <w:t xml:space="preserve"> </w:t>
                    </w:r>
                    <w:r>
                      <w:rPr>
                        <w:b/>
                        <w:color w:val="000000"/>
                        <w:sz w:val="22"/>
                        <w:szCs w:val="22"/>
                        <w:lang w:eastAsia="ar-SA"/>
                      </w:rPr>
                      <w:t>vertinimas:</w:t>
                    </w: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tabs>
                        <w:tab w:val="left" w:pos="-142"/>
                      </w:tabs>
                      <w:suppressAutoHyphens/>
                      <w:rPr>
                        <w:b/>
                        <w:bCs/>
                        <w:sz w:val="22"/>
                        <w:szCs w:val="22"/>
                        <w:lang w:eastAsia="ar-SA"/>
                      </w:rPr>
                    </w:pPr>
                    <w:r>
                      <w:rPr>
                        <w:b/>
                        <w:bCs/>
                        <w:sz w:val="22"/>
                        <w:szCs w:val="22"/>
                        <w:lang w:eastAsia="ar-SA"/>
                      </w:rPr>
                      <w:t>5.1. Darbuotojų instruktavimas, gaisrinės saugos mokymas ir atestavimas:</w:t>
                    </w: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5.1.1. Ar objekte yra tinkamai parengtos gaisrinės saugos instrukcijos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Cs/>
                        <w:sz w:val="22"/>
                        <w:szCs w:val="22"/>
                        <w:lang w:eastAsia="ar-SA"/>
                      </w:rPr>
                      <w:t xml:space="preserve">5.1.2. Ar rengiami teisės aktų nustatyta tvarka </w:t>
                    </w:r>
                    <w:r>
                      <w:rPr>
                        <w:sz w:val="22"/>
                        <w:szCs w:val="22"/>
                        <w:lang w:eastAsia="ar-SA"/>
                      </w:rPr>
                      <w:t>objekte dirbančių valstybės tarnautojų ir darbuotojų instruktažai gaisrinės saugos klausimais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5.1.3. Ar tinkamai pildomi gaisrinės saugos instruktažų registracijos žurnalai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5.1.4. Ar objekte parengtas valstybės tarnautojų ir darbuotojų veiksmų kilus gaisrui planas, ar ne rečiau kaip kartą per metus rengiamos pratybos siekiant išmokti šiuo planu naudotis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5.1.5. Ar objekte dirbantys valstybės </w:t>
                    </w:r>
                    <w:r>
                      <w:rPr>
                        <w:sz w:val="22"/>
                        <w:szCs w:val="22"/>
                        <w:lang w:eastAsia="ar-SA"/>
                      </w:rPr>
                      <w:t>tarnautojai ir darbuotojai mokomi gaisrinės saugos ir atestuojami (tikrinamos jų žinios)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b/>
                        <w:sz w:val="22"/>
                        <w:szCs w:val="22"/>
                        <w:lang w:eastAsia="ar-SA"/>
                      </w:rPr>
                      <w:t>5.2. Teritorijos priežiūra:</w:t>
                    </w: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5.2.1. Ar</w:t>
                    </w:r>
                    <w:r>
                      <w:rPr>
                        <w:sz w:val="22"/>
                        <w:szCs w:val="22"/>
                        <w:lang w:eastAsia="ar-SA"/>
                      </w:rPr>
                      <w:t xml:space="preserve"> teritorija išvalyta ir nušienauta, ar gamybos, augalinės atliekos, šiukšlės laikomos tam skirtose vietose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5.2.2. Ar</w:t>
                    </w:r>
                    <w:r>
                      <w:rPr>
                        <w:sz w:val="22"/>
                        <w:szCs w:val="22"/>
                        <w:lang w:eastAsia="ar-SA"/>
                      </w:rPr>
                      <w:t xml:space="preserve"> privažiavimo keliai ir priėjimai prie statinių, gaisrinių kopėčių, gaisrinio inventoriaus, gaisrinių hidrantų ir vandens telkinių yra laisvi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5.2.3. Ar </w:t>
                    </w:r>
                    <w:r>
                      <w:rPr>
                        <w:sz w:val="22"/>
                        <w:szCs w:val="22"/>
                        <w:lang w:eastAsia="ar-SA"/>
                      </w:rPr>
                      <w:t>tarpai tarp statinių (minimalūs priešgaisriniai atstumai), nustatyti normatyviniuose statybos techniniuose dokumentuose, yra laisvi ir neužkrauti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5.2.4. Ar teritorijoje pažymėtos transporto priemonių stovėjimo, medžiagų laikymo vietos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5.2.5. Ar automatiniai įvažiavimo į teritoriją vartai, užkardai ir kiti įrenginiai turi rankinį valdymą, leidžiantį juos atidaryti bet kuriuo paros metu</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5.2.6. Ar pagal sprogimą ir gaisrą pavojingose teritorijose įrengti įspėjamieji ženklai arba užrašai, draudžiantys rūkyti ir naudoti atvirą ugnį</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5.2.7. Ar transporto priemonių stovėjimo aikštelėse </w:t>
                    </w:r>
                    <w:r>
                      <w:rPr>
                        <w:sz w:val="22"/>
                        <w:szCs w:val="22"/>
                        <w:lang w:eastAsia="ar-SA"/>
                      </w:rPr>
                      <w:t>automobiliai statomi paliekant tarp lengvųjų automobilių ne mažesnį kaip 0,6 m, tarp krovininių automobilių – ne mažesnį kaip 0,8 m atstumą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5.2.8. Ar transporto priemonių stovėjimo aikštelėse yra lynai (standžios vilktys) automobiliams evakuoti (ne mažiau kaip vienas keturiasdešimčiai automobilių) ir reikalaujamas pirminių gaisro gesinimo priemonių kiekis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5.2.9. Ar degalinės teritorijoje, kurioje prekiaujama buitinių dujų balionais, bendras šių dujų kiekis neviršija 1 340 kg, ar balionai laikomi ne arčiau kaip 5 m nuo degalinės pastatų ir įrenginių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5.2.10. Ar degalinėje yra reikalaujamas pirminių gaisro gesinimo priemonių kiekis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5.2.11. </w:t>
                    </w:r>
                    <w:r>
                      <w:rPr>
                        <w:sz w:val="22"/>
                        <w:szCs w:val="22"/>
                        <w:lang w:eastAsia="ar-SA"/>
                      </w:rPr>
                      <w:t>Ar prie miško esančiame durpyno pakraštyje įrengtas 75 m pločio priešgaisrinis ruožas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5.2.12.</w:t>
                    </w:r>
                    <w:r>
                      <w:rPr>
                        <w:sz w:val="22"/>
                        <w:szCs w:val="22"/>
                        <w:lang w:eastAsia="ar-SA"/>
                      </w:rPr>
                      <w:t xml:space="preserve"> Ar durpyne kas 20 m iškasti grioveliai, jungiantys vandens surenkamuosius kanalus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5.2.13. </w:t>
                    </w:r>
                    <w:r>
                      <w:rPr>
                        <w:sz w:val="22"/>
                        <w:szCs w:val="22"/>
                        <w:lang w:eastAsia="ar-SA"/>
                      </w:rPr>
                      <w:t>Ar durpyne esančiuose vandens surenkamuosiuose kanaluose įrengtos vandenį sulaikančios užtvaros, užtikrinančios ne mažesnį kaip 0,6–0,8 m vandens lygį</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5.2.14. </w:t>
                    </w:r>
                    <w:r>
                      <w:rPr>
                        <w:sz w:val="22"/>
                        <w:szCs w:val="22"/>
                        <w:lang w:eastAsia="ar-SA"/>
                      </w:rPr>
                      <w:t>Ar durpyno teritorijoje yra įrengti ne mažesnės kaip 1000 m</w:t>
                    </w:r>
                    <w:r>
                      <w:rPr>
                        <w:sz w:val="22"/>
                        <w:szCs w:val="22"/>
                        <w:vertAlign w:val="superscript"/>
                        <w:lang w:eastAsia="ar-SA"/>
                      </w:rPr>
                      <w:t>3</w:t>
                    </w:r>
                    <w:r>
                      <w:rPr>
                        <w:sz w:val="22"/>
                        <w:szCs w:val="22"/>
                        <w:lang w:eastAsia="ar-SA"/>
                      </w:rPr>
                      <w:t xml:space="preserve"> talpos gaisriniai rezervuarai, išdėstyti ne didesniu kaip 500 m atstumu vienas nuo kito, ar prie jų įrengti kietą pagrindą turintys privažiavimo keliai ir 12x12 m transporto priemonių stovėjimo aikštelės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5.2.15. Ar durpyne yra pakankamai gaisro gesinimo priemonių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b/>
                        <w:sz w:val="22"/>
                        <w:szCs w:val="22"/>
                        <w:lang w:eastAsia="ar-SA"/>
                      </w:rPr>
                      <w:t>5.3. Statiniai ir patalpos:</w:t>
                    </w: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contextualSpacing/>
                      <w:rPr>
                        <w:rFonts w:eastAsia="Calibri"/>
                        <w:bCs/>
                        <w:sz w:val="22"/>
                        <w:szCs w:val="22"/>
                      </w:rPr>
                    </w:pPr>
                    <w:r>
                      <w:rPr>
                        <w:rFonts w:eastAsia="Calibri"/>
                        <w:bCs/>
                        <w:sz w:val="22"/>
                        <w:szCs w:val="22"/>
                      </w:rPr>
                      <w:t>5.3.1. Ar evakuacijos keliai ir išėjimai neužkrauti ir parengti žmonėms evakuoti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tabs>
                        <w:tab w:val="left" w:pos="7972"/>
                      </w:tabs>
                      <w:ind w:right="34"/>
                      <w:contextualSpacing/>
                      <w:rPr>
                        <w:rFonts w:eastAsia="Calibri"/>
                        <w:bCs/>
                        <w:sz w:val="22"/>
                        <w:szCs w:val="22"/>
                      </w:rPr>
                    </w:pPr>
                    <w:r>
                      <w:rPr>
                        <w:rFonts w:eastAsia="Calibri"/>
                        <w:bCs/>
                        <w:sz w:val="22"/>
                        <w:szCs w:val="22"/>
                      </w:rPr>
                      <w:t xml:space="preserve">5.3.2. Ar nepažeisti </w:t>
                    </w:r>
                    <w:r>
                      <w:rPr>
                        <w:rFonts w:eastAsia="Calibri"/>
                        <w:sz w:val="22"/>
                        <w:szCs w:val="22"/>
                      </w:rPr>
                      <w:t>priešgaisrinių durų, vartų, liukų sandarumo tarpikliai, ar techniškai tvarkingi ir veikia savaiminio užsidarymo mechanizmai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tabs>
                        <w:tab w:val="left" w:pos="7938"/>
                      </w:tabs>
                      <w:contextualSpacing/>
                      <w:rPr>
                        <w:rFonts w:eastAsia="Calibri"/>
                        <w:bCs/>
                        <w:sz w:val="22"/>
                        <w:szCs w:val="22"/>
                      </w:rPr>
                    </w:pPr>
                    <w:r>
                      <w:rPr>
                        <w:rFonts w:eastAsia="Calibri"/>
                        <w:bCs/>
                        <w:sz w:val="22"/>
                        <w:szCs w:val="22"/>
                      </w:rPr>
                      <w:t>5.3.3. Ar evakuacijos kelių grindų danga pritvirtinta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Cs/>
                        <w:sz w:val="22"/>
                        <w:szCs w:val="22"/>
                        <w:lang w:eastAsia="ar-SA"/>
                      </w:rPr>
                      <w:t xml:space="preserve">5.3.4. Ar </w:t>
                    </w:r>
                    <w:r>
                      <w:rPr>
                        <w:sz w:val="22"/>
                        <w:szCs w:val="22"/>
                        <w:lang w:eastAsia="ar-SA"/>
                      </w:rPr>
                      <w:t>koridoriuose, laiptinėse ir ant evakuacijos keliuose esančių durų</w:t>
                    </w:r>
                    <w:r>
                      <w:rPr>
                        <w:rFonts w:ascii="Tahoma" w:hAnsi="Tahoma" w:cs="Tahoma"/>
                        <w:sz w:val="22"/>
                        <w:szCs w:val="22"/>
                        <w:lang w:eastAsia="ar-SA"/>
                      </w:rPr>
                      <w:t xml:space="preserve"> </w:t>
                    </w:r>
                    <w:r>
                      <w:rPr>
                        <w:sz w:val="22"/>
                        <w:szCs w:val="22"/>
                        <w:lang w:eastAsia="ar-SA"/>
                      </w:rPr>
                      <w:t>įrengti evakuacijos kryptį nurodantys ženklai, ar jie įrengti pagal nustatytus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5.3.5. Ar </w:t>
                    </w:r>
                    <w:r>
                      <w:rPr>
                        <w:sz w:val="22"/>
                        <w:szCs w:val="22"/>
                        <w:lang w:eastAsia="ar-SA"/>
                      </w:rPr>
                      <w:t>evakuacijos krypties (gelbėjimosi) ir informacijos ženklai, nurodantys gesintuvų laikymo vietą ir gaisrinius čiaupus, išdėstyti taip, kad iš bet kurios patalpos vietos gerai būtų matomas bent vienas kiekvienos rūšies ženklas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5.3.6. Ar prie įėjimo į gamybines patalpas ir sandėlius nurodytos jų kategorijos pagal sprogimo ir gaisro pavojų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vAlign w:val="bottom"/>
                  </w:tcPr>
                  <w:p>
                    <w:pPr>
                      <w:suppressAutoHyphens/>
                      <w:rPr>
                        <w:bCs/>
                        <w:sz w:val="22"/>
                        <w:szCs w:val="22"/>
                        <w:lang w:eastAsia="ar-SA"/>
                      </w:rPr>
                    </w:pPr>
                    <w:r>
                      <w:rPr>
                        <w:bCs/>
                        <w:sz w:val="22"/>
                        <w:szCs w:val="22"/>
                        <w:lang w:eastAsia="ar-SA"/>
                      </w:rPr>
                      <w:t>5.3.7. Ar A</w:t>
                    </w:r>
                    <w:r>
                      <w:rPr>
                        <w:bCs/>
                        <w:position w:val="-5"/>
                        <w:sz w:val="22"/>
                        <w:szCs w:val="22"/>
                        <w:vertAlign w:val="subscript"/>
                        <w:lang w:eastAsia="ar-SA"/>
                      </w:rPr>
                      <w:t>sg</w:t>
                    </w:r>
                    <w:r>
                      <w:rPr>
                        <w:bCs/>
                        <w:sz w:val="22"/>
                        <w:szCs w:val="22"/>
                        <w:lang w:eastAsia="ar-SA"/>
                      </w:rPr>
                      <w:t>, B</w:t>
                    </w:r>
                    <w:r>
                      <w:rPr>
                        <w:bCs/>
                        <w:position w:val="-5"/>
                        <w:sz w:val="22"/>
                        <w:szCs w:val="22"/>
                        <w:vertAlign w:val="subscript"/>
                        <w:lang w:eastAsia="ar-SA"/>
                      </w:rPr>
                      <w:t>sg</w:t>
                    </w:r>
                    <w:r>
                      <w:rPr>
                        <w:bCs/>
                        <w:sz w:val="22"/>
                        <w:szCs w:val="22"/>
                        <w:lang w:eastAsia="ar-SA"/>
                      </w:rPr>
                      <w:t xml:space="preserve"> kategorijų pagal sprogimo ir gaisro pavojų patalpose yra pakabintos gaisrinės saugos instrukcijos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vAlign w:val="bottom"/>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Cs/>
                        <w:sz w:val="22"/>
                        <w:szCs w:val="22"/>
                        <w:lang w:eastAsia="ar-SA"/>
                      </w:rPr>
                      <w:t>5.3.8. Ar rūsiuose ir cokoliniuose aukštuose nelaikoma suslėgtųjų dujų balionų, ypač degių, labai degių medžiagų ir preparatų, sprogstamųjų bei kitų pavojingų medžiagų, kurios sprogsta ir dega sąveikaudamos su vandeniu, deguonimi ar viena su kita ir degimo metu išskiria nuodingų produktų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5.3.9. Ar vietose, kur kabeliai ir vamzdynai kerta statybines konstrukcijas, angos užtaisytos reikalaujamo atsparumo ugniai užpildu</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5.3.10. Ar viešbučių, motelių, senelių prieglaudų, pensionų, poilsio namų, nakvynės namų kambariuose yra priešgaisrinės saugos reikalavimų atmintinės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5.3.11. Ar gydymo paskirties pastatuose, kuriuose gydomi sutrikusio judėjimo funkciją turintys ligoniai, yra neštuvų (ne mažiau kaip vieneri šešiems ligoniams)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5.3.12. Ar</w:t>
                    </w:r>
                    <w:r>
                      <w:rPr>
                        <w:sz w:val="22"/>
                        <w:szCs w:val="22"/>
                        <w:lang w:eastAsia="ar-SA"/>
                      </w:rPr>
                      <w:t xml:space="preserve"> ligonių palatose tarpai tarp lovų yra ne mažesni kaip 0,8 m, ar pagrindinis takas ne siauresnis kaip 1,2 m</w:t>
                    </w:r>
                    <w:r>
                      <w:rPr>
                        <w:bCs/>
                        <w:sz w:val="22"/>
                        <w:szCs w:val="22"/>
                        <w:lang w:eastAsia="ar-SA"/>
                      </w:rPr>
                      <w:t xml:space="preserve">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5.3.13. Ar rūkyti skirtos patalpos įrengtos pagal nustatytus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5.3.14. Ar žmonių evakavimo planai įrengti pagal nustatytus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5.3.15. Ar statiniuose ir patalpose yra reikalaujamas pirminių gaisro gesinimo priemonių kiekis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bCs/>
                        <w:sz w:val="22"/>
                        <w:szCs w:val="22"/>
                        <w:lang w:eastAsia="ar-SA"/>
                      </w:rPr>
                    </w:pPr>
                    <w:r>
                      <w:rPr>
                        <w:b/>
                        <w:bCs/>
                        <w:sz w:val="22"/>
                        <w:szCs w:val="22"/>
                        <w:lang w:eastAsia="ar-SA"/>
                      </w:rPr>
                      <w:t>5.4. Technologiniai procesai ir įrenginiai: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 Ar matomoje vietoje pakabintos vamzdynų technologinės schemos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5.4.2. Ar vamzdynai, technologiniai įrenginiai ir tara, kuriuose yra sprogių ir gaisringų garų, dujų ar dulkių išskiriančių medžiagų, yra sandarūs. Ar ant minėtos taros nurodytas laikomos medžiagos pavadinimas, kiekis ir pavojingumo charakteristikos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5.4.3. Ar neeksploatuojami įrenginiai ir vamzdynai su degiais skysčiais įmirkusia izoliacine medžiaga</w:t>
                    </w:r>
                    <w:r>
                      <w:rPr>
                        <w:rFonts w:ascii="Tahoma" w:hAnsi="Tahoma" w:cs="Tahoma"/>
                        <w:sz w:val="22"/>
                        <w:szCs w:val="22"/>
                        <w:lang w:eastAsia="ar-SA"/>
                      </w:rPr>
                      <w:t xml:space="preserve">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5.4.4. Ar technologinius įrenginius aptarnaujantis personalas susipažinęs su vamzdynų technologine schema, sklendžių išdėstymu ir jų paskirtimi, ar ištikus avarijai moka atlikti sklendžių perjungimo, uždarymo ir atidarymo operacijas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5.4.5. Ar elektros įrenginiai apsaugoti nuo trumpojo laidų jungimo ir kitų avarinių režimų, galinčių sukelti gaisrą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5.4.6. Ar priėjimo prie elektros skydinių ir skirstomųjų spintų vietos yra tvarkingos ir neužkrautos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5.4.7. Ar degios medžiagos sandėliuojamos ne mažesniu  kaip 0,5 m atstumu nuo elektros šviestuvų</w:t>
                    </w:r>
                    <w:r>
                      <w:rPr>
                        <w:rFonts w:ascii="Tahoma" w:hAnsi="Tahoma" w:cs="Tahoma"/>
                        <w:sz w:val="22"/>
                        <w:szCs w:val="22"/>
                        <w:lang w:eastAsia="ar-SA"/>
                      </w:rPr>
                      <w:t xml:space="preserve">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5.4.8. Ar elektros šviestuvuose nenaudojamos didesnės galios elektros lempos, negu nurodyta šviestuvų techninėse charakteristikose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5.4.9. Ar tvarkingi kištukiniai lizdai, kištukai, paskirstymo dėžutės, jungikliai ir kiti elektros aparatai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5.4.10. Ar A</w:t>
                    </w:r>
                    <w:r>
                      <w:rPr>
                        <w:bCs/>
                        <w:sz w:val="22"/>
                        <w:szCs w:val="22"/>
                        <w:vertAlign w:val="subscript"/>
                        <w:lang w:eastAsia="ar-SA"/>
                      </w:rPr>
                      <w:t>sg</w:t>
                    </w:r>
                    <w:r>
                      <w:rPr>
                        <w:bCs/>
                        <w:sz w:val="22"/>
                        <w:szCs w:val="22"/>
                        <w:lang w:eastAsia="ar-SA"/>
                      </w:rPr>
                      <w:t>, B</w:t>
                    </w:r>
                    <w:r>
                      <w:rPr>
                        <w:bCs/>
                        <w:sz w:val="22"/>
                        <w:szCs w:val="22"/>
                        <w:vertAlign w:val="subscript"/>
                        <w:lang w:eastAsia="ar-SA"/>
                      </w:rPr>
                      <w:t>sg</w:t>
                    </w:r>
                    <w:r>
                      <w:rPr>
                        <w:bCs/>
                        <w:sz w:val="22"/>
                        <w:szCs w:val="22"/>
                        <w:lang w:eastAsia="ar-SA"/>
                      </w:rPr>
                      <w:t xml:space="preserve"> ir C</w:t>
                    </w:r>
                    <w:r>
                      <w:rPr>
                        <w:bCs/>
                        <w:sz w:val="22"/>
                        <w:szCs w:val="22"/>
                        <w:vertAlign w:val="subscript"/>
                        <w:lang w:eastAsia="ar-SA"/>
                      </w:rPr>
                      <w:t>g</w:t>
                    </w:r>
                    <w:r>
                      <w:rPr>
                        <w:bCs/>
                        <w:sz w:val="22"/>
                        <w:szCs w:val="22"/>
                        <w:lang w:eastAsia="ar-SA"/>
                      </w:rPr>
                      <w:t xml:space="preserve"> kategorijų pagal sprogimo ir gaisro pavojų patalpose nenaudojami elektros šviestuvai su nuimtais apsauginiais gaubtais ir neužsandarinta apšvietimo armatūra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5.4.11. Ar A</w:t>
                    </w:r>
                    <w:r>
                      <w:rPr>
                        <w:bCs/>
                        <w:sz w:val="22"/>
                        <w:szCs w:val="22"/>
                        <w:vertAlign w:val="subscript"/>
                        <w:lang w:eastAsia="ar-SA"/>
                      </w:rPr>
                      <w:t>sg</w:t>
                    </w:r>
                    <w:r>
                      <w:rPr>
                        <w:bCs/>
                        <w:sz w:val="22"/>
                        <w:szCs w:val="22"/>
                        <w:lang w:eastAsia="ar-SA"/>
                      </w:rPr>
                      <w:t xml:space="preserve"> ir B</w:t>
                    </w:r>
                    <w:r>
                      <w:rPr>
                        <w:bCs/>
                        <w:sz w:val="22"/>
                        <w:szCs w:val="22"/>
                        <w:vertAlign w:val="subscript"/>
                        <w:lang w:eastAsia="ar-SA"/>
                      </w:rPr>
                      <w:t>sg</w:t>
                    </w:r>
                    <w:r>
                      <w:rPr>
                        <w:bCs/>
                        <w:sz w:val="22"/>
                        <w:szCs w:val="22"/>
                        <w:lang w:eastAsia="ar-SA"/>
                      </w:rPr>
                      <w:t xml:space="preserve"> kategorijų pagal sprogimo ir gaisro pavojų patalpose</w:t>
                    </w:r>
                    <w:r>
                      <w:rPr>
                        <w:sz w:val="22"/>
                        <w:szCs w:val="22"/>
                        <w:lang w:eastAsia="ar-SA"/>
                      </w:rPr>
                      <w:t xml:space="preserve"> </w:t>
                    </w:r>
                    <w:r>
                      <w:rPr>
                        <w:bCs/>
                        <w:sz w:val="22"/>
                        <w:szCs w:val="22"/>
                        <w:lang w:eastAsia="ar-SA"/>
                      </w:rPr>
                      <w:t>neįrengti kištukiniai lizdai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5.4.12. Ar nenaudojami nekalibruoti ir savos gamybos apsaugos aparatai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5.4.13. Ar elektros laidai ir kabeliai sujungti tik leistinu būdu (presuojant, suvirinant, lituojant arba specialiomis jungtimis)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5.4.14. Ar atvirosios elektros instaliacijos laidai ir kabeliai tose vietose, kuriose galima juos mechaniškai pažeisti, yra papildomai apsaugoti (šarvais, plieniniais vamzdžiais ir pan.)</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5.4.15. Ar kabelių ir laidų izoliacijos varža matuojama laiku, ar matavimo rezultatai surašomi į tam tikslui skirtą žurnalą arba į atitinkamos formos aktą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5.4.16. Ar apsaugos nuo žaibo įrenginiai yra techniškai tvarkingi ir tikrinami jų įrengimą reglamentuojančių teisės aktų nustatyta tvarka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5.4.17. Ar neeksploatuojami elektros įrenginiai yra atjungti nuo elektros tinklo, ar nenaudojama atviroji elektros instaliacija yra  išmontuota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sz w:val="22"/>
                        <w:szCs w:val="22"/>
                        <w:lang w:eastAsia="ar-SA"/>
                      </w:rPr>
                      <w:t>5.4.18. Ar šildymo įrenginiai eksploatuojami pagal gamintojo instrukcijose ir kituose teisės aktuose nustatytus gaisrinės saugos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5.4.19. Ar prieš šildymo sezoną visi šildymo įrenginiai patikrinami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5.4.20. Ar šildymo įrenginiai, dūmtraukiai techniškai sutvarkyti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5.4.21. Ar palėpėse ir kitose gaisro atžvilgiu pavojingose patalpose esantys mūriniai dūmtraukiai ir mūrinės sienos su dūmų kanalais yra išbaltinti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5.4.22. Ar A</w:t>
                    </w:r>
                    <w:r>
                      <w:rPr>
                        <w:bCs/>
                        <w:sz w:val="22"/>
                        <w:szCs w:val="22"/>
                        <w:vertAlign w:val="subscript"/>
                        <w:lang w:eastAsia="ar-SA"/>
                      </w:rPr>
                      <w:t>sg</w:t>
                    </w:r>
                    <w:r>
                      <w:rPr>
                        <w:bCs/>
                        <w:sz w:val="22"/>
                        <w:szCs w:val="22"/>
                        <w:lang w:eastAsia="ar-SA"/>
                      </w:rPr>
                      <w:t>, B</w:t>
                    </w:r>
                    <w:r>
                      <w:rPr>
                        <w:bCs/>
                        <w:sz w:val="22"/>
                        <w:szCs w:val="22"/>
                        <w:vertAlign w:val="subscript"/>
                        <w:lang w:eastAsia="ar-SA"/>
                      </w:rPr>
                      <w:t>sg</w:t>
                    </w:r>
                    <w:r>
                      <w:rPr>
                        <w:bCs/>
                        <w:sz w:val="22"/>
                        <w:szCs w:val="22"/>
                        <w:lang w:eastAsia="ar-SA"/>
                      </w:rPr>
                      <w:t xml:space="preserve"> ir C</w:t>
                    </w:r>
                    <w:r>
                      <w:rPr>
                        <w:bCs/>
                        <w:sz w:val="22"/>
                        <w:szCs w:val="22"/>
                        <w:vertAlign w:val="subscript"/>
                        <w:lang w:eastAsia="ar-SA"/>
                      </w:rPr>
                      <w:t>g</w:t>
                    </w:r>
                    <w:r>
                      <w:rPr>
                        <w:bCs/>
                        <w:sz w:val="22"/>
                        <w:szCs w:val="22"/>
                        <w:lang w:eastAsia="ar-SA"/>
                      </w:rPr>
                      <w:t xml:space="preserve"> kategorijų pagal sprogimo ir gaisro pavojų patalpose nenaudojami atvirojo tipo šildymo prietaisai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5.4.23. </w:t>
                    </w:r>
                    <w:r>
                      <w:rPr>
                        <w:sz w:val="22"/>
                        <w:szCs w:val="22"/>
                        <w:lang w:eastAsia="ar-SA"/>
                      </w:rPr>
                      <w:t>Ar vėdinimo įrenginiai eksploatuojami pagal gamintojo instrukcijose ir kituose teisės aktuose nustatytus gaisrinės saugos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5.4.24. Ar iš vėdinimo kabinų, ciklonų, filtrų, ortakių reguliariai valomos degios dulkės ir gamybinės atliekos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5.4.25. Ar vėdinimo kameros užrakintos, jose nelaikomi įrenginiai ir kokios nors medžiagos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5.4.26. Ar įmonėje, įstaigoje, organizacijoje yra jos vadovo patvirtinta instrukcija, nustatanti ugnies darbų atlikimo tvarką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5.4.27. Ar laboratorijose dirbantis personalas yra susipažinęs su naudojamų cheminių medžiagų ir preparatų sprogumu ir gaisringumu</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5.4.28. Ar laboratorijose darbai, kurių metu gali išsiskirti kenksmingų, sprogių ir (ar) gaisringų dujų bei garų, atliekami techniškai tvarkingose traukos spintose, veikiant vėdinimo sistemai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5.4.29. Ar cheminės medžiagos laboratorijose laikomos pagal nustatytus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5.4.30. Ar laboratorijose prieigos prie cheminių medžiagų laikymo vietų pažymėtos užrašais, nurodančiais medžiagos būdingąją savybę (pvz., „Ugnis pavojinga“, „Nuodinga“ ir pan.)</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5.4.31. Ar dažymo, džiovinimo spintos, kameros, kabinos eksploatuojamos tik esant techniškai tvarkingiems jų ištraukiamosios vėdinimo sistemos oro drėkintuvams, vandens filtrams, dažų, lakų gaudikliams, automatinio gesinimo įrenginiams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5.4.32. Ar naudojant ypač degius, labai degius ir degius skysčius, dažoma, lakuojama ir emaliuojama specialiai tam įrengtose patalpose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sz w:val="22"/>
                        <w:szCs w:val="22"/>
                        <w:lang w:eastAsia="ar-SA"/>
                      </w:rPr>
                      <w:t>5.4.33. Ar iš dažymo, džiovinimo spintų, kamerų ir kabinų degios nuosėdos valomos kiekvieną pamainą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5.4.34. Ar džiovinimo kamerose nenaudojami atviri elektros elementai ir kontaktinės jungtys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5.4.35. Ar nuo technologinių šildymo ir kitų įrenginių bei elektrinių prietaisų dulkės ir kitos degios medžiagos valomos kiekvieną pamainą, nuo statybinių konstrukcijų ir stogo – ne rečiau kaip kartą per mėnesį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5.4.36. Ar medžio apdirbimo staklės turi vietinius siurbiklius su užsklandomis atliekoms šalinti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5.4.37. Ar susikaupusios medienos atliekos šalinamos laiku. Ar neperpildomi ciklonai ir dulkių surinkimo kameros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5.4.38. Ar nustatytas į džiovyklas kraunamų medžiagų leistinas kiekis ir darbo temperatūros režimas. Ar šiam režimui palaikyti įrengti temperatūros reguliatoriai, ar jie veikia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 xml:space="preserve">5.5. </w:t>
                    </w:r>
                    <w:r>
                      <w:rPr>
                        <w:b/>
                        <w:bCs/>
                        <w:sz w:val="22"/>
                        <w:szCs w:val="22"/>
                        <w:lang w:eastAsia="ar-SA"/>
                      </w:rPr>
                      <w:t>Sprogios ir gaisringos medžiagos:</w:t>
                    </w: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Cs/>
                        <w:sz w:val="22"/>
                        <w:szCs w:val="22"/>
                        <w:lang w:eastAsia="ar-SA"/>
                      </w:rPr>
                      <w:t>5.5.1. Ar sprogių ir gaisringų medžiagų krovos darbai atliekami tik esant nepažeistai gamyklinei šių medžiagų tarai ir pakuotei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5.5.2. Ar transporteriai, pneumatiniai ir savaime tekančių medžiagų vamzdynai yra techniškai sutvarkyti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5.5.3. Ar naftos ir jos produktų siurblinėse iškabintos technologinių vamzdynų ir armatūros išdėstymo schemos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5.5.4. Ar ant naftos produktų rezervuarų nurodyta produkto rūšis, rezervuaro tipas ir maksimalus pripylimo lygis. Ar rezervuarai neperpildyti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5.5.5. Ar tvarkingi naftos produktų rezervuarus juosiantys pylimėliai ir perėjimo tilteliai, ar pylimėlių apjuostos vietos viduje ir 10 m atstumu apie ją nelaikomos  kokios nors medžiagos ir įrenginiai, joje laiku pjaunama ir šalinama žolė</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5.5.6. Ar antžeminiuose rezervuaruose nafta ir jos produktai apsaugoti nuo kaitimo dėl tiesioginių saulės spindulių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5.5.7. Ar techniškai tvarkingi sankasose esančių kanalizacinių angų, skirtų naftos produktams ir lietaus vandeniui nutekėti, užtvariniai įrenginiai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5.5.8. Ar tvarkingi naftos ir jos produktų perpylimo įrenginiai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5.5.9. Ar pildomos tik techniškai tvarkingos geležinkelio cisternos ir turinčios ant korpuso žymas apie atliktą apžiūrą ir techninius bandymus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5.5.10. Ar įžeminti bėgiai, estakados, vamzdynai, teleskopiniai vamzdžiai ir žarnų antgaliai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5.5.11. Ar tvarkingi ir laisvi keliai ir tilteliai gaisriniams automobiliams važiuoti. Ar įrengti nedegūs tilteliai per vamzdynus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5.5.12. Ar naftos ir jos produktų pylimo estakadoje yra ne mažiau kaip 2 standžios vilktys automobilinėms cisternoms nutempti kilus gaisrui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5.5.13. Ar krante esantys naftos ir jos produktų vamzdynai turi avarines sklendes, įrengtas 30 m atstumu nuo prieplaukos (kranto)</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5.5.14. Ar naftos bazes, pylimo ir perpumpavimo stotis prižiūrintis personalas supranta vamzdynų technologines schemas, žino sklendžių vietą ir jų paskirtį, moka perjungti sklendes ištikus avarijai ar kilus gaisrui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5.5.15. Ar gamybinėse patalpose ir sandėliuose, kuriuose naudojamos arba laikomos medžiagos ir preparatai, galintys išskirti degių dujų ir garų, įrengti oro aplinkos dujų signalizatoriai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5.5.16. Ar dujų balionai laikomi pagal nustatytus reikalavimus, ar dujų balionų sandėliuose nelaikomos kitos medžiagos ir įrengimai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5.5.17. Ar civilinių pirotechnikos priemonių sandėliai ir prekybos jomis vietos įrengtos pagal nustatytus reikalavimus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5.5.18. Ar sandėliuojamų ir prekybos vietose esančių pirotechnikos priemonių kiekiai (bendras ir pirotechninio mišinio) neviršija teisės aktuose nustatytų leistinų dydžių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bCs/>
                        <w:sz w:val="22"/>
                        <w:szCs w:val="22"/>
                        <w:lang w:eastAsia="ar-SA"/>
                      </w:rPr>
                    </w:pPr>
                    <w:r>
                      <w:rPr>
                        <w:b/>
                        <w:bCs/>
                        <w:sz w:val="22"/>
                        <w:szCs w:val="22"/>
                        <w:lang w:eastAsia="ar-SA"/>
                      </w:rPr>
                      <w:t>5.6. Medžiagų sandėliavimas: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5.6.1. Ar medžiagos laikomos grupėmis pagal joms gesinti naudojamas medžiagas (vanduo, putos, dujos ir t. t. ), taip pat pagal jų fizikines bei chemines savybes ir sprogumą bei gaisringumą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Cs/>
                        <w:sz w:val="22"/>
                        <w:szCs w:val="22"/>
                        <w:lang w:eastAsia="ar-SA"/>
                      </w:rPr>
                      <w:t xml:space="preserve">5.6.2. Ar </w:t>
                    </w:r>
                    <w:r>
                      <w:rPr>
                        <w:sz w:val="22"/>
                        <w:szCs w:val="22"/>
                        <w:lang w:eastAsia="ar-SA"/>
                      </w:rPr>
                      <w:t xml:space="preserve">ant išorinės sandėlio durų (vartų) pusės įrengti ženklai, apibūdinantys laikomų medžiagų ir prekių sprogumą ir gaisringumą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5.6.3. Ar sandėliuose langai, durys ir vartai neužkrauti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5.6.4. Ar medžiagos, kurios laikomos ne lentynose, sudėtos į rietuves. Ar</w:t>
                    </w:r>
                    <w:r>
                      <w:rPr>
                        <w:sz w:val="22"/>
                        <w:szCs w:val="22"/>
                        <w:lang w:eastAsia="ar-SA"/>
                      </w:rPr>
                      <w:t xml:space="preserve"> sandėliuose, kurių plotas didesnis kaip 200 m</w:t>
                    </w:r>
                    <w:r>
                      <w:rPr>
                        <w:sz w:val="22"/>
                        <w:szCs w:val="22"/>
                        <w:vertAlign w:val="superscript"/>
                        <w:lang w:eastAsia="ar-SA"/>
                      </w:rPr>
                      <w:t>2</w:t>
                    </w:r>
                    <w:r>
                      <w:rPr>
                        <w:sz w:val="22"/>
                        <w:szCs w:val="22"/>
                        <w:lang w:eastAsia="ar-SA"/>
                      </w:rPr>
                      <w:t xml:space="preserve">, šių medžiagų laikymo </w:t>
                    </w:r>
                    <w:r>
                      <w:rPr>
                        <w:bCs/>
                        <w:sz w:val="22"/>
                        <w:szCs w:val="22"/>
                        <w:lang w:eastAsia="ar-SA"/>
                      </w:rPr>
                      <w:t xml:space="preserve">vietos yra  pažymėtos juostomis ant grindų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5.6.5. Ar sandėliuose nelaikomi elektros ir automobiliniai krautuvai, motorinės transporto priemonės, ar neįkraunami jų akumuliatoriai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5.6.6. Ar degių ir nedegių medžiagų su degia pakuote sandėliuose nenaudojami elektros šildytuvai su atvirais kaitinimo elementais, viryklės ir kiti buitiniai elektros prietaisai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5.6.7. Ar sandėliuose, kurių plotas didesnis kaip 50 m</w:t>
                    </w:r>
                    <w:r>
                      <w:rPr>
                        <w:bCs/>
                        <w:position w:val="5"/>
                        <w:sz w:val="22"/>
                        <w:szCs w:val="22"/>
                        <w:vertAlign w:val="superscript"/>
                        <w:lang w:eastAsia="ar-SA"/>
                      </w:rPr>
                      <w:t>2</w:t>
                    </w:r>
                    <w:r>
                      <w:rPr>
                        <w:bCs/>
                        <w:sz w:val="22"/>
                        <w:szCs w:val="22"/>
                        <w:lang w:eastAsia="ar-SA"/>
                      </w:rPr>
                      <w:t>, praeigos tarp stelažų, rietuvių ir nuo stelažų, rietuvių iki sienų labiausiai išsikišusių konstrukcijų yra ne siauresnės kaip 0,8 m ir neužkrautos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5.6.8. Ar sandėliuose, kurių plotas didesnis kaip 200 m</w:t>
                    </w:r>
                    <w:r>
                      <w:rPr>
                        <w:bCs/>
                        <w:position w:val="5"/>
                        <w:sz w:val="22"/>
                        <w:szCs w:val="22"/>
                        <w:vertAlign w:val="superscript"/>
                        <w:lang w:eastAsia="ar-SA"/>
                      </w:rPr>
                      <w:t>2</w:t>
                    </w:r>
                    <w:r>
                      <w:rPr>
                        <w:bCs/>
                        <w:sz w:val="22"/>
                        <w:szCs w:val="22"/>
                        <w:lang w:eastAsia="ar-SA"/>
                      </w:rPr>
                      <w:t>, praeigos tarp stelažų, rietuvių yra ne siauresnės kaip 1,2 m, tarp sienų labiausiai išsikišusių konstrukcijų ir stelažų, rietuvių – ne siauresnės kaip 0,8 m</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5.6.9. Ar medienos ir rąstų rietuvės lengvai prieinamos ir privažiuojamos iš visų pusių. Ar rietuvės ne didesnės, praeigos tarp jų ne siauresnės, nei nustatyta teisės aktuose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5.6.10. Ar atstumas nuo kietojo kuro aikštelėse sandėliuojamų medienos pjuvenų arba skiedrų krūvų iki pastatų ir statinių ne mažesnis kaip 15 m. Ar krūvos ne didesnės, praeigos tarp jų ne siauresnės, nei nustatyta teisės aktuose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 xml:space="preserve">5.6.11. Ar sandėliuojamų anglių krūvų aukštis ne didesnis, tarpai tarp jų ne mažesni, nei nustatyta teisės aktuose </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5.6.12. Ar skirtingų rūšių anglys kraunamos į atskiras krūvas. Ar anglių temperatūra krūvose kontroliuojama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5.6.13. Ar sandėliuojamų durpių krūvos ne didesnės, tarpai tarp jų ne mažesni, nei nustatyta teisės aktuose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5.6.14. Ar kontroliuojama durpių temperatūra krūvose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5.6.15. Ar saugomų padangų, gumos atliekų rietuvės ne didesnės, tarpai tarp jų ne mažesni, nei nustatyta teisės aktuose</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 xml:space="preserve">5.7. </w:t>
                    </w:r>
                    <w:r>
                      <w:rPr>
                        <w:b/>
                        <w:bCs/>
                        <w:sz w:val="22"/>
                        <w:szCs w:val="22"/>
                        <w:lang w:eastAsia="ar-SA"/>
                      </w:rPr>
                      <w:t>Masinio susibūrimo renginiai:</w:t>
                    </w: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5.7.1. Ar masinių kultūros renginių metu budi asmenys, supažindinti su gaisrinės saugos reikalavimais ir žmonių evakavimo kilus gaisrui tvarka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5.7.2. Ar masinių kultūros renginių patalpose kėdės sujungtos į eiles arba pritvirtintos prie grindų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5.7.3. Ar scenai apipavidalinti nenaudojamos ypač degios ir labai degios medžiagos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5.8. Gaisrų gesinimo priemonės ir gaisrinė įranga:</w:t>
                    </w: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5.8.1. Ar objekte esančios gaisrinės saugos sistemos ir gaisrinės automatikos įrenginiai, skirti gaisrui aptikti, pranešti apie jį, gesinti, dūmams ir šilumai šalinti ar kelioms šioms funkcijoms vykdyti (toliau – aktyviosios gaisrinės saugos priemonės) yra techniškai tvarkingos ir veikia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5.8.2. Ar organizuojama ir atliekama aktyviųjų gaisrinės saugos priemonių techninė priežiūra. Ar jos išbandomos ne rečiau kaip kartą per metus, ar rezultatai surašomi į tam skirtus žurnalus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5.8.3. </w:t>
                    </w:r>
                    <w:r>
                      <w:rPr>
                        <w:bCs/>
                        <w:sz w:val="22"/>
                        <w:szCs w:val="22"/>
                        <w:lang w:eastAsia="ar-SA"/>
                      </w:rPr>
                      <w:t xml:space="preserve">Ar gesintuvai </w:t>
                    </w:r>
                    <w:r>
                      <w:rPr>
                        <w:sz w:val="22"/>
                        <w:szCs w:val="22"/>
                        <w:lang w:eastAsia="ar-SA"/>
                      </w:rPr>
                      <w:t>laikomi lengvai prieinamose ir matomose vietose, ne arčiau kaip per 1 m nuo šildymo prietaisų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5.8.4. </w:t>
                    </w:r>
                    <w:r>
                      <w:rPr>
                        <w:bCs/>
                        <w:sz w:val="22"/>
                        <w:szCs w:val="22"/>
                        <w:lang w:eastAsia="ar-SA"/>
                      </w:rPr>
                      <w:t xml:space="preserve">Ar </w:t>
                    </w:r>
                    <w:r>
                      <w:rPr>
                        <w:sz w:val="22"/>
                        <w:szCs w:val="22"/>
                        <w:lang w:eastAsia="ar-SA"/>
                      </w:rPr>
                      <w:t>gesintuvai ir juose esančių gesinimo medžiagų kiekis ir kokybė tikrinami PAGD nustatyta tvarka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5.8.5. </w:t>
                    </w:r>
                    <w:r>
                      <w:rPr>
                        <w:bCs/>
                        <w:sz w:val="22"/>
                        <w:szCs w:val="22"/>
                        <w:lang w:eastAsia="ar-SA"/>
                      </w:rPr>
                      <w:t>Ar vidaus gaisrinio vandentiekio tinklas yra techniškai sutvarkytas, ar jis periodiškai (kartą per metus) tikrinamas, ar patikros rezultatai surašomi į tam skirtą žurnalą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5.8.6. </w:t>
                    </w:r>
                    <w:r>
                      <w:rPr>
                        <w:bCs/>
                        <w:sz w:val="22"/>
                        <w:szCs w:val="22"/>
                        <w:lang w:eastAsia="ar-SA"/>
                      </w:rPr>
                      <w:t>Ar gaisrinės žarnos yra sausos, susuktos į dvigubą ritę (plokščiosios gaisrinės žarnos) ir prijungtos prie čiaupų bei švirkštų</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5.8.7. </w:t>
                    </w:r>
                    <w:r>
                      <w:rPr>
                        <w:bCs/>
                        <w:sz w:val="22"/>
                        <w:szCs w:val="22"/>
                        <w:lang w:eastAsia="ar-SA"/>
                      </w:rPr>
                      <w:t>Ar gaisrinių čiaupų spintelės tvarkingos, lengvai atidaromos, ar ant durelių yra aiškiai pažymėtas raidžių indeksas „GČ“ arba grafinis ženklas, jo eilės ir ugniagesių iškvietimo telefono numeris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sz w:val="22"/>
                        <w:szCs w:val="22"/>
                        <w:lang w:eastAsia="ar-SA"/>
                      </w:rPr>
                    </w:pPr>
                    <w:r>
                      <w:rPr>
                        <w:sz w:val="22"/>
                        <w:szCs w:val="22"/>
                        <w:lang w:eastAsia="ar-SA"/>
                      </w:rPr>
                      <w:t xml:space="preserve">5.8.8. </w:t>
                    </w:r>
                    <w:r>
                      <w:rPr>
                        <w:bCs/>
                        <w:sz w:val="22"/>
                        <w:szCs w:val="22"/>
                        <w:lang w:eastAsia="ar-SA"/>
                      </w:rPr>
                      <w:t>Ar prieigų prie gaisrinių čiaupų vietos yra laisvos ir neužkrautos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rPr>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5.8.9. Ar aikštelės ir keliai, skirti gaisriniams automobiliams privažiuoti prie vandens šaltinių (gaisrinių rezervuarų, gaisrinių hidrantų, upės, tvenkinio ir kt.), yra laisvi ir tvarkingi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5.8.10. Ar gaisrui gesinti naudojami vandens rezervuarai ir kiti vandens šaltiniai reguliariai valomi (šalinamos šiukšlės, dumblas, kiti pašaliniai daiktai)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5.8.11. Ar gaisrui gesinti skirti vandens rezervuarai pripildyti vandens</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5.8.12. Ar gaisrui gesinti skirtų vandens rezervuarų, gaisrinių hidrantų, kitų vandens šaltinių vietos ir privažiavimo prie jų keliai yra pažymėti specialiomis rodyklėmis (ženklais), ar ant rezervuarų nurodyta jų talpa</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5.8.13. Ar gaisriniai hidrantai yra tvarkingi ir parengti darbui, jų šulinių dangčiai lengvai atsidaro bet kuriuo metų laiku</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5.8.14. Ar neužstatomi privažiavimo prie gaisrinių hidrantų keliai ir patys hidrantai</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5.8.15. Ar periodiškai (ne rečiau kaip kartą per metus) tikrinama gaisrinių hidrantų, hidrantų kolonėlių techninė būklė, ar patikros rezultatai surašomi į tam skirtą žurnalą arba atitinkamos formos aktą</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8314"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r>
                      <w:rPr>
                        <w:bCs/>
                        <w:sz w:val="22"/>
                        <w:szCs w:val="22"/>
                        <w:lang w:eastAsia="ar-SA"/>
                      </w:rPr>
                      <w:t>5.8.16. Ar vandentiekio bokštas tvarkingas ir pritaikytas gaisrų gesinimo technikai paimti vandenį</w:t>
                    </w:r>
                  </w:p>
                </w:tc>
                <w:tc>
                  <w:tcPr>
                    <w:tcW w:w="870"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Cs/>
                        <w:sz w:val="22"/>
                        <w:szCs w:val="22"/>
                        <w:lang w:eastAsia="ar-SA"/>
                      </w:rPr>
                    </w:pPr>
                  </w:p>
                </w:tc>
              </w:tr>
              <w:tr>
                <w:trPr>
                  <w:trHeight w:val="20"/>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6.</w:t>
                    </w:r>
                  </w:p>
                </w:tc>
                <w:tc>
                  <w:tcPr>
                    <w:tcW w:w="3545" w:type="dxa"/>
                    <w:gridSpan w:val="2"/>
                    <w:tcBorders>
                      <w:top w:val="single" w:sz="4" w:space="0" w:color="auto"/>
                      <w:left w:val="single" w:sz="4" w:space="0" w:color="auto"/>
                      <w:bottom w:val="single" w:sz="4" w:space="0" w:color="auto"/>
                    </w:tcBorders>
                    <w:tcMar>
                      <w:left w:w="57" w:type="dxa"/>
                      <w:right w:w="57" w:type="dxa"/>
                    </w:tcMar>
                  </w:tcPr>
                  <w:p>
                    <w:pPr>
                      <w:suppressAutoHyphens/>
                      <w:rPr>
                        <w:b/>
                        <w:sz w:val="22"/>
                        <w:szCs w:val="22"/>
                        <w:lang w:eastAsia="ar-SA"/>
                      </w:rPr>
                    </w:pPr>
                    <w:r>
                      <w:rPr>
                        <w:b/>
                        <w:sz w:val="22"/>
                        <w:szCs w:val="22"/>
                        <w:lang w:eastAsia="ar-SA"/>
                      </w:rPr>
                      <w:t>Deklaracijos pateikimo data</w:t>
                    </w:r>
                  </w:p>
                </w:tc>
                <w:tc>
                  <w:tcPr>
                    <w:tcW w:w="4524" w:type="dxa"/>
                    <w:gridSpan w:val="4"/>
                    <w:tcBorders>
                      <w:top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7.</w:t>
                    </w:r>
                  </w:p>
                </w:tc>
                <w:tc>
                  <w:tcPr>
                    <w:tcW w:w="8069" w:type="dxa"/>
                    <w:gridSpan w:val="6"/>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r>
                      <w:rPr>
                        <w:b/>
                        <w:sz w:val="22"/>
                        <w:szCs w:val="22"/>
                        <w:lang w:eastAsia="ar-SA"/>
                      </w:rPr>
                      <w:t>Deklaruojančiosios įmonės vadovo vardas ir pavardė</w:t>
                    </w: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suppressAutoHyphens/>
                      <w:rPr>
                        <w:b/>
                        <w:sz w:val="22"/>
                        <w:szCs w:val="22"/>
                        <w:lang w:eastAsia="ar-SA"/>
                      </w:rPr>
                    </w:pPr>
                  </w:p>
                </w:tc>
              </w:tr>
              <w:tr>
                <w:trPr>
                  <w:trHeight w:val="20"/>
                </w:trPr>
                <w:tc>
                  <w:tcPr>
                    <w:tcW w:w="9184" w:type="dxa"/>
                    <w:gridSpan w:val="7"/>
                    <w:tcBorders>
                      <w:top w:val="single" w:sz="4" w:space="0" w:color="auto"/>
                      <w:left w:val="single" w:sz="4" w:space="0" w:color="auto"/>
                      <w:bottom w:val="single" w:sz="4" w:space="0" w:color="auto"/>
                      <w:right w:val="single" w:sz="4" w:space="0" w:color="auto"/>
                    </w:tcBorders>
                    <w:tcMar>
                      <w:left w:w="57" w:type="dxa"/>
                      <w:right w:w="57" w:type="dxa"/>
                    </w:tcMar>
                  </w:tcPr>
                  <w:p>
                    <w:pPr>
                      <w:tabs>
                        <w:tab w:val="left" w:pos="8160"/>
                      </w:tabs>
                      <w:suppressAutoHyphens/>
                      <w:rPr>
                        <w:sz w:val="22"/>
                        <w:szCs w:val="22"/>
                        <w:lang w:eastAsia="ar-SA"/>
                      </w:rPr>
                    </w:pPr>
                    <w:r>
                      <w:rPr>
                        <w:sz w:val="22"/>
                        <w:szCs w:val="22"/>
                        <w:lang w:eastAsia="ar-SA"/>
                      </w:rPr>
                      <w:t>Patvirtinu, kad Deklaracijoje ir pridedamuose dokumentuose arba jų kopijose pateikti duomenys tikslūs ir teisingi</w:t>
                    </w:r>
                  </w:p>
                  <w:p>
                    <w:pPr>
                      <w:suppressAutoHyphens/>
                      <w:rPr>
                        <w:sz w:val="22"/>
                        <w:szCs w:val="22"/>
                        <w:lang w:eastAsia="ar-SA"/>
                      </w:rPr>
                    </w:pPr>
                  </w:p>
                  <w:p>
                    <w:pPr>
                      <w:suppressAutoHyphens/>
                      <w:rPr>
                        <w:sz w:val="22"/>
                        <w:szCs w:val="22"/>
                        <w:lang w:eastAsia="ar-SA"/>
                      </w:rPr>
                    </w:pPr>
                    <w:r>
                      <w:rPr>
                        <w:b/>
                        <w:sz w:val="22"/>
                        <w:szCs w:val="22"/>
                        <w:lang w:eastAsia="ar-SA"/>
                      </w:rPr>
                      <w:t>___________________________________</w:t>
                    </w:r>
                  </w:p>
                  <w:p>
                    <w:pPr>
                      <w:suppressAutoHyphens/>
                      <w:rPr>
                        <w:bCs/>
                        <w:sz w:val="22"/>
                        <w:szCs w:val="22"/>
                        <w:lang w:eastAsia="ar-SA"/>
                      </w:rPr>
                    </w:pPr>
                    <w:r>
                      <w:rPr>
                        <w:bCs/>
                        <w:sz w:val="22"/>
                        <w:szCs w:val="22"/>
                        <w:lang w:eastAsia="ar-SA"/>
                      </w:rPr>
                      <w:t>(deklaruojančiosios įmonės vadovo parašas)</w:t>
                    </w:r>
                  </w:p>
                  <w:p>
                    <w:pPr>
                      <w:suppressAutoHyphens/>
                      <w:rPr>
                        <w:b/>
                        <w:sz w:val="22"/>
                        <w:szCs w:val="22"/>
                        <w:lang w:eastAsia="ar-SA"/>
                      </w:rPr>
                    </w:pPr>
                  </w:p>
                </w:tc>
              </w:tr>
              <w:tr>
                <w:trPr>
                  <w:trHeight w:val="20"/>
                </w:trPr>
                <w:tc>
                  <w:tcPr>
                    <w:tcW w:w="1115" w:type="dxa"/>
                    <w:tcBorders>
                      <w:top w:val="single" w:sz="4" w:space="0" w:color="auto"/>
                      <w:left w:val="single" w:sz="4" w:space="0" w:color="auto"/>
                      <w:right w:val="single" w:sz="4" w:space="0" w:color="auto"/>
                    </w:tcBorders>
                    <w:tcMar>
                      <w:left w:w="57" w:type="dxa"/>
                      <w:right w:w="57" w:type="dxa"/>
                    </w:tcMar>
                  </w:tcPr>
                  <w:p>
                    <w:pPr>
                      <w:rPr>
                        <w:b/>
                        <w:bCs/>
                        <w:sz w:val="22"/>
                        <w:szCs w:val="22"/>
                      </w:rPr>
                    </w:pPr>
                    <w:r>
                      <w:rPr>
                        <w:b/>
                        <w:bCs/>
                        <w:sz w:val="22"/>
                        <w:szCs w:val="22"/>
                      </w:rPr>
                      <w:t>8.</w:t>
                    </w:r>
                  </w:p>
                </w:tc>
                <w:tc>
                  <w:tcPr>
                    <w:tcW w:w="8069" w:type="dxa"/>
                    <w:gridSpan w:val="6"/>
                    <w:tcBorders>
                      <w:top w:val="single" w:sz="4" w:space="0" w:color="auto"/>
                      <w:left w:val="single" w:sz="4" w:space="0" w:color="auto"/>
                      <w:right w:val="single" w:sz="4" w:space="0" w:color="auto"/>
                    </w:tcBorders>
                    <w:tcMar>
                      <w:left w:w="57" w:type="dxa"/>
                      <w:right w:w="57" w:type="dxa"/>
                    </w:tcMar>
                  </w:tcPr>
                  <w:p>
                    <w:pPr>
                      <w:jc w:val="both"/>
                      <w:rPr>
                        <w:b/>
                        <w:bCs/>
                        <w:sz w:val="22"/>
                        <w:szCs w:val="22"/>
                      </w:rPr>
                    </w:pPr>
                    <w:r>
                      <w:rPr>
                        <w:b/>
                        <w:bCs/>
                        <w:sz w:val="22"/>
                        <w:szCs w:val="22"/>
                      </w:rPr>
                      <w:t>Pridedami dokumentai arba jų kopijos</w:t>
                    </w:r>
                  </w:p>
                </w:tc>
              </w:tr>
              <w:tr>
                <w:trPr>
                  <w:trHeight w:val="20"/>
                </w:trPr>
                <w:tc>
                  <w:tcPr>
                    <w:tcW w:w="1115" w:type="dxa"/>
                    <w:vMerge w:val="restart"/>
                    <w:tcBorders>
                      <w:left w:val="single" w:sz="4" w:space="0" w:color="auto"/>
                      <w:right w:val="nil"/>
                    </w:tcBorders>
                    <w:tcMar>
                      <w:left w:w="57" w:type="dxa"/>
                      <w:right w:w="57" w:type="dxa"/>
                    </w:tcMar>
                    <w:vAlign w:val="center"/>
                  </w:tcPr>
                  <w:p>
                    <w:pPr>
                      <w:suppressAutoHyphens/>
                      <w:rPr>
                        <w:bCs/>
                        <w:sz w:val="22"/>
                        <w:szCs w:val="22"/>
                        <w:lang w:eastAsia="ar-SA"/>
                      </w:rPr>
                    </w:pPr>
                  </w:p>
                </w:tc>
                <w:tc>
                  <w:tcPr>
                    <w:tcW w:w="6343" w:type="dxa"/>
                    <w:gridSpan w:val="4"/>
                    <w:tcBorders>
                      <w:top w:val="single" w:sz="4" w:space="0" w:color="auto"/>
                      <w:left w:val="nil"/>
                      <w:right w:val="single" w:sz="4" w:space="0" w:color="auto"/>
                    </w:tcBorders>
                    <w:tcMar>
                      <w:top w:w="0" w:type="dxa"/>
                      <w:left w:w="57" w:type="dxa"/>
                      <w:bottom w:w="0" w:type="dxa"/>
                      <w:right w:w="57" w:type="dxa"/>
                    </w:tcMar>
                    <w:vAlign w:val="center"/>
                  </w:tcPr>
                  <w:p>
                    <w:pPr>
                      <w:jc w:val="both"/>
                      <w:rPr>
                        <w:bCs/>
                        <w:sz w:val="22"/>
                        <w:szCs w:val="22"/>
                      </w:rPr>
                    </w:pPr>
                    <w:r>
                      <w:rPr>
                        <w:bCs/>
                        <w:sz w:val="22"/>
                        <w:szCs w:val="22"/>
                      </w:rPr>
                      <w:t>Dokumento pavadinimas</w:t>
                    </w:r>
                  </w:p>
                </w:tc>
                <w:tc>
                  <w:tcPr>
                    <w:tcW w:w="1726" w:type="dxa"/>
                    <w:gridSpan w:val="2"/>
                    <w:tcBorders>
                      <w:top w:val="single" w:sz="4" w:space="0" w:color="auto"/>
                      <w:left w:val="single" w:sz="4" w:space="0" w:color="auto"/>
                      <w:right w:val="single" w:sz="4" w:space="0" w:color="auto"/>
                    </w:tcBorders>
                    <w:tcMar>
                      <w:left w:w="57" w:type="dxa"/>
                      <w:right w:w="57" w:type="dxa"/>
                    </w:tcMar>
                  </w:tcPr>
                  <w:p>
                    <w:pPr>
                      <w:jc w:val="both"/>
                      <w:rPr>
                        <w:bCs/>
                        <w:sz w:val="22"/>
                        <w:szCs w:val="22"/>
                      </w:rPr>
                    </w:pPr>
                    <w:r>
                      <w:rPr>
                        <w:bCs/>
                        <w:sz w:val="22"/>
                        <w:szCs w:val="22"/>
                      </w:rPr>
                      <w:t>Lapų skaičius</w:t>
                    </w:r>
                  </w:p>
                </w:tc>
              </w:tr>
              <w:tr>
                <w:trPr>
                  <w:trHeight w:val="20"/>
                </w:trPr>
                <w:tc>
                  <w:tcPr>
                    <w:tcW w:w="1115" w:type="dxa"/>
                    <w:vMerge/>
                    <w:tcBorders>
                      <w:left w:val="single" w:sz="4" w:space="0" w:color="auto"/>
                      <w:right w:val="nil"/>
                    </w:tcBorders>
                    <w:tcMar>
                      <w:left w:w="57" w:type="dxa"/>
                      <w:right w:w="57" w:type="dxa"/>
                    </w:tcMar>
                    <w:vAlign w:val="center"/>
                  </w:tcPr>
                  <w:p>
                    <w:pPr>
                      <w:suppressAutoHyphens/>
                      <w:rPr>
                        <w:bCs/>
                        <w:sz w:val="22"/>
                        <w:szCs w:val="22"/>
                        <w:lang w:eastAsia="ar-SA"/>
                      </w:rPr>
                    </w:pPr>
                  </w:p>
                </w:tc>
                <w:tc>
                  <w:tcPr>
                    <w:tcW w:w="6343" w:type="dxa"/>
                    <w:gridSpan w:val="4"/>
                    <w:tcBorders>
                      <w:top w:val="single" w:sz="4" w:space="0" w:color="auto"/>
                      <w:left w:val="nil"/>
                      <w:right w:val="single" w:sz="4" w:space="0" w:color="auto"/>
                    </w:tcBorders>
                    <w:tcMar>
                      <w:top w:w="0" w:type="dxa"/>
                      <w:left w:w="57" w:type="dxa"/>
                      <w:bottom w:w="0" w:type="dxa"/>
                      <w:right w:w="57" w:type="dxa"/>
                    </w:tcMar>
                    <w:vAlign w:val="center"/>
                  </w:tcPr>
                  <w:p>
                    <w:pPr>
                      <w:jc w:val="both"/>
                      <w:rPr>
                        <w:bCs/>
                        <w:sz w:val="22"/>
                        <w:szCs w:val="22"/>
                      </w:rPr>
                    </w:pPr>
                  </w:p>
                </w:tc>
                <w:tc>
                  <w:tcPr>
                    <w:tcW w:w="1726" w:type="dxa"/>
                    <w:gridSpan w:val="2"/>
                    <w:tcBorders>
                      <w:top w:val="single" w:sz="4" w:space="0" w:color="auto"/>
                      <w:left w:val="single" w:sz="4" w:space="0" w:color="auto"/>
                      <w:right w:val="single" w:sz="4" w:space="0" w:color="auto"/>
                    </w:tcBorders>
                    <w:tcMar>
                      <w:left w:w="57" w:type="dxa"/>
                      <w:right w:w="57" w:type="dxa"/>
                    </w:tcMar>
                  </w:tcPr>
                  <w:p>
                    <w:pPr>
                      <w:jc w:val="both"/>
                      <w:rPr>
                        <w:bCs/>
                        <w:sz w:val="22"/>
                        <w:szCs w:val="22"/>
                      </w:rPr>
                    </w:pPr>
                  </w:p>
                </w:tc>
              </w:tr>
              <w:tr>
                <w:trPr>
                  <w:trHeight w:val="20"/>
                </w:trPr>
                <w:tc>
                  <w:tcPr>
                    <w:tcW w:w="7458" w:type="dxa"/>
                    <w:gridSpan w:val="5"/>
                    <w:tcBorders>
                      <w:left w:val="single" w:sz="4" w:space="0" w:color="auto"/>
                      <w:right w:val="single" w:sz="4" w:space="0" w:color="auto"/>
                    </w:tcBorders>
                    <w:tcMar>
                      <w:left w:w="57" w:type="dxa"/>
                      <w:right w:w="57" w:type="dxa"/>
                    </w:tcMar>
                    <w:vAlign w:val="center"/>
                  </w:tcPr>
                  <w:p>
                    <w:pPr>
                      <w:jc w:val="both"/>
                      <w:rPr>
                        <w:b/>
                        <w:bCs/>
                        <w:sz w:val="22"/>
                        <w:szCs w:val="22"/>
                      </w:rPr>
                    </w:pPr>
                  </w:p>
                </w:tc>
                <w:tc>
                  <w:tcPr>
                    <w:tcW w:w="1726" w:type="dxa"/>
                    <w:gridSpan w:val="2"/>
                    <w:tcBorders>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7458" w:type="dxa"/>
                    <w:gridSpan w:val="5"/>
                    <w:tcBorders>
                      <w:left w:val="single" w:sz="4" w:space="0" w:color="auto"/>
                      <w:right w:val="single" w:sz="4" w:space="0" w:color="auto"/>
                    </w:tcBorders>
                    <w:tcMar>
                      <w:left w:w="57" w:type="dxa"/>
                      <w:right w:w="57" w:type="dxa"/>
                    </w:tcMar>
                    <w:vAlign w:val="center"/>
                  </w:tcPr>
                  <w:p>
                    <w:pPr>
                      <w:jc w:val="both"/>
                      <w:rPr>
                        <w:b/>
                        <w:bCs/>
                        <w:sz w:val="22"/>
                        <w:szCs w:val="22"/>
                      </w:rPr>
                    </w:pPr>
                  </w:p>
                </w:tc>
                <w:tc>
                  <w:tcPr>
                    <w:tcW w:w="1726" w:type="dxa"/>
                    <w:gridSpan w:val="2"/>
                    <w:tcBorders>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7458" w:type="dxa"/>
                    <w:gridSpan w:val="5"/>
                    <w:tcBorders>
                      <w:left w:val="single" w:sz="4" w:space="0" w:color="auto"/>
                      <w:right w:val="single" w:sz="4" w:space="0" w:color="auto"/>
                    </w:tcBorders>
                    <w:tcMar>
                      <w:left w:w="57" w:type="dxa"/>
                      <w:right w:w="57" w:type="dxa"/>
                    </w:tcMar>
                    <w:vAlign w:val="center"/>
                  </w:tcPr>
                  <w:p>
                    <w:pPr>
                      <w:jc w:val="both"/>
                      <w:rPr>
                        <w:b/>
                        <w:bCs/>
                        <w:sz w:val="22"/>
                        <w:szCs w:val="22"/>
                      </w:rPr>
                    </w:pPr>
                  </w:p>
                </w:tc>
                <w:tc>
                  <w:tcPr>
                    <w:tcW w:w="1726" w:type="dxa"/>
                    <w:gridSpan w:val="2"/>
                    <w:tcBorders>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7458" w:type="dxa"/>
                    <w:gridSpan w:val="5"/>
                    <w:tcBorders>
                      <w:left w:val="single" w:sz="4" w:space="0" w:color="auto"/>
                      <w:bottom w:val="single" w:sz="4" w:space="0" w:color="auto"/>
                      <w:right w:val="single" w:sz="4" w:space="0" w:color="auto"/>
                    </w:tcBorders>
                    <w:tcMar>
                      <w:left w:w="57" w:type="dxa"/>
                      <w:right w:w="57" w:type="dxa"/>
                    </w:tcMar>
                    <w:vAlign w:val="center"/>
                  </w:tcPr>
                  <w:p>
                    <w:pPr>
                      <w:jc w:val="both"/>
                      <w:rPr>
                        <w:b/>
                        <w:bCs/>
                        <w:sz w:val="22"/>
                        <w:szCs w:val="22"/>
                      </w:rPr>
                    </w:pPr>
                  </w:p>
                </w:tc>
                <w:tc>
                  <w:tcPr>
                    <w:tcW w:w="1726" w:type="dxa"/>
                    <w:gridSpan w:val="2"/>
                    <w:tcBorders>
                      <w:left w:val="single" w:sz="4" w:space="0" w:color="auto"/>
                      <w:bottom w:val="single" w:sz="4" w:space="0" w:color="auto"/>
                      <w:right w:val="single" w:sz="4" w:space="0" w:color="auto"/>
                    </w:tcBorders>
                    <w:tcMar>
                      <w:left w:w="57" w:type="dxa"/>
                      <w:right w:w="57" w:type="dxa"/>
                    </w:tcMar>
                  </w:tcPr>
                  <w:p>
                    <w:pPr>
                      <w:jc w:val="both"/>
                      <w:rPr>
                        <w:b/>
                        <w:bCs/>
                        <w:sz w:val="22"/>
                        <w:szCs w:val="22"/>
                      </w:rPr>
                    </w:pPr>
                  </w:p>
                </w:tc>
              </w:tr>
              <w:tr>
                <w:trPr>
                  <w:trHeight w:val="20"/>
                </w:trPr>
                <w:tc>
                  <w:tcPr>
                    <w:tcW w:w="1115" w:type="dxa"/>
                    <w:tcBorders>
                      <w:top w:val="single" w:sz="4" w:space="0" w:color="auto"/>
                      <w:left w:val="single" w:sz="4" w:space="0" w:color="auto"/>
                      <w:bottom w:val="single" w:sz="4" w:space="0" w:color="auto"/>
                      <w:right w:val="single" w:sz="4" w:space="0" w:color="auto"/>
                    </w:tcBorders>
                    <w:tcMar>
                      <w:left w:w="57" w:type="dxa"/>
                      <w:right w:w="57" w:type="dxa"/>
                    </w:tcMar>
                    <w:vAlign w:val="center"/>
                  </w:tcPr>
                  <w:p>
                    <w:pPr>
                      <w:jc w:val="both"/>
                      <w:rPr>
                        <w:b/>
                        <w:bCs/>
                        <w:sz w:val="22"/>
                        <w:szCs w:val="22"/>
                      </w:rPr>
                    </w:pPr>
                    <w:r>
                      <w:rPr>
                        <w:b/>
                        <w:bCs/>
                        <w:sz w:val="22"/>
                        <w:szCs w:val="22"/>
                      </w:rPr>
                      <w:t>9.</w:t>
                    </w:r>
                  </w:p>
                </w:tc>
                <w:tc>
                  <w:tcPr>
                    <w:tcW w:w="8069" w:type="dxa"/>
                    <w:gridSpan w:val="6"/>
                    <w:tcBorders>
                      <w:top w:val="single" w:sz="4" w:space="0" w:color="auto"/>
                      <w:left w:val="single" w:sz="4" w:space="0" w:color="auto"/>
                      <w:bottom w:val="single" w:sz="4" w:space="0" w:color="auto"/>
                      <w:right w:val="single" w:sz="4" w:space="0" w:color="auto"/>
                    </w:tcBorders>
                    <w:tcMar>
                      <w:top w:w="0" w:type="dxa"/>
                      <w:left w:w="57" w:type="dxa"/>
                      <w:bottom w:w="0" w:type="dxa"/>
                      <w:right w:w="57" w:type="dxa"/>
                    </w:tcMar>
                    <w:vAlign w:val="center"/>
                  </w:tcPr>
                  <w:p>
                    <w:pPr>
                      <w:jc w:val="both"/>
                      <w:rPr>
                        <w:b/>
                        <w:bCs/>
                        <w:sz w:val="22"/>
                        <w:szCs w:val="22"/>
                      </w:rPr>
                    </w:pPr>
                    <w:r>
                      <w:rPr>
                        <w:b/>
                        <w:bCs/>
                        <w:sz w:val="22"/>
                        <w:szCs w:val="22"/>
                      </w:rPr>
                      <w:t>Deklaracijos atitikties vertinimas:</w:t>
                    </w:r>
                  </w:p>
                </w:tc>
              </w:tr>
              <w:tr>
                <w:trPr>
                  <w:trHeight w:val="20"/>
                </w:trPr>
                <w:tc>
                  <w:tcPr>
                    <w:tcW w:w="9184" w:type="dxa"/>
                    <w:gridSpan w:val="7"/>
                    <w:tcBorders>
                      <w:top w:val="single" w:sz="4" w:space="0" w:color="auto"/>
                      <w:left w:val="single" w:sz="4" w:space="0" w:color="auto"/>
                      <w:right w:val="single" w:sz="4" w:space="0" w:color="auto"/>
                    </w:tcBorders>
                    <w:tcMar>
                      <w:left w:w="57" w:type="dxa"/>
                      <w:right w:w="57" w:type="dxa"/>
                    </w:tcMar>
                  </w:tcPr>
                  <w:p>
                    <w:pPr>
                      <w:jc w:val="both"/>
                      <w:rPr>
                        <w:sz w:val="22"/>
                        <w:szCs w:val="22"/>
                      </w:rPr>
                    </w:pPr>
                    <w:r>
                      <w:rPr>
                        <w:b/>
                        <w:bCs/>
                        <w:sz w:val="22"/>
                        <w:szCs w:val="22"/>
                      </w:rPr>
                      <w:t xml:space="preserve">9.1. </w:t>
                    </w:r>
                    <w:r>
                      <w:rPr>
                        <w:bCs/>
                        <w:sz w:val="22"/>
                        <w:szCs w:val="22"/>
                      </w:rPr>
                      <w:t>Patvirtinu, kad</w:t>
                    </w:r>
                    <w:r>
                      <w:rPr>
                        <w:b/>
                        <w:bCs/>
                        <w:sz w:val="22"/>
                        <w:szCs w:val="22"/>
                      </w:rPr>
                      <w:t xml:space="preserve"> </w:t>
                    </w:r>
                    <w:r>
                      <w:rPr>
                        <w:sz w:val="22"/>
                        <w:szCs w:val="22"/>
                      </w:rPr>
                      <w:t>Deklaracijoje pateikti duomenys tikslūs ir teisingi</w:t>
                    </w:r>
                  </w:p>
                  <w:p>
                    <w:pPr>
                      <w:jc w:val="both"/>
                      <w:rPr>
                        <w:bCs/>
                        <w:sz w:val="22"/>
                        <w:szCs w:val="22"/>
                      </w:rPr>
                    </w:pPr>
                  </w:p>
                  <w:p>
                    <w:pPr>
                      <w:jc w:val="both"/>
                      <w:rPr>
                        <w:bCs/>
                        <w:sz w:val="22"/>
                        <w:szCs w:val="22"/>
                      </w:rPr>
                    </w:pPr>
                    <w:r>
                      <w:rPr>
                        <w:bCs/>
                        <w:sz w:val="22"/>
                        <w:szCs w:val="22"/>
                      </w:rPr>
                      <w:t>_______________________</w:t>
                    </w:r>
                  </w:p>
                  <w:p>
                    <w:pPr>
                      <w:ind w:left="300"/>
                      <w:jc w:val="both"/>
                      <w:rPr>
                        <w:bCs/>
                        <w:sz w:val="22"/>
                        <w:szCs w:val="22"/>
                      </w:rPr>
                    </w:pPr>
                    <w:r>
                      <w:rPr>
                        <w:bCs/>
                        <w:sz w:val="22"/>
                        <w:szCs w:val="22"/>
                      </w:rPr>
                      <w:t>(pareigūno parašas)</w:t>
                    </w:r>
                  </w:p>
                  <w:p>
                    <w:pPr>
                      <w:jc w:val="both"/>
                      <w:rPr>
                        <w:b/>
                        <w:bCs/>
                        <w:sz w:val="22"/>
                        <w:szCs w:val="22"/>
                      </w:rPr>
                    </w:pPr>
                  </w:p>
                </w:tc>
              </w:tr>
              <w:tr>
                <w:trPr>
                  <w:trHeight w:val="20"/>
                </w:trPr>
                <w:tc>
                  <w:tcPr>
                    <w:tcW w:w="6727" w:type="dxa"/>
                    <w:gridSpan w:val="4"/>
                    <w:tcBorders>
                      <w:top w:val="single" w:sz="4" w:space="0" w:color="auto"/>
                      <w:left w:val="single" w:sz="4" w:space="0" w:color="auto"/>
                      <w:right w:val="single" w:sz="4" w:space="0" w:color="auto"/>
                    </w:tcBorders>
                    <w:tcMar>
                      <w:left w:w="57" w:type="dxa"/>
                      <w:right w:w="57" w:type="dxa"/>
                    </w:tcMar>
                  </w:tcPr>
                  <w:p>
                    <w:pPr>
                      <w:rPr>
                        <w:bCs/>
                        <w:sz w:val="22"/>
                        <w:szCs w:val="22"/>
                      </w:rPr>
                    </w:pPr>
                    <w:r>
                      <w:rPr>
                        <w:b/>
                        <w:bCs/>
                        <w:sz w:val="22"/>
                        <w:szCs w:val="22"/>
                      </w:rPr>
                      <w:t xml:space="preserve">9.2. </w:t>
                    </w:r>
                    <w:r>
                      <w:rPr>
                        <w:bCs/>
                        <w:sz w:val="22"/>
                        <w:szCs w:val="22"/>
                      </w:rPr>
                      <w:t>Deklaracijos 5 dalyje nurodyto gaisrinės saugos reikalavimo eilės numeris</w:t>
                    </w:r>
                  </w:p>
                </w:tc>
                <w:tc>
                  <w:tcPr>
                    <w:tcW w:w="2457" w:type="dxa"/>
                    <w:gridSpan w:val="3"/>
                    <w:tcBorders>
                      <w:top w:val="single" w:sz="4" w:space="0" w:color="auto"/>
                      <w:left w:val="single" w:sz="4" w:space="0" w:color="auto"/>
                      <w:bottom w:val="single" w:sz="4" w:space="0" w:color="auto"/>
                      <w:right w:val="single" w:sz="4" w:space="0" w:color="auto"/>
                    </w:tcBorders>
                    <w:tcMar>
                      <w:left w:w="57" w:type="dxa"/>
                      <w:right w:w="57" w:type="dxa"/>
                    </w:tcMar>
                  </w:tcPr>
                  <w:p>
                    <w:pPr>
                      <w:spacing w:line="240" w:lineRule="exact"/>
                      <w:rPr>
                        <w:bCs/>
                        <w:sz w:val="22"/>
                        <w:szCs w:val="22"/>
                      </w:rPr>
                    </w:pPr>
                    <w:r>
                      <w:rPr>
                        <w:bCs/>
                        <w:sz w:val="22"/>
                        <w:szCs w:val="22"/>
                      </w:rPr>
                      <w:t>Reikalavimo įvykdymo terminas</w:t>
                    </w: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spacing w:line="240" w:lineRule="exact"/>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vAlign w:val="center"/>
                  </w:tcPr>
                  <w:p>
                    <w:pPr>
                      <w:spacing w:line="240" w:lineRule="exact"/>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spacing w:line="276" w:lineRule="auto"/>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6727" w:type="dxa"/>
                    <w:gridSpan w:val="4"/>
                    <w:tcBorders>
                      <w:left w:val="single" w:sz="4" w:space="0" w:color="auto"/>
                      <w:right w:val="single" w:sz="4" w:space="0" w:color="auto"/>
                    </w:tcBorders>
                    <w:tcMar>
                      <w:left w:w="57" w:type="dxa"/>
                      <w:right w:w="57" w:type="dxa"/>
                    </w:tcMar>
                    <w:vAlign w:val="center"/>
                  </w:tcPr>
                  <w:p>
                    <w:pPr>
                      <w:jc w:val="both"/>
                      <w:rPr>
                        <w:b/>
                        <w:bCs/>
                        <w:sz w:val="22"/>
                        <w:szCs w:val="22"/>
                      </w:rPr>
                    </w:pPr>
                  </w:p>
                </w:tc>
                <w:tc>
                  <w:tcPr>
                    <w:tcW w:w="2457" w:type="dxa"/>
                    <w:gridSpan w:val="3"/>
                    <w:tcBorders>
                      <w:top w:val="single" w:sz="4" w:space="0" w:color="auto"/>
                      <w:left w:val="single" w:sz="4" w:space="0" w:color="auto"/>
                      <w:right w:val="single" w:sz="4" w:space="0" w:color="auto"/>
                    </w:tcBorders>
                    <w:tcMar>
                      <w:left w:w="57" w:type="dxa"/>
                      <w:right w:w="57" w:type="dxa"/>
                    </w:tcMar>
                  </w:tcPr>
                  <w:p>
                    <w:pPr>
                      <w:jc w:val="both"/>
                      <w:rPr>
                        <w:b/>
                        <w:bCs/>
                        <w:sz w:val="22"/>
                        <w:szCs w:val="22"/>
                      </w:rPr>
                    </w:pPr>
                  </w:p>
                </w:tc>
              </w:tr>
              <w:tr>
                <w:trPr>
                  <w:trHeight w:val="20"/>
                </w:trPr>
                <w:tc>
                  <w:tcPr>
                    <w:tcW w:w="3675" w:type="dxa"/>
                    <w:gridSpan w:val="2"/>
                    <w:tcBorders>
                      <w:left w:val="single" w:sz="4" w:space="0" w:color="auto"/>
                      <w:right w:val="nil"/>
                    </w:tcBorders>
                    <w:tcMar>
                      <w:left w:w="57" w:type="dxa"/>
                      <w:right w:w="57" w:type="dxa"/>
                    </w:tcMar>
                    <w:vAlign w:val="center"/>
                  </w:tcPr>
                  <w:p>
                    <w:pPr>
                      <w:jc w:val="center"/>
                      <w:rPr>
                        <w:bCs/>
                        <w:sz w:val="22"/>
                        <w:szCs w:val="22"/>
                      </w:rPr>
                    </w:pPr>
                    <w:r>
                      <w:rPr>
                        <w:bCs/>
                        <w:sz w:val="22"/>
                        <w:szCs w:val="22"/>
                      </w:rPr>
                      <w:t>__________________________</w:t>
                    </w:r>
                  </w:p>
                  <w:p>
                    <w:pPr>
                      <w:jc w:val="center"/>
                      <w:rPr>
                        <w:bCs/>
                        <w:sz w:val="22"/>
                        <w:szCs w:val="22"/>
                      </w:rPr>
                    </w:pPr>
                    <w:r>
                      <w:rPr>
                        <w:bCs/>
                        <w:sz w:val="22"/>
                        <w:szCs w:val="22"/>
                      </w:rPr>
                      <w:t>(pareigūno parašas)</w:t>
                    </w:r>
                  </w:p>
                </w:tc>
                <w:tc>
                  <w:tcPr>
                    <w:tcW w:w="5509" w:type="dxa"/>
                    <w:gridSpan w:val="5"/>
                    <w:tcBorders>
                      <w:left w:val="nil"/>
                      <w:right w:val="single" w:sz="4" w:space="0" w:color="auto"/>
                    </w:tcBorders>
                    <w:vAlign w:val="center"/>
                  </w:tcPr>
                  <w:p>
                    <w:pPr>
                      <w:jc w:val="center"/>
                      <w:rPr>
                        <w:bCs/>
                        <w:sz w:val="22"/>
                        <w:szCs w:val="22"/>
                      </w:rPr>
                    </w:pPr>
                    <w:r>
                      <w:rPr>
                        <w:bCs/>
                        <w:sz w:val="22"/>
                        <w:szCs w:val="22"/>
                      </w:rPr>
                      <w:t>___________________________________</w:t>
                    </w:r>
                  </w:p>
                  <w:p>
                    <w:pPr>
                      <w:jc w:val="center"/>
                      <w:rPr>
                        <w:bCs/>
                        <w:sz w:val="22"/>
                        <w:szCs w:val="22"/>
                      </w:rPr>
                    </w:pPr>
                    <w:r>
                      <w:rPr>
                        <w:bCs/>
                        <w:sz w:val="22"/>
                        <w:szCs w:val="22"/>
                      </w:rPr>
                      <w:t>(deklaruojančiosios įmonės vadovo parašas)</w:t>
                    </w:r>
                  </w:p>
                </w:tc>
              </w:tr>
            </w:tbl>
            <w:p>
              <w:pPr>
                <w:suppressAutoHyphens/>
                <w:jc w:val="both"/>
                <w:rPr>
                  <w:lang w:eastAsia="ar-SA"/>
                </w:rPr>
              </w:pPr>
            </w:p>
          </w:sdtContent>
        </w:sdt>
        <w:sdt>
          <w:sdtPr>
            <w:alias w:val="pabaiga"/>
            <w:tag w:val="part_c5ee5e143ea440d3bb47f9d2948ca208"/>
            <w:lock w:val="sdtLocked"/>
            <w:richText/>
          </w:sdtPr>
          <w:sdtContent>
            <w:p>
              <w:pPr>
                <w:suppressAutoHyphens/>
                <w:jc w:val="center"/>
                <w:rPr>
                  <w:lang w:eastAsia="ar-SA"/>
                </w:rPr>
              </w:pPr>
              <w:r>
                <w:rPr>
                  <w:lang w:eastAsia="ar-SA"/>
                </w:rPr>
                <w:t>_________________</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39DE3395082">
            <w:r w:rsidRPr="00532B9F">
              <w:rPr>
                <w:rFonts w:ascii="Times New Roman" w:eastAsia="MS Mincho" w:hAnsi="Times New Roman"/>
                <w:sz w:val="20"/>
                <w:i/>
                <w:iCs/>
                <w:color w:val="0000FF" w:themeColor="hyperlink"/>
                <w:u w:val="single"/>
              </w:rPr>
              <w:t>1-255</w:t>
            </w:r>
          </w:fldSimple>
          <w:r>
            <w:rPr>
              <w:rFonts w:ascii="Times New Roman" w:eastAsia="MS Mincho" w:hAnsi="Times New Roman"/>
              <w:sz w:val="20"/>
              <w:i/>
              <w:iCs/>
            </w:rPr>
            <w:t>,
2011-08-26,
Žin., 2011, Nr.
108-5133 (2011-09-01), i. k. 111231GISAK0001-255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Priešgaisrinės apsaugos ir gelbėjimo departamentas prie Lietuvos Respublikos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9DE3395082">
            <w:r w:rsidRPr="00532B9F">
              <w:rPr>
                <w:rFonts w:ascii="Times New Roman" w:eastAsia="MS Mincho" w:hAnsi="Times New Roman"/>
                <w:sz w:val="20"/>
                <w:iCs/>
                <w:color w:val="0000FF" w:themeColor="hyperlink"/>
                <w:u w:val="single"/>
              </w:rPr>
              <w:t>1-255</w:t>
            </w:r>
          </w:fldSimple>
          <w:r>
            <w:rPr>
              <w:rFonts w:ascii="Times New Roman" w:eastAsia="MS Mincho" w:hAnsi="Times New Roman"/>
              <w:sz w:val="20"/>
              <w:iCs/>
            </w:rPr>
            <w:t>,
2011-08-26,
Žin., 2011, Nr.
108-5133 (2011-09-01), i. k. 111231GISAK0001-255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2010 m. vasario 22 d. įsakymo Nr. 1-62 "Dėl Objekto atitikties priešgaisrinę saugą reglamentuojantiems teisės aktams deklaravimo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Priešgaisrinės apsaugos ir gelbėjimo departamentas prie Vidaus reikalų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5f7a210f96311e89953b467accabea6">
            <w:r w:rsidRPr="00532B9F">
              <w:rPr>
                <w:rFonts w:ascii="Times New Roman" w:eastAsia="MS Mincho" w:hAnsi="Times New Roman"/>
                <w:sz w:val="20"/>
                <w:iCs/>
                <w:color w:val="0000FF" w:themeColor="hyperlink"/>
                <w:u w:val="single"/>
              </w:rPr>
              <w:t>1-452</w:t>
            </w:r>
          </w:fldSimple>
          <w:r>
            <w:rPr>
              <w:rFonts w:ascii="Times New Roman" w:eastAsia="MS Mincho" w:hAnsi="Times New Roman"/>
              <w:sz w:val="20"/>
              <w:iCs/>
            </w:rPr>
            <w:t>,
2018-12-06,
paskelbta TAR 2018-12-07, i. k. 2018-19994                </w:t>
          </w:r>
        </w:p>
        <w:p>
          <w:pPr>
            <w:jc w:val="both"/>
            <w:rPr>
              <w:rFonts w:ascii="Times New Roman" w:hAnsi="Times New Roman"/>
            </w:rPr>
          </w:pPr>
          <w:r>
            <w:rPr>
              <w:rFonts w:ascii="Times New Roman" w:hAnsi="Times New Roman"/>
              <w:sz w:val="20"/>
            </w:rPr>
            <w:t>Dėl Priešgaisrinės apsaugos ir gelbėjimo departamento prie Vidaus reikalų ministerijos direktoriaus 2010 m. vasario 22 d. įsakymo Nr. 1-62 „Dėl Objekto atitikties priešgaisrinę saugą reglamentuojantiems teisės aktams deklaravimo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701" w:right="567" w:bottom="1134" w:left="1701" w:header="709" w:footer="709" w:gutter="0"/>
      <w:pgNumType w:start="1"/>
      <w:cols w:space="708"/>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Wingdings 2">
    <w:panose1 w:val="05020102010507070707"/>
    <w:charset w:val="02"/>
    <w:family w:val="roman"/>
    <w:pitch w:val="variable"/>
    <w:sig w:usb0="00000000" w:usb1="10000000" w:usb2="00000000" w:usb3="00000000" w:csb0="80000000"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defaultTabStop w:val="1296"/>
  <w:hyphenationZone w:val="396"/>
  <w:doNotHyphenateCaps/>
  <w:drawingGridHorizontalSpacing w:val="120"/>
  <w:displayHorizontalDrawingGridEvery w:val="2"/>
  <w:displayVerticalDrawingGridEvery w:val="2"/>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303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5963B2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2.xml"/>
  <Relationship Id="rId11" Type="http://schemas.openxmlformats.org/officeDocument/2006/relationships/hyperlink" TargetMode="External" Target="https://www.e-tar.lt/portal/lt/legalAct/TAR.9CBB77180BFE"/>
  <Relationship Id="rId12" Type="http://schemas.openxmlformats.org/officeDocument/2006/relationships/hyperlink" TargetMode="External" Target="https://www.e-tar.lt/portal/lt/legalAct/TAR.1E8A61662F5E"/>
  <Relationship Id="rId13" Type="http://schemas.openxmlformats.org/officeDocument/2006/relationships/hyperlink" TargetMode="External" Target="https://www.e-tar.lt/portal/lt/legalAct/TAR.7C3969255291"/>
  <Relationship Id="rId14" Type="http://schemas.openxmlformats.org/officeDocument/2006/relationships/header" Target="header1.xml"/>
  <Relationship Id="rId15" Type="http://schemas.openxmlformats.org/officeDocument/2006/relationships/header" Target="header2.xml"/>
  <Relationship Id="rId16" Type="http://schemas.openxmlformats.org/officeDocument/2006/relationships/footer" Target="footer1.xml"/>
  <Relationship Id="rId17" Type="http://schemas.openxmlformats.org/officeDocument/2006/relationships/footer" Target="footer2.xml"/>
  <Relationship Id="rId18" Type="http://schemas.openxmlformats.org/officeDocument/2006/relationships/header" Target="header3.xml"/>
  <Relationship Id="rId19" Type="http://schemas.openxmlformats.org/officeDocument/2006/relationships/footer" Target="footer3.xml"/>
  <Relationship Id="rId2" Type="http://schemas.openxmlformats.org/officeDocument/2006/relationships/fontTable" Target="fontTable.xml"/>
  <Relationship Id="rId20" Type="http://schemas.openxmlformats.org/officeDocument/2006/relationships/hyperlink" TargetMode="External" Target="https://www.e-tar.lt/portal/lt/legalAct/TAR.ADF584796A74"/>
  <Relationship Id="rId21" Type="http://schemas.openxmlformats.org/officeDocument/2006/relationships/hyperlink" TargetMode="External" Target="https://www.e-tar.lt/portal/lt/legalAct/TAR.AC37F559070D"/>
  <Relationship Id="rId22" Type="http://schemas.openxmlformats.org/officeDocument/2006/relationships/hyperlink" TargetMode="External" Target="https://www.e-tar.lt/portal/lt/legalAct/TAR.85B2EE2BEB81"/>
  <Relationship Id="rId23" Type="http://schemas.openxmlformats.org/officeDocument/2006/relationships/hyperlink" TargetMode="External" Target="https://www.e-tar.lt/portal/lt/legalAct/TAR.ABFF44B31A81"/>
  <Relationship Id="rId24"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2.wmf"/>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05fa22b754a418688055c351a5cd86c" PartId="7b772bc772574d34ae41e0c349fd5cd5">
    <Part Type="preambule" DocPartId="25a00e9e31154913878f526eb0a92474" PartId="10f0ffbac07f482581526ccdaad4d734"/>
    <Part Type="punktas" Nr="1" Abbr="1 p." DocPartId="bee975ad7ee74102ae995e25a93170db" PartId="cbd84fc9a3da42aeb6a3703a6ad59e95"/>
    <Part Type="punktas" Nr="2" Abbr="2 p." DocPartId="1ca0c461aa9c42bbb487dc67cd89cb2c" PartId="8d61cfa6e7e1481b8117829b0aeec4a7"/>
    <Part Type="signatura" DocPartId="6c8771e718d04b9eabde7f43c31724f0" PartId="6c8d96cc767041228d92e56ebc89b3be"/>
  </Part>
  <Part Type="patvirtinta" Title="OBJEKTO ATITIKTIES PRIEŠGAISRINĘ SAUGĄ REGLAMENTUOJANTIEMS TEISĖS AKTAMS DEKLARAVIMO TVARKOS APRAŠAS" DocPartId="2c4cd9efc1724d6dbc27683353675f51" PartId="413dc9d9efb644a0952985513e7246b2">
    <Part Type="skyrius" Nr="1" Title="BENDROSIOS NUOSTATOS" DocPartId="7c4ad475519e4b1eab6411786b6e9799" PartId="9acd75749c4046b4a5cd11862031a6bd">
      <Part Type="punktas" Nr="1" Abbr="1 p." DocPartId="e846fe16b0ea4eec9ac6849e7864e6a0" PartId="321be92596ac4605a96ada1021b92391"/>
      <Part Type="punktas" Nr="2" Abbr="2 p." DocPartId="1ac9caae8e0241398401001c5d7ba430" PartId="52b601dd317345e889d31c15b14d7713"/>
      <Part Type="punktas" Nr="3" Abbr="3 p." DocPartId="b3db48f6c1054e22b7c35c177a53ec72" PartId="3477c836209c433e812e117d307e05b9">
        <Part Type="punktas" Nr="3.1" Abbr="3.1 p." DocPartId="698f97387d104328b1be8e4d493470f2" PartId="ce5baca004284c72baef87761dd8312c"/>
        <Part Type="punktas" Nr="3.2" Abbr="3.2 p." DocPartId="3a909b7d2af7425a93a86b5e7a4da5d3" PartId="0f0052099aa842e6af27e705a32d7fba"/>
      </Part>
      <Part Type="punktas" Nr="4" Abbr="4 p." DocPartId="aed6755132414b1f85f8efc0a8533ea8" PartId="2cad0da4e37c4826aa828957f0ebc94a"/>
    </Part>
    <Part Type="skyrius" Nr="2" Title="DEKLARACIJOS PILDYMAS" DocPartId="261c1a4a68f14432a383dd6a1b306258" PartId="4c09ee9af2134622bc2dc08db698e340">
      <Part Type="punktas" Nr="5" Abbr="5 p." DocPartId="55459e6404614850b8516edd27a3027f" PartId="1398ccf89df74a5b9b339ff109f862a6"/>
      <Part Type="punktas" Nr="6" Abbr="6 p." DocPartId="f74936f321d14da299cba1f8cb18ec9c" PartId="90b32105ad774f21ac991140f3bd6df6"/>
      <Part Type="punktas" Nr="7" Abbr="7 p." DocPartId="252e35ba6d734581b4a2130ca3a9bf31" PartId="dfc2af986e264e2fb6177b17e153549f">
        <Part Type="punktas" Nr="7.1" Abbr="7.1 p." DocPartId="606276b6e76743319e2dceff1dad7e46" PartId="05dfa0ccd6ea41f99a7b625eeb60c829"/>
        <Part Type="punktas" Nr="7.2" Abbr="7.2 p." DocPartId="d64e0709545c421a871ce69b8984f6a2" PartId="b27e3a77ec6243febfe24fba8ccec215"/>
        <Part Type="punktas" Nr="7.3" Abbr="7.3 p." DocPartId="297082f4609946799cce0bd9d17734eb" PartId="861ebe7b9d714726855071b1fd86ee07"/>
      </Part>
    </Part>
    <Part Type="skyrius" Nr="3" Title="DEKLARACIJOS PATEIKIMAS IR VERTINIMAS" DocPartId="8abc2ad6c20e40ab90773611803b53e5" PartId="4ffde1ff8ee14e569cba29dfdc1184dd">
      <Part Type="punktas" Nr="8" Abbr="8 p." DocPartId="28ca840df4954fbc841eb5372e7a00bb" PartId="0c35049da631493ca025a3fc7012933f"/>
      <Part Type="punktas" Nr="9" Abbr="9 p." DocPartId="fc19d51c8fc1419eb9ada560dc3e54a9" PartId="04b82bffff45444c98aaad276acf2228"/>
      <Part Type="punktas" Nr="10" Abbr="10 p." DocPartId="578c9f2a461448639469c99a0f4ae172" PartId="e9579dfd023b4086a531081d7b4207c9"/>
      <Part Type="punktas" Nr="11" Abbr="11 p." DocPartId="d2ca065cf0fd4e51914d26d8fb714f07" PartId="88f6437dbaf64894b0f851d109eb8b61"/>
      <Part Type="punktas" Nr="12" Abbr="12 p." DocPartId="d6428b94ccff4e658f6c28cb76c20744" PartId="4261316f76fb4b31825637a2143a1123"/>
      <Part Type="punktas" Nr="13" Abbr="13 p." DocPartId="0af1b5d0122140f5a765a3ec1ece6b5f" PartId="2173c104f81c44528b3138c54bf99b04"/>
      <Part Type="punktas" Nr="14" Abbr="14 p." DocPartId="e67cc4e90e0c4aa2a9aee87e8af93c3f" PartId="919ea0753fad4b8aa7d37fc864e52001">
        <Part Type="papunktis" Nr="14.1" Abbr="14.1 pp." DocPartId="e1f19caa57874ba595477d45bf8fac6d" PartId="3ea304c594a14a4c8f1c52a907f7834f"/>
        <Part Type="papunktis" Nr="14.2" Abbr="14.2 pp." DocPartId="eeca34492d8f4b129a3715a0d5e212be" PartId="589ccebdbf354fe984e264cb73d69704"/>
        <Part Type="papunktis" Nr="14.3" Abbr="14.3 pp." DocPartId="78e2bad54ad04fd08c193e1a3f994767" PartId="df4e25468b9d4bd7aa1703a6f32ad16e"/>
      </Part>
      <Part Type="punktas" Nr="15" Abbr="15 p." DocPartId="49ba5c883e5f43ebb2c354edc2a55921" PartId="dfc91f839b364c4e9e5b55e75c75612a"/>
      <Part Type="punktas" Nr="16" Abbr="16 p." DocPartId="6da38b149d0a4907adc69ee36b774807" PartId="a3617c66d4784cecb65d41f04af65292"/>
    </Part>
    <Part Type="pabaiga" DocPartId="f03f8fc0123b4a4990c79cfd4ec22135" PartId="81504f348fd846318684a979a954657e"/>
  </Part>
  <Part Type="priedas" Abbr="pr." Title="(Objekto atitikties gaisrinę saugą reglamentuojantiems teisės aktams deklaracijos formos pavyzdys)" DocPartId="0575eca9f4eb444ba0dd3d4b480a6d2c" PartId="a4b86e8cbb9543baafe6ef71afbc2540">
    <Part Type="skirsnis" Title="OBJEKTO ATITIKTIES GAISRINĘ SAUGĄ REGLAMENTUOJANTIEMS TEISĖS AKTAMS DEKLARACIJA" DocPartId="e561a07dbe8f4dfabe461bc80e8bd61f" PartId="d65bd5dc87e84da3adbb68947b4fc168"/>
    <Part Type="pabaiga" DocPartId="21c7881ba3564132ac9e737bc303dad0" PartId="c5ee5e143ea440d3bb47f9d2948ca208"/>
  </Part>
</Parts>
</file>

<file path=customXml/itemProps1.xml><?xml version="1.0" encoding="utf-8"?>
<ds:datastoreItem xmlns:ds="http://schemas.openxmlformats.org/officeDocument/2006/customXml" ds:itemID="{A23D5CA3-50B8-4FF0-A948-7A0710AEC4DF}">
  <ds:schemaRefs>
    <ds:schemaRef ds:uri="http://lrs.lt/TAIS/DocParts"/>
  </ds:schemaRefs>
</ds:datastoreItem>
</file>

<file path=docProps/app.xml><?xml version="1.0" encoding="utf-8"?>
<Properties xmlns="http://schemas.openxmlformats.org/officeDocument/2006/extended-properties">
  <Template>Normal.dotm</Template>
  <TotalTime>12</TotalTime>
  <Pages>10</Pages>
  <Words>18435</Words>
  <Characters>10509</Characters>
  <Application>Microsoft Office Word</Application>
  <DocSecurity>0</DocSecurity>
  <Lines>87</Lines>
  <Paragraphs>57</Paragraphs>
  <ScaleCrop>false</ScaleCrop>
  <Company/>
  <LinksUpToDate>false</LinksUpToDate>
  <CharactersWithSpaces>28887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2015-07-03T20:45:00Z</dcterms:created>
  <dc:creator>Rima</dc:creator>
  <lastModifiedBy>DRAZDAUSKIENĖ Nijolė</lastModifiedBy>
  <dcterms:modified xsi:type="dcterms:W3CDTF">2019-03-04T11:47:00Z</dcterms:modified>
  <revision>8</revision>
  <dc:title>PRIEŠGAISRINĖS APSAUGOS IR GELBĖJIMO DEPARTAMENTO</dc:title>
</coreProperties>
</file>