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e1ce7c62d5a4816b3a118b81f55154c"/>
        <w:lock w:val="sdtLocked"/>
        <w:richText/>
      </w:sdtPr>
      <w:sdtContent>
        <w:p>
          <w:pPr>
            <w:jc w:val="both"/>
            <w:rPr>
              <w:rFonts w:ascii="Times New Roman" w:hAnsi="Times New Roman"/>
            </w:rPr>
          </w:pPr>
          <w:r>
            <w:rPr>
              <w:rFonts w:ascii="Times New Roman" w:hAnsi="Times New Roman"/>
              <w:b/>
              <w:i/>
            </w:rPr>
            <w:t>Suvestinė redakcija nuo 2013-09-21 iki 2014-03-06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widowControl w:val="0"/>
            <w:suppressAutoHyphens/>
            <w:jc w:val="center"/>
            <w:rPr>
              <w:color w:val="000000"/>
            </w:rPr>
          </w:pPr>
          <w:r>
            <w:rPr>
              <w:color w:val="000000"/>
              <w:lang w:val="en-US"/>
            </w:rPr>
            <w:pict w14:anchorId="64717555">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r>
          <w:r>
            <w:rPr>
              <w:color w:val="000000"/>
            </w:rPr>
            <w:t>LIETUVOS RESPUBLIKOS ŽEMĖS ŪKIO MINISTRO</w:t>
          </w:r>
        </w:p>
        <w:p>
          <w:pPr>
            <w:widowControl w:val="0"/>
            <w:suppressAutoHyphens/>
            <w:jc w:val="center"/>
            <w:rPr>
              <w:color w:val="000000"/>
            </w:rPr>
          </w:pPr>
          <w:r>
            <w:rPr>
              <w:color w:val="000000"/>
            </w:rPr>
            <w:t>Į S A K Y M A S</w:t>
          </w:r>
        </w:p>
        <w:p>
          <w:pPr>
            <w:widowControl w:val="0"/>
            <w:suppressAutoHyphens/>
            <w:jc w:val="center"/>
            <w:rPr>
              <w:color w:val="000000"/>
            </w:rPr>
          </w:pPr>
        </w:p>
        <w:p>
          <w:pPr>
            <w:widowControl w:val="0"/>
            <w:suppressAutoHyphens/>
            <w:jc w:val="center"/>
            <w:rPr>
              <w:b/>
              <w:bCs/>
              <w:caps/>
              <w:color w:val="000000"/>
            </w:rPr>
          </w:pPr>
          <w:r>
            <w:rPr>
              <w:b/>
              <w:bCs/>
              <w:caps/>
              <w:color w:val="000000"/>
            </w:rPr>
            <w:t>DĖL ŽEMDIRBIŲ ŠVIETIMO, KONSULTAVIMO PRIEMONIŲ, ŽEMĖS ŪKIO PARODŲ IR MOKSLINIŲ TYRIMŲ ATRANKOS KOMITETO SUDARYMO IR JO DARBO REGLAMENTO PATVIRTINIMO</w:t>
          </w:r>
        </w:p>
        <w:p>
          <w:pPr>
            <w:widowControl w:val="0"/>
            <w:suppressAutoHyphens/>
            <w:jc w:val="center"/>
            <w:rPr>
              <w:color w:val="000000"/>
            </w:rPr>
          </w:pPr>
        </w:p>
        <w:p>
          <w:pPr>
            <w:widowControl w:val="0"/>
            <w:suppressAutoHyphens/>
            <w:jc w:val="center"/>
            <w:rPr>
              <w:color w:val="000000"/>
            </w:rPr>
          </w:pPr>
          <w:r>
            <w:rPr>
              <w:color w:val="000000"/>
            </w:rPr>
            <w:t>2010 m. sausio 22 d. Nr. 3D-34</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sdt>
          <w:sdtPr>
            <w:alias w:val="preambule"/>
            <w:tag w:val="part_2d1cd30f8c774e3c898d9ae8f8d2a4bf"/>
            <w:lock w:val="sdtLocked"/>
            <w:richText/>
          </w:sdtPr>
          <w:sdtContent>
            <w:p>
              <w:pPr>
                <w:widowControl w:val="0"/>
                <w:suppressAutoHyphens/>
                <w:ind w:firstLine="567"/>
                <w:jc w:val="both"/>
                <w:rPr>
                  <w:color w:val="000000"/>
                </w:rPr>
              </w:pPr>
              <w:r>
                <w:rPr>
                  <w:color w:val="000000"/>
                </w:rPr>
                <w:t xml:space="preserve">Vadovaudamasis Lietuvos Respublikos žemės ūkio ministerijos nuostatų, patvirtintų Lietuvos Respublikos Vyriausybės 1998 m. rugsėjo 15 d. nutarimu Nr. 1120 (Žin., 1998, Nr. </w:t>
              </w:r>
              <w:hyperlink r:id="rId9" w:tgtFrame="_blank" w:history="1">
                <w:r>
                  <w:rPr>
                    <w:color w:val="0000FF" w:themeColor="hyperlink"/>
                    <w:u w:val="single"/>
                  </w:rPr>
                  <w:t>83-2327</w:t>
                </w:r>
              </w:hyperlink>
              <w:r>
                <w:rPr>
                  <w:color w:val="000000"/>
                </w:rPr>
                <w:t xml:space="preserve">; 2008, Nr. </w:t>
              </w:r>
              <w:hyperlink r:id="rId10" w:tgtFrame="_blank" w:history="1">
                <w:r>
                  <w:rPr>
                    <w:color w:val="0000FF" w:themeColor="hyperlink"/>
                    <w:u w:val="single"/>
                  </w:rPr>
                  <w:t>46-1732</w:t>
                </w:r>
              </w:hyperlink>
              <w:r>
                <w:rPr>
                  <w:color w:val="000000"/>
                </w:rPr>
                <w:t>), 8.2 punktu:</w:t>
              </w:r>
            </w:p>
          </w:sdtContent>
        </w:sdt>
        <w:sdt>
          <w:sdtPr>
            <w:alias w:val="1 p."/>
            <w:tag w:val="part_5b77ca35c13b4275ab509bbef90df8a7"/>
            <w:lock w:val="sdtLocked"/>
            <w:richText/>
          </w:sdtPr>
          <w:sdtContent>
            <w:p>
              <w:pPr>
                <w:widowControl w:val="0"/>
                <w:suppressAutoHyphens/>
                <w:ind w:firstLine="567"/>
                <w:jc w:val="both"/>
                <w:rPr>
                  <w:color w:val="000000"/>
                  <w:szCs w:val="24"/>
                  <w:lang w:eastAsia="lt-LT"/>
                </w:rPr>
              </w:pPr>
              <w:sdt>
                <w:sdtPr>
                  <w:alias w:val="Numeris"/>
                  <w:tag w:val="nr_5b77ca35c13b4275ab509bbef90df8a7"/>
                  <w:lock w:val="sdtLocked"/>
                  <w:richText/>
                </w:sdtPr>
                <w:sdtContent>
                  <w:r>
                    <w:rPr>
                      <w:color w:val="000000"/>
                      <w:szCs w:val="24"/>
                      <w:lang w:eastAsia="lt-LT"/>
                    </w:rPr>
                    <w:t>1</w:t>
                  </w:r>
                </w:sdtContent>
              </w:sdt>
              <w:r>
                <w:rPr>
                  <w:color w:val="000000"/>
                  <w:szCs w:val="24"/>
                  <w:lang w:eastAsia="lt-LT"/>
                </w:rPr>
                <w:t xml:space="preserve">. S u d a r a u  Žemdirbių švietimo, konsultavimo priemonių, žemės ūkio parodų ir mokslinių tyrimų atrankos komitetą (toliau – komitetas):</w:t>
              </w:r>
            </w:p>
            <w:p>
              <w:pPr>
                <w:widowControl w:val="0"/>
                <w:suppressAutoHyphens/>
                <w:ind w:firstLine="567"/>
                <w:jc w:val="both"/>
                <w:rPr>
                  <w:color w:val="000000"/>
                  <w:szCs w:val="24"/>
                  <w:lang w:eastAsia="lt-LT"/>
                </w:rPr>
              </w:pPr>
              <w:r>
                <w:rPr>
                  <w:color w:val="000000"/>
                  <w:szCs w:val="24"/>
                  <w:lang w:eastAsia="lt-LT"/>
                </w:rPr>
                <w:t>Mindaugas Kuklierius – žemės ūkio viceministras, komiteto pirmininkas;</w:t>
              </w:r>
            </w:p>
            <w:p>
              <w:pPr>
                <w:widowControl w:val="0"/>
                <w:suppressAutoHyphens/>
                <w:ind w:firstLine="567"/>
                <w:jc w:val="both"/>
                <w:rPr>
                  <w:color w:val="000000"/>
                  <w:szCs w:val="24"/>
                  <w:lang w:eastAsia="lt-LT"/>
                </w:rPr>
              </w:pPr>
              <w:r>
                <w:rPr>
                  <w:color w:val="000000"/>
                  <w:szCs w:val="24"/>
                  <w:lang w:eastAsia="lt-LT"/>
                </w:rPr>
                <w:t>Vygantas Katkevičius – Ekonomikos ir tarptautinio bendradarbiavimo departamento direktorius, komiteto pirmininko pavaduotojas;</w:t>
              </w:r>
            </w:p>
            <w:p>
              <w:pPr>
                <w:widowControl w:val="0"/>
                <w:suppressAutoHyphens/>
                <w:ind w:firstLine="567"/>
                <w:jc w:val="both"/>
                <w:rPr>
                  <w:color w:val="000000"/>
                  <w:szCs w:val="24"/>
                  <w:lang w:eastAsia="lt-LT"/>
                </w:rPr>
              </w:pPr>
              <w:r>
                <w:rPr>
                  <w:color w:val="000000"/>
                  <w:szCs w:val="24"/>
                  <w:lang w:eastAsia="lt-LT"/>
                </w:rPr>
                <w:t>Sonata Bartkutė – Finansų ir biudžeto departamento l. e. Nacionalinės paramos planavimo skyriaus vedėjo pareigas (jos nesant – Genutė Ališauskienė, Finansų ir biudžeto departamento Nacionalinės paramos planavimo skyriaus vyriausioji specialistė);</w:t>
              </w:r>
            </w:p>
            <w:p>
              <w:pPr>
                <w:widowControl w:val="0"/>
                <w:suppressAutoHyphens/>
                <w:ind w:firstLine="567"/>
                <w:jc w:val="both"/>
                <w:rPr>
                  <w:color w:val="000000"/>
                  <w:szCs w:val="24"/>
                  <w:lang w:eastAsia="lt-LT"/>
                </w:rPr>
              </w:pPr>
              <w:r>
                <w:rPr>
                  <w:color w:val="000000"/>
                  <w:szCs w:val="24"/>
                  <w:lang w:eastAsia="lt-LT"/>
                </w:rPr>
                <w:t>Vytautas Byla – Žemės ir išteklių politikos departamento Išteklių, melioracijos ir biokuro skyriaus vedėjas (jo nesant – Juozas Žukas, Žemės ir išteklių politikos departamento Išteklių, melioracijos ir biokuro skyriaus vedėjo pavaduotojas);</w:t>
              </w:r>
            </w:p>
            <w:p>
              <w:pPr>
                <w:widowControl w:val="0"/>
                <w:suppressAutoHyphens/>
                <w:ind w:firstLine="567"/>
                <w:jc w:val="both"/>
                <w:rPr>
                  <w:color w:val="000000"/>
                  <w:szCs w:val="24"/>
                  <w:lang w:eastAsia="lt-LT"/>
                </w:rPr>
              </w:pPr>
              <w:r>
                <w:rPr>
                  <w:color w:val="000000"/>
                  <w:szCs w:val="24"/>
                  <w:lang w:eastAsia="lt-LT"/>
                </w:rPr>
                <w:t>Rimutė Kėkštienė – Ekonomikos ir tarptautinio bendradarbiavimo departamento Tarptautinio bendradarbiavimo skyriaus vedėja (jos nesant – Kristina Juodonienė, Ekonomikos ir tarptautinio bendradarbiavimo departamento Tarptautinio bendradarbiavimo skyriaus vyriausioji specialistė);</w:t>
              </w:r>
            </w:p>
            <w:p>
              <w:pPr>
                <w:widowControl w:val="0"/>
                <w:suppressAutoHyphens/>
                <w:ind w:firstLine="567"/>
                <w:jc w:val="both"/>
                <w:rPr>
                  <w:color w:val="000000"/>
                  <w:szCs w:val="24"/>
                  <w:lang w:eastAsia="lt-LT"/>
                </w:rPr>
              </w:pPr>
              <w:r>
                <w:rPr>
                  <w:color w:val="000000"/>
                  <w:szCs w:val="24"/>
                  <w:lang w:eastAsia="lt-LT"/>
                </w:rPr>
                <w:t>Zita Duchovskienė – Ekonomikos ir tarptautinio bendradarbiavimo departamento Strateginio planavimo ir mokslo skyriaus vedėja (jos nesant – Lina Šimonienė, Ekonomikos ir tarptautinio bendradarbiavimo departamento Strateginio planavimo ir mokslo skyriaus vyriausioji specialistė);</w:t>
              </w:r>
            </w:p>
            <w:p>
              <w:pPr>
                <w:widowControl w:val="0"/>
                <w:suppressAutoHyphens/>
                <w:ind w:firstLine="567"/>
                <w:jc w:val="both"/>
                <w:rPr>
                  <w:color w:val="000000"/>
                  <w:szCs w:val="24"/>
                  <w:lang w:eastAsia="lt-LT"/>
                </w:rPr>
              </w:pPr>
              <w:r>
                <w:rPr>
                  <w:color w:val="000000"/>
                  <w:szCs w:val="24"/>
                  <w:lang w:eastAsia="lt-LT"/>
                </w:rPr>
                <w:t>Jonas Lisauskas – Žemės ūkio gamybos ir maisto pramonės departamento direktoriaus pavaduotojas (jo nesant – Saulius Jasius, Žemės ūkio gamybos ir maisto pramonės departamento direktoriaus pavaduotojas);</w:t>
              </w:r>
            </w:p>
            <w:p>
              <w:pPr>
                <w:widowControl w:val="0"/>
                <w:suppressAutoHyphens/>
                <w:ind w:firstLine="567"/>
                <w:jc w:val="both"/>
                <w:rPr>
                  <w:color w:val="000000"/>
                  <w:szCs w:val="24"/>
                  <w:lang w:eastAsia="lt-LT"/>
                </w:rPr>
              </w:pPr>
              <w:r>
                <w:rPr>
                  <w:color w:val="000000"/>
                  <w:szCs w:val="24"/>
                  <w:lang w:eastAsia="lt-LT"/>
                </w:rPr>
                <w:t>Aurelijus Mačiulaitis – Teisės departamento Teisėkūros ir atstovavimo skyriaus vyriausiasis specialistas (jo nesant – Renatas Makelis, Teisės departamento Teisėkūros ir atstovavimo skyriaus vyriausiasis specialistas);</w:t>
              </w:r>
            </w:p>
            <w:p>
              <w:pPr>
                <w:widowControl w:val="0"/>
                <w:suppressAutoHyphens/>
                <w:ind w:firstLine="567"/>
                <w:jc w:val="both"/>
                <w:rPr>
                  <w:color w:val="000000"/>
                  <w:szCs w:val="24"/>
                  <w:lang w:eastAsia="lt-LT"/>
                </w:rPr>
              </w:pPr>
              <w:r>
                <w:rPr>
                  <w:color w:val="000000"/>
                  <w:szCs w:val="24"/>
                  <w:lang w:eastAsia="lt-LT"/>
                </w:rPr>
                <w:t>Sonata Miškinienė – Nacionalinės mokėjimo agentūros prie Žemės ūkio ministerijos Tiesioginės paramos departamento direktorė (jos nesant – Tomas Jackūnas, Nacionalinės mokėjimo agentūros prie Žemės ūkio ministerijos Tiesioginės paramos departamento Nacionalinės paramos skyriaus vedėjas);</w:t>
              </w:r>
            </w:p>
            <w:p>
              <w:pPr>
                <w:widowControl w:val="0"/>
                <w:suppressAutoHyphens/>
                <w:ind w:firstLine="567"/>
                <w:jc w:val="both"/>
                <w:rPr>
                  <w:color w:val="000000"/>
                  <w:szCs w:val="24"/>
                  <w:lang w:eastAsia="lt-LT"/>
                </w:rPr>
              </w:pPr>
              <w:r>
                <w:rPr>
                  <w:color w:val="000000"/>
                  <w:szCs w:val="24"/>
                  <w:lang w:eastAsia="lt-LT"/>
                </w:rPr>
                <w:t>Elena Petrošienė – Kaimo plėtros departamento Tautinio paveldo ir mokymo skyriaus vedėja (jos nesant – Sigitas Miškinis, Kaimo plėtros departamento Tautinio paveldo ir mokymo skyriaus vyriausiasis specialistas);</w:t>
              </w:r>
            </w:p>
            <w:p>
              <w:pPr>
                <w:widowControl w:val="0"/>
                <w:suppressAutoHyphens/>
                <w:ind w:firstLine="567"/>
                <w:jc w:val="both"/>
                <w:rPr>
                  <w:color w:val="000000"/>
                  <w:szCs w:val="24"/>
                  <w:lang w:eastAsia="lt-LT"/>
                </w:rPr>
              </w:pPr>
              <w:r>
                <w:rPr>
                  <w:color w:val="000000"/>
                  <w:szCs w:val="24"/>
                  <w:lang w:eastAsia="lt-LT"/>
                </w:rPr>
                <w:t>Jurgita Stakėnienė – Kaimo plėtros departamento direktorė (jos nesant – Vilma Daugalienė, Kaimo plėtros departamento direktoriaus pavaduotoja);</w:t>
              </w:r>
            </w:p>
            <w:p>
              <w:pPr>
                <w:widowControl w:val="0"/>
                <w:suppressAutoHyphens/>
                <w:ind w:firstLine="567"/>
                <w:jc w:val="both"/>
                <w:rPr>
                  <w:color w:val="000000"/>
                  <w:szCs w:val="24"/>
                  <w:lang w:eastAsia="lt-LT"/>
                </w:rPr>
              </w:pPr>
              <w:r>
                <w:rPr>
                  <w:color w:val="000000"/>
                  <w:szCs w:val="24"/>
                  <w:lang w:eastAsia="lt-LT"/>
                </w:rPr>
                <w:t>Lilija Tepelienė – Žemės ūkio gamybos ir maisto pramonės departamento Maisto pramonės skyriaus vedėja (jos nesant – Angelė Liubeckienė, Žemės ūkio gamybos ir maisto pramonės departamento Kokybės politikos skyriaus vedėja);</w:t>
              </w:r>
            </w:p>
            <w:p>
              <w:pPr>
                <w:widowControl w:val="0"/>
                <w:suppressAutoHyphens/>
                <w:ind w:firstLine="567"/>
                <w:jc w:val="both"/>
                <w:rPr>
                  <w:color w:val="000000"/>
                </w:rPr>
              </w:pPr>
              <w:r>
                <w:rPr>
                  <w:color w:val="000000"/>
                  <w:szCs w:val="24"/>
                  <w:lang w:eastAsia="lt-LT"/>
                </w:rPr>
                <w:t>Virginija Žoštautienė – Veiklos administravimo ir turto valdymo departamento direktorė (jos nesant – Audrius Penkauskas, Veiklos administravimo ir turto valdymo departamento direktoriaus pavaduotojas).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5C806A0463B">
                <w:r w:rsidRPr="00532B9F">
                  <w:rPr>
                    <w:rFonts w:ascii="Times New Roman" w:eastAsia="MS Mincho" w:hAnsi="Times New Roman"/>
                    <w:sz w:val="20"/>
                    <w:i/>
                    <w:iCs/>
                    <w:color w:val="0000FF" w:themeColor="hyperlink"/>
                    <w:u w:val="single"/>
                  </w:rPr>
                  <w:t>3D-732</w:t>
                </w:r>
              </w:fldSimple>
              <w:r>
                <w:rPr>
                  <w:rFonts w:ascii="Times New Roman" w:eastAsia="MS Mincho" w:hAnsi="Times New Roman"/>
                  <w:sz w:val="20"/>
                  <w:i/>
                  <w:iCs/>
                </w:rPr>
                <w:t>,
2011-10-04,
Žin., 2011, Nr.
123-5839 (2011-10-13), i. k. 1112330ISAK003D-732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2D4DCBFB0">
                <w:r w:rsidRPr="00532B9F">
                  <w:rPr>
                    <w:rFonts w:ascii="Times New Roman" w:eastAsia="MS Mincho" w:hAnsi="Times New Roman"/>
                    <w:sz w:val="20"/>
                    <w:i/>
                    <w:iCs/>
                    <w:color w:val="0000FF" w:themeColor="hyperlink"/>
                    <w:u w:val="single"/>
                  </w:rPr>
                  <w:t>3D-354</w:t>
                </w:r>
              </w:fldSimple>
              <w:r>
                <w:rPr>
                  <w:rFonts w:ascii="Times New Roman" w:eastAsia="MS Mincho" w:hAnsi="Times New Roman"/>
                  <w:sz w:val="20"/>
                  <w:i/>
                  <w:iCs/>
                </w:rPr>
                <w:t>,
2013-05-16,
Žin., 2013, Nr.
53-2655 (2013-05-23), i. k. 1132330ISAK003D-354            </w:t>
              </w:r>
            </w:p>
            <w:p/>
          </w:sdtContent>
        </w:sdt>
        <w:sdt>
          <w:sdtPr>
            <w:alias w:val="2 p."/>
            <w:tag w:val="part_1df1ee6abdc446eaa6434aa6b10fa7d1"/>
            <w:lock w:val="sdtLocked"/>
            <w:richText/>
          </w:sdtPr>
          <w:sdtContent>
            <w:p>
              <w:pPr>
                <w:widowControl w:val="0"/>
                <w:suppressAutoHyphens/>
                <w:ind w:firstLine="567"/>
                <w:jc w:val="both"/>
                <w:rPr>
                  <w:color w:val="000000"/>
                </w:rPr>
              </w:pPr>
              <w:sdt>
                <w:sdtPr>
                  <w:alias w:val="Numeris"/>
                  <w:tag w:val="nr_1df1ee6abdc446eaa6434aa6b10fa7d1"/>
                  <w:lock w:val="sdtLocked"/>
                  <w:richText/>
                </w:sdtPr>
                <w:sdtContent>
                  <w:r>
                    <w:rPr>
                      <w:color w:val="000000"/>
                    </w:rPr>
                    <w:t>2</w:t>
                  </w:r>
                </w:sdtContent>
              </w:sdt>
              <w:r>
                <w:rPr>
                  <w:color w:val="000000"/>
                </w:rPr>
                <w:t>. T v i r t i n u Žemdirbių švietimo, konsultavimo priemonių, žemės ūkio parodų ir mokslinių tyrimų atrankos komiteto darbo reglamentą (pridedama).</w:t>
              </w:r>
            </w:p>
          </w:sdtContent>
        </w:sdt>
        <w:sdt>
          <w:sdtPr>
            <w:alias w:val="signatura"/>
            <w:tag w:val="part_9e264f2afbed41c0929333c10a08ce71"/>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Žemės ūkio ministras</w:t>
                <w:tab/>
                <w:t>Kazys Starkevičius</w:t>
              </w:r>
            </w:p>
          </w:sdtContent>
        </w:sdt>
      </w:sdtContent>
    </w:sdt>
    <w:sdt>
      <w:sdtPr>
        <w:alias w:val="patvirtinta"/>
        <w:tag w:val="part_55e37dadb284491196ede6375ba44fc1"/>
        <w:lock w:val="sdtLocked"/>
        <w:richText/>
      </w:sdtPr>
      <w:sdtContent>
        <w:p>
          <w:pPr>
            <w:widowControl w:val="0"/>
            <w:suppressAutoHyphens/>
            <w:ind w:left="5103" w:hanging="5103"/>
            <w:rPr>
              <w:color w:val="000000"/>
            </w:rPr>
          </w:pPr>
          <w:r>
            <w:rPr>
              <w:color w:val="000000"/>
            </w:rPr>
            <w:br w:type="page"/>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55e37dadb284491196ede6375ba44fc1"/>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e9735b8e9d034c4d850ca188082095e5"/>
                <w:lock w:val="sdtLocked"/>
                <w:richText/>
              </w:sdtPr>
              <w:sdtContent>
                <w:p>
                  <w:pPr>
                    <w:widowControl w:val="0"/>
                    <w:suppressAutoHyphens/>
                    <w:ind w:firstLine="567"/>
                    <w:jc w:val="both"/>
                    <w:rPr>
                      <w:color w:val="000000"/>
                    </w:rPr>
                  </w:pPr>
                  <w:sdt>
                    <w:sdtPr>
                      <w:alias w:val="Numeris"/>
                      <w:tag w:val="nr_e9735b8e9d034c4d850ca188082095e5"/>
                      <w:lock w:val="sdtLocked"/>
                      <w:richText/>
                    </w:sdtPr>
                    <w:sdtContent>
                      <w:r>
                        <w:rPr>
                          <w:color w:val="000000"/>
                        </w:rPr>
                        <w:t>2</w:t>
                      </w:r>
                    </w:sdtContent>
                  </w:sdt>
                  <w:r>
                    <w:rPr>
                      <w:color w:val="000000"/>
                    </w:rPr>
                    <w:t xml:space="preserve">. Priemonių atrankos komitetas savo veikloje vadovaujasi </w:t>
                  </w:r>
                  <w:r>
                    <w:rPr>
                      <w:color w:val="000000"/>
                      <w:spacing w:val="-1"/>
                    </w:rPr>
                    <w:t xml:space="preserve">Valstybės pagalbos žemės ūkiui, maisto ūkiui, žuvininkystei ir kaimo plėtrai ir kitų iš nacionalinių lėšų finansuojamų priemonių bendrosiomis administravimo taisyklėmis, patvirtintomis Lietuvos Respublikos žemės ūkio ministro 2010 m. lapkričio 8 d. įsakymu Nr. 3D-979 ( Žin., 2010, Nr. </w:t>
                  </w:r>
                  <w:hyperlink r:id="rId11" w:tgtFrame="_blank" w:history="1">
                    <w:r>
                      <w:rPr>
                        <w:color w:val="0000FF" w:themeColor="hyperlink"/>
                        <w:spacing w:val="-1"/>
                        <w:u w:val="single"/>
                      </w:rPr>
                      <w:t>132-6743</w:t>
                    </w:r>
                  </w:hyperlink>
                  <w:r>
                    <w:rPr>
                      <w:color w:val="000000"/>
                      <w:spacing w:val="-1"/>
                    </w:rPr>
                    <w:t xml:space="preserve">), </w:t>
                  </w:r>
                  <w:r>
                    <w:rPr>
                      <w:color w:val="000000"/>
                    </w:rPr>
                    <w:t xml:space="preserve">Žemės ūkio šviečiamųjų renginių, žemės ūkio parodų, mugių, konkursų organizavimo finansavimo taisyklėmis, patvirtintomis Lietuvos Respublikos žemės ūkio ministro 2007 m. gegužės 16 d. įsakymu Nr. 3D-237 (Žin., 2007, Nr. </w:t>
                  </w:r>
                  <w:hyperlink r:id="rId12" w:tgtFrame="_blank" w:history="1">
                    <w:r>
                      <w:rPr>
                        <w:color w:val="0000FF" w:themeColor="hyperlink"/>
                        <w:u w:val="single"/>
                      </w:rPr>
                      <w:t>63-2429</w:t>
                    </w:r>
                  </w:hyperlink>
                  <w:r>
                    <w:rPr>
                      <w:color w:val="000000"/>
                    </w:rPr>
                    <w:t xml:space="preserve">; 2009, Nr. </w:t>
                  </w:r>
                  <w:hyperlink r:id="rId13" w:tgtFrame="_blank" w:history="1">
                    <w:r>
                      <w:rPr>
                        <w:color w:val="0000FF" w:themeColor="hyperlink"/>
                        <w:u w:val="single"/>
                      </w:rPr>
                      <w:t>152-6854</w:t>
                    </w:r>
                  </w:hyperlink>
                  <w:r>
                    <w:rPr>
                      <w:color w:val="000000"/>
                    </w:rPr>
                    <w:t xml:space="preserve">), Žemdirbių konsultavimo išlaidų finansavimo taisyklėmis, patvirtintomis Lietuvos Respublikos žemės ūkio ministro 2006 m. balandžio 25 d. įsakymu Nr. 3D-171 (Žin., 2006, Nr. </w:t>
                  </w:r>
                  <w:hyperlink r:id="rId14" w:tgtFrame="_blank" w:history="1">
                    <w:r>
                      <w:rPr>
                        <w:color w:val="0000FF" w:themeColor="hyperlink"/>
                        <w:u w:val="single"/>
                      </w:rPr>
                      <w:t>47-1689</w:t>
                    </w:r>
                  </w:hyperlink>
                  <w:r>
                    <w:rPr>
                      <w:color w:val="000000"/>
                    </w:rPr>
                    <w:t xml:space="preserve">; 2010, Nr. </w:t>
                  </w:r>
                  <w:hyperlink r:id="rId15" w:tgtFrame="_blank" w:history="1">
                    <w:r>
                      <w:rPr>
                        <w:color w:val="0000FF" w:themeColor="hyperlink"/>
                        <w:u w:val="single"/>
                      </w:rPr>
                      <w:t>42-2030</w:t>
                    </w:r>
                  </w:hyperlink>
                  <w:r>
                    <w:rPr>
                      <w:color w:val="000000"/>
                    </w:rPr>
                    <w:t xml:space="preserve">), Žemės ūkio ministerijos tarptautinių mokslinių tyrimų ir technologijų plėtros projektų administravimo taisyklėmis, patvirtintomis Lietuvos Respublikos žemės ūkio ministro 2009 m. kovo 19 d. įsakymu Nr. 3D-177 (Žin., 2009, Nr. </w:t>
                  </w:r>
                  <w:hyperlink r:id="rId16" w:tgtFrame="_blank" w:history="1">
                    <w:r>
                      <w:rPr>
                        <w:color w:val="0000FF" w:themeColor="hyperlink"/>
                        <w:u w:val="single"/>
                      </w:rPr>
                      <w:t>34-1313</w:t>
                    </w:r>
                  </w:hyperlink>
                  <w:r>
                    <w:rPr>
                      <w:color w:val="000000"/>
                    </w:rPr>
                    <w:t xml:space="preserve">, Nr. </w:t>
                  </w:r>
                  <w:hyperlink r:id="rId17" w:tgtFrame="_blank" w:history="1">
                    <w:r>
                      <w:rPr>
                        <w:color w:val="0000FF" w:themeColor="hyperlink"/>
                        <w:u w:val="single"/>
                      </w:rPr>
                      <w:t>145-6445</w:t>
                    </w:r>
                  </w:hyperlink>
                  <w:r>
                    <w:rPr>
                      <w:color w:val="000000"/>
                    </w:rPr>
                    <w:t xml:space="preserve">), Žemės ūkio, maisto ūkio ir žuvininkystės mokslinių tyrimų ir taikomosios veiklos finansavimo taisyklėmis, patvirtintomis Lietuvos Respublikos žemės ūkio ministro 2007 m. gegužės 11 d. įsakymu Nr. 3D-232 (Žin., 2007, Nr. </w:t>
                  </w:r>
                  <w:hyperlink r:id="rId18" w:tgtFrame="_blank" w:history="1">
                    <w:r>
                      <w:rPr>
                        <w:color w:val="0000FF" w:themeColor="hyperlink"/>
                        <w:u w:val="single"/>
                      </w:rPr>
                      <w:t>54-2104</w:t>
                    </w:r>
                  </w:hyperlink>
                  <w:r>
                    <w:rPr>
                      <w:color w:val="000000"/>
                    </w:rPr>
                    <w:t xml:space="preserve">; 2009, Nr. </w:t>
                  </w:r>
                  <w:hyperlink r:id="rId19" w:tgtFrame="_blank" w:history="1">
                    <w:r>
                      <w:rPr>
                        <w:color w:val="0000FF" w:themeColor="hyperlink"/>
                        <w:u w:val="single"/>
                      </w:rPr>
                      <w:t>145-6444</w:t>
                    </w:r>
                  </w:hyperlink>
                  <w:r>
                    <w:rPr>
                      <w:color w:val="000000"/>
                    </w:rPr>
                    <w:t xml:space="preserve">), Asociacijų, vienijančių asmenis, užsiimančius žemės ir miškų ūkio bei alternatyviąja veikla, narystės Europos Sąjungos ir kitose tarptautinėse organizacijose mokesčio mokėjimo ir atstovavimo Europos Sąjungos ir kitose tarptautinėse organizacijose finansavimo taisyklėmis, patvirtintomis Lietuvos Respublikos žemės ūkio ministro 2006 m. birželio 28 d. įsakymu Nr. 3D-266 (Žin., 2006, Nr. </w:t>
                  </w:r>
                  <w:hyperlink r:id="rId20" w:tgtFrame="_blank" w:history="1">
                    <w:r>
                      <w:rPr>
                        <w:color w:val="0000FF" w:themeColor="hyperlink"/>
                        <w:u w:val="single"/>
                      </w:rPr>
                      <w:t>75-2885</w:t>
                    </w:r>
                  </w:hyperlink>
                  <w:r>
                    <w:rPr>
                      <w:color w:val="000000"/>
                    </w:rPr>
                    <w:t>; 2009, Nr. 151-6802), ir kitais teisės aktais, reglamentuojančiais valstybės paramos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7160749e26b24f2889d096fd92b78c80"/>
                <w:lock w:val="sdtLocked"/>
                <w:richText/>
              </w:sdtPr>
              <w:sdtContent>
                <w:p>
                  <w:pPr>
                    <w:widowControl w:val="0"/>
                    <w:suppressAutoHyphens/>
                    <w:ind w:firstLine="567"/>
                    <w:jc w:val="both"/>
                    <w:rPr>
                      <w:color w:val="000000"/>
                    </w:rPr>
                  </w:pPr>
                  <w:sdt>
                    <w:sdtPr>
                      <w:alias w:val="Numeris"/>
                      <w:tag w:val="nr_7160749e26b24f2889d096fd92b78c80"/>
                      <w:lock w:val="sdtLocked"/>
                      <w:richText/>
                    </w:sdtPr>
                    <w:sdtContent>
                      <w:r>
                        <w:rPr>
                          <w:color w:val="000000"/>
                        </w:rPr>
                        <w:t>4</w:t>
                      </w:r>
                    </w:sdtContent>
                  </w:sdt>
                  <w:r>
                    <w:rPr>
                      <w:color w:val="000000"/>
                    </w:rPr>
                    <w:t>. Priemonių atrankos komitetas vykdo šias funkcijas:</w:t>
                  </w:r>
                </w:p>
                <w:sdt>
                  <w:sdtPr>
                    <w:alias w:val="4.1 p."/>
                    <w:tag w:val="part_e9d6903dfbc04330838ed4319438f47a"/>
                    <w:lock w:val="sdtLocked"/>
                    <w:richText/>
                  </w:sdtPr>
                  <w:sdtContent>
                    <w:p>
                      <w:pPr>
                        <w:widowControl w:val="0"/>
                        <w:suppressAutoHyphens/>
                        <w:ind w:firstLine="567"/>
                        <w:jc w:val="both"/>
                        <w:rPr>
                          <w:color w:val="000000"/>
                        </w:rPr>
                      </w:pPr>
                      <w:sdt>
                        <w:sdtPr>
                          <w:alias w:val="Numeris"/>
                          <w:tag w:val="nr_e9d6903dfbc04330838ed4319438f47a"/>
                          <w:lock w:val="sdtLocked"/>
                          <w:richText/>
                        </w:sdtPr>
                        <w:sdtContent>
                          <w:r>
                            <w:rPr>
                              <w:color w:val="000000"/>
                            </w:rPr>
                            <w:t>4.1</w:t>
                          </w:r>
                        </w:sdtContent>
                      </w:sdt>
                      <w:r>
                        <w:rPr>
                          <w:color w:val="000000"/>
                        </w:rPr>
                        <w:t>. nagrinėja pateiktas paraiškas finansuoti žemdirbių švietimo ir konsultavimo, žemės ūkio parodų, asociacijų atstovavimo Europos Sąjungos ir kitose tarptautinėse organizacijose priemones (toliau – paraiškas);</w:t>
                      </w:r>
                    </w:p>
                  </w:sdtContent>
                </w:sdt>
                <w:sdt>
                  <w:sdtPr>
                    <w:alias w:val="4.2 p."/>
                    <w:tag w:val="part_a806b3bea500427d92ea4bae8a47dda4"/>
                    <w:lock w:val="sdtLocked"/>
                    <w:richText/>
                  </w:sdtPr>
                  <w:sdtContent>
                    <w:p>
                      <w:pPr>
                        <w:widowControl w:val="0"/>
                        <w:suppressAutoHyphens/>
                        <w:ind w:firstLine="567"/>
                        <w:jc w:val="both"/>
                        <w:rPr>
                          <w:color w:val="000000"/>
                        </w:rPr>
                      </w:pPr>
                      <w:sdt>
                        <w:sdtPr>
                          <w:alias w:val="Numeris"/>
                          <w:tag w:val="nr_a806b3bea500427d92ea4bae8a47dda4"/>
                          <w:lock w:val="sdtLocked"/>
                          <w:richText/>
                        </w:sdtPr>
                        <w:sdtContent>
                          <w:r>
                            <w:rPr>
                              <w:color w:val="000000"/>
                            </w:rPr>
                            <w:t>4.2</w:t>
                          </w:r>
                        </w:sdtContent>
                      </w:sdt>
                      <w:r>
                        <w:rPr>
                          <w:color w:val="000000"/>
                        </w:rPr>
                        <w:t>. sprendžia dėl mokslinių tyrimų ir taikomosios veiklos projektų finansavimo ir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
                  <w:sdtPr>
                    <w:alias w:val="4.3 p."/>
                    <w:tag w:val="part_4ea9083eb06a4631bb679798d4391072"/>
                    <w:lock w:val="sdtLocked"/>
                    <w:richText/>
                  </w:sdtPr>
                  <w:sdtContent>
                    <w:p>
                      <w:pPr>
                        <w:widowControl w:val="0"/>
                        <w:ind w:firstLine="567"/>
                        <w:jc w:val="both"/>
                        <w:rPr>
                          <w:color w:val="000000"/>
                        </w:rPr>
                      </w:pPr>
                      <w:sdt>
                        <w:sdtPr>
                          <w:alias w:val="Numeris"/>
                          <w:tag w:val="nr_4ea9083eb06a4631bb679798d4391072"/>
                          <w:lock w:val="sdtLocked"/>
                          <w:richText/>
                        </w:sdtPr>
                        <w:sdtContent>
                          <w:r>
                            <w:rPr>
                              <w:color w:val="000000"/>
                              <w:szCs w:val="24"/>
                              <w:lang w:eastAsia="lt-LT"/>
                            </w:rPr>
                            <w:t>4.3</w:t>
                          </w:r>
                        </w:sdtContent>
                      </w:sdt>
                      <w:r>
                        <w:rPr>
                          <w:color w:val="000000"/>
                          <w:szCs w:val="24"/>
                          <w:lang w:eastAsia="lt-LT"/>
                        </w:rPr>
                        <w:t>. teikia siūlymus Lietuvos Respublikos žemės ūkio ministrui ir (arba) Žemės ūkio ministerijos kancleriui dėl finansavimo paraiškose nurodytoms priemonėms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9269B31607">
                        <w:r w:rsidRPr="00532B9F">
                          <w:rPr>
                            <w:rFonts w:ascii="Times New Roman" w:eastAsia="MS Mincho" w:hAnsi="Times New Roman"/>
                            <w:sz w:val="20"/>
                            <w:i/>
                            <w:iCs/>
                            <w:color w:val="0000FF" w:themeColor="hyperlink"/>
                            <w:u w:val="single"/>
                          </w:rPr>
                          <w:t>3D-642</w:t>
                        </w:r>
                      </w:fldSimple>
                      <w:r>
                        <w:rPr>
                          <w:rFonts w:ascii="Times New Roman" w:eastAsia="MS Mincho" w:hAnsi="Times New Roman"/>
                          <w:sz w:val="20"/>
                          <w:i/>
                          <w:iCs/>
                        </w:rPr>
                        <w:t>,
2013-09-17,
Žin., 2013, Nr.
99-4914 (2013-09-20), i. k. 1132330ISAK003D-642            </w:t>
                      </w:r>
                    </w:p>
                    <w:p/>
                  </w:sdtContent>
                </w:sdt>
                <w:sdt>
                  <w:sdtPr>
                    <w:alias w:val="4.4 p."/>
                    <w:tag w:val="part_28c618c1667a4260b5f7a062e4fe1440"/>
                    <w:lock w:val="sdtLocked"/>
                    <w:richText/>
                  </w:sdtPr>
                  <w:sdtContent>
                    <w:p>
                      <w:pPr>
                        <w:widowControl w:val="0"/>
                        <w:suppressAutoHyphens/>
                        <w:ind w:firstLine="567"/>
                        <w:jc w:val="both"/>
                        <w:rPr>
                          <w:color w:val="000000"/>
                        </w:rPr>
                      </w:pPr>
                      <w:sdt>
                        <w:sdtPr>
                          <w:alias w:val="Numeris"/>
                          <w:tag w:val="nr_28c618c1667a4260b5f7a062e4fe1440"/>
                          <w:lock w:val="sdtLocked"/>
                          <w:richText/>
                        </w:sdtPr>
                        <w:sdtContent>
                          <w:r>
                            <w:rPr>
                              <w:color w:val="000000"/>
                            </w:rPr>
                            <w:t>4.4</w:t>
                          </w:r>
                        </w:sdtContent>
                      </w:sdt>
                      <w:r>
                        <w:rPr>
                          <w:color w:val="000000"/>
                        </w:rPr>
                        <w:t>. prireikus teikia siūlymus dėl priimtų sprendimų pakartotinio nagrinėjimo ir paramos skyrimo nutraukimo.</w:t>
                      </w:r>
                    </w:p>
                  </w:sdtContent>
                </w:sdt>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9e46a09cf78449b1bd916c8bc00946c1"/>
                <w:lock w:val="sdtLocked"/>
                <w:richText/>
              </w:sdtPr>
              <w:sdtContent>
                <w:p>
                  <w:pPr>
                    <w:widowControl w:val="0"/>
                    <w:suppressAutoHyphens/>
                    <w:ind w:firstLine="567"/>
                    <w:jc w:val="both"/>
                    <w:rPr>
                      <w:color w:val="000000"/>
                    </w:rPr>
                  </w:pPr>
                  <w:sdt>
                    <w:sdtPr>
                      <w:alias w:val="Numeris"/>
                      <w:tag w:val="nr_9e46a09cf78449b1bd916c8bc00946c1"/>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Priemonių atrankos komiteto posėdžiai yra protokoluojami.</w:t>
                  </w:r>
                </w:p>
              </w:sdtContent>
            </w:sdt>
            <w:sdt>
              <w:sdtPr>
                <w:alias w:val="8 p."/>
                <w:tag w:val="part_fc52beed06674b6ea14cfd697eac68f1"/>
                <w:lock w:val="sdtLocked"/>
                <w:richText/>
              </w:sdtPr>
              <w:sdtContent>
                <w:p>
                  <w:pPr>
                    <w:widowControl w:val="0"/>
                    <w:suppressAutoHyphens/>
                    <w:ind w:firstLine="567"/>
                    <w:jc w:val="both"/>
                    <w:rPr>
                      <w:color w:val="000000"/>
                    </w:rPr>
                  </w:pPr>
                  <w:sdt>
                    <w:sdtPr>
                      <w:alias w:val="Numeris"/>
                      <w:tag w:val="nr_fc52beed06674b6ea14cfd697eac68f1"/>
                      <w:lock w:val="sdtLocked"/>
                      <w:richText/>
                    </w:sdtPr>
                    <w:sdtContent>
                      <w:r>
                        <w:rPr>
                          <w:color w:val="000000"/>
                        </w:rPr>
                        <w:t>8</w:t>
                      </w:r>
                    </w:sdtContent>
                  </w:sdt>
                  <w:r>
                    <w:rPr>
                      <w:color w:val="000000"/>
                    </w:rPr>
                    <w:t>. Priemonių atrankos komiteto sekretoriato funkcijas atlieka už atskirų iš nacionalinių valstybės biudžeto lėšų finansuojamų priemonių vykdymą atsakingi ministerijos struktūriniai padaliniai (toliau – sekretoriatas).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9 p."/>
                <w:tag w:val="part_6de1ca3134fa4a3d8dbc14186a07267b"/>
                <w:lock w:val="sdtLocked"/>
                <w:richText/>
              </w:sdtPr>
              <w:sdtContent>
                <w:p>
                  <w:pPr>
                    <w:widowControl w:val="0"/>
                    <w:suppressAutoHyphens/>
                    <w:ind w:firstLine="567"/>
                    <w:jc w:val="both"/>
                    <w:rPr>
                      <w:color w:val="000000"/>
                    </w:rPr>
                  </w:pPr>
                  <w:sdt>
                    <w:sdtPr>
                      <w:alias w:val="Numeris"/>
                      <w:tag w:val="nr_6de1ca3134fa4a3d8dbc14186a07267b"/>
                      <w:lock w:val="sdtLocked"/>
                      <w:richText/>
                    </w:sdtPr>
                    <w:sdtContent>
                      <w:r>
                        <w:rPr>
                          <w:color w:val="000000"/>
                        </w:rPr>
                        <w:t>9</w:t>
                      </w:r>
                    </w:sdtContent>
                  </w:sdt>
                  <w:r>
                    <w:rPr>
                      <w:color w:val="000000"/>
                    </w:rPr>
                    <w:t>. Sekretoriatas, gavęs paraiškas ir jas įvertinęs, parengia paraiškų vertinimo rezultatų suvestines ir pateikia Priemonių atrankos komiteto pirmininkui prieš 5 darbo dienas iki svarstymo Priemonių atrankos komiteto posėdyje.</w:t>
                  </w:r>
                </w:p>
              </w:sdtContent>
            </w:sdt>
            <w:sdt>
              <w:sdtPr>
                <w:alias w:val="10 p."/>
                <w:tag w:val="part_2eea4afaefb3484bbb4d3d200fe24bcc"/>
                <w:lock w:val="sdtLocked"/>
                <w:richText/>
              </w:sdtPr>
              <w:sdtContent>
                <w:p>
                  <w:pPr>
                    <w:widowControl w:val="0"/>
                    <w:suppressAutoHyphens/>
                    <w:ind w:firstLine="567"/>
                    <w:jc w:val="both"/>
                    <w:rPr>
                      <w:color w:val="000000"/>
                    </w:rPr>
                  </w:pPr>
                  <w:sdt>
                    <w:sdtPr>
                      <w:alias w:val="Numeris"/>
                      <w:tag w:val="nr_2eea4afaefb3484bbb4d3d200fe24bcc"/>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asmeniškai kiekvienam Priemonių atrankos komiteto nariui.</w:t>
                  </w:r>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d12e4587c0a24f99aea08778eb18599a"/>
                <w:lock w:val="sdtLocked"/>
                <w:richText/>
              </w:sdtPr>
              <w:sdtContent>
                <w:p>
                  <w:pPr>
                    <w:widowControl w:val="0"/>
                    <w:suppressAutoHyphens/>
                    <w:ind w:firstLine="567"/>
                    <w:jc w:val="both"/>
                    <w:rPr>
                      <w:color w:val="000000"/>
                    </w:rPr>
                  </w:pPr>
                  <w:sdt>
                    <w:sdtPr>
                      <w:alias w:val="Numeris"/>
                      <w:tag w:val="nr_d12e4587c0a24f99aea08778eb18599a"/>
                      <w:lock w:val="sdtLocked"/>
                      <w:richText/>
                    </w:sdtPr>
                    <w:sdtContent>
                      <w:r>
                        <w:rPr>
                          <w:color w:val="000000"/>
                        </w:rPr>
                        <w:t>16</w:t>
                      </w:r>
                    </w:sdtContent>
                  </w:sdt>
                  <w:r>
                    <w:rPr>
                      <w:color w:val="000000"/>
                    </w:rPr>
                    <w:t>. Priemonių atrankos komiteto posėdžio protokole turi būti įrašytas komisijos sprendimas, t. y.:</w:t>
                  </w:r>
                </w:p>
                <w:sdt>
                  <w:sdtPr>
                    <w:alias w:val="16.1 p."/>
                    <w:tag w:val="part_05461013f6834888a6120ee6c5c75f43"/>
                    <w:lock w:val="sdtLocked"/>
                    <w:richText/>
                  </w:sdtPr>
                  <w:sdtContent>
                    <w:p>
                      <w:pPr>
                        <w:widowControl w:val="0"/>
                        <w:suppressAutoHyphens/>
                        <w:ind w:firstLine="567"/>
                        <w:jc w:val="both"/>
                        <w:rPr>
                          <w:color w:val="000000"/>
                        </w:rPr>
                      </w:pPr>
                      <w:sdt>
                        <w:sdtPr>
                          <w:alias w:val="Numeris"/>
                          <w:tag w:val="nr_05461013f6834888a6120ee6c5c75f43"/>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
                    <w:tag w:val="part_ad07e40b09bc417997503bc5d4421db5"/>
                    <w:lock w:val="sdtLocked"/>
                    <w:richText/>
                  </w:sdtPr>
                  <w:sdtContent>
                    <w:p>
                      <w:pPr>
                        <w:widowControl w:val="0"/>
                        <w:suppressAutoHyphens/>
                        <w:ind w:firstLine="567"/>
                        <w:jc w:val="both"/>
                        <w:rPr>
                          <w:color w:val="000000"/>
                        </w:rPr>
                      </w:pPr>
                      <w:sdt>
                        <w:sdtPr>
                          <w:alias w:val="Numeris"/>
                          <w:tag w:val="nr_ad07e40b09bc417997503bc5d4421db5"/>
                          <w:lock w:val="sdtLocked"/>
                          <w:richText/>
                        </w:sdtPr>
                        <w:sdtContent>
                          <w:r>
                            <w:rPr>
                              <w:color w:val="000000"/>
                            </w:rPr>
                            <w:t>16.2</w:t>
                          </w:r>
                        </w:sdtContent>
                      </w:sdt>
                      <w:r>
                        <w:rPr>
                          <w:color w:val="000000"/>
                        </w:rPr>
                        <w:t>. siūlymas neskirti paramos, nurodant: paraiškos registracijos numerį, priemonės pavadinimą, pareiškėją, paramos neskyrimo priežastį;</w:t>
                      </w:r>
                    </w:p>
                  </w:sdtContent>
                </w:sdt>
                <w:sdt>
                  <w:sdtPr>
                    <w:alias w:val="16.3 p."/>
                    <w:tag w:val="part_833c51499a184fe280160aac18ef3e80"/>
                    <w:lock w:val="sdtLocked"/>
                    <w:richText/>
                  </w:sdtPr>
                  <w:sdtContent>
                    <w:p>
                      <w:pPr>
                        <w:widowControl w:val="0"/>
                        <w:suppressAutoHyphens/>
                        <w:ind w:firstLine="567"/>
                        <w:jc w:val="both"/>
                        <w:rPr>
                          <w:color w:val="000000"/>
                        </w:rPr>
                      </w:pPr>
                      <w:sdt>
                        <w:sdtPr>
                          <w:alias w:val="Numeris"/>
                          <w:tag w:val="nr_833c51499a184fe280160aac18ef3e80"/>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w:t>
                      </w:r>
                    </w:p>
                  </w:sdtContent>
                </w:sdt>
                <w:sdt>
                  <w:sdtPr>
                    <w:alias w:val="16.4 p."/>
                    <w:tag w:val="part_9fca385594e84ed5989b5098a2fa50c4"/>
                    <w:lock w:val="sdtLocked"/>
                    <w:richText/>
                  </w:sdtPr>
                  <w:sdtContent>
                    <w:p>
                      <w:pPr>
                        <w:widowControl w:val="0"/>
                        <w:suppressAutoHyphens/>
                        <w:ind w:firstLine="567"/>
                        <w:jc w:val="both"/>
                        <w:rPr>
                          <w:color w:val="000000"/>
                        </w:rPr>
                      </w:pPr>
                      <w:sdt>
                        <w:sdtPr>
                          <w:alias w:val="Numeris"/>
                          <w:tag w:val="nr_9fca385594e84ed5989b5098a2fa50c4"/>
                          <w:lock w:val="sdtLocked"/>
                          <w:richText/>
                        </w:sdtPr>
                        <w:sdtContent>
                          <w:r>
                            <w:rPr>
                              <w:color w:val="000000"/>
                            </w:rPr>
                            <w:t>16.4</w:t>
                          </w:r>
                        </w:sdtContent>
                      </w:sdt>
                      <w:r>
                        <w:rPr>
                          <w:color w:val="000000"/>
                        </w:rPr>
                        <w:t>. kiti Priemonių atrankos komiteto posėdyje priimti sprendimai.</w:t>
                      </w:r>
                    </w:p>
                  </w:sdtContent>
                </w:sdt>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505690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3136B2E9BF8F"/>
  <Relationship Id="rId11" Type="http://schemas.openxmlformats.org/officeDocument/2006/relationships/hyperlink" TargetMode="External" Target="https://www.e-tar.lt/portal/lt/legalAct/TAR.07794A04704B"/>
  <Relationship Id="rId12" Type="http://schemas.openxmlformats.org/officeDocument/2006/relationships/hyperlink" TargetMode="External" Target="https://www.e-tar.lt/portal/lt/legalAct/TAR.5089AFDA06FE"/>
  <Relationship Id="rId13" Type="http://schemas.openxmlformats.org/officeDocument/2006/relationships/hyperlink" TargetMode="External" Target="https://www.e-tar.lt/portal/lt/legalAct/TAR.247EE539E8F9"/>
  <Relationship Id="rId14" Type="http://schemas.openxmlformats.org/officeDocument/2006/relationships/hyperlink" TargetMode="External" Target="https://www.e-tar.lt/portal/lt/legalAct/TAR.4A6669929A9E"/>
  <Relationship Id="rId15" Type="http://schemas.openxmlformats.org/officeDocument/2006/relationships/hyperlink" TargetMode="External" Target="https://www.e-tar.lt/portal/lt/legalAct/TAR.614E93F149C3"/>
  <Relationship Id="rId16" Type="http://schemas.openxmlformats.org/officeDocument/2006/relationships/hyperlink" TargetMode="External" Target="https://www.e-tar.lt/portal/lt/legalAct/TAR.BBD27A67F65E"/>
  <Relationship Id="rId17" Type="http://schemas.openxmlformats.org/officeDocument/2006/relationships/hyperlink" TargetMode="External" Target="https://www.e-tar.lt/portal/lt/legalAct/TAR.5301F654219F"/>
  <Relationship Id="rId18" Type="http://schemas.openxmlformats.org/officeDocument/2006/relationships/hyperlink" TargetMode="External" Target="https://www.e-tar.lt/portal/lt/legalAct/TAR.7DD9F86EAF34"/>
  <Relationship Id="rId19" Type="http://schemas.openxmlformats.org/officeDocument/2006/relationships/hyperlink" TargetMode="External" Target="https://www.e-tar.lt/portal/lt/legalAct/TAR.150D9CF9492A"/>
  <Relationship Id="rId2" Type="http://schemas.openxmlformats.org/officeDocument/2006/relationships/settings" Target="settings.xml"/>
  <Relationship Id="rId20" Type="http://schemas.openxmlformats.org/officeDocument/2006/relationships/hyperlink" TargetMode="External" Target="https://www.e-tar.lt/portal/lt/legalAct/TAR.3B5AECCEA096"/>
  <Relationship Id="rId21" Type="http://schemas.openxmlformats.org/officeDocument/2006/relationships/customXml" Target="../customXml/item1.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yperlink" TargetMode="External" Target="https://www.e-tar.lt/portal/lt/legalAct/TAR.64CF02BD2377"/>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3e1ce7c62d5a4816b3a118b81f55154c">
    <Part Type="preambule" DocPartId="52fad246888e4f098a08bef2db616897" PartId="2d1cd30f8c774e3c898d9ae8f8d2a4bf"/>
    <Part Type="punktas" Nr="1" Abbr="1 p." DocPartId="1c4deec939504d7fa0df36bc4632a948" PartId="5b77ca35c13b4275ab509bbef90df8a7"/>
    <Part Type="punktas" Nr="2" Abbr="2 p." DocPartId="96209642501d4959b71425efd88b1d43" PartId="1df1ee6abdc446eaa6434aa6b10fa7d1"/>
    <Part Type="signatura" DocPartId="663f6ed842d24c74b8904269e76f8ff4" PartId="9e264f2afbed41c0929333c10a08ce71"/>
  </Part>
  <Part Type="patvirtinta" Title="ŽEMDIRBIŲ ŠVIETIMO, KONSULTAVIMO PRIEMONIŲ, ŽEMĖS ŪKIO PARODŲ IR MOKSLINIŲ TYRIMŲ ATRANKOS KOMITETO DARBO REGLAMENTAS" DocPartId="9cb0f87428854df38a0843504c867a04" PartId="55e37dadb284491196ede6375ba44fc1">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e9735b8e9d034c4d850ca188082095e5"/>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7160749e26b24f2889d096fd92b78c80">
        <Part Type="punktas" Nr="4.1" Abbr="4.1 p." DocPartId="3287eafcb582428fbe30256a86ed1d3c" PartId="e9d6903dfbc04330838ed4319438f47a"/>
        <Part Type="punktas" Nr="4.2" Abbr="4.2 p." DocPartId="7e5514a6c6a145b3aad5ed26a0193d9d" PartId="a806b3bea500427d92ea4bae8a47dda4"/>
        <Part Type="punktas" Nr="4.3" Abbr="4.3 p." DocPartId="1a5754c1a12243d2983e58ab407faa6f" PartId="4ea9083eb06a4631bb679798d4391072"/>
        <Part Type="punktas" Nr="4.4" Abbr="4.4 p." DocPartId="ce81bdfca14c49d0b1c3f64924d806e1" PartId="28c618c1667a4260b5f7a062e4fe1440"/>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9e46a09cf78449b1bd916c8bc00946c1"/>
      <Part Type="punktas" Nr="8" Abbr="8 p." DocPartId="10ea025e403b497e9e68365734ccf1cd" PartId="fc52beed06674b6ea14cfd697eac68f1"/>
      <Part Type="punktas" Nr="9" Abbr="9 p." DocPartId="7acaca3fda6a4e208f37daf388390833" PartId="6de1ca3134fa4a3d8dbc14186a07267b"/>
      <Part Type="punktas" Nr="10" Abbr="10 p." DocPartId="ab9ac8ab310c4db285b39bfa95af3472" PartId="2eea4afaefb3484bbb4d3d200fe24bcc"/>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d12e4587c0a24f99aea08778eb18599a">
        <Part Type="punktas" Nr="16.1" Abbr="16.1 p." DocPartId="ab4ccb6ca75548d7856ad4e40abad1ff" PartId="05461013f6834888a6120ee6c5c75f43"/>
        <Part Type="punktas" Nr="16.2" Abbr="16.2 p." DocPartId="95c6810059ad4739bb8f84b1d6c77d07" PartId="ad07e40b09bc417997503bc5d4421db5"/>
        <Part Type="punktas" Nr="16.3" Abbr="16.3 p." DocPartId="70ddf79f6f9e49f8993989a7dc3b6741" PartId="833c51499a184fe280160aac18ef3e80"/>
        <Part Type="punktas" Nr="16.4" Abbr="16.4 p." DocPartId="b562de13f15b4191a9cead7054d2124b" PartId="9fca385594e84ed5989b5098a2fa50c4"/>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CE6F470C-3A1B-43E3-BDFD-FDC09B448EA6}">
  <ds:schemaRefs>
    <ds:schemaRef ds:uri="http://lrs.lt/TAIS/DocParts"/>
  </ds:schemaRefs>
</ds:datastoreItem>
</file>

<file path=docProps/app.xml><?xml version="1.0" encoding="utf-8"?>
<Properties xmlns="http://schemas.openxmlformats.org/officeDocument/2006/extended-properties">
  <Template>Normal.dotm</Template>
  <TotalTime>6</TotalTime>
  <Pages>5</Pages>
  <Words>8214</Words>
  <Characters>4682</Characters>
  <Application>Microsoft Office Word</Application>
  <DocSecurity>0</DocSecurity>
  <Lines>39</Lines>
  <Paragraphs>25</Paragraphs>
  <ScaleCrop>false</ScaleCrop>
  <Company/>
  <LinksUpToDate>false</LinksUpToDate>
  <CharactersWithSpaces>12871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PAPINIGIENĖ Augustė</lastModifiedBy>
  <dcterms:modified xsi:type="dcterms:W3CDTF">2016-03-30T12:51:00Z</dcterms:modified>
  <revision>8</revision>
  <dc:title>LIETUVOS RESPUBLIKOS ŽEMĖS ŪKIO MINISTRO</dc:title>
</coreProperties>
</file>