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a0bbea725ff4a67976da97dbdfb806e"/>
        <w:lock w:val="sdtLocked"/>
        <w:richText/>
      </w:sdtPr>
      <w:sdtContent>
        <w:p>
          <w:pPr>
            <w:jc w:val="both"/>
            <w:rPr>
              <w:rFonts w:ascii="Times New Roman" w:hAnsi="Times New Roman"/>
            </w:rPr>
          </w:pPr>
          <w:r>
            <w:rPr>
              <w:rFonts w:ascii="Times New Roman" w:hAnsi="Times New Roman"/>
              <w:b/>
              <w:i/>
            </w:rPr>
            <w:t>Suvestinė redakcija nuo 2025-11-11 iki 2026-06-11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2020-02-20:</w:t>
          </w:r>
        </w:p>
        <w:p>
          <w:pPr>
            <w:rPr>
              <w:rFonts w:ascii="Times New Roman" w:hAnsi="Times New Roman"/>
              <w:sz w:val="20"/>
              <w:i/>
            </w:rPr>
          </w:pPr>
          <w:r>
            <w:rPr>
              <w:rFonts w:ascii="Times New Roman" w:hAnsi="Times New Roman"/>
              <w:sz w:val="20"/>
              <w:i/>
            </w:rPr>
            <w:t xml:space="preserve">Nr. </w:t>
          </w:r>
          <w:fldSimple w:instr="HYPERLINK https://www.e-tar.lt/portal/legalAct.html?documentId=66f1316052e611ea931dbf3357b5b1c0">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2020-02-19,
paskelbta TAR 2020-02-19, i. k. 2020-03612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rPr>
          </w:pPr>
          <w:r>
            <w:rPr>
              <w:b/>
            </w:rPr>
            <w:t>ĮSAKYMAS</w:t>
          </w:r>
        </w:p>
        <w:p>
          <w:pPr>
            <w:overflowPunct w:val="0"/>
            <w:jc w:val="center"/>
            <w:textAlignment w:val="baseline"/>
            <w:rPr>
              <w:b/>
            </w:rPr>
          </w:pPr>
          <w:r>
            <w:rPr>
              <w:b/>
            </w:rPr>
            <w:t>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b3fb05e2d148929b36d8acccf73b3d"/>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12.15 ir 12.30 papunkčiais:</w:t>
              </w:r>
            </w:p>
          </w:sdtContent>
        </w:sdt>
        <w:sdt>
          <w:sdtPr>
            <w:alias w:val="1 p."/>
            <w:tag w:val="part_bf4b8b02e7344e67b1f1d430b0b2fc62"/>
            <w:lock w:val="sdtLocked"/>
            <w:richText/>
          </w:sdtPr>
          <w:sdtContent>
            <w:p>
              <w:pPr>
                <w:overflowPunct w:val="0"/>
                <w:spacing w:line="360" w:lineRule="auto"/>
                <w:ind w:firstLine="720"/>
                <w:jc w:val="both"/>
                <w:textAlignment w:val="baseline"/>
                <w:rPr>
                  <w:szCs w:val="24"/>
                  <w:lang w:eastAsia="lt-LT"/>
                </w:rPr>
              </w:pPr>
              <w:sdt>
                <w:sdtPr>
                  <w:alias w:val="Numeris"/>
                  <w:tag w:val="nr_bf4b8b02e7344e67b1f1d430b0b2fc62"/>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20"/>
                <w:jc w:val="both"/>
                <w:textAlignment w:val="baseline"/>
              </w:pPr>
              <w:r>
                <w:rPr>
                  <w:szCs w:val="24"/>
                  <w:lang w:eastAsia="lt-LT"/>
                </w:rPr>
                <w:t>Gediminas Tamašauskis – žemės ūkio viceministras, komiteto pirmininkas</w:t>
              </w:r>
              <w:r>
                <w:t>;</w:t>
              </w:r>
            </w:p>
            <w:p>
              <w:pPr>
                <w:overflowPunct w:val="0"/>
                <w:spacing w:line="360" w:lineRule="auto"/>
                <w:ind w:firstLine="720"/>
                <w:jc w:val="both"/>
                <w:textAlignment w:val="baseline"/>
              </w:pPr>
              <w:r>
                <w:t>Virginija Žoštautienė – Žemės ūkio ministerijos Strateginio planavimo departamento direktorė, komiteto pirmininko pavaduotoja;</w:t>
              </w:r>
            </w:p>
            <w:p>
              <w:pPr>
                <w:overflowPunct w:val="0"/>
                <w:spacing w:line="360" w:lineRule="auto"/>
                <w:ind w:firstLine="720"/>
                <w:jc w:val="both"/>
                <w:textAlignment w:val="baseline"/>
              </w:pPr>
              <w:r>
                <w:t>Andrius Burlėga – Žemės ūkio ministerijos Teisėkūros ir atstovavimo skyriaus vedėjas (jo nesant – Kostas Bauža, Žemės ūkio ministerijos Teisėkūros ir atstovavimo skyriaus vyriausiasis specialistas);</w:t>
              </w:r>
            </w:p>
            <w:p>
              <w:pPr>
                <w:overflowPunct w:val="0"/>
                <w:spacing w:line="360" w:lineRule="auto"/>
                <w:ind w:firstLine="720"/>
                <w:jc w:val="both"/>
                <w:textAlignment w:val="baseline"/>
              </w:pPr>
              <w:r>
                <w:t xml:space="preserve">Jolanta Čironienė – Žemės ūkio ministerijos Centralizuoto vidaus audito skyriaus vedėja (stebėtojo teisėmis) (jos nesant – </w:t>
              </w:r>
              <w:r>
                <w:rPr>
                  <w:szCs w:val="24"/>
                </w:rPr>
                <w:t xml:space="preserve">Ilona Grybauskienė, Žemės ūkio ministerijos Centralizuoto vidaus audito skyriaus vyriausioji specialistė </w:t>
              </w:r>
              <w:r>
                <w:t>(stebėtojo teisėmis);</w:t>
              </w:r>
            </w:p>
            <w:p>
              <w:pPr>
                <w:overflowPunct w:val="0"/>
                <w:spacing w:line="360" w:lineRule="auto"/>
                <w:ind w:firstLine="720"/>
                <w:jc w:val="both"/>
                <w:textAlignment w:val="baseline"/>
              </w:pPr>
              <w:r>
                <w:t xml:space="preserve">Tomas Jackūnas – Nacionalinės mokėjimo agentūros prie Žemės ūkio ministerijos Kaimo plėtros, žuvininkystės programų ir nacionalinės paramos departamento Nacionalinės paramos skyriaus vedėjas (jo nesant – </w:t>
              </w:r>
              <w:r>
                <w:rPr>
                  <w:rFonts w:eastAsia="Aptos"/>
                  <w:szCs w:val="24"/>
                  <w14:ligatures w14:val="standardContextual"/>
                </w:rPr>
                <w:t xml:space="preserve">Rita Šmigelskė, </w:t>
              </w:r>
              <w:r>
                <w:rPr>
                  <w:rFonts w:eastAsia="Aptos"/>
                  <w:szCs w:val="24"/>
                </w:rPr>
                <w:t>Nacionalinės mokėjimo agentūros prie Žemės ūkio ministerijos Kaimo plėtros, žuvininkystės programų ir nacionalinės paramos departamento Nacionalinės paramos skyriaus vyriausioji specialistė</w:t>
              </w:r>
              <w:r>
                <w:t>);</w:t>
              </w:r>
            </w:p>
            <w:p>
              <w:pPr>
                <w:overflowPunct w:val="0"/>
                <w:spacing w:line="360" w:lineRule="auto"/>
                <w:ind w:firstLine="720"/>
                <w:jc w:val="both"/>
                <w:textAlignment w:val="baseline"/>
              </w:pPr>
              <w:r>
                <w:rPr>
                  <w:szCs w:val="24"/>
                  <w:lang w:eastAsia="lt-LT"/>
                </w:rPr>
                <w:t xml:space="preserve">Saulius Jasius – </w:t>
              </w:r>
              <w:r>
                <w:t xml:space="preserve">Žemės ūkio ministerijos </w:t>
              </w:r>
              <w:r>
                <w:rPr>
                  <w:szCs w:val="24"/>
                  <w:lang w:eastAsia="lt-LT"/>
                </w:rPr>
                <w:t>Tvarios žemės ūkio gamybos ir maisto pramonės departamento direktorius</w:t>
              </w:r>
              <w:r>
                <w:t xml:space="preserve"> (jo nesant – Jolita Martutaitytė, Žemės ūkio ministerijos </w:t>
              </w:r>
              <w:r>
                <w:rPr>
                  <w:szCs w:val="24"/>
                  <w:lang w:eastAsia="lt-LT"/>
                </w:rPr>
                <w:t>Tvarios žemės ūkio gamybos ir maisto pramonės departamento Maisto pramonės ir kokybės skyriaus vedėja</w:t>
              </w:r>
              <w:r>
                <w:t>);</w:t>
              </w:r>
            </w:p>
            <w:p>
              <w:pPr>
                <w:overflowPunct w:val="0"/>
                <w:spacing w:line="360" w:lineRule="auto"/>
                <w:ind w:firstLine="720"/>
                <w:jc w:val="both"/>
                <w:textAlignment w:val="baseline"/>
                <w:rPr>
                  <w:strike/>
                </w:rPr>
              </w:pPr>
              <w:r>
                <w:t>Jolanta Karvelytė – Žemės ūkio ministerijos Ryšių su visuomene ir bendradarbiavimo skyriaus vyriausioji specialistė;</w:t>
              </w:r>
            </w:p>
            <w:p>
              <w:pPr>
                <w:overflowPunct w:val="0"/>
                <w:spacing w:line="360" w:lineRule="auto"/>
                <w:ind w:firstLine="720"/>
                <w:jc w:val="both"/>
                <w:textAlignment w:val="baseline"/>
              </w:pPr>
              <w:r>
                <w:t>Dalia Miniataitė – Žemės ūkio ministerijos vyriausioji patarėja;</w:t>
              </w:r>
            </w:p>
            <w:p>
              <w:pPr>
                <w:overflowPunct w:val="0"/>
                <w:spacing w:line="360" w:lineRule="auto"/>
                <w:ind w:firstLine="720"/>
                <w:jc w:val="both"/>
                <w:textAlignment w:val="baseline"/>
              </w:pPr>
              <w:r>
                <w:t>Regina Mininienė – Žemės ūkio ministerijos Finansų ir biudžeto departamento direktorė (jos nesant – Sonata Bartkutė, Žemės ūkio ministerijos Finansų ir biudžeto departamento patarėja);</w:t>
              </w:r>
            </w:p>
            <w:p>
              <w:pPr>
                <w:overflowPunct w:val="0"/>
                <w:spacing w:line="360" w:lineRule="auto"/>
                <w:ind w:firstLine="720"/>
                <w:jc w:val="both"/>
                <w:textAlignment w:val="baseline"/>
              </w:pPr>
              <w:r>
                <w:rPr>
                  <w:szCs w:val="24"/>
                  <w:lang w:eastAsia="lt-LT"/>
                </w:rPr>
                <w:t xml:space="preserve">Jurgita Stakėnienė – </w:t>
              </w:r>
              <w:r>
                <w:t xml:space="preserve">Žemės ūkio ministerijos </w:t>
              </w:r>
              <w:r>
                <w:rPr>
                  <w:szCs w:val="24"/>
                  <w:lang w:eastAsia="lt-LT"/>
                </w:rPr>
                <w:t xml:space="preserve">Europos Sąjungos reikalų ir paramos politikos departamento direktorė (jos nesant </w:t>
              </w:r>
              <w:r>
                <w:t xml:space="preserve">– Žaneta Jucaitytė, Žemės ūkio ministerijos </w:t>
              </w:r>
              <w:r>
                <w:rPr>
                  <w:szCs w:val="24"/>
                  <w:lang w:eastAsia="lt-LT"/>
                </w:rPr>
                <w:t>Europos Sąjungos reikalų ir paramos politikos departamento patarėja);</w:t>
              </w:r>
              <w:r>
                <w:t xml:space="preserve"> </w:t>
              </w:r>
            </w:p>
            <w:p>
              <w:pPr>
                <w:overflowPunct w:val="0"/>
                <w:spacing w:line="360" w:lineRule="auto"/>
                <w:ind w:firstLine="720"/>
                <w:jc w:val="both"/>
              </w:pPr>
              <w:r>
                <w:t xml:space="preserve">Danguolė Starkuvienė – Žemės ūkio ministerijos Ryšių su visuomene ir bendradarbiavimo skyriaus vedėja (jos nesant – </w:t>
              </w:r>
              <w:r>
                <w:rPr>
                  <w:szCs w:val="24"/>
                </w:rPr>
                <w:t>Irena Milaknytė Šukevičienė, Ryšių su visuomene ir bendradarbiavimo skyriaus vyriausioji specialistė</w:t>
              </w:r>
              <w:r>
                <w:t>);</w:t>
              </w:r>
            </w:p>
            <w:p>
              <w:pPr>
                <w:overflowPunct w:val="0"/>
                <w:spacing w:line="360" w:lineRule="auto"/>
                <w:ind w:firstLine="720"/>
                <w:jc w:val="both"/>
                <w:textAlignment w:val="baseline"/>
              </w:pPr>
              <w:r>
                <w:t>Živilė Šukytė-Kraskauskienė, Žemės ūkio ministerijos Strateginio planavimo departamento Mokslo, inovacijų ir žinių plėtros skyriaus vedėja (jos nesant – Goda Vainienė, Žemės ūkio ministerijos Strateginio planavimo departamento vyriausioji patarėja).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540406b9911eb9dc7b575f08e8bea">
                <w:r w:rsidRPr="00532B9F">
                  <w:rPr>
                    <w:rFonts w:ascii="Times New Roman" w:eastAsia="MS Mincho" w:hAnsi="Times New Roman"/>
                    <w:sz w:val="20"/>
                    <w:i/>
                    <w:iCs/>
                    <w:color w:val="0000FF" w:themeColor="hyperlink"/>
                    <w:u w:val="single"/>
                  </w:rPr>
                  <w:t>3D-92</w:t>
                </w:r>
              </w:fldSimple>
              <w:r>
                <w:rPr>
                  <w:rFonts w:ascii="Times New Roman" w:eastAsia="MS Mincho" w:hAnsi="Times New Roman"/>
                  <w:sz w:val="20"/>
                  <w:i/>
                  <w:iCs/>
                </w:rPr>
                <w:t>,
2021-02-10,
paskelbta TAR 2021-02-10, i. k. 2021-02566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e16f072a911ec993ff5ca6e8ba60c">
                <w:r w:rsidRPr="00532B9F">
                  <w:rPr>
                    <w:rFonts w:ascii="Times New Roman" w:eastAsia="MS Mincho" w:hAnsi="Times New Roman"/>
                    <w:sz w:val="20"/>
                    <w:i/>
                    <w:iCs/>
                    <w:color w:val="0000FF" w:themeColor="hyperlink"/>
                    <w:u w:val="single"/>
                  </w:rPr>
                  <w:t>3D-9</w:t>
                </w:r>
              </w:fldSimple>
              <w:r>
                <w:rPr>
                  <w:rFonts w:ascii="Times New Roman" w:eastAsia="MS Mincho" w:hAnsi="Times New Roman"/>
                  <w:sz w:val="20"/>
                  <w:i/>
                  <w:iCs/>
                </w:rPr>
                <w:t>,
2022-01-11,
paskelbta TAR 2022-01-11, i. k. 2022-00336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fa05f082b811ed8df094f359a60216">
                <w:r w:rsidRPr="00532B9F">
                  <w:rPr>
                    <w:rFonts w:ascii="Times New Roman" w:eastAsia="MS Mincho" w:hAnsi="Times New Roman"/>
                    <w:sz w:val="20"/>
                    <w:i/>
                    <w:iCs/>
                    <w:color w:val="0000FF" w:themeColor="hyperlink"/>
                    <w:u w:val="single"/>
                  </w:rPr>
                  <w:t>3D-866</w:t>
                </w:r>
              </w:fldSimple>
              <w:r>
                <w:rPr>
                  <w:rFonts w:ascii="Times New Roman" w:eastAsia="MS Mincho" w:hAnsi="Times New Roman"/>
                  <w:sz w:val="20"/>
                  <w:i/>
                  <w:iCs/>
                </w:rPr>
                <w:t>,
2022-12-23,
paskelbta TAR 2022-12-23, i. k. 2022-26746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6f810fbbd11eeb884ddd8796e2c7b">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2024-04-16,
paskelbta TAR 2024-04-16, i. k. 2024-06988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a9f0f0710711efa9a4c2046a78b308">
                <w:r w:rsidRPr="00532B9F">
                  <w:rPr>
                    <w:rFonts w:ascii="Times New Roman" w:eastAsia="MS Mincho" w:hAnsi="Times New Roman"/>
                    <w:sz w:val="20"/>
                    <w:i/>
                    <w:iCs/>
                    <w:color w:val="0000FF" w:themeColor="hyperlink"/>
                    <w:u w:val="single"/>
                  </w:rPr>
                  <w:t>3D-652</w:t>
                </w:r>
              </w:fldSimple>
              <w:r>
                <w:rPr>
                  <w:rFonts w:ascii="Times New Roman" w:eastAsia="MS Mincho" w:hAnsi="Times New Roman"/>
                  <w:sz w:val="20"/>
                  <w:i/>
                  <w:iCs/>
                </w:rPr>
                <w:t>,
2024-09-12,
paskelbta TAR 2024-09-12, i. k. 2024-16094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af6276f5da11ef8619bb348379608d">
                <w:r w:rsidRPr="00532B9F">
                  <w:rPr>
                    <w:rFonts w:ascii="Times New Roman" w:eastAsia="MS Mincho" w:hAnsi="Times New Roman"/>
                    <w:sz w:val="20"/>
                    <w:i/>
                    <w:iCs/>
                    <w:color w:val="0000FF" w:themeColor="hyperlink"/>
                    <w:u w:val="single"/>
                  </w:rPr>
                  <w:t>3D-97</w:t>
                </w:r>
              </w:fldSimple>
              <w:r>
                <w:rPr>
                  <w:rFonts w:ascii="Times New Roman" w:eastAsia="MS Mincho" w:hAnsi="Times New Roman"/>
                  <w:sz w:val="20"/>
                  <w:i/>
                  <w:iCs/>
                </w:rPr>
                <w:t>,
2025-02-28,
paskelbta TAR 2025-02-28, i. k. 2025-03456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548400bdfb11f092fda1fd0c194cc5">
                <w:r w:rsidRPr="00532B9F">
                  <w:rPr>
                    <w:rFonts w:ascii="Times New Roman" w:eastAsia="MS Mincho" w:hAnsi="Times New Roman"/>
                    <w:sz w:val="20"/>
                    <w:i/>
                    <w:iCs/>
                    <w:color w:val="0000FF" w:themeColor="hyperlink"/>
                    <w:u w:val="single"/>
                  </w:rPr>
                  <w:t>3D-564</w:t>
                </w:r>
              </w:fldSimple>
              <w:r>
                <w:rPr>
                  <w:rFonts w:ascii="Times New Roman" w:eastAsia="MS Mincho" w:hAnsi="Times New Roman"/>
                  <w:sz w:val="20"/>
                  <w:i/>
                  <w:iCs/>
                </w:rPr>
                <w:t>,
2025-11-10,
paskelbta TAR 2025-11-10, i. k. 2025-18777            </w:t>
              </w:r>
            </w:p>
            <w:p/>
          </w:sdtContent>
        </w:sdt>
        <w:sdt>
          <w:sdtPr>
            <w:alias w:val="2 p."/>
            <w:tag w:val="part_828b23a2e1ee490680116eaf31871e59"/>
            <w:lock w:val="sdtLocked"/>
            <w:richText/>
          </w:sdtPr>
          <w:sdtContent>
            <w:p>
              <w:pPr>
                <w:overflowPunct w:val="0"/>
                <w:spacing w:line="360" w:lineRule="auto"/>
                <w:ind w:firstLine="720"/>
                <w:jc w:val="both"/>
                <w:textAlignment w:val="baseline"/>
              </w:pPr>
              <w:sdt>
                <w:sdtPr>
                  <w:alias w:val="Numeris"/>
                  <w:tag w:val="nr_828b23a2e1ee490680116eaf31871e59"/>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3a36694e702445cc89ffe90f55f42e44"/>
            <w:lock w:val="sdtLocked"/>
            <w:richText/>
          </w:sdtPr>
          <w:sdtContent>
            <w:p>
              <w:pPr>
                <w:overflowPunct w:val="0"/>
                <w:spacing w:line="360" w:lineRule="auto"/>
                <w:ind w:firstLine="720"/>
                <w:jc w:val="both"/>
                <w:textAlignment w:val="baseline"/>
              </w:pPr>
              <w:sdt>
                <w:sdtPr>
                  <w:alias w:val="Numeris"/>
                  <w:tag w:val="nr_3a36694e702445cc89ffe90f55f42e44"/>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a658428554ef44b4be8e2ea58831e2b4"/>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f4c61282853d427da3f37bb6c189cfba"/>
        <w:lock w:val="sdtLocked"/>
        <w:richText/>
      </w:sdtPr>
      <w:sdtContent>
        <w:p>
          <w:pPr>
            <w:widowControl w:val="0"/>
            <w:suppressAutoHyphens/>
            <w:ind w:left="5103" w:hanging="5103"/>
            <w:sectPr>
              <w:headerReference w:type="default" r:id="rId8"/>
              <w:pgSz w:w="11907" w:h="16840" w:code="9"/>
              <w:pgMar w:top="1134" w:right="567" w:bottom="1134" w:left="1701" w:header="709" w:footer="709"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f4c61282853d427da3f37bb6c189cfba"/>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7bae3436390e4b97bed2b8f54381512c"/>
                <w:lock w:val="sdtLocked"/>
                <w:richText/>
              </w:sdtPr>
              <w:sdtContent>
                <w:p>
                  <w:pPr>
                    <w:overflowPunct w:val="0"/>
                    <w:ind w:firstLine="567"/>
                    <w:jc w:val="both"/>
                    <w:textAlignment w:val="baseline"/>
                    <w:rPr>
                      <w:color w:val="000000"/>
                    </w:rPr>
                  </w:pPr>
                  <w:sdt>
                    <w:sdtPr>
                      <w:alias w:val="Numeris"/>
                      <w:tag w:val="nr_7bae3436390e4b97bed2b8f54381512c"/>
                      <w:lock w:val="sdtLocked"/>
                      <w:richText/>
                    </w:sdtPr>
                    <w:sdtContent>
                      <w:r>
                        <w:rPr>
                          <w:color w:val="000000"/>
                        </w:rPr>
                        <w:t>2</w:t>
                      </w:r>
                    </w:sdtContent>
                  </w:sdt>
                  <w:r>
                    <w:rPr>
                      <w:color w:val="000000"/>
                    </w:rPr>
                    <w:t>.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Lietuvos žemės ūkio ir kaimo plėtros 2023–2027 metų strateginiu planu, patvirtintu Europos Komisijos 2022 m. lapkričio 21 d. sprendimu Nr. C(2022) 8272, Žemės ūkio ministerijos 2015–2023 metų tarptautinių mokslinių tyrimų ir taikomosios veiklos projektų administravimo taisyklėmis, patvirtintomis Lietuvos Respublikos žemės ūkio ministro 2015 m. gegužės 4 d. įsakymu Nr. 3D-349 „Dėl Žemės ūkio ministerijos 2015–2023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w:t>
                  </w:r>
                  <w:r>
                    <w:rPr>
                      <w:szCs w:val="24"/>
                    </w:rPr>
                    <w:t xml:space="preserve"> Žemės ūkio, maisto ūkio ir žuvininkystės 2023–2027 metų mokslinių tyrimų ir eksperimentinės plėtros finansavimo taisyklėmis, patvirtintomis Lietuvos Respublikos žemės ūkio ministro 2022 m. gruodžio 23 d. įsakymu Nr. 3D-865 „Dėl Žemės ūkio, maisto ūkio ir žuvininkystės 2023–2027 metų mokslinių tyrimų ir eksperimentinės plėtros finansavimo taisyklių patvirtinimo“,</w:t>
                  </w:r>
                  <w:r>
                    <w:rPr>
                      <w:color w:val="000000"/>
                    </w:rPr>
                    <w:t xml:space="preserve"> Ūkio subjektų, užsiimančių pirmine žemės ūkio produktų gamyba, konsultavimo išlaidų finansavimo taisyklėmis, patvirtintomis Lietuvos Respublikos žemės ūkio ministro 2015 m. balandžio 1 d. įsakymu Nr. 3D-243 „Dėl Ūkio subjektų, užsiimančių pirmine žemės ūkio produktų gamyba, konsultavimo išlaidų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bendruomeniškumą kaime skatinančių renginių ir konkursų organizavimo ir (arba) dalyvavimo juose finansavimo taisyklėmis, patvirtintomis Lietuvos Respublikos žemės ūkio ministro 2018 m. kovo 26 d. įsakymu Nr. 3D-182 „Dėl Žemės ūkio parodų, prekybos mugių, bendruomeniškumą kaime skatinančių renginių ir konkursų organizavimo ir (arba)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Žemės ūkio, žuvininkystės ir maisto produktų pardavimo rinkų atvėrimo ir įsitvirtinimo jose veiklų organizavimo finansavimo taisyklėmis, patvirtintomis Lietuvos Respublikos žemės ūkio ministro 2017 m. balandžio 3 d. įsakymu Nr. 3D-228 „Dėl Žemės ūkio, žuvininkystės ir maisto produktų pardavimo rinkų atvėrimo ir įsitvirtinimo jose veiklų organizavimo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w:t>
                  </w:r>
                  <w:r>
                    <w:rPr>
                      <w:color w:val="000000"/>
                      <w:spacing w:val="-4"/>
                    </w:rPr>
                    <w:t xml:space="preserve">Lietuvos žemės ūkio ir kaimo plėtros 2023–2027 metų strateginio plano intervencinės  priemonės „Mokymai ir įgūdžių įgijimas“ įgyvendinimo taisyklėmis, </w:t>
                  </w:r>
                  <w:r>
                    <w:rPr>
                      <w:color w:val="000000"/>
                    </w:rPr>
                    <w:t xml:space="preserve">patvirtintomis Lietuvos Respublikos žemės ūkio ministro 2023 m. liepos 25 d. įsakymu Nr. 3D-483 „Dėl </w:t>
                  </w:r>
                  <w:r>
                    <w:rPr>
                      <w:color w:val="000000"/>
                      <w:spacing w:val="-4"/>
                    </w:rPr>
                    <w:t>Lietuvos žemės ūkio ir kaimo plėtros 2023–2027 metų strateginio plano intervencinės  priemonės „Mokymai ir įgūdžių įgijimas“ įgyvendinimo</w:t>
                  </w:r>
                  <w:r>
                    <w:rPr>
                      <w:color w:val="000000"/>
                    </w:rPr>
                    <w:t xml:space="preserve"> taisyklių patvirtinimo“, Lietuvos žemės ūkio ir kaimo plėtros 2023–2027 metų strateginio plano intervencinės priemonės „Parodomieji projektai ir informavimo veikla“ </w:t>
                  </w:r>
                  <w:r>
                    <w:rPr>
                      <w:color w:val="000000"/>
                      <w:spacing w:val="-4"/>
                    </w:rPr>
                    <w:t xml:space="preserve">įgyvendinimo taisyklėmis, </w:t>
                  </w:r>
                  <w:r>
                    <w:rPr>
                      <w:color w:val="000000"/>
                    </w:rPr>
                    <w:t>patvirtintomis Lietuvos Respublikos žemės ūkio ministro 2023 m. rugpjūčio 30 d. įsakymu Nr. 3D-573 „Dėl Lietuvos žemės ūkio ir kaimo plėtros 2023–2027 metų strateginio plano intervencinės priemonės „Parodomieji projektai ir informavimo veikla“ </w:t>
                  </w:r>
                  <w:r>
                    <w:rPr>
                      <w:color w:val="000000"/>
                      <w:spacing w:val="-4"/>
                    </w:rPr>
                    <w:t>įgyvendinimo</w:t>
                  </w:r>
                  <w:r>
                    <w:rPr>
                      <w:color w:val="000000"/>
                    </w:rPr>
                    <w:t xml:space="preserve"> taisyklių patvirtinimo“, </w:t>
                  </w:r>
                  <w:r>
                    <w:t xml:space="preserve">Lietuvos žemės ūkio ir kaimo plėtros 2023–2027 metų strateginio plano intervencinės priemonės „Europos inovacijų partnerystė žemės ūkio našumo ir tvarumo srityje“ įgyvendinimo taisyklėmis, </w:t>
                  </w:r>
                  <w:r>
                    <w:rPr>
                      <w:color w:val="000000"/>
                    </w:rPr>
                    <w:t xml:space="preserve">patvirtintomis Lietuvos Respublikos žemės ūkio ministro 2023 m. spalio 18 d. įsakymu Nr. 3D-686 „Dėl Lietuvos žemės ūkio ir kaimo plėtros 2023–2027 metų strateginio plano intervencinės priemonės </w:t>
                  </w:r>
                  <w:r>
                    <w:t>„Europos inovacijų partnerystė žemės ūkio našumo ir tvarumo srityje“</w:t>
                  </w:r>
                  <w:r>
                    <w:rPr>
                      <w:color w:val="000000"/>
                    </w:rPr>
                    <w:t> </w:t>
                  </w:r>
                  <w:r>
                    <w:rPr>
                      <w:color w:val="000000"/>
                      <w:spacing w:val="-4"/>
                    </w:rPr>
                    <w:t>įgyvendinimo</w:t>
                  </w:r>
                  <w:r>
                    <w:rPr>
                      <w:color w:val="000000"/>
                    </w:rPr>
                    <w:t xml:space="preserve">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91d161a2bd96445eb14951d154665aef"/>
                    <w:lock w:val="sdtLocked"/>
                    <w:richText/>
                  </w:sdtPr>
                  <w:sdtContent>
                    <w:p>
                      <w:pPr>
                        <w:overflowPunct w:val="0"/>
                        <w:ind w:firstLine="567"/>
                        <w:jc w:val="both"/>
                        <w:textAlignment w:val="baseline"/>
                        <w:rPr>
                          <w:b/>
                        </w:rPr>
                      </w:pPr>
                      <w:sdt>
                        <w:sdtPr>
                          <w:alias w:val="Numeris"/>
                          <w:tag w:val="nr_91d161a2bd96445eb14951d154665aef"/>
                          <w:lock w:val="sdtLocked"/>
                          <w:richText/>
                        </w:sdtPr>
                        <w:sdtContent>
                          <w:r>
                            <w:rPr>
                              <w:color w:val="000000"/>
                            </w:rPr>
                            <w:t>4.1.</w:t>
                          </w:r>
                        </w:sdtContent>
                      </w:sdt>
                      <w:r>
                        <w:rPr>
                          <w:color w:val="000000"/>
                        </w:rPr>
                        <w:t xml:space="preserve"> tvirtina žinių perdavimo ir informavimo veiklos, keitimosi žiniomis ir informacijos sklaidos tematikas (įskaitant ir prioritetines temas), dėl kurių gali būti teikiamos paraiškos bei Europos inovacijų partnerystės žemės ūkio našumo ir tvarumo srityje (toliau – EIP)  projektines idėjas, dėl kurių gali būti teikiami EIP projekto įgyvendinimo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4.2 pp."/>
                    <w:tag w:val="part_6e73f1abfd2f430dbfe972481ef876cc"/>
                    <w:lock w:val="sdtLocked"/>
                    <w:richText/>
                  </w:sdtPr>
                  <w:sdtContent>
                    <w:p>
                      <w:pPr>
                        <w:overflowPunct w:val="0"/>
                        <w:ind w:firstLine="567"/>
                        <w:jc w:val="both"/>
                        <w:textAlignment w:val="baseline"/>
                      </w:pPr>
                      <w:sdt>
                        <w:sdtPr>
                          <w:alias w:val="Numeris"/>
                          <w:tag w:val="nr_6e73f1abfd2f430dbfe972481ef876cc"/>
                          <w:lock w:val="sdtLocked"/>
                          <w:richText/>
                        </w:sdtPr>
                        <w:sdtContent>
                          <w:r>
                            <w:t>4.2</w:t>
                          </w:r>
                        </w:sdtContent>
                      </w:sdt>
                      <w:r>
                        <w:t>.</w:t>
                      </w:r>
                      <w:r>
                        <w:rPr>
                          <w:color w:val="000000"/>
                        </w:rPr>
                        <w:t xml:space="preserve"> nagrinėja pateiktas paraiškas finansuoti nacionalinės paramos žemdirbių savivaldai stiprinti teikimo, žinių perdavimo ir informavimo veiklos, žemdirbių švietimo ir konsultavimo, bendruomeniškumą kaime skatinančių renginių ir konkursų, asociacijų atstovavimo Europos Sąjungos ir kitose tarptautinėse organizacijose priemones (toliau – paraiškos);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sdtContent>
                </w:sdt>
                <w:sdt>
                  <w:sdtPr>
                    <w:alias w:val="4.3 pp."/>
                    <w:tag w:val="part_6275b5a269c04883832459291e08ea8c"/>
                    <w:lock w:val="sdtLocked"/>
                    <w:richText/>
                  </w:sdtPr>
                  <w:sdtContent>
                    <w:p>
                      <w:pPr>
                        <w:overflowPunct w:val="0"/>
                        <w:ind w:firstLine="567"/>
                        <w:jc w:val="both"/>
                        <w:textAlignment w:val="baseline"/>
                        <w:rPr>
                          <w:szCs w:val="24"/>
                        </w:rPr>
                      </w:pPr>
                      <w:sdt>
                        <w:sdtPr>
                          <w:alias w:val="Numeris"/>
                          <w:tag w:val="nr_6275b5a269c04883832459291e08ea8c"/>
                          <w:lock w:val="sdtLocked"/>
                          <w:richText/>
                        </w:sdtPr>
                        <w:sdtContent>
                          <w:r>
                            <w:rPr>
                              <w:szCs w:val="24"/>
                            </w:rPr>
                            <w:t>4.3</w:t>
                          </w:r>
                        </w:sdtContent>
                      </w:sdt>
                      <w:r>
                        <w:rPr>
                          <w:szCs w:val="24"/>
                        </w:rPr>
                        <w:t>. sprendžia dėl mokslinių tyrimų ir eksperimentinės plėtros projektų finansavimo:</w:t>
                      </w:r>
                    </w:p>
                    <w:sdt>
                      <w:sdtPr>
                        <w:alias w:val="4.3.1 pp."/>
                        <w:tag w:val="part_fe6ce0b7925a4b39bd9734022edee898"/>
                        <w:lock w:val="sdtLocked"/>
                        <w:richText/>
                      </w:sdtPr>
                      <w:sdtContent>
                        <w:p>
                          <w:pPr>
                            <w:overflowPunct w:val="0"/>
                            <w:ind w:firstLine="567"/>
                            <w:jc w:val="both"/>
                            <w:textAlignment w:val="baseline"/>
                            <w:rPr>
                              <w:szCs w:val="24"/>
                            </w:rPr>
                          </w:pPr>
                          <w:sdt>
                            <w:sdtPr>
                              <w:alias w:val="Numeris"/>
                              <w:tag w:val="nr_fe6ce0b7925a4b39bd9734022edee898"/>
                              <w:lock w:val="sdtLocked"/>
                              <w:richText/>
                            </w:sdtPr>
                            <w:sdtContent>
                              <w:r>
                                <w:rPr>
                                  <w:szCs w:val="24"/>
                                </w:rPr>
                                <w:t>4.3.1</w:t>
                              </w:r>
                            </w:sdtContent>
                          </w:sdt>
                          <w:r>
                            <w:rPr>
                              <w:szCs w:val="24"/>
                            </w:rPr>
                            <w:t>. kiekvienais metais atrenka ir nustato Žemės ūkio, maisto ūkio ir žuvininkystės mokslinių tyrimų ir eksperimentinės plėtros kryptis.</w:t>
                          </w:r>
                        </w:p>
                      </w:sdtContent>
                    </w:sdt>
                    <w:sdt>
                      <w:sdtPr>
                        <w:alias w:val="4.3.2 pp."/>
                        <w:tag w:val="part_f1aef39a91d74bb3ad480c1110e0101b"/>
                        <w:lock w:val="sdtLocked"/>
                        <w:richText/>
                      </w:sdtPr>
                      <w:sdtContent>
                        <w:p>
                          <w:pPr>
                            <w:overflowPunct w:val="0"/>
                            <w:ind w:firstLine="567"/>
                            <w:jc w:val="both"/>
                            <w:textAlignment w:val="baseline"/>
                            <w:rPr>
                              <w:szCs w:val="24"/>
                            </w:rPr>
                          </w:pPr>
                          <w:sdt>
                            <w:sdtPr>
                              <w:alias w:val="Numeris"/>
                              <w:tag w:val="nr_f1aef39a91d74bb3ad480c1110e0101b"/>
                              <w:lock w:val="sdtLocked"/>
                              <w:richText/>
                            </w:sdtPr>
                            <w:sdtContent>
                              <w:r>
                                <w:rPr>
                                  <w:szCs w:val="24"/>
                                </w:rPr>
                                <w:t>4.3.2</w:t>
                              </w:r>
                            </w:sdtContent>
                          </w:sdt>
                          <w:r>
                            <w:rPr>
                              <w:szCs w:val="24"/>
                            </w:rPr>
                            <w:t>. tvirtina finansuotinų mokslinių tyrimų ir eksperimentinės plėtros projektų temų aprašą;</w:t>
                          </w:r>
                        </w:p>
                      </w:sdtContent>
                    </w:sdt>
                    <w:sdt>
                      <w:sdtPr>
                        <w:alias w:val="4.3.3 pp."/>
                        <w:tag w:val="part_3b228594923c4eb9827a8a9a03e77e33"/>
                        <w:lock w:val="sdtLocked"/>
                        <w:richText/>
                      </w:sdtPr>
                      <w:sdtContent>
                        <w:p>
                          <w:pPr>
                            <w:overflowPunct w:val="0"/>
                            <w:ind w:firstLine="567"/>
                            <w:jc w:val="both"/>
                            <w:textAlignment w:val="baseline"/>
                          </w:pPr>
                          <w:sdt>
                            <w:sdtPr>
                              <w:alias w:val="Numeris"/>
                              <w:tag w:val="nr_3b228594923c4eb9827a8a9a03e77e33"/>
                              <w:lock w:val="sdtLocked"/>
                              <w:richText/>
                            </w:sdtPr>
                            <w:sdtContent>
                              <w:r>
                                <w:rPr>
                                  <w:szCs w:val="24"/>
                                </w:rPr>
                                <w:t>4.3.3</w:t>
                              </w:r>
                            </w:sdtContent>
                          </w:sdt>
                          <w:r>
                            <w:rPr>
                              <w:szCs w:val="24"/>
                            </w:rPr>
                            <w:t xml:space="preserve">. nagrinėja Lietuvos mokslo tarybos atlikto žemės ūkio, maisto ūkio ir žuvininkystės mokslinių tyrimų ir eksperimentinės plėtros (toliau – MTEP) projektų paraiškų vertinimo rezultatus, taip pat </w:t>
                          </w:r>
                          <w:r>
                            <w:rPr>
                              <w:lang w:eastAsia="lt-LT"/>
                            </w:rPr>
                            <w:t xml:space="preserve">žemės ūkio, maisto ūkio ir žuvininkystės tyrimų priežiūros komisijų Priemonių atrankos komitetui pateiktus rekomendacinius sprendimus dėl MTEP projektų vykdytojų </w:t>
                          </w:r>
                          <w:r>
                            <w:rPr>
                              <w:rFonts w:eastAsia="Calibri"/>
                            </w:rPr>
                            <w:t>prašymų, susijusių su tinkamų finansuoti išlaidų pasiskirstymo tarp kalendorinių MTEP projekto įgyvendinimo metų</w:t>
                          </w:r>
                          <w:r>
                            <w:rPr>
                              <w:szCs w:val="24"/>
                            </w:rPr>
                            <w:t xml:space="preserve"> tikslinimu, ir teikia siūlymus ministerijos kancleriui dėl ministerijos finansuojamų MTEP projektų, jų vykdytojų ir skiriamų lėšų </w:t>
                          </w:r>
                          <w:r>
                            <w:t>bei dėl MTEP projektams skirtų valstybės biudžeto lėšų perskirstymo tarp kalendorinių MTEP projekto įgyvendinimo metų;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548400bdfb11f092fda1fd0c194cc5">
                            <w:r w:rsidRPr="00532B9F">
                              <w:rPr>
                                <w:rFonts w:ascii="Times New Roman" w:eastAsia="MS Mincho" w:hAnsi="Times New Roman"/>
                                <w:sz w:val="20"/>
                                <w:i/>
                                <w:iCs/>
                                <w:color w:val="0000FF" w:themeColor="hyperlink"/>
                                <w:u w:val="single"/>
                              </w:rPr>
                              <w:t>3D-564</w:t>
                            </w:r>
                          </w:fldSimple>
                          <w:r>
                            <w:rPr>
                              <w:rFonts w:ascii="Times New Roman" w:eastAsia="MS Mincho" w:hAnsi="Times New Roman"/>
                              <w:sz w:val="20"/>
                              <w:i/>
                              <w:iCs/>
                            </w:rPr>
                            <w:t>,
2025-11-10,
paskelbta TAR 2025-11-10, i. k. 2025-18777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c2032e18a0ff4ba0b0be8d1e1f1361fc"/>
                <w:lock w:val="sdtLocked"/>
                <w:richText/>
              </w:sdtPr>
              <w:sdtContent>
                <w:p>
                  <w:pPr>
                    <w:overflowPunct w:val="0"/>
                    <w:ind w:firstLine="567"/>
                    <w:jc w:val="both"/>
                    <w:textAlignment w:val="baseline"/>
                    <w:rPr>
                      <w:color w:val="000000"/>
                    </w:rPr>
                  </w:pPr>
                  <w:sdt>
                    <w:sdtPr>
                      <w:alias w:val="Numeris"/>
                      <w:tag w:val="nr_c2032e18a0ff4ba0b0be8d1e1f1361fc"/>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posėdžiai dėl keitimosi žiniomis ir informacijos sklaidos priemonių bei EIP priemonės organizuojami likus ne mažiau kaip vienam mėnesiui iki paraiškų arba EIP projekto įgyvendinimo planų pateikimo dienos. Priemonių atrankos komiteto posėdžiai yra protokoluojami.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8 p."/>
                <w:tag w:val="part_ab253a5996244b9498e0069deb9749e3"/>
                <w:lock w:val="sdtLocked"/>
                <w:richText/>
              </w:sdtPr>
              <w:sdtContent>
                <w:p>
                  <w:pPr>
                    <w:widowControl w:val="0"/>
                    <w:suppressAutoHyphens/>
                    <w:ind w:firstLine="567"/>
                    <w:jc w:val="both"/>
                  </w:pPr>
                  <w:sdt>
                    <w:sdtPr>
                      <w:alias w:val="Numeris"/>
                      <w:tag w:val="nr_ab253a5996244b9498e0069deb9749e3"/>
                      <w:lock w:val="sdtLocked"/>
                      <w:richText/>
                    </w:sdtPr>
                    <w:sdtContent>
                      <w:r>
                        <w:rPr>
                          <w:szCs w:val="24"/>
                        </w:rPr>
                        <w:t>8</w:t>
                      </w:r>
                    </w:sdtContent>
                  </w:sdt>
                  <w:r>
                    <w:rPr>
                      <w:szCs w:val="24"/>
                    </w:rPr>
                    <w:t xml:space="preserve">. Priemonių atrankos komiteto sekretoriato funkcijas atlieka už atskirų iš nacionalinių valstybės biudžeto ir </w:t>
                  </w:r>
                  <w:r>
                    <w:rPr>
                      <w:color w:val="000000"/>
                      <w:szCs w:val="24"/>
                    </w:rPr>
                    <w:t>Europos žemės ūkio fondo kaimo plėtrai</w:t>
                  </w:r>
                  <w:r>
                    <w:rPr>
                      <w:szCs w:val="24"/>
                    </w:rPr>
                    <w:t xml:space="preserve"> lėšų finansuojamų priemonių vykdymą atsakingi ministerijos struktūriniai padaliniai (toliau – sekretoriatas).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9 p."/>
                <w:tag w:val="part_89f6c86a1820453b81ab21909441de08"/>
                <w:lock w:val="sdtLocked"/>
                <w:richText/>
              </w:sdtPr>
              <w:sdtContent>
                <w:p>
                  <w:pPr>
                    <w:overflowPunct w:val="0"/>
                    <w:ind w:firstLine="567"/>
                    <w:jc w:val="both"/>
                    <w:textAlignment w:val="baseline"/>
                    <w:rPr>
                      <w:color w:val="000000"/>
                    </w:rPr>
                  </w:pPr>
                  <w:sdt>
                    <w:sdtPr>
                      <w:alias w:val="Numeris"/>
                      <w:tag w:val="nr_89f6c86a1820453b81ab21909441de08"/>
                      <w:lock w:val="sdtLocked"/>
                      <w:richText/>
                    </w:sdtPr>
                    <w:sdtContent>
                      <w:r>
                        <w:rPr>
                          <w:color w:val="000000"/>
                        </w:rPr>
                        <w:t>9</w:t>
                      </w:r>
                    </w:sdtContent>
                  </w:sdt>
                  <w:r>
                    <w:rPr>
                      <w:color w:val="000000"/>
                    </w:rPr>
                    <w:t>. Sekretoriatas, gavęs paraiškas, temų arba EIP projektinių idėjų poreikį, jį įvertinęs, parengia paraiškų vertinimo rezultatų suvestines arba apibendrintų temų ar EIP projektinių idėjų sąrašą ir pateikia Priemonių atrankos komiteto pirmininkui prieš 5 darbo dienas iki svarstymo Priemonių atrankos komiteto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10 p."/>
                <w:tag w:val="part_7e5304caf42a4728ba070ca899e4a81d"/>
                <w:lock w:val="sdtLocked"/>
                <w:richText/>
              </w:sdtPr>
              <w:sdtContent>
                <w:p>
                  <w:pPr>
                    <w:overflowPunct w:val="0"/>
                    <w:ind w:firstLine="567"/>
                    <w:jc w:val="both"/>
                    <w:textAlignment w:val="baseline"/>
                    <w:rPr>
                      <w:color w:val="000000"/>
                    </w:rPr>
                  </w:pPr>
                  <w:sdt>
                    <w:sdtPr>
                      <w:alias w:val="Numeris"/>
                      <w:tag w:val="nr_7e5304caf42a4728ba070ca899e4a81d"/>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arba apibendrintų temų ar EIP projektinių idėjų sąrašą asmeniškai kiekvienam Priemonių atrankos komiteto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7068d4eba3e242cebb8bbb98cf085516"/>
                <w:lock w:val="sdtLocked"/>
                <w:richText/>
              </w:sdtPr>
              <w:sdtContent>
                <w:p>
                  <w:pPr>
                    <w:widowControl w:val="0"/>
                    <w:suppressAutoHyphens/>
                    <w:ind w:firstLine="567"/>
                    <w:jc w:val="both"/>
                    <w:rPr>
                      <w:color w:val="000000"/>
                      <w:szCs w:val="24"/>
                    </w:rPr>
                  </w:pPr>
                  <w:sdt>
                    <w:sdtPr>
                      <w:alias w:val="Numeris"/>
                      <w:tag w:val="nr_7068d4eba3e242cebb8bbb98cf085516"/>
                      <w:lock w:val="sdtLocked"/>
                      <w:richText/>
                    </w:sdtPr>
                    <w:sdtContent>
                      <w:r>
                        <w:rPr>
                          <w:color w:val="000000"/>
                          <w:szCs w:val="24"/>
                        </w:rPr>
                        <w:t>16</w:t>
                      </w:r>
                    </w:sdtContent>
                  </w:sdt>
                  <w:r>
                    <w:rPr>
                      <w:color w:val="000000"/>
                      <w:szCs w:val="24"/>
                    </w:rPr>
                    <w:t>. Priemonių atrankos komiteto posėdžio protokole turi būti įrašytas komisijos sprendimas, t. y.:</w:t>
                  </w:r>
                </w:p>
                <w:sdt>
                  <w:sdtPr>
                    <w:alias w:val="16.1 pp."/>
                    <w:tag w:val="part_be64e5166fbe40c593834c47cf3453eb"/>
                    <w:lock w:val="sdtLocked"/>
                    <w:richText/>
                  </w:sdtPr>
                  <w:sdtContent>
                    <w:p>
                      <w:pPr>
                        <w:widowControl w:val="0"/>
                        <w:suppressAutoHyphens/>
                        <w:ind w:firstLine="567"/>
                        <w:jc w:val="both"/>
                        <w:rPr>
                          <w:color w:val="000000"/>
                          <w:szCs w:val="24"/>
                        </w:rPr>
                      </w:pPr>
                      <w:sdt>
                        <w:sdtPr>
                          <w:alias w:val="Numeris"/>
                          <w:tag w:val="nr_be64e5166fbe40c593834c47cf3453eb"/>
                          <w:lock w:val="sdtLocked"/>
                          <w:richText/>
                        </w:sdtPr>
                        <w:sdtContent>
                          <w:r>
                            <w:rPr>
                              <w:color w:val="000000"/>
                              <w:spacing w:val="-1"/>
                              <w:szCs w:val="24"/>
                            </w:rPr>
                            <w:t>16.1</w:t>
                          </w:r>
                        </w:sdtContent>
                      </w:sdt>
                      <w:r>
                        <w:rPr>
                          <w:color w:val="000000"/>
                          <w:spacing w:val="-1"/>
                          <w:szCs w:val="24"/>
                        </w:rPr>
                        <w:t>. siūlymas skirti paramą, nurodant: paraiškos registracijos numerį, priemonės pavadinimą, paramos gavėją, skirtos paramos sumą;</w:t>
                      </w:r>
                    </w:p>
                  </w:sdtContent>
                </w:sdt>
                <w:sdt>
                  <w:sdtPr>
                    <w:alias w:val="16.2 pp."/>
                    <w:tag w:val="part_8d2e8286484c4e9a9a81e5f4bf0980d7"/>
                    <w:lock w:val="sdtLocked"/>
                    <w:richText/>
                  </w:sdtPr>
                  <w:sdtContent>
                    <w:p>
                      <w:pPr>
                        <w:widowControl w:val="0"/>
                        <w:suppressAutoHyphens/>
                        <w:ind w:firstLine="567"/>
                        <w:jc w:val="both"/>
                        <w:rPr>
                          <w:color w:val="000000"/>
                          <w:szCs w:val="24"/>
                        </w:rPr>
                      </w:pPr>
                      <w:sdt>
                        <w:sdtPr>
                          <w:alias w:val="Numeris"/>
                          <w:tag w:val="nr_8d2e8286484c4e9a9a81e5f4bf0980d7"/>
                          <w:lock w:val="sdtLocked"/>
                          <w:richText/>
                        </w:sdtPr>
                        <w:sdtContent>
                          <w:r>
                            <w:rPr>
                              <w:color w:val="000000"/>
                              <w:szCs w:val="24"/>
                            </w:rPr>
                            <w:t>16.2</w:t>
                          </w:r>
                        </w:sdtContent>
                      </w:sdt>
                      <w:r>
                        <w:rPr>
                          <w:color w:val="000000"/>
                          <w:szCs w:val="24"/>
                        </w:rPr>
                        <w:t>. siūlymas neskirti paramos, nurodant: paraiškos registracijos numerį, priemonės pavadinimą, pareiškėją, paramos neskyrimo priežastį;</w:t>
                      </w:r>
                    </w:p>
                  </w:sdtContent>
                </w:sdt>
                <w:sdt>
                  <w:sdtPr>
                    <w:alias w:val="16.3 pp."/>
                    <w:tag w:val="part_c7283f77f14341758163b90d648801d5"/>
                    <w:lock w:val="sdtLocked"/>
                    <w:richText/>
                  </w:sdtPr>
                  <w:sdtContent>
                    <w:p>
                      <w:pPr>
                        <w:widowControl w:val="0"/>
                        <w:suppressAutoHyphens/>
                        <w:ind w:firstLine="567"/>
                        <w:jc w:val="both"/>
                        <w:rPr>
                          <w:color w:val="000000"/>
                          <w:szCs w:val="24"/>
                        </w:rPr>
                      </w:pPr>
                      <w:sdt>
                        <w:sdtPr>
                          <w:alias w:val="Numeris"/>
                          <w:tag w:val="nr_c7283f77f14341758163b90d648801d5"/>
                          <w:lock w:val="sdtLocked"/>
                          <w:richText/>
                        </w:sdtPr>
                        <w:sdtContent>
                          <w:r>
                            <w:rPr>
                              <w:color w:val="000000"/>
                              <w:szCs w:val="24"/>
                            </w:rPr>
                            <w:t>16.3</w:t>
                          </w:r>
                        </w:sdtContent>
                      </w:sdt>
                      <w:r>
                        <w:rPr>
                          <w:color w:val="000000"/>
                          <w:szCs w:val="24"/>
                        </w:rPr>
                        <w:t>. siūlymas prašomą paramos sumą sumažinti, nurodant: paraiškos registracijos numerį, priemonės pavadinimą, pareiškėją, prašomą paramos sumą ir sumažintą paramos sumą, paramos sumažinimo priežastį;</w:t>
                      </w:r>
                    </w:p>
                  </w:sdtContent>
                </w:sdt>
                <w:sdt>
                  <w:sdtPr>
                    <w:alias w:val="16.4 pp."/>
                    <w:tag w:val="part_8975fa6ed6c143569eb05195e0dec793"/>
                    <w:lock w:val="sdtLocked"/>
                    <w:richText/>
                  </w:sdtPr>
                  <w:sdtContent>
                    <w:p>
                      <w:pPr>
                        <w:overflowPunct w:val="0"/>
                        <w:ind w:firstLine="567"/>
                        <w:jc w:val="both"/>
                        <w:textAlignment w:val="baseline"/>
                        <w:rPr>
                          <w:color w:val="000000"/>
                          <w:szCs w:val="24"/>
                        </w:rPr>
                      </w:pPr>
                      <w:sdt>
                        <w:sdtPr>
                          <w:alias w:val="Numeris"/>
                          <w:tag w:val="nr_8975fa6ed6c143569eb05195e0dec793"/>
                          <w:lock w:val="sdtLocked"/>
                          <w:richText/>
                        </w:sdtPr>
                        <w:sdtContent>
                          <w:r>
                            <w:rPr>
                              <w:color w:val="000000"/>
                            </w:rPr>
                            <w:t>16.4</w:t>
                          </w:r>
                        </w:sdtContent>
                      </w:sdt>
                      <w:r>
                        <w:rPr>
                          <w:color w:val="000000"/>
                        </w:rPr>
                        <w:t>. siūlymas patvirtinti keitimosi žiniomis ir informacijos sklaidos priemonių temas (įskaitant ir prioritetines temas) arba EIP projektines idėjas;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e9108f5a11eea5a28c81c82193a8">
                        <w:r w:rsidRPr="00532B9F">
                          <w:rPr>
                            <w:rFonts w:ascii="Times New Roman" w:eastAsia="MS Mincho" w:hAnsi="Times New Roman"/>
                            <w:sz w:val="20"/>
                            <w:i/>
                            <w:iCs/>
                            <w:color w:val="0000FF" w:themeColor="hyperlink"/>
                            <w:u w:val="single"/>
                          </w:rPr>
                          <w:t>3D-797</w:t>
                        </w:r>
                      </w:fldSimple>
                      <w:r>
                        <w:rPr>
                          <w:rFonts w:ascii="Times New Roman" w:eastAsia="MS Mincho" w:hAnsi="Times New Roman"/>
                          <w:sz w:val="20"/>
                          <w:i/>
                          <w:iCs/>
                        </w:rPr>
                        <w:t>,
2023-11-30,
paskelbta TAR 2023-11-30, i. k. 2023-23094            </w:t>
                      </w:r>
                    </w:p>
                    <w:p/>
                  </w:sdtContent>
                </w:sdt>
                <w:sdt>
                  <w:sdtPr>
                    <w:alias w:val="16.5 pp."/>
                    <w:tag w:val="part_7db06c31d6674b309eb862185c24988e"/>
                    <w:lock w:val="sdtLocked"/>
                    <w:richText/>
                  </w:sdtPr>
                  <w:sdtContent>
                    <w:p>
                      <w:pPr>
                        <w:widowControl w:val="0"/>
                        <w:suppressAutoHyphens/>
                        <w:ind w:firstLine="567"/>
                        <w:jc w:val="both"/>
                        <w:rPr>
                          <w:color w:val="000000"/>
                        </w:rPr>
                      </w:pPr>
                      <w:sdt>
                        <w:sdtPr>
                          <w:alias w:val="Numeris"/>
                          <w:tag w:val="nr_7db06c31d6674b309eb862185c24988e"/>
                          <w:lock w:val="sdtLocked"/>
                          <w:richText/>
                        </w:sdtPr>
                        <w:sdtContent>
                          <w:r>
                            <w:rPr>
                              <w:color w:val="000000"/>
                              <w:szCs w:val="24"/>
                            </w:rPr>
                            <w:t>16.5</w:t>
                          </w:r>
                        </w:sdtContent>
                      </w:sdt>
                      <w:r>
                        <w:rPr>
                          <w:color w:val="000000"/>
                          <w:szCs w:val="24"/>
                        </w:rPr>
                        <w:t>. kiti Priemonių atrankos komiteto posėdyje priimti sprendimai.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7ca8001cbd11eeb233e8b04dc9bb3d">
                    <w:r w:rsidRPr="00532B9F">
                      <w:rPr>
                        <w:rFonts w:ascii="Times New Roman" w:eastAsia="MS Mincho" w:hAnsi="Times New Roman"/>
                        <w:sz w:val="20"/>
                        <w:i/>
                        <w:iCs/>
                        <w:color w:val="0000FF" w:themeColor="hyperlink"/>
                        <w:u w:val="single"/>
                      </w:rPr>
                      <w:t>3D-456</w:t>
                    </w:r>
                  </w:fldSimple>
                  <w:r>
                    <w:rPr>
                      <w:rFonts w:ascii="Times New Roman" w:eastAsia="MS Mincho" w:hAnsi="Times New Roman"/>
                      <w:sz w:val="20"/>
                      <w:i/>
                      <w:iCs/>
                    </w:rPr>
                    <w:t>,
2023-07-07,
paskelbta TAR 2023-07-07, i. k. 2023-14163            </w:t>
                  </w:r>
                </w:p>
                <w:p/>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1ee280eb2911e99681cd81dcdca52c">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2019-10-10,
paskelbta TAR 2019-10-10, i. k. 2019-16137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f1316052e611ea931dbf3357b5b1c0">
            <w:r w:rsidRPr="00532B9F">
              <w:rPr>
                <w:rFonts w:ascii="Times New Roman" w:eastAsia="MS Mincho" w:hAnsi="Times New Roman"/>
                <w:sz w:val="20"/>
                <w:iCs/>
                <w:color w:val="0000FF" w:themeColor="hyperlink"/>
                <w:u w:val="single"/>
              </w:rPr>
              <w:t>3D-112</w:t>
            </w:r>
          </w:fldSimple>
          <w:r>
            <w:rPr>
              <w:rFonts w:ascii="Times New Roman" w:eastAsia="MS Mincho" w:hAnsi="Times New Roman"/>
              <w:sz w:val="20"/>
              <w:iCs/>
            </w:rPr>
            <w:t>,
2020-02-19,
paskelbta TAR 2020-02-19, i. k. 2020-03612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540406b9911eb9dc7b575f08e8bea">
            <w:r w:rsidRPr="00532B9F">
              <w:rPr>
                <w:rFonts w:ascii="Times New Roman" w:eastAsia="MS Mincho" w:hAnsi="Times New Roman"/>
                <w:sz w:val="20"/>
                <w:iCs/>
                <w:color w:val="0000FF" w:themeColor="hyperlink"/>
                <w:u w:val="single"/>
              </w:rPr>
              <w:t>3D-92</w:t>
            </w:r>
          </w:fldSimple>
          <w:r>
            <w:rPr>
              <w:rFonts w:ascii="Times New Roman" w:eastAsia="MS Mincho" w:hAnsi="Times New Roman"/>
              <w:sz w:val="20"/>
              <w:iCs/>
            </w:rPr>
            <w:t>,
2021-02-10,
paskelbta TAR 2021-02-10, i. k. 2021-02566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e16f072a911ec993ff5ca6e8ba60c">
            <w:r w:rsidRPr="00532B9F">
              <w:rPr>
                <w:rFonts w:ascii="Times New Roman" w:eastAsia="MS Mincho" w:hAnsi="Times New Roman"/>
                <w:sz w:val="20"/>
                <w:iCs/>
                <w:color w:val="0000FF" w:themeColor="hyperlink"/>
                <w:u w:val="single"/>
              </w:rPr>
              <w:t>3D-9</w:t>
            </w:r>
          </w:fldSimple>
          <w:r>
            <w:rPr>
              <w:rFonts w:ascii="Times New Roman" w:eastAsia="MS Mincho" w:hAnsi="Times New Roman"/>
              <w:sz w:val="20"/>
              <w:iCs/>
            </w:rPr>
            <w:t>,
2022-01-11,
paskelbta TAR 2022-01-11, i. k. 2022-00336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9bd710baee11ec8d9390588bf2de65">
            <w:r w:rsidRPr="00532B9F">
              <w:rPr>
                <w:rFonts w:ascii="Times New Roman" w:eastAsia="MS Mincho" w:hAnsi="Times New Roman"/>
                <w:sz w:val="20"/>
                <w:iCs/>
                <w:color w:val="0000FF" w:themeColor="hyperlink"/>
                <w:u w:val="single"/>
              </w:rPr>
              <w:t>3D-255</w:t>
            </w:r>
          </w:fldSimple>
          <w:r>
            <w:rPr>
              <w:rFonts w:ascii="Times New Roman" w:eastAsia="MS Mincho" w:hAnsi="Times New Roman"/>
              <w:sz w:val="20"/>
              <w:iCs/>
            </w:rPr>
            <w:t>,
2022-04-13,
paskelbta TAR 2022-04-13, i. k. 2022-07604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fa05f082b811ed8df094f359a60216">
            <w:r w:rsidRPr="00532B9F">
              <w:rPr>
                <w:rFonts w:ascii="Times New Roman" w:eastAsia="MS Mincho" w:hAnsi="Times New Roman"/>
                <w:sz w:val="20"/>
                <w:iCs/>
                <w:color w:val="0000FF" w:themeColor="hyperlink"/>
                <w:u w:val="single"/>
              </w:rPr>
              <w:t>3D-866</w:t>
            </w:r>
          </w:fldSimple>
          <w:r>
            <w:rPr>
              <w:rFonts w:ascii="Times New Roman" w:eastAsia="MS Mincho" w:hAnsi="Times New Roman"/>
              <w:sz w:val="20"/>
              <w:iCs/>
            </w:rPr>
            <w:t>,
2022-12-23,
paskelbta TAR 2022-12-23, i. k. 2022-26746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7ca8001cbd11eeb233e8b04dc9bb3d">
            <w:r w:rsidRPr="00532B9F">
              <w:rPr>
                <w:rFonts w:ascii="Times New Roman" w:eastAsia="MS Mincho" w:hAnsi="Times New Roman"/>
                <w:sz w:val="20"/>
                <w:iCs/>
                <w:color w:val="0000FF" w:themeColor="hyperlink"/>
                <w:u w:val="single"/>
              </w:rPr>
              <w:t>3D-456</w:t>
            </w:r>
          </w:fldSimple>
          <w:r>
            <w:rPr>
              <w:rFonts w:ascii="Times New Roman" w:eastAsia="MS Mincho" w:hAnsi="Times New Roman"/>
              <w:sz w:val="20"/>
              <w:iCs/>
            </w:rPr>
            <w:t>,
2023-07-07,
paskelbta TAR 2023-07-07, i. k. 2023-14163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d8e9108f5a11eea5a28c81c82193a8">
            <w:r w:rsidRPr="00532B9F">
              <w:rPr>
                <w:rFonts w:ascii="Times New Roman" w:eastAsia="MS Mincho" w:hAnsi="Times New Roman"/>
                <w:sz w:val="20"/>
                <w:iCs/>
                <w:color w:val="0000FF" w:themeColor="hyperlink"/>
                <w:u w:val="single"/>
              </w:rPr>
              <w:t>3D-797</w:t>
            </w:r>
          </w:fldSimple>
          <w:r>
            <w:rPr>
              <w:rFonts w:ascii="Times New Roman" w:eastAsia="MS Mincho" w:hAnsi="Times New Roman"/>
              <w:sz w:val="20"/>
              <w:iCs/>
            </w:rPr>
            <w:t>,
2023-11-30,
paskelbta TAR 2023-11-30, i. k. 2023-23094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96f810fbbd11eeb884ddd8796e2c7b">
            <w:r w:rsidRPr="00532B9F">
              <w:rPr>
                <w:rFonts w:ascii="Times New Roman" w:eastAsia="MS Mincho" w:hAnsi="Times New Roman"/>
                <w:sz w:val="20"/>
                <w:iCs/>
                <w:color w:val="0000FF" w:themeColor="hyperlink"/>
                <w:u w:val="single"/>
              </w:rPr>
              <w:t>3D-295</w:t>
            </w:r>
          </w:fldSimple>
          <w:r>
            <w:rPr>
              <w:rFonts w:ascii="Times New Roman" w:eastAsia="MS Mincho" w:hAnsi="Times New Roman"/>
              <w:sz w:val="20"/>
              <w:iCs/>
            </w:rPr>
            <w:t>,
2024-04-16,
paskelbta TAR 2024-04-16, i. k. 2024-06988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a9f0f0710711efa9a4c2046a78b308">
            <w:r w:rsidRPr="00532B9F">
              <w:rPr>
                <w:rFonts w:ascii="Times New Roman" w:eastAsia="MS Mincho" w:hAnsi="Times New Roman"/>
                <w:sz w:val="20"/>
                <w:iCs/>
                <w:color w:val="0000FF" w:themeColor="hyperlink"/>
                <w:u w:val="single"/>
              </w:rPr>
              <w:t>3D-652</w:t>
            </w:r>
          </w:fldSimple>
          <w:r>
            <w:rPr>
              <w:rFonts w:ascii="Times New Roman" w:eastAsia="MS Mincho" w:hAnsi="Times New Roman"/>
              <w:sz w:val="20"/>
              <w:iCs/>
            </w:rPr>
            <w:t>,
2024-09-12,
paskelbta TAR 2024-09-12, i. k. 2024-16094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af6276f5da11ef8619bb348379608d">
            <w:r w:rsidRPr="00532B9F">
              <w:rPr>
                <w:rFonts w:ascii="Times New Roman" w:eastAsia="MS Mincho" w:hAnsi="Times New Roman"/>
                <w:sz w:val="20"/>
                <w:iCs/>
                <w:color w:val="0000FF" w:themeColor="hyperlink"/>
                <w:u w:val="single"/>
              </w:rPr>
              <w:t>3D-97</w:t>
            </w:r>
          </w:fldSimple>
          <w:r>
            <w:rPr>
              <w:rFonts w:ascii="Times New Roman" w:eastAsia="MS Mincho" w:hAnsi="Times New Roman"/>
              <w:sz w:val="20"/>
              <w:iCs/>
            </w:rPr>
            <w:t>,
2025-02-28,
paskelbta TAR 2025-02-28, i. k. 2025-03456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b548400bdfb11f092fda1fd0c194cc5">
            <w:r w:rsidRPr="00532B9F">
              <w:rPr>
                <w:rFonts w:ascii="Times New Roman" w:eastAsia="MS Mincho" w:hAnsi="Times New Roman"/>
                <w:sz w:val="20"/>
                <w:iCs/>
                <w:color w:val="0000FF" w:themeColor="hyperlink"/>
                <w:u w:val="single"/>
              </w:rPr>
              <w:t>3D-564</w:t>
            </w:r>
          </w:fldSimple>
          <w:r>
            <w:rPr>
              <w:rFonts w:ascii="Times New Roman" w:eastAsia="MS Mincho" w:hAnsi="Times New Roman"/>
              <w:sz w:val="20"/>
              <w:iCs/>
            </w:rPr>
            <w:t>,
2025-11-10,
paskelbta TAR 2025-11-10, i. k. 2025-18777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5</w:t>
    </w:r>
    <w:r>
      <w:fldChar w:fldCharType="end"/>
    </w: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2</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4</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9FEB45F"/>
  <w15:docId w15:val="{86106D0A-F812-43DD-BDCE-398F60B8CB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2.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ca0bbea725ff4a67976da97dbdfb806e">
    <Part Type="preambule" DocPartId="8eadd2edb0f049b0a9612fc15b8231c7" PartId="abb3fb05e2d148929b36d8acccf73b3d"/>
    <Part Type="punktas" Nr="1" Abbr="1 p." DocPartId="d32a7e9f29a742639f4e71a1fbbac09f" PartId="bf4b8b02e7344e67b1f1d430b0b2fc62"/>
    <Part Type="punktas" Nr="2" Abbr="2 p." DocPartId="0792f4ea2f02478190bc66d5dbe40995" PartId="828b23a2e1ee490680116eaf31871e59"/>
    <Part Type="punktas" Nr="3" Abbr="3 p." DocPartId="91edabcd9c65472cb6b421bfc31e4533" PartId="3a36694e702445cc89ffe90f55f42e44"/>
    <Part Type="signatura" DocPartId="8717f0242f2846658fe942ac7cd924ea" PartId="a658428554ef44b4be8e2ea58831e2b4"/>
  </Part>
  <Part Type="patvirtinta" Title="ŽEMDIRBIŲ ŠVIETIMO, KONSULTAVIMO PRIEMONIŲ, ŽEMĖS ŪKIO PARODŲ IR MOKSLINIŲ TYRIMŲ ATRANKOS KOMITETO DARBO REGLAMENTAS" DocPartId="9cb0f87428854df38a0843504c867a04" PartId="f4c61282853d427da3f37bb6c189cfba">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7bae3436390e4b97bed2b8f54381512c"/>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91d161a2bd96445eb14951d154665aef"/>
        <Part Type="papunktis" Nr="4.2" Abbr="4.2 pp." DocPartId="beac74dd93f64907b895a7a36d7a6478" PartId="6e73f1abfd2f430dbfe972481ef876cc"/>
        <Part Type="papunktis" Nr="4.3" Abbr="4.3 pp." DocPartId="390a60a155e749cba29b3fe18e48bf60" PartId="6275b5a269c04883832459291e08ea8c">
          <Part Type="papunktis" Nr="4.3.1" Abbr="4.3.1 pp." DocPartId="4e9528b8bfeb4f40a146a654b7cfbd1c" PartId="fe6ce0b7925a4b39bd9734022edee898"/>
          <Part Type="papunktis" Nr="4.3.2" Abbr="4.3.2 pp." DocPartId="ec8922f1ef9645d58a8f2c44588b856c" PartId="f1aef39a91d74bb3ad480c1110e0101b"/>
          <Part Type="papunktis" Nr="4.3.3" Abbr="4.3.3 pp." DocPartId="8313c7e7179744a6927e831402b0ba22" PartId="3b228594923c4eb9827a8a9a03e77e3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c2032e18a0ff4ba0b0be8d1e1f1361fc"/>
      <Part Type="punktas" Nr="8" Abbr="8 p." DocPartId="10ea025e403b497e9e68365734ccf1cd" PartId="ab253a5996244b9498e0069deb9749e3"/>
      <Part Type="punktas" Nr="9" Abbr="9 p." DocPartId="7acaca3fda6a4e208f37daf388390833" PartId="89f6c86a1820453b81ab21909441de08"/>
      <Part Type="punktas" Nr="10" Abbr="10 p." DocPartId="ab9ac8ab310c4db285b39bfa95af3472" PartId="7e5304caf42a4728ba070ca899e4a81d"/>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7068d4eba3e242cebb8bbb98cf085516">
        <Part Type="papunktis" Nr="16.1" Abbr="16.1 pp." DocPartId="e54e49551d264defb3c212d6eeb18ee0" PartId="be64e5166fbe40c593834c47cf3453eb"/>
        <Part Type="papunktis" Nr="16.2" Abbr="16.2 pp." DocPartId="0c2dc49c9a654b0d8638280f486d773f" PartId="8d2e8286484c4e9a9a81e5f4bf0980d7"/>
        <Part Type="papunktis" Nr="16.3" Abbr="16.3 pp." DocPartId="2a456ab348d54043ac862a6ca1bd53cb" PartId="c7283f77f14341758163b90d648801d5"/>
        <Part Type="papunktis" Nr="16.4" Abbr="16.4 pp." DocPartId="f27ea1786a4c4f5d97a398585c38ae7c" PartId="8975fa6ed6c143569eb05195e0dec793"/>
        <Part Type="papunktis" Nr="16.5" Abbr="16.5 pp." DocPartId="54caabff792c4bfc92f0b2642ab0fed3" PartId="7db06c31d6674b309eb862185c24988e"/>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55F39EF7-B5E3-4A82-A1BB-EC4152F17925}">
  <ds:schemaRefs>
    <ds:schemaRef ds:uri="http://lrs.lt/TAIS/DocParts"/>
  </ds:schemaRefs>
</ds:datastoreItem>
</file>

<file path=docProps/app.xml><?xml version="1.0" encoding="utf-8"?>
<Properties xmlns="http://schemas.openxmlformats.org/officeDocument/2006/extended-properties">
  <Template>Normal.dotm</Template>
  <TotalTime>44</TotalTime>
  <Pages>7</Pages>
  <Words>12585</Words>
  <Characters>7174</Characters>
  <Application>Microsoft Office Word</Application>
  <DocSecurity>0</DocSecurity>
  <Lines>59</Lines>
  <Paragraphs>39</Paragraphs>
  <ScaleCrop>false</ScaleCrop>
  <Company/>
  <LinksUpToDate>false</LinksUpToDate>
  <CharactersWithSpaces>19720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GUMBYTĖ Danguolė</lastModifiedBy>
  <dcterms:modified xsi:type="dcterms:W3CDTF">2025-11-11T11:32:00Z</dcterms:modified>
  <revision>43</revision>
  <dc:title>LIETUVOS RESPUBLIKOS ŽEMĖS ŪKIO MINISTRO</dc:title>
</coreProperties>
</file>