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ae7cce98bf245de9695f725585492e9"/>
        <w:lock w:val="sdtLocked"/>
        <w:richText/>
      </w:sdtPr>
      <w:sdtContent>
        <w:p>
          <w:pPr>
            <w:jc w:val="both"/>
            <w:rPr>
              <w:rFonts w:ascii="Times New Roman" w:hAnsi="Times New Roman"/>
            </w:rPr>
          </w:pPr>
          <w:r>
            <w:rPr>
              <w:rFonts w:ascii="Times New Roman" w:hAnsi="Times New Roman"/>
              <w:b/>
              <w:i/>
            </w:rPr>
            <w:t>Suvestinė redakcija nuo 2018-07-01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A4CDFBAF4A79">
            <w:r w:rsidRPr="00532B9F">
              <w:rPr>
                <w:rFonts w:ascii="Times New Roman" w:eastAsia="MS Mincho" w:hAnsi="Times New Roman"/>
                <w:sz w:val="20"/>
                <w:i/>
                <w:iCs/>
                <w:color w:val="0000FF" w:themeColor="hyperlink"/>
                <w:u w:val="single"/>
              </w:rPr>
              <w:t>140-6174</w:t>
            </w:r>
          </w:fldSimple>
          <w:r>
            <w:rPr>
              <w:rFonts w:ascii="Times New Roman" w:eastAsia="MS Mincho" w:hAnsi="Times New Roman"/>
              <w:sz w:val="20"/>
              <w:i/>
              <w:iCs/>
            </w:rPr>
            <w:t>, i. k. 109301MISAK00D1-694</w:t>
          </w:r>
        </w:p>
        <w:p>
          <w:pPr>
            <w:jc w:val="both"/>
            <w:rPr>
              <w:rFonts w:ascii="Times New Roman" w:hAnsi="Times New Roman"/>
              <w:sz w:val="20"/>
            </w:rPr>
          </w:pPr>
        </w:p>
        <w:p>
          <w:pPr>
            <w:widowControl w:val="0"/>
            <w:suppressAutoHyphens/>
            <w:jc w:val="center"/>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0;margin-top:0;width:.75pt;height:.75pt;z-index:251657728;visibility:hidden;mso-position-horizontal-relative:text;mso-position-vertical-relative:text" stroked="f">
                <v:imagedata r:id="rId9" o:title=""/>
              </v:shape>
              <w:control r:id="rId10" w:name="Control 5" w:shapeid="_x0000_s1029"/>
            </w:pict>
          </w:r>
          <w:r>
            <w:rPr>
              <w:color w:val="000000"/>
            </w:rPr>
            <w:t>LIETUVOS RESPUBLIKOS APLINKOS MINISTRO</w:t>
          </w:r>
        </w:p>
        <w:p>
          <w:pPr>
            <w:widowControl w:val="0"/>
            <w:suppressAutoHyphens/>
            <w:jc w:val="center"/>
            <w:rPr>
              <w:color w:val="000000"/>
            </w:rPr>
          </w:pPr>
          <w:r>
            <w:rPr>
              <w:color w:val="000000"/>
            </w:rPr>
            <w:t>Į S A K Y M A S</w:t>
          </w:r>
        </w:p>
        <w:p>
          <w:pPr>
            <w:widowControl w:val="0"/>
            <w:suppressAutoHyphens/>
            <w:jc w:val="center"/>
            <w:rPr>
              <w:color w:val="000000"/>
            </w:rPr>
          </w:pPr>
        </w:p>
        <w:p>
          <w:pPr>
            <w:widowControl w:val="0"/>
            <w:suppressAutoHyphens/>
            <w:jc w:val="center"/>
            <w:rPr>
              <w:b/>
              <w:bCs/>
              <w:caps/>
              <w:color w:val="000000"/>
            </w:rPr>
          </w:pPr>
          <w:r>
            <w:rPr>
              <w:b/>
              <w:bCs/>
              <w:caps/>
              <w:color w:val="000000"/>
            </w:rPr>
            <w:t>DĖL LIETUVOS RESPUBLIKOS APLINKOS APSAUGOS NORMATYVINIO DOKUMENTO LAND 9-2009 „NAFTOS PRODUKTAIS UŽTERŠTŲ TERITORIJŲ TVARKYMO APLINKOS APSAUGOS REIKALAVIMAI“ PATVIRTINIMO</w:t>
          </w:r>
        </w:p>
        <w:p>
          <w:pPr>
            <w:widowControl w:val="0"/>
            <w:suppressAutoHyphens/>
            <w:jc w:val="center"/>
            <w:rPr>
              <w:color w:val="000000"/>
            </w:rPr>
          </w:pPr>
        </w:p>
        <w:p>
          <w:pPr>
            <w:widowControl w:val="0"/>
            <w:suppressAutoHyphens/>
            <w:jc w:val="center"/>
            <w:rPr>
              <w:color w:val="000000"/>
            </w:rPr>
          </w:pPr>
          <w:r>
            <w:rPr>
              <w:color w:val="000000"/>
            </w:rPr>
            <w:t>2009 m. lapkričio 17 d. Nr. D1-694</w:t>
          </w:r>
        </w:p>
        <w:p>
          <w:pPr>
            <w:widowControl w:val="0"/>
            <w:suppressAutoHyphens/>
            <w:jc w:val="center"/>
            <w:rPr>
              <w:color w:val="000000"/>
            </w:rPr>
          </w:pPr>
          <w:r>
            <w:rPr>
              <w:color w:val="000000"/>
            </w:rPr>
            <w:t>Vilnius</w:t>
          </w:r>
        </w:p>
        <w:p>
          <w:pPr>
            <w:widowControl w:val="0"/>
            <w:suppressAutoHyphens/>
            <w:jc w:val="both"/>
            <w:rPr>
              <w:color w:val="000000"/>
            </w:rPr>
          </w:pPr>
        </w:p>
        <w:p>
          <w:pPr>
            <w:widowControl w:val="0"/>
            <w:suppressAutoHyphens/>
            <w:jc w:val="both"/>
            <w:rPr>
              <w:color w:val="000000"/>
            </w:rPr>
          </w:pPr>
        </w:p>
        <w:sdt>
          <w:sdtPr>
            <w:alias w:val="preambule"/>
            <w:tag w:val="part_e2af0b51399b49c1a6bca15dcdfd96e0"/>
            <w:lock w:val="sdtLocked"/>
            <w:richText/>
          </w:sdtPr>
          <w:sdtContent>
            <w:p>
              <w:pPr>
                <w:widowControl w:val="0"/>
                <w:suppressAutoHyphens/>
                <w:ind w:firstLine="567"/>
                <w:jc w:val="both"/>
                <w:rPr>
                  <w:color w:val="000000"/>
                </w:rPr>
              </w:pPr>
              <w:r>
                <w:rPr>
                  <w:color w:val="000000"/>
                </w:rPr>
                <w:t xml:space="preserve">Vadovaudamasis Lietuvos Respublikos aplinkos apsaugos įstatymo (Žin., 1992, Nr. </w:t>
              </w:r>
              <w:hyperlink r:id="rId11" w:tgtFrame="_blank" w:history="1">
                <w:r>
                  <w:rPr>
                    <w:color w:val="0000FF" w:themeColor="hyperlink"/>
                    <w:u w:val="single"/>
                  </w:rPr>
                  <w:t>5-75</w:t>
                </w:r>
              </w:hyperlink>
              <w:r>
                <w:rPr>
                  <w:color w:val="000000"/>
                </w:rPr>
                <w:t xml:space="preserve">; 1996, Nr. </w:t>
              </w:r>
              <w:hyperlink r:id="rId12" w:tgtFrame="_blank" w:history="1">
                <w:r>
                  <w:rPr>
                    <w:color w:val="0000FF" w:themeColor="hyperlink"/>
                    <w:u w:val="single"/>
                  </w:rPr>
                  <w:t>57-1335</w:t>
                </w:r>
              </w:hyperlink>
              <w:r>
                <w:rPr>
                  <w:color w:val="000000"/>
                </w:rPr>
                <w:t xml:space="preserve">; 2002, Nr. </w:t>
              </w:r>
              <w:hyperlink r:id="rId13" w:tgtFrame="_blank" w:history="1">
                <w:r>
                  <w:rPr>
                    <w:color w:val="0000FF" w:themeColor="hyperlink"/>
                    <w:u w:val="single"/>
                  </w:rPr>
                  <w:t>2-49</w:t>
                </w:r>
              </w:hyperlink>
              <w:r>
                <w:rPr>
                  <w:color w:val="000000"/>
                </w:rPr>
                <w:t xml:space="preserve">; 2003, Nr. </w:t>
              </w:r>
              <w:hyperlink r:id="rId14" w:tgtFrame="_blank" w:history="1">
                <w:r>
                  <w:rPr>
                    <w:color w:val="0000FF" w:themeColor="hyperlink"/>
                    <w:u w:val="single"/>
                  </w:rPr>
                  <w:t>61-2763</w:t>
                </w:r>
              </w:hyperlink>
              <w:r>
                <w:rPr>
                  <w:color w:val="000000"/>
                </w:rPr>
                <w:t xml:space="preserve">; 2004, Nr. </w:t>
              </w:r>
              <w:hyperlink r:id="rId15" w:tgtFrame="_blank" w:history="1">
                <w:r>
                  <w:rPr>
                    <w:color w:val="0000FF" w:themeColor="hyperlink"/>
                    <w:u w:val="single"/>
                  </w:rPr>
                  <w:t>60-2121</w:t>
                </w:r>
              </w:hyperlink>
              <w:r>
                <w:rPr>
                  <w:color w:val="000000"/>
                </w:rPr>
                <w:t xml:space="preserve">; 2005, Nr. </w:t>
              </w:r>
              <w:hyperlink r:id="rId16" w:tgtFrame="_blank" w:history="1">
                <w:r>
                  <w:rPr>
                    <w:color w:val="0000FF" w:themeColor="hyperlink"/>
                    <w:u w:val="single"/>
                  </w:rPr>
                  <w:t>47-1558</w:t>
                </w:r>
              </w:hyperlink>
              <w:r>
                <w:rPr>
                  <w:color w:val="000000"/>
                </w:rPr>
                <w:t>) 6 straipsnio 5 dalimi:</w:t>
              </w:r>
            </w:p>
          </w:sdtContent>
        </w:sdt>
        <w:sdt>
          <w:sdtPr>
            <w:alias w:val="1 p."/>
            <w:tag w:val="part_a022923419404a9d8543d3d3953075eb"/>
            <w:lock w:val="sdtLocked"/>
            <w:richText/>
          </w:sdtPr>
          <w:sdtContent>
            <w:p>
              <w:pPr>
                <w:widowControl w:val="0"/>
                <w:suppressAutoHyphens/>
                <w:ind w:firstLine="567"/>
                <w:jc w:val="both"/>
                <w:rPr>
                  <w:color w:val="000000"/>
                </w:rPr>
              </w:pPr>
              <w:sdt>
                <w:sdtPr>
                  <w:alias w:val="Numeris"/>
                  <w:tag w:val="nr_a022923419404a9d8543d3d3953075eb"/>
                  <w:lock w:val="sdtLocked"/>
                  <w:richText/>
                </w:sdtPr>
                <w:sdtContent>
                  <w:r>
                    <w:rPr>
                      <w:color w:val="000000"/>
                      <w:spacing w:val="-3"/>
                    </w:rPr>
                    <w:t>1</w:t>
                  </w:r>
                </w:sdtContent>
              </w:sdt>
              <w:r>
                <w:rPr>
                  <w:color w:val="000000"/>
                  <w:spacing w:val="-3"/>
                </w:rPr>
                <w:t>. T v i r t i n u Naftos produktais užterštų teritorijų tvarkymo aplinkos apsaugos reikalavimus LAND 9-2009 (pridedama).</w:t>
              </w:r>
            </w:p>
          </w:sdtContent>
        </w:sdt>
        <w:sdt>
          <w:sdtPr>
            <w:alias w:val="2 p."/>
            <w:tag w:val="part_809855da11e8445b9757c8e3d29fd069"/>
            <w:lock w:val="sdtLocked"/>
            <w:richText/>
          </w:sdtPr>
          <w:sdtContent>
            <w:p>
              <w:pPr>
                <w:suppressAutoHyphens/>
                <w:ind w:firstLine="567"/>
                <w:jc w:val="both"/>
                <w:rPr>
                  <w:color w:val="000000"/>
                </w:rPr>
              </w:pPr>
              <w:sdt>
                <w:sdtPr>
                  <w:alias w:val="Numeris"/>
                  <w:tag w:val="nr_809855da11e8445b9757c8e3d29fd069"/>
                  <w:lock w:val="sdtLocked"/>
                  <w:richText/>
                </w:sdtPr>
                <w:sdtContent>
                  <w:r>
                    <w:rPr>
                      <w:color w:val="000000"/>
                      <w:szCs w:val="24"/>
                    </w:rPr>
                    <w:t>2</w:t>
                  </w:r>
                </w:sdtContent>
              </w:sdt>
              <w:r>
                <w:rPr>
                  <w:color w:val="000000"/>
                  <w:szCs w:val="24"/>
                </w:rPr>
                <w:t xml:space="preserve">. </w:t>
              </w:r>
              <w:r>
                <w:rPr>
                  <w:color w:val="000000"/>
                  <w:spacing w:val="60"/>
                  <w:szCs w:val="24"/>
                </w:rPr>
                <w:t>Pavedu</w:t>
              </w:r>
              <w:r>
                <w:rPr>
                  <w:color w:val="000000"/>
                  <w:szCs w:val="24"/>
                </w:rPr>
                <w:t xml:space="preserve"> Aplinkos apsaugos departamentui prie Aplinkos ministerijos ir Lietuvos geologijos tarnybai prie Aplinkos ministerijos kontroliuoti Naftos produktais užterštų teritorijų tvarkymo aplinkos apsaugos reikalavimų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1ccb60793611e8ae2bfd1913d66d57">
                <w:r w:rsidRPr="00532B9F">
                  <w:rPr>
                    <w:rFonts w:ascii="Times New Roman" w:eastAsia="MS Mincho" w:hAnsi="Times New Roman"/>
                    <w:sz w:val="20"/>
                    <w:i/>
                    <w:iCs/>
                    <w:color w:val="0000FF" w:themeColor="hyperlink"/>
                    <w:u w:val="single"/>
                  </w:rPr>
                  <w:t>D1-556</w:t>
                </w:r>
              </w:fldSimple>
              <w:r>
                <w:rPr>
                  <w:rFonts w:ascii="Times New Roman" w:eastAsia="MS Mincho" w:hAnsi="Times New Roman"/>
                  <w:sz w:val="20"/>
                  <w:i/>
                  <w:iCs/>
                </w:rPr>
                <w:t>,
2018-06-22,
paskelbta TAR 2018-06-26, i. k. 2018-10502            </w:t>
              </w:r>
            </w:p>
            <w:p/>
          </w:sdtContent>
        </w:sdt>
        <w:sdt>
          <w:sdtPr>
            <w:alias w:val="3 p."/>
            <w:tag w:val="part_b7a6903ab4f841f2b94559792c8f54ec"/>
            <w:lock w:val="sdtLocked"/>
            <w:richText/>
          </w:sdtPr>
          <w:sdtContent>
            <w:p>
              <w:pPr>
                <w:widowControl w:val="0"/>
                <w:suppressAutoHyphens/>
                <w:ind w:firstLine="567"/>
                <w:jc w:val="both"/>
                <w:rPr>
                  <w:color w:val="000000"/>
                </w:rPr>
              </w:pPr>
              <w:sdt>
                <w:sdtPr>
                  <w:alias w:val="Numeris"/>
                  <w:tag w:val="nr_b7a6903ab4f841f2b94559792c8f54ec"/>
                  <w:lock w:val="sdtLocked"/>
                  <w:richText/>
                </w:sdtPr>
                <w:sdtContent>
                  <w:r>
                    <w:rPr>
                      <w:color w:val="000000"/>
                    </w:rPr>
                    <w:t>3</w:t>
                  </w:r>
                </w:sdtContent>
              </w:sdt>
              <w:r>
                <w:rPr>
                  <w:color w:val="000000"/>
                </w:rPr>
                <w:t>. P r i p a ž į s t u netekusiais galios:</w:t>
              </w:r>
            </w:p>
            <w:sdt>
              <w:sdtPr>
                <w:alias w:val="3.1 p."/>
                <w:tag w:val="part_4dfedecde91e48f08a3b2e79aa8dfe28"/>
                <w:lock w:val="sdtLocked"/>
                <w:richText/>
              </w:sdtPr>
              <w:sdtContent>
                <w:p>
                  <w:pPr>
                    <w:widowControl w:val="0"/>
                    <w:suppressAutoHyphens/>
                    <w:ind w:firstLine="567"/>
                    <w:jc w:val="both"/>
                    <w:rPr>
                      <w:color w:val="000000"/>
                    </w:rPr>
                  </w:pPr>
                  <w:sdt>
                    <w:sdtPr>
                      <w:alias w:val="Numeris"/>
                      <w:tag w:val="nr_4dfedecde91e48f08a3b2e79aa8dfe28"/>
                      <w:lock w:val="sdtLocked"/>
                      <w:richText/>
                    </w:sdtPr>
                    <w:sdtContent>
                      <w:r>
                        <w:rPr>
                          <w:color w:val="000000"/>
                        </w:rPr>
                        <w:t>3.1</w:t>
                      </w:r>
                    </w:sdtContent>
                  </w:sdt>
                  <w:r>
                    <w:rPr>
                      <w:color w:val="000000"/>
                    </w:rPr>
                    <w:t xml:space="preserve">. aplinkos ministro 2002 m. lapkričio 27 d. įsakymą Nr. 611 „Dėl grunto ir požeminio vandens užteršimo naftos produktais valymo bei taršos apribojimo reikalavimų (LAND 9-2002) patvirtinimo“ (Žin., 2002, Nr. </w:t>
                  </w:r>
                  <w:hyperlink r:id="rId17" w:tgtFrame="_blank" w:history="1">
                    <w:r>
                      <w:rPr>
                        <w:color w:val="0000FF" w:themeColor="hyperlink"/>
                        <w:u w:val="single"/>
                      </w:rPr>
                      <w:t>119-5368</w:t>
                    </w:r>
                  </w:hyperlink>
                  <w:r>
                    <w:rPr>
                      <w:color w:val="000000"/>
                    </w:rPr>
                    <w:t>);</w:t>
                  </w:r>
                </w:p>
              </w:sdtContent>
            </w:sdt>
            <w:sdt>
              <w:sdtPr>
                <w:alias w:val="3.2 p."/>
                <w:tag w:val="part_614fd01be5bd46ce90a9a8fa67df7b47"/>
                <w:lock w:val="sdtLocked"/>
                <w:richText/>
              </w:sdtPr>
              <w:sdtContent>
                <w:p>
                  <w:pPr>
                    <w:widowControl w:val="0"/>
                    <w:suppressAutoHyphens/>
                    <w:ind w:firstLine="567"/>
                    <w:jc w:val="both"/>
                    <w:rPr>
                      <w:caps/>
                      <w:color w:val="000000"/>
                    </w:rPr>
                  </w:pPr>
                  <w:sdt>
                    <w:sdtPr>
                      <w:alias w:val="Numeris"/>
                      <w:tag w:val="nr_614fd01be5bd46ce90a9a8fa67df7b47"/>
                      <w:lock w:val="sdtLocked"/>
                      <w:richText/>
                    </w:sdtPr>
                    <w:sdtContent>
                      <w:r>
                        <w:rPr>
                          <w:color w:val="000000"/>
                        </w:rPr>
                        <w:t>3.2</w:t>
                      </w:r>
                    </w:sdtContent>
                  </w:sdt>
                  <w:r>
                    <w:rPr>
                      <w:color w:val="000000"/>
                    </w:rPr>
                    <w:t xml:space="preserve">. aplinkos ministro 2005 m. balandžio 5 d. įsakymą Nr. D1-187 „Dėl aplinkos ministro 2002 m. lapkričio 27 d. įsakymo Nr. 611 „Dėl grunto ir požeminio vandens užteršimo naftos produktais valymo bei taršos apribojimo reikalavimų (LAND 9-2002) patvirtinimo“ pakeitimo“ (Žin., 2005, Nr. </w:t>
                  </w:r>
                  <w:hyperlink r:id="rId18" w:tgtFrame="_blank" w:history="1">
                    <w:r>
                      <w:rPr>
                        <w:color w:val="0000FF" w:themeColor="hyperlink"/>
                        <w:u w:val="single"/>
                      </w:rPr>
                      <w:t>48-1592</w:t>
                    </w:r>
                  </w:hyperlink>
                  <w:r>
                    <w:rPr>
                      <w:color w:val="000000"/>
                    </w:rPr>
                    <w:t>).</w:t>
                  </w:r>
                </w:p>
              </w:sdtContent>
            </w:sdt>
          </w:sdtContent>
        </w:sdt>
        <w:sdt>
          <w:sdtPr>
            <w:alias w:val="signatura"/>
            <w:tag w:val="part_bda6377a41cd45128af447bdce87844e"/>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 xml:space="preserve">Aplinkos ministras </w:t>
                <w:tab/>
                <w:t>Gediminas Kazlauskas</w:t>
              </w:r>
            </w:p>
          </w:sdtContent>
        </w:sdt>
      </w:sdtContent>
    </w:sdt>
    <w:sdt>
      <w:sdtPr>
        <w:alias w:val="patvirtinta"/>
        <w:tag w:val="part_082cf1d8b84b4073bad213212e2373ff"/>
        <w:lock w:val="sdtLocked"/>
        <w:richText/>
      </w:sdtPr>
      <w:sdtContent>
        <w:p>
          <w:pPr>
            <w:widowControl w:val="0"/>
            <w:suppressAutoHyphens/>
            <w:ind w:left="4535"/>
            <w:sectPr>
              <w:headerReference w:type="even" r:id="rId19"/>
              <w:headerReference w:type="default" r:id="rId20"/>
              <w:footerReference w:type="even" r:id="rId21"/>
              <w:footerReference w:type="default" r:id="rId22"/>
              <w:headerReference w:type="first" r:id="rId23"/>
              <w:footerReference w:type="first" r:id="rId24"/>
              <w:pgSz w:w="11907" w:h="16840" w:code="9"/>
              <w:pgMar w:top="1134" w:right="1134" w:bottom="1134" w:left="1701" w:header="709" w:footer="709" w:gutter="0"/>
              <w:cols w:space="708"/>
              <w:titlePg/>
              <w:docGrid w:linePitch="326"/>
            </w:sectPr>
          </w:pPr>
        </w:p>
        <w:p>
          <w:pPr>
            <w:widowControl w:val="0"/>
            <w:suppressAutoHyphens/>
            <w:ind w:left="4535"/>
            <w:rPr>
              <w:color w:val="000000"/>
            </w:rPr>
          </w:pPr>
          <w:r>
            <w:rPr>
              <w:color w:val="000000"/>
            </w:rPr>
            <w:t>PATVIRTINTA</w:t>
          </w:r>
        </w:p>
        <w:p>
          <w:pPr>
            <w:widowControl w:val="0"/>
            <w:suppressAutoHyphens/>
            <w:ind w:left="4535"/>
            <w:rPr>
              <w:color w:val="000000"/>
            </w:rPr>
          </w:pPr>
          <w:r>
            <w:rPr>
              <w:color w:val="000000"/>
            </w:rPr>
            <w:t xml:space="preserve">Lietuvos Respublikos aplinkos ministro </w:t>
          </w:r>
        </w:p>
        <w:p>
          <w:pPr>
            <w:widowControl w:val="0"/>
            <w:suppressAutoHyphens/>
            <w:ind w:left="4535"/>
            <w:rPr>
              <w:color w:val="000000"/>
            </w:rPr>
          </w:pPr>
          <w:r>
            <w:rPr>
              <w:color w:val="000000"/>
            </w:rPr>
            <w:t>2009 m. lapkričio 17 d. įsakymu Nr. D1-694</w:t>
          </w:r>
        </w:p>
        <w:p>
          <w:pPr>
            <w:widowControl w:val="0"/>
            <w:suppressAutoHyphens/>
            <w:jc w:val="both"/>
            <w:rPr>
              <w:color w:val="000000"/>
            </w:rPr>
          </w:pPr>
        </w:p>
        <w:sdt>
          <w:sdtPr>
            <w:alias w:val="Pavadinimas"/>
            <w:tag w:val="title_082cf1d8b84b4073bad213212e2373ff"/>
            <w:lock w:val="sdtLocked"/>
            <w:richText/>
          </w:sdtPr>
          <w:sdtContent>
            <w:p>
              <w:pPr>
                <w:widowControl w:val="0"/>
                <w:suppressAutoHyphens/>
                <w:jc w:val="center"/>
                <w:rPr>
                  <w:b/>
                  <w:bCs/>
                  <w:caps/>
                  <w:color w:val="000000"/>
                </w:rPr>
              </w:pPr>
              <w:r>
                <w:rPr>
                  <w:b/>
                  <w:bCs/>
                  <w:caps/>
                  <w:color w:val="000000"/>
                </w:rPr>
                <w:t xml:space="preserve">NAFTOS PRODUKTAIS UŽTERŠTŲ TERITORIJŲ TVARKYMO APLINKOS APSAUGOS REIKALAVIMAI </w:t>
              </w:r>
            </w:p>
            <w:p>
              <w:pPr>
                <w:widowControl w:val="0"/>
                <w:suppressAutoHyphens/>
                <w:jc w:val="center"/>
                <w:rPr>
                  <w:b/>
                  <w:bCs/>
                  <w:caps/>
                  <w:color w:val="000000"/>
                </w:rPr>
              </w:pPr>
              <w:r>
                <w:rPr>
                  <w:b/>
                  <w:bCs/>
                  <w:caps/>
                  <w:color w:val="000000"/>
                </w:rPr>
                <w:t>LAND 9-2009</w:t>
              </w:r>
            </w:p>
          </w:sdtContent>
        </w:sdt>
        <w:p>
          <w:pPr>
            <w:widowControl w:val="0"/>
            <w:suppressAutoHyphens/>
            <w:jc w:val="center"/>
            <w:rPr>
              <w:color w:val="000000"/>
            </w:rPr>
          </w:pPr>
        </w:p>
        <w:sdt>
          <w:sdtPr>
            <w:alias w:val="skyrius"/>
            <w:tag w:val="part_5a210181cbcf4863a56d736edb868626"/>
            <w:lock w:val="sdtLocked"/>
            <w:richText/>
          </w:sdtPr>
          <w:sdtContent>
            <w:p>
              <w:pPr>
                <w:widowControl w:val="0"/>
                <w:suppressAutoHyphens/>
                <w:jc w:val="center"/>
                <w:rPr>
                  <w:b/>
                  <w:bCs/>
                  <w:caps/>
                  <w:color w:val="000000"/>
                </w:rPr>
              </w:pPr>
              <w:sdt>
                <w:sdtPr>
                  <w:alias w:val="Numeris"/>
                  <w:tag w:val="nr_5a210181cbcf4863a56d736edb868626"/>
                  <w:lock w:val="sdtLocked"/>
                  <w:richText/>
                </w:sdtPr>
                <w:sdtContent>
                  <w:r>
                    <w:rPr>
                      <w:b/>
                      <w:bCs/>
                      <w:caps/>
                      <w:color w:val="000000"/>
                    </w:rPr>
                    <w:t>I</w:t>
                  </w:r>
                </w:sdtContent>
              </w:sdt>
              <w:r>
                <w:rPr>
                  <w:b/>
                  <w:bCs/>
                  <w:caps/>
                  <w:color w:val="000000"/>
                </w:rPr>
                <w:t xml:space="preserve">. </w:t>
              </w:r>
              <w:sdt>
                <w:sdtPr>
                  <w:alias w:val="Pavadinimas"/>
                  <w:tag w:val="title_5a210181cbcf4863a56d736edb868626"/>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653b271dfb144d609fbf67ad4a1fdaf8"/>
                <w:lock w:val="sdtLocked"/>
                <w:richText/>
              </w:sdtPr>
              <w:sdtContent>
                <w:p>
                  <w:pPr>
                    <w:widowControl w:val="0"/>
                    <w:suppressAutoHyphens/>
                    <w:ind w:firstLine="567"/>
                    <w:jc w:val="both"/>
                    <w:rPr>
                      <w:color w:val="000000"/>
                    </w:rPr>
                  </w:pPr>
                  <w:sdt>
                    <w:sdtPr>
                      <w:alias w:val="Numeris"/>
                      <w:tag w:val="nr_653b271dfb144d609fbf67ad4a1fdaf8"/>
                      <w:lock w:val="sdtLocked"/>
                      <w:richText/>
                    </w:sdtPr>
                    <w:sdtContent>
                      <w:r>
                        <w:rPr>
                          <w:color w:val="000000"/>
                        </w:rPr>
                        <w:t>1</w:t>
                      </w:r>
                    </w:sdtContent>
                  </w:sdt>
                  <w:r>
                    <w:rPr>
                      <w:color w:val="000000"/>
                    </w:rPr>
                    <w:t>. Normatyvinis aplinkos apsaugos dokumentas „Naftos produktais užterštų teritorijų tvarkymo aplinkos apsaugos reikalavimai. LAND 9-2009“ (toliau – Reikalavimai) nustato reikalavimus, kuriais siekiama:</w:t>
                  </w:r>
                </w:p>
                <w:sdt>
                  <w:sdtPr>
                    <w:alias w:val="1.1 p."/>
                    <w:tag w:val="part_10cb362b6de143b5a3ae641a05cf975b"/>
                    <w:lock w:val="sdtLocked"/>
                    <w:richText/>
                  </w:sdtPr>
                  <w:sdtContent>
                    <w:p>
                      <w:pPr>
                        <w:widowControl w:val="0"/>
                        <w:suppressAutoHyphens/>
                        <w:ind w:firstLine="567"/>
                        <w:jc w:val="both"/>
                        <w:rPr>
                          <w:color w:val="000000"/>
                        </w:rPr>
                      </w:pPr>
                      <w:sdt>
                        <w:sdtPr>
                          <w:alias w:val="Numeris"/>
                          <w:tag w:val="nr_10cb362b6de143b5a3ae641a05cf975b"/>
                          <w:lock w:val="sdtLocked"/>
                          <w:richText/>
                        </w:sdtPr>
                        <w:sdtContent>
                          <w:r>
                            <w:rPr>
                              <w:color w:val="000000"/>
                            </w:rPr>
                            <w:t>1.1</w:t>
                          </w:r>
                        </w:sdtContent>
                      </w:sdt>
                      <w:r>
                        <w:rPr>
                          <w:color w:val="000000"/>
                        </w:rPr>
                        <w:t>. apsaugoti žmonių sveikatą nuo naftos produktais (toliau – NP) užterštų teritorijų neigiamo poveikio;</w:t>
                      </w:r>
                    </w:p>
                  </w:sdtContent>
                </w:sdt>
                <w:sdt>
                  <w:sdtPr>
                    <w:alias w:val="1.2 p."/>
                    <w:tag w:val="part_55940793e65146d98b20463b02b6428b"/>
                    <w:lock w:val="sdtLocked"/>
                    <w:richText/>
                  </w:sdtPr>
                  <w:sdtContent>
                    <w:p>
                      <w:pPr>
                        <w:widowControl w:val="0"/>
                        <w:suppressAutoHyphens/>
                        <w:ind w:firstLine="567"/>
                        <w:jc w:val="both"/>
                        <w:rPr>
                          <w:color w:val="000000"/>
                        </w:rPr>
                      </w:pPr>
                      <w:sdt>
                        <w:sdtPr>
                          <w:alias w:val="Numeris"/>
                          <w:tag w:val="nr_55940793e65146d98b20463b02b6428b"/>
                          <w:lock w:val="sdtLocked"/>
                          <w:richText/>
                        </w:sdtPr>
                        <w:sdtContent>
                          <w:r>
                            <w:rPr>
                              <w:color w:val="000000"/>
                            </w:rPr>
                            <w:t>1.2</w:t>
                          </w:r>
                        </w:sdtContent>
                      </w:sdt>
                      <w:r>
                        <w:rPr>
                          <w:color w:val="000000"/>
                        </w:rPr>
                        <w:t>. saugoti gruntą, gilesnius žemės sluoksnius ir požeminį vandenį (toliau – Geologinė aplinka) nuo galimos taršos, vykdant veiklas, kuriose yra naudojami NP;</w:t>
                      </w:r>
                    </w:p>
                  </w:sdtContent>
                </w:sdt>
                <w:sdt>
                  <w:sdtPr>
                    <w:alias w:val="1.3 p."/>
                    <w:tag w:val="part_dba36bebc1884aaf973b426035c1a76f"/>
                    <w:lock w:val="sdtLocked"/>
                    <w:richText/>
                  </w:sdtPr>
                  <w:sdtContent>
                    <w:p>
                      <w:pPr>
                        <w:widowControl w:val="0"/>
                        <w:suppressAutoHyphens/>
                        <w:ind w:firstLine="567"/>
                        <w:jc w:val="both"/>
                        <w:rPr>
                          <w:color w:val="000000"/>
                        </w:rPr>
                      </w:pPr>
                      <w:sdt>
                        <w:sdtPr>
                          <w:alias w:val="Numeris"/>
                          <w:tag w:val="nr_dba36bebc1884aaf973b426035c1a76f"/>
                          <w:lock w:val="sdtLocked"/>
                          <w:richText/>
                        </w:sdtPr>
                        <w:sdtContent>
                          <w:r>
                            <w:rPr>
                              <w:color w:val="000000"/>
                            </w:rPr>
                            <w:t>1.3</w:t>
                          </w:r>
                        </w:sdtContent>
                      </w:sdt>
                      <w:r>
                        <w:rPr>
                          <w:color w:val="000000"/>
                        </w:rPr>
                        <w:t>. mažinti taršos NP neigiamą poveikį požeminiam vandeniui bei su juo susijusių ekosistemų būklei;</w:t>
                      </w:r>
                    </w:p>
                  </w:sdtContent>
                </w:sdt>
                <w:sdt>
                  <w:sdtPr>
                    <w:alias w:val="1.4 p."/>
                    <w:tag w:val="part_4771756df6e542b89be41d9667d01fe8"/>
                    <w:lock w:val="sdtLocked"/>
                    <w:richText/>
                  </w:sdtPr>
                  <w:sdtContent>
                    <w:p>
                      <w:pPr>
                        <w:widowControl w:val="0"/>
                        <w:suppressAutoHyphens/>
                        <w:ind w:firstLine="567"/>
                        <w:jc w:val="both"/>
                        <w:rPr>
                          <w:color w:val="000000"/>
                        </w:rPr>
                      </w:pPr>
                      <w:sdt>
                        <w:sdtPr>
                          <w:alias w:val="Numeris"/>
                          <w:tag w:val="nr_4771756df6e542b89be41d9667d01fe8"/>
                          <w:lock w:val="sdtLocked"/>
                          <w:richText/>
                        </w:sdtPr>
                        <w:sdtContent>
                          <w:r>
                            <w:rPr>
                              <w:color w:val="000000"/>
                            </w:rPr>
                            <w:t>1.4</w:t>
                          </w:r>
                        </w:sdtContent>
                      </w:sdt>
                      <w:r>
                        <w:rPr>
                          <w:color w:val="000000"/>
                        </w:rPr>
                        <w:t>. saugoti geriamojo požeminio vandens išteklius nuo kokybės sugadinimo.</w:t>
                      </w:r>
                    </w:p>
                  </w:sdtContent>
                </w:sdt>
              </w:sdtContent>
            </w:sdt>
            <w:sdt>
              <w:sdtPr>
                <w:alias w:val="2 p."/>
                <w:tag w:val="part_3d8c15cda750456cb0be7202ba958332"/>
                <w:lock w:val="sdtLocked"/>
                <w:richText/>
              </w:sdtPr>
              <w:sdtContent>
                <w:p>
                  <w:pPr>
                    <w:widowControl w:val="0"/>
                    <w:suppressAutoHyphens/>
                    <w:ind w:firstLine="567"/>
                    <w:jc w:val="both"/>
                    <w:rPr>
                      <w:color w:val="000000"/>
                    </w:rPr>
                  </w:pPr>
                  <w:sdt>
                    <w:sdtPr>
                      <w:alias w:val="Numeris"/>
                      <w:tag w:val="nr_3d8c15cda750456cb0be7202ba958332"/>
                      <w:lock w:val="sdtLocked"/>
                      <w:richText/>
                    </w:sdtPr>
                    <w:sdtContent>
                      <w:r>
                        <w:rPr>
                          <w:color w:val="000000"/>
                        </w:rPr>
                        <w:t>2</w:t>
                      </w:r>
                    </w:sdtContent>
                  </w:sdt>
                  <w:r>
                    <w:rPr>
                      <w:color w:val="000000"/>
                    </w:rPr>
                    <w:t>. Reikalavimai parengti vadovaujantis:</w:t>
                  </w:r>
                </w:p>
                <w:sdt>
                  <w:sdtPr>
                    <w:alias w:val="2.1 p."/>
                    <w:tag w:val="part_618ea34e57c64eb091a08f1bf0196e8c"/>
                    <w:lock w:val="sdtLocked"/>
                    <w:richText/>
                  </w:sdtPr>
                  <w:sdtContent>
                    <w:p>
                      <w:pPr>
                        <w:widowControl w:val="0"/>
                        <w:suppressAutoHyphens/>
                        <w:ind w:firstLine="567"/>
                        <w:jc w:val="both"/>
                        <w:rPr>
                          <w:color w:val="000000"/>
                        </w:rPr>
                      </w:pPr>
                      <w:sdt>
                        <w:sdtPr>
                          <w:alias w:val="Numeris"/>
                          <w:tag w:val="nr_618ea34e57c64eb091a08f1bf0196e8c"/>
                          <w:lock w:val="sdtLocked"/>
                          <w:richText/>
                        </w:sdtPr>
                        <w:sdtContent>
                          <w:r>
                            <w:rPr>
                              <w:color w:val="000000"/>
                            </w:rPr>
                            <w:t>2.1</w:t>
                          </w:r>
                        </w:sdtContent>
                      </w:sdt>
                      <w:r>
                        <w:rPr>
                          <w:color w:val="000000"/>
                        </w:rPr>
                        <w:t>. 2004 m. balandžio 21 d. Europos Parlamento ir Tarybos direktyva 2004/35/EB dėl atsakomybės už aplinkos apsaugą siekiant išvengti žalos aplinkai ir ją ištaisyti (atlyginti) (OL 2004 m. specialusis leidimas, 15 skyrius, 8 tomas, p. 357);</w:t>
                      </w:r>
                    </w:p>
                  </w:sdtContent>
                </w:sdt>
                <w:sdt>
                  <w:sdtPr>
                    <w:alias w:val="2.2 p."/>
                    <w:tag w:val="part_3ba1bf9d307c468bbb39a6808dca1797"/>
                    <w:lock w:val="sdtLocked"/>
                    <w:richText/>
                  </w:sdtPr>
                  <w:sdtContent>
                    <w:p>
                      <w:pPr>
                        <w:widowControl w:val="0"/>
                        <w:suppressAutoHyphens/>
                        <w:ind w:firstLine="567"/>
                        <w:jc w:val="both"/>
                        <w:rPr>
                          <w:color w:val="000000"/>
                        </w:rPr>
                      </w:pPr>
                      <w:sdt>
                        <w:sdtPr>
                          <w:alias w:val="Numeris"/>
                          <w:tag w:val="nr_3ba1bf9d307c468bbb39a6808dca1797"/>
                          <w:lock w:val="sdtLocked"/>
                          <w:richText/>
                        </w:sdtPr>
                        <w:sdtContent>
                          <w:r>
                            <w:rPr>
                              <w:color w:val="000000"/>
                            </w:rPr>
                            <w:t>2.2</w:t>
                          </w:r>
                        </w:sdtContent>
                      </w:sdt>
                      <w:r>
                        <w:rPr>
                          <w:color w:val="000000"/>
                        </w:rPr>
                        <w:t>. 1979 m. gruodžio 17 d. Europos Sąjungos Tarybos direktyva 80/68/EEB „Dėl požeminio vandens apsaugos nuo taršos tam tikromis pavojingomis medžiagomis“ (OL 1980 m. specialusis leidimas, 15 skyrius, 1 tomas, p. 134);</w:t>
                      </w:r>
                    </w:p>
                  </w:sdtContent>
                </w:sdt>
                <w:sdt>
                  <w:sdtPr>
                    <w:alias w:val="2.3 p."/>
                    <w:tag w:val="part_ab7d3bb5a1ef4354a60b162487983350"/>
                    <w:lock w:val="sdtLocked"/>
                    <w:richText/>
                  </w:sdtPr>
                  <w:sdtContent>
                    <w:p>
                      <w:pPr>
                        <w:widowControl w:val="0"/>
                        <w:suppressAutoHyphens/>
                        <w:ind w:firstLine="567"/>
                        <w:jc w:val="both"/>
                        <w:rPr>
                          <w:color w:val="000000"/>
                        </w:rPr>
                      </w:pPr>
                      <w:sdt>
                        <w:sdtPr>
                          <w:alias w:val="Numeris"/>
                          <w:tag w:val="nr_ab7d3bb5a1ef4354a60b162487983350"/>
                          <w:lock w:val="sdtLocked"/>
                          <w:richText/>
                        </w:sdtPr>
                        <w:sdtContent>
                          <w:r>
                            <w:rPr>
                              <w:color w:val="000000"/>
                            </w:rPr>
                            <w:t>2.3</w:t>
                          </w:r>
                        </w:sdtContent>
                      </w:sdt>
                      <w:r>
                        <w:rPr>
                          <w:color w:val="000000"/>
                        </w:rPr>
                        <w:t>. 2000 m. spalio 23 d. Europos Sąjungos Parlamento ir Tarybos direktyva 2000/60/EB, nustatančia Bendrijos veiksmų vandens politikos srityje pagrindus (OL 2000 m. specialusis leidimas, 15 skyrius, 5 tomas, p. 275);</w:t>
                      </w:r>
                    </w:p>
                  </w:sdtContent>
                </w:sdt>
                <w:sdt>
                  <w:sdtPr>
                    <w:alias w:val="2.4 p."/>
                    <w:tag w:val="part_8d0a0358e6b44654865e27eead043a0f"/>
                    <w:lock w:val="sdtLocked"/>
                    <w:richText/>
                  </w:sdtPr>
                  <w:sdtContent>
                    <w:p>
                      <w:pPr>
                        <w:widowControl w:val="0"/>
                        <w:suppressAutoHyphens/>
                        <w:ind w:firstLine="567"/>
                        <w:jc w:val="both"/>
                        <w:rPr>
                          <w:color w:val="000000"/>
                        </w:rPr>
                      </w:pPr>
                      <w:sdt>
                        <w:sdtPr>
                          <w:alias w:val="Numeris"/>
                          <w:tag w:val="nr_8d0a0358e6b44654865e27eead043a0f"/>
                          <w:lock w:val="sdtLocked"/>
                          <w:richText/>
                        </w:sdtPr>
                        <w:sdtContent>
                          <w:r>
                            <w:rPr>
                              <w:color w:val="000000"/>
                            </w:rPr>
                            <w:t>2.4</w:t>
                          </w:r>
                        </w:sdtContent>
                      </w:sdt>
                      <w:r>
                        <w:rPr>
                          <w:color w:val="000000"/>
                        </w:rPr>
                        <w:t>. 2006 m. rugsėjo 22 d. Europos Komisijos komunikatu dėl dirvožemio apsaugos teminės strategijos (KOM/2006/231);</w:t>
                      </w:r>
                    </w:p>
                  </w:sdtContent>
                </w:sdt>
                <w:sdt>
                  <w:sdtPr>
                    <w:alias w:val="2.5 p."/>
                    <w:tag w:val="part_6fed73097b5b41f4bdb97dded6ab94c4"/>
                    <w:lock w:val="sdtLocked"/>
                    <w:richText/>
                  </w:sdtPr>
                  <w:sdtContent>
                    <w:p>
                      <w:pPr>
                        <w:widowControl w:val="0"/>
                        <w:suppressAutoHyphens/>
                        <w:ind w:firstLine="567"/>
                        <w:jc w:val="both"/>
                        <w:rPr>
                          <w:color w:val="000000"/>
                        </w:rPr>
                      </w:pPr>
                      <w:sdt>
                        <w:sdtPr>
                          <w:alias w:val="Numeris"/>
                          <w:tag w:val="nr_6fed73097b5b41f4bdb97dded6ab94c4"/>
                          <w:lock w:val="sdtLocked"/>
                          <w:richText/>
                        </w:sdtPr>
                        <w:sdtContent>
                          <w:r>
                            <w:rPr>
                              <w:color w:val="000000"/>
                            </w:rPr>
                            <w:t>2.5</w:t>
                          </w:r>
                        </w:sdtContent>
                      </w:sdt>
                      <w:r>
                        <w:rPr>
                          <w:color w:val="000000"/>
                        </w:rPr>
                        <w:t>. 2006 m. gruodžio 12 d. Europos Parlamento ir Tarybos direktyva 2006/118/EB „Dėl požeminio vandens apsaugos nuo taršos ir jo būklės blogėjimo“ (2006 12 27 LT Europos Sąjungos oficialusis leidinys L 372/19).</w:t>
                      </w:r>
                    </w:p>
                  </w:sdtContent>
                </w:sdt>
              </w:sdtContent>
            </w:sdt>
            <w:sdt>
              <w:sdtPr>
                <w:alias w:val="3 p."/>
                <w:tag w:val="part_4215ffd4fc3347e886af850500ac174b"/>
                <w:lock w:val="sdtLocked"/>
                <w:richText/>
              </w:sdtPr>
              <w:sdtContent>
                <w:p>
                  <w:pPr>
                    <w:widowControl w:val="0"/>
                    <w:suppressAutoHyphens/>
                    <w:ind w:firstLine="567"/>
                    <w:jc w:val="both"/>
                    <w:rPr>
                      <w:color w:val="000000"/>
                    </w:rPr>
                  </w:pPr>
                  <w:sdt>
                    <w:sdtPr>
                      <w:alias w:val="Numeris"/>
                      <w:tag w:val="nr_4215ffd4fc3347e886af850500ac174b"/>
                      <w:lock w:val="sdtLocked"/>
                      <w:richText/>
                    </w:sdtPr>
                    <w:sdtContent>
                      <w:r>
                        <w:rPr>
                          <w:color w:val="000000"/>
                        </w:rPr>
                        <w:t>3</w:t>
                      </w:r>
                    </w:sdtContent>
                  </w:sdt>
                  <w:r>
                    <w:rPr>
                      <w:color w:val="000000"/>
                    </w:rPr>
                    <w:t>. Šiais Reikalavimais nustatomos NP užterštų teritorijų tyrimų procedūros, dirvožemio, grunto ir požeminio vandens užterštumo ribinės vertės, jų tikslinimo tvarka atsižvelgiant į konkrečias geologinės aplinkos savybes ir pagrindiniai užterštų teritorijų tvarkymo reikalavimai.</w:t>
                  </w:r>
                </w:p>
              </w:sdtContent>
            </w:sdt>
            <w:sdt>
              <w:sdtPr>
                <w:alias w:val="4 p."/>
                <w:tag w:val="part_cb4b98fe97a04cd481e862fc5132fc04"/>
                <w:lock w:val="sdtLocked"/>
                <w:richText/>
              </w:sdtPr>
              <w:sdtContent>
                <w:p>
                  <w:pPr>
                    <w:widowControl w:val="0"/>
                    <w:suppressAutoHyphens/>
                    <w:ind w:firstLine="567"/>
                    <w:jc w:val="both"/>
                    <w:rPr>
                      <w:color w:val="000000"/>
                    </w:rPr>
                  </w:pPr>
                  <w:sdt>
                    <w:sdtPr>
                      <w:alias w:val="Numeris"/>
                      <w:tag w:val="nr_cb4b98fe97a04cd481e862fc5132fc04"/>
                      <w:lock w:val="sdtLocked"/>
                      <w:richText/>
                    </w:sdtPr>
                    <w:sdtContent>
                      <w:r>
                        <w:rPr>
                          <w:color w:val="000000"/>
                          <w:spacing w:val="-5"/>
                        </w:rPr>
                        <w:t>4</w:t>
                      </w:r>
                    </w:sdtContent>
                  </w:sdt>
                  <w:r>
                    <w:rPr>
                      <w:color w:val="000000"/>
                      <w:spacing w:val="-5"/>
                    </w:rPr>
                    <w:t>. Šių Reikalavimų nuostatos taikomos nepriklausomai nuo grunto ir požeminio vandens slūgsojimo gylio bei užteršimo laiko.</w:t>
                  </w:r>
                </w:p>
              </w:sdtContent>
            </w:sdt>
            <w:sdt>
              <w:sdtPr>
                <w:alias w:val="5 p."/>
                <w:tag w:val="part_4c4f87bce4694c6d87f43bac48ed987f"/>
                <w:lock w:val="sdtLocked"/>
                <w:richText/>
              </w:sdtPr>
              <w:sdtContent>
                <w:p>
                  <w:pPr>
                    <w:widowControl w:val="0"/>
                    <w:suppressAutoHyphens/>
                    <w:ind w:firstLine="567"/>
                    <w:jc w:val="both"/>
                    <w:rPr>
                      <w:color w:val="000000"/>
                    </w:rPr>
                  </w:pPr>
                  <w:sdt>
                    <w:sdtPr>
                      <w:alias w:val="Numeris"/>
                      <w:tag w:val="nr_4c4f87bce4694c6d87f43bac48ed987f"/>
                      <w:lock w:val="sdtLocked"/>
                      <w:richText/>
                    </w:sdtPr>
                    <w:sdtContent>
                      <w:r>
                        <w:rPr>
                          <w:color w:val="000000"/>
                        </w:rPr>
                        <w:t>5</w:t>
                      </w:r>
                    </w:sdtContent>
                  </w:sdt>
                  <w:r>
                    <w:rPr>
                      <w:color w:val="000000"/>
                    </w:rPr>
                    <w:t xml:space="preserve">. Šie Reikalavimai privalomi visiems fiziniams ir juridiniams asmenims, užteršusiems, nuosavybės ar nuomos iš valstybės teise valdantiems NP užterštas teritorijas, taip pat visiems ūkio subjektams, kurie Cheminėmis medžiagomis užterštų teritorijų tvarkymo aplinkos apsaugos reikalavimų, patvirtintų Lietuvos Respublikos aplinkos ministro 2008 m. balandžio 30 d. įsakymu Nr. D1-230 (Žin., 2008, Nr. </w:t>
                  </w:r>
                  <w:hyperlink r:id="rId25" w:tgtFrame="_blank" w:history="1">
                    <w:r>
                      <w:rPr>
                        <w:color w:val="0000FF" w:themeColor="hyperlink"/>
                        <w:u w:val="single"/>
                      </w:rPr>
                      <w:t>53-1987</w:t>
                    </w:r>
                  </w:hyperlink>
                  <w:r>
                    <w:rPr>
                      <w:color w:val="000000"/>
                    </w:rPr>
                    <w:t>), 1 priede nurodyti kaip potencialūs aplinkos taršos NP židiniai.</w:t>
                  </w:r>
                </w:p>
              </w:sdtContent>
            </w:sdt>
            <w:sdt>
              <w:sdtPr>
                <w:alias w:val="6 p."/>
                <w:tag w:val="part_8dca7632741f4c71b87bedf579aa5967"/>
                <w:lock w:val="sdtLocked"/>
                <w:richText/>
              </w:sdtPr>
              <w:sdtContent>
                <w:p>
                  <w:pPr>
                    <w:widowControl w:val="0"/>
                    <w:suppressAutoHyphens/>
                    <w:ind w:firstLine="567"/>
                    <w:jc w:val="both"/>
                    <w:rPr>
                      <w:color w:val="000000"/>
                    </w:rPr>
                  </w:pPr>
                  <w:sdt>
                    <w:sdtPr>
                      <w:alias w:val="Numeris"/>
                      <w:tag w:val="nr_8dca7632741f4c71b87bedf579aa5967"/>
                      <w:lock w:val="sdtLocked"/>
                      <w:richText/>
                    </w:sdtPr>
                    <w:sdtContent>
                      <w:r>
                        <w:rPr>
                          <w:color w:val="000000"/>
                        </w:rPr>
                        <w:t>6</w:t>
                      </w:r>
                    </w:sdtContent>
                  </w:sdt>
                  <w:r>
                    <w:rPr>
                      <w:color w:val="000000"/>
                    </w:rPr>
                    <w:t>. Šių Reikalavimų nuostatos netaikomos:</w:t>
                  </w:r>
                </w:p>
                <w:sdt>
                  <w:sdtPr>
                    <w:alias w:val="6.1 p."/>
                    <w:tag w:val="part_c21a2a18c0534730aabdaa0b097a007c"/>
                    <w:lock w:val="sdtLocked"/>
                    <w:richText/>
                  </w:sdtPr>
                  <w:sdtContent>
                    <w:p>
                      <w:pPr>
                        <w:widowControl w:val="0"/>
                        <w:suppressAutoHyphens/>
                        <w:ind w:firstLine="567"/>
                        <w:jc w:val="both"/>
                        <w:rPr>
                          <w:color w:val="000000"/>
                        </w:rPr>
                      </w:pPr>
                      <w:sdt>
                        <w:sdtPr>
                          <w:alias w:val="Numeris"/>
                          <w:tag w:val="nr_c21a2a18c0534730aabdaa0b097a007c"/>
                          <w:lock w:val="sdtLocked"/>
                          <w:richText/>
                        </w:sdtPr>
                        <w:sdtContent>
                          <w:r>
                            <w:rPr>
                              <w:color w:val="000000"/>
                            </w:rPr>
                            <w:t>6.1</w:t>
                          </w:r>
                        </w:sdtContent>
                      </w:sdt>
                      <w:r>
                        <w:rPr>
                          <w:color w:val="000000"/>
                        </w:rPr>
                        <w:t>. geležinkelio sankasos viršutinės konstrukcijos 1,0 m storio balasto sluoksniui (taikomi specialūs reikalavimai);</w:t>
                      </w:r>
                    </w:p>
                  </w:sdtContent>
                </w:sdt>
                <w:sdt>
                  <w:sdtPr>
                    <w:alias w:val="6.2 p."/>
                    <w:tag w:val="part_457d86aa06214fbf815ff70430770ce8"/>
                    <w:lock w:val="sdtLocked"/>
                    <w:richText/>
                  </w:sdtPr>
                  <w:sdtContent>
                    <w:p>
                      <w:pPr>
                        <w:widowControl w:val="0"/>
                        <w:suppressAutoHyphens/>
                        <w:ind w:firstLine="567"/>
                        <w:jc w:val="both"/>
                        <w:rPr>
                          <w:color w:val="000000"/>
                        </w:rPr>
                      </w:pPr>
                      <w:sdt>
                        <w:sdtPr>
                          <w:alias w:val="Numeris"/>
                          <w:tag w:val="nr_457d86aa06214fbf815ff70430770ce8"/>
                          <w:lock w:val="sdtLocked"/>
                          <w:richText/>
                        </w:sdtPr>
                        <w:sdtContent>
                          <w:r>
                            <w:rPr>
                              <w:color w:val="000000"/>
                            </w:rPr>
                            <w:t>6.2</w:t>
                          </w:r>
                        </w:sdtContent>
                      </w:sdt>
                      <w:r>
                        <w:rPr>
                          <w:color w:val="000000"/>
                        </w:rPr>
                        <w:t>. statybiniam laužui (taikomi specialūs reikalavimai);</w:t>
                      </w:r>
                    </w:p>
                  </w:sdtContent>
                </w:sdt>
                <w:sdt>
                  <w:sdtPr>
                    <w:alias w:val="6.3 p."/>
                    <w:tag w:val="part_8aac00cdb6d64f70913eb08d1d7c9da0"/>
                    <w:lock w:val="sdtLocked"/>
                    <w:richText/>
                  </w:sdtPr>
                  <w:sdtContent>
                    <w:p>
                      <w:pPr>
                        <w:widowControl w:val="0"/>
                        <w:suppressAutoHyphens/>
                        <w:ind w:firstLine="567"/>
                        <w:jc w:val="both"/>
                        <w:rPr>
                          <w:color w:val="000000"/>
                        </w:rPr>
                      </w:pPr>
                      <w:sdt>
                        <w:sdtPr>
                          <w:alias w:val="Numeris"/>
                          <w:tag w:val="nr_8aac00cdb6d64f70913eb08d1d7c9da0"/>
                          <w:lock w:val="sdtLocked"/>
                          <w:richText/>
                        </w:sdtPr>
                        <w:sdtContent>
                          <w:r>
                            <w:rPr>
                              <w:color w:val="000000"/>
                            </w:rPr>
                            <w:t>6.3</w:t>
                          </w:r>
                        </w:sdtContent>
                      </w:sdt>
                      <w:r>
                        <w:rPr>
                          <w:color w:val="000000"/>
                        </w:rPr>
                        <w:t>. nuo geologinės aplinkos izoliuotam gruntui.</w:t>
                      </w:r>
                    </w:p>
                  </w:sdtContent>
                </w:sdt>
              </w:sdtContent>
            </w:sdt>
            <w:sdt>
              <w:sdtPr>
                <w:alias w:val="7 p."/>
                <w:tag w:val="part_e96ef282ec4e4441b1bc2404773db489"/>
                <w:lock w:val="sdtLocked"/>
                <w:richText/>
              </w:sdtPr>
              <w:sdtContent>
                <w:p>
                  <w:pPr>
                    <w:widowControl w:val="0"/>
                    <w:suppressAutoHyphens/>
                    <w:ind w:firstLine="567"/>
                    <w:jc w:val="both"/>
                    <w:rPr>
                      <w:color w:val="000000"/>
                    </w:rPr>
                  </w:pPr>
                  <w:sdt>
                    <w:sdtPr>
                      <w:alias w:val="Numeris"/>
                      <w:tag w:val="nr_e96ef282ec4e4441b1bc2404773db489"/>
                      <w:lock w:val="sdtLocked"/>
                      <w:richText/>
                    </w:sdtPr>
                    <w:sdtContent>
                      <w:r>
                        <w:rPr>
                          <w:color w:val="000000"/>
                        </w:rPr>
                        <w:t>7</w:t>
                      </w:r>
                    </w:sdtContent>
                  </w:sdt>
                  <w:r>
                    <w:rPr>
                      <w:color w:val="000000"/>
                    </w:rPr>
                    <w:t>. Draudžiama tiesiogiai ar netiesiogiai išleisti į požeminį vandenį naftos produktus.</w:t>
                  </w:r>
                </w:p>
              </w:sdtContent>
            </w:sdt>
            <w:sdt>
              <w:sdtPr>
                <w:alias w:val="8 p."/>
                <w:tag w:val="part_cd6683ba373c488390bb199c43d7a4f6"/>
                <w:lock w:val="sdtLocked"/>
                <w:richText/>
              </w:sdtPr>
              <w:sdtContent>
                <w:p>
                  <w:pPr>
                    <w:widowControl w:val="0"/>
                    <w:suppressAutoHyphens/>
                    <w:ind w:firstLine="567"/>
                    <w:jc w:val="both"/>
                    <w:rPr>
                      <w:color w:val="000000"/>
                    </w:rPr>
                  </w:pPr>
                  <w:sdt>
                    <w:sdtPr>
                      <w:alias w:val="Numeris"/>
                      <w:tag w:val="nr_cd6683ba373c488390bb199c43d7a4f6"/>
                      <w:lock w:val="sdtLocked"/>
                      <w:richText/>
                    </w:sdtPr>
                    <w:sdtContent>
                      <w:r>
                        <w:rPr>
                          <w:color w:val="000000"/>
                        </w:rPr>
                        <w:t>8</w:t>
                      </w:r>
                    </w:sdtContent>
                  </w:sdt>
                  <w:r>
                    <w:rPr>
                      <w:color w:val="000000"/>
                    </w:rPr>
                    <w:t xml:space="preserve">. Užterštas gruntas ir požeminis vanduo turi būti valomas (ar izoliuojamas) vietoje </w:t>
                  </w:r>
                  <w:r>
                    <w:rPr>
                      <w:i/>
                      <w:iCs/>
                      <w:color w:val="000000"/>
                    </w:rPr>
                    <w:t>(in situ)</w:t>
                  </w:r>
                  <w:r>
                    <w:rPr>
                      <w:color w:val="000000"/>
                    </w:rPr>
                    <w:t xml:space="preserve"> arba iškasus valomas </w:t>
                  </w:r>
                  <w:r>
                    <w:rPr>
                      <w:i/>
                      <w:iCs/>
                      <w:color w:val="000000"/>
                    </w:rPr>
                    <w:t>ex situ</w:t>
                  </w:r>
                  <w:r>
                    <w:rPr>
                      <w:color w:val="000000"/>
                    </w:rPr>
                    <w:t xml:space="preserve"> specialiai įrengtose (gali būti valomoje teritorijoje) užteršto grunto utilizavimo vietose. NP užterštų teritorijų valymu nelaikomas užteršto NP grunto perkėlimas iš vienos jautrumo taršai teritorijos kategorijos, nurodytos šių Reikalavimų 1 ir 2 prieduose, į kito jautrumo taršai teritoriją bei iš vienos vietos į kitą toje pačioje jautrumo taršai teritorijoje.</w:t>
                  </w:r>
                </w:p>
                <w:p>
                  <w:pPr>
                    <w:widowControl w:val="0"/>
                    <w:suppressAutoHyphens/>
                    <w:ind w:firstLine="567"/>
                    <w:jc w:val="both"/>
                    <w:rPr>
                      <w:color w:val="000000"/>
                    </w:rPr>
                  </w:pPr>
                </w:p>
              </w:sdtContent>
            </w:sdt>
          </w:sdtContent>
        </w:sdt>
        <w:sdt>
          <w:sdtPr>
            <w:alias w:val="skyrius"/>
            <w:tag w:val="part_df8a80198a184474a59a2d423f417b5a"/>
            <w:lock w:val="sdtLocked"/>
            <w:richText/>
          </w:sdtPr>
          <w:sdtContent>
            <w:p>
              <w:pPr>
                <w:widowControl w:val="0"/>
                <w:suppressAutoHyphens/>
                <w:jc w:val="center"/>
                <w:rPr>
                  <w:b/>
                  <w:bCs/>
                  <w:caps/>
                  <w:color w:val="000000"/>
                </w:rPr>
              </w:pPr>
              <w:sdt>
                <w:sdtPr>
                  <w:alias w:val="Numeris"/>
                  <w:tag w:val="nr_df8a80198a184474a59a2d423f417b5a"/>
                  <w:lock w:val="sdtLocked"/>
                  <w:richText/>
                </w:sdtPr>
                <w:sdtContent>
                  <w:r>
                    <w:rPr>
                      <w:b/>
                      <w:bCs/>
                      <w:caps/>
                      <w:color w:val="000000"/>
                    </w:rPr>
                    <w:t>II</w:t>
                  </w:r>
                </w:sdtContent>
              </w:sdt>
              <w:r>
                <w:rPr>
                  <w:b/>
                  <w:bCs/>
                  <w:caps/>
                  <w:color w:val="000000"/>
                </w:rPr>
                <w:t xml:space="preserve">. </w:t>
              </w:r>
              <w:sdt>
                <w:sdtPr>
                  <w:alias w:val="Pavadinimas"/>
                  <w:tag w:val="title_df8a80198a184474a59a2d423f417b5a"/>
                  <w:lock w:val="sdtLocked"/>
                  <w:richText/>
                </w:sdtPr>
                <w:sdtContent>
                  <w:r>
                    <w:rPr>
                      <w:b/>
                      <w:bCs/>
                      <w:caps/>
                      <w:color w:val="000000"/>
                    </w:rPr>
                    <w:t>PAGRINDINĖS SĄVOKOS</w:t>
                  </w:r>
                </w:sdtContent>
              </w:sdt>
            </w:p>
            <w:p>
              <w:pPr>
                <w:widowControl w:val="0"/>
                <w:suppressAutoHyphens/>
                <w:ind w:firstLine="567"/>
                <w:jc w:val="both"/>
                <w:rPr>
                  <w:color w:val="000000"/>
                </w:rPr>
              </w:pPr>
            </w:p>
            <w:sdt>
              <w:sdtPr>
                <w:alias w:val="9 p."/>
                <w:tag w:val="part_a9929cb469d844cb93fb5d6a7d6a6485"/>
                <w:lock w:val="sdtLocked"/>
                <w:richText/>
              </w:sdtPr>
              <w:sdtContent>
                <w:p>
                  <w:pPr>
                    <w:widowControl w:val="0"/>
                    <w:suppressAutoHyphens/>
                    <w:ind w:firstLine="567"/>
                    <w:jc w:val="both"/>
                    <w:rPr>
                      <w:color w:val="000000"/>
                    </w:rPr>
                  </w:pPr>
                  <w:sdt>
                    <w:sdtPr>
                      <w:alias w:val="Numeris"/>
                      <w:tag w:val="nr_a9929cb469d844cb93fb5d6a7d6a6485"/>
                      <w:lock w:val="sdtLocked"/>
                      <w:richText/>
                    </w:sdtPr>
                    <w:sdtContent>
                      <w:r>
                        <w:rPr>
                          <w:color w:val="000000"/>
                        </w:rPr>
                        <w:t>9</w:t>
                      </w:r>
                    </w:sdtContent>
                  </w:sdt>
                  <w:r>
                    <w:rPr>
                      <w:color w:val="000000"/>
                    </w:rPr>
                    <w:t>. Šiuose Reikalavimuose vartojamos sąvokos:</w:t>
                  </w:r>
                </w:p>
                <w:sdt>
                  <w:sdtPr>
                    <w:alias w:val="9.1 p."/>
                    <w:tag w:val="part_029512b3f6db49d7919b0bb0942c5d0c"/>
                    <w:lock w:val="sdtLocked"/>
                    <w:richText/>
                  </w:sdtPr>
                  <w:sdtContent>
                    <w:p>
                      <w:pPr>
                        <w:widowControl w:val="0"/>
                        <w:suppressAutoHyphens/>
                        <w:ind w:firstLine="567"/>
                        <w:jc w:val="both"/>
                        <w:rPr>
                          <w:color w:val="000000"/>
                        </w:rPr>
                      </w:pPr>
                      <w:sdt>
                        <w:sdtPr>
                          <w:alias w:val="Numeris"/>
                          <w:tag w:val="nr_029512b3f6db49d7919b0bb0942c5d0c"/>
                          <w:lock w:val="sdtLocked"/>
                          <w:richText/>
                        </w:sdtPr>
                        <w:sdtContent>
                          <w:r>
                            <w:rPr>
                              <w:color w:val="000000"/>
                            </w:rPr>
                            <w:t>9.1</w:t>
                          </w:r>
                        </w:sdtContent>
                      </w:sdt>
                      <w:r>
                        <w:rPr>
                          <w:color w:val="000000"/>
                        </w:rPr>
                        <w:t>.</w:t>
                      </w:r>
                      <w:r>
                        <w:rPr>
                          <w:b/>
                          <w:bCs/>
                          <w:color w:val="000000"/>
                        </w:rPr>
                        <w:t xml:space="preserve"> gilesniųjų sluoksnių gruntas</w:t>
                      </w:r>
                      <w:r>
                        <w:rPr>
                          <w:color w:val="000000"/>
                        </w:rPr>
                        <w:t xml:space="preserve"> – gruntas, slūgsantis nuo 1,0 m gylio;</w:t>
                      </w:r>
                    </w:p>
                  </w:sdtContent>
                </w:sdt>
                <w:sdt>
                  <w:sdtPr>
                    <w:alias w:val="9.2 p."/>
                    <w:tag w:val="part_d92d00c9bcc54cb4acb274f634131889"/>
                    <w:lock w:val="sdtLocked"/>
                    <w:richText/>
                  </w:sdtPr>
                  <w:sdtContent>
                    <w:p>
                      <w:pPr>
                        <w:widowControl w:val="0"/>
                        <w:suppressAutoHyphens/>
                        <w:ind w:firstLine="567"/>
                        <w:jc w:val="both"/>
                        <w:rPr>
                          <w:color w:val="000000"/>
                        </w:rPr>
                      </w:pPr>
                      <w:sdt>
                        <w:sdtPr>
                          <w:alias w:val="Numeris"/>
                          <w:tag w:val="nr_d92d00c9bcc54cb4acb274f634131889"/>
                          <w:lock w:val="sdtLocked"/>
                          <w:richText/>
                        </w:sdtPr>
                        <w:sdtContent>
                          <w:r>
                            <w:rPr>
                              <w:color w:val="000000"/>
                            </w:rPr>
                            <w:t>9.2</w:t>
                          </w:r>
                        </w:sdtContent>
                      </w:sdt>
                      <w:r>
                        <w:rPr>
                          <w:color w:val="000000"/>
                        </w:rPr>
                        <w:t>.</w:t>
                      </w:r>
                      <w:r>
                        <w:rPr>
                          <w:b/>
                          <w:bCs/>
                          <w:color w:val="000000"/>
                        </w:rPr>
                        <w:t xml:space="preserve"> gruntinis vandeningasis sluoksnis</w:t>
                      </w:r>
                      <w:r>
                        <w:rPr>
                          <w:color w:val="000000"/>
                        </w:rPr>
                        <w:t xml:space="preserve"> – vandeniu įsotintas grunto sluoksnis, slūgsantis ant pirmojo nuo žemės paviršiaus mažai laidaus grunto sluoksnio ir turintis laisvą paviršių;</w:t>
                      </w:r>
                    </w:p>
                  </w:sdtContent>
                </w:sdt>
                <w:sdt>
                  <w:sdtPr>
                    <w:alias w:val="9.3 p."/>
                    <w:tag w:val="part_01f01510493d4ba093c256d5eebb9075"/>
                    <w:lock w:val="sdtLocked"/>
                    <w:richText/>
                  </w:sdtPr>
                  <w:sdtContent>
                    <w:p>
                      <w:pPr>
                        <w:widowControl w:val="0"/>
                        <w:suppressAutoHyphens/>
                        <w:ind w:firstLine="567"/>
                        <w:jc w:val="both"/>
                        <w:rPr>
                          <w:color w:val="000000"/>
                        </w:rPr>
                      </w:pPr>
                      <w:sdt>
                        <w:sdtPr>
                          <w:alias w:val="Numeris"/>
                          <w:tag w:val="nr_01f01510493d4ba093c256d5eebb9075"/>
                          <w:lock w:val="sdtLocked"/>
                          <w:richText/>
                        </w:sdtPr>
                        <w:sdtContent>
                          <w:r>
                            <w:rPr>
                              <w:color w:val="000000"/>
                            </w:rPr>
                            <w:t>9.3</w:t>
                          </w:r>
                        </w:sdtContent>
                      </w:sdt>
                      <w:r>
                        <w:rPr>
                          <w:color w:val="000000"/>
                        </w:rPr>
                        <w:t>.</w:t>
                      </w:r>
                      <w:r>
                        <w:rPr>
                          <w:b/>
                          <w:bCs/>
                          <w:color w:val="000000"/>
                        </w:rPr>
                        <w:t xml:space="preserve"> gruntas </w:t>
                      </w:r>
                      <w:r>
                        <w:rPr>
                          <w:color w:val="000000"/>
                        </w:rPr>
                        <w:t>(sinonimas – uoliena) – natūraliu ar technogeniniu būdu susidariusios purios/birios nuogulos, sudarančios daugiakomponentę sistemą iš kietų dalelių, vandens ir oro, įskaitant dirvožemį-gamtos išteklius (negyvosios gamtos komponentą). Šiuose Reikalavimuose gruntas skiriamas į smėlinį ir molinį;</w:t>
                      </w:r>
                    </w:p>
                  </w:sdtContent>
                </w:sdt>
                <w:sdt>
                  <w:sdtPr>
                    <w:alias w:val="9.4 p."/>
                    <w:tag w:val="part_a9670133640f4898b757b27d7ea60c19"/>
                    <w:lock w:val="sdtLocked"/>
                    <w:richText/>
                  </w:sdtPr>
                  <w:sdtContent>
                    <w:p>
                      <w:pPr>
                        <w:widowControl w:val="0"/>
                        <w:suppressAutoHyphens/>
                        <w:ind w:firstLine="567"/>
                        <w:jc w:val="both"/>
                        <w:rPr>
                          <w:color w:val="000000"/>
                        </w:rPr>
                      </w:pPr>
                      <w:sdt>
                        <w:sdtPr>
                          <w:alias w:val="Numeris"/>
                          <w:tag w:val="nr_a9670133640f4898b757b27d7ea60c19"/>
                          <w:lock w:val="sdtLocked"/>
                          <w:richText/>
                        </w:sdtPr>
                        <w:sdtContent>
                          <w:r>
                            <w:rPr>
                              <w:color w:val="000000"/>
                            </w:rPr>
                            <w:t>9.4</w:t>
                          </w:r>
                        </w:sdtContent>
                      </w:sdt>
                      <w:r>
                        <w:rPr>
                          <w:color w:val="000000"/>
                        </w:rPr>
                        <w:t>.</w:t>
                      </w:r>
                      <w:r>
                        <w:rPr>
                          <w:b/>
                          <w:bCs/>
                          <w:color w:val="000000"/>
                        </w:rPr>
                        <w:t xml:space="preserve"> laisvas naftos produktų sluoksnis</w:t>
                      </w:r>
                      <w:r>
                        <w:rPr>
                          <w:color w:val="000000"/>
                        </w:rPr>
                        <w:t xml:space="preserve"> – skystais NP įsotintas grunto sluoksnis, esantis sulig gruntinio vandens lygiu;</w:t>
                      </w:r>
                    </w:p>
                  </w:sdtContent>
                </w:sdt>
                <w:sdt>
                  <w:sdtPr>
                    <w:alias w:val="9.5 p."/>
                    <w:tag w:val="part_f83548daa89c46ec9151ee723a2c1b13"/>
                    <w:lock w:val="sdtLocked"/>
                    <w:richText/>
                  </w:sdtPr>
                  <w:sdtContent>
                    <w:p>
                      <w:pPr>
                        <w:widowControl w:val="0"/>
                        <w:suppressAutoHyphens/>
                        <w:ind w:firstLine="567"/>
                        <w:jc w:val="both"/>
                        <w:rPr>
                          <w:color w:val="000000"/>
                        </w:rPr>
                      </w:pPr>
                      <w:sdt>
                        <w:sdtPr>
                          <w:alias w:val="Numeris"/>
                          <w:tag w:val="nr_f83548daa89c46ec9151ee723a2c1b13"/>
                          <w:lock w:val="sdtLocked"/>
                          <w:richText/>
                        </w:sdtPr>
                        <w:sdtContent>
                          <w:r>
                            <w:rPr>
                              <w:color w:val="000000"/>
                            </w:rPr>
                            <w:t>9.5</w:t>
                          </w:r>
                        </w:sdtContent>
                      </w:sdt>
                      <w:r>
                        <w:rPr>
                          <w:color w:val="000000"/>
                        </w:rPr>
                        <w:t>.</w:t>
                      </w:r>
                      <w:r>
                        <w:rPr>
                          <w:b/>
                          <w:bCs/>
                          <w:color w:val="000000"/>
                        </w:rPr>
                        <w:t xml:space="preserve"> molinis gruntas</w:t>
                      </w:r>
                      <w:r>
                        <w:rPr>
                          <w:color w:val="000000"/>
                        </w:rPr>
                        <w:t xml:space="preserve"> – gruntas, kuriame smulkesnių kaip 0,063 mm skersmens dalelių yra daugiau negu 10 %;</w:t>
                      </w:r>
                    </w:p>
                  </w:sdtContent>
                </w:sdt>
                <w:sdt>
                  <w:sdtPr>
                    <w:alias w:val="9.6 p."/>
                    <w:tag w:val="part_523d7d8865354ffaafc5f239ef7f98d3"/>
                    <w:lock w:val="sdtLocked"/>
                    <w:richText/>
                  </w:sdtPr>
                  <w:sdtContent>
                    <w:p>
                      <w:pPr>
                        <w:widowControl w:val="0"/>
                        <w:suppressAutoHyphens/>
                        <w:ind w:firstLine="567"/>
                        <w:jc w:val="both"/>
                        <w:rPr>
                          <w:color w:val="000000"/>
                        </w:rPr>
                      </w:pPr>
                      <w:sdt>
                        <w:sdtPr>
                          <w:alias w:val="Numeris"/>
                          <w:tag w:val="nr_523d7d8865354ffaafc5f239ef7f98d3"/>
                          <w:lock w:val="sdtLocked"/>
                          <w:richText/>
                        </w:sdtPr>
                        <w:sdtContent>
                          <w:r>
                            <w:rPr>
                              <w:color w:val="000000"/>
                            </w:rPr>
                            <w:t>9.6</w:t>
                          </w:r>
                        </w:sdtContent>
                      </w:sdt>
                      <w:r>
                        <w:rPr>
                          <w:color w:val="000000"/>
                        </w:rPr>
                        <w:t>.</w:t>
                      </w:r>
                      <w:r>
                        <w:rPr>
                          <w:b/>
                          <w:bCs/>
                          <w:color w:val="000000"/>
                        </w:rPr>
                        <w:t xml:space="preserve"> naftos produktai </w:t>
                      </w:r>
                      <w:r>
                        <w:rPr>
                          <w:color w:val="000000"/>
                        </w:rPr>
                        <w:t xml:space="preserve">– angliavandeniliai, kurių frakcinė sudėtis ir kiekis nustatytas pagal LAND 61-2003 </w:t>
                      </w:r>
                      <w:r>
                        <w:rPr>
                          <w:i/>
                          <w:iCs/>
                          <w:color w:val="000000"/>
                        </w:rPr>
                        <w:t>Vandens kokybė. Dujų chromatografijos metodas naftos angliavandenilių indeksui (naftos produktų koncentracijai) nustatyti</w:t>
                      </w:r>
                      <w:r>
                        <w:rPr>
                          <w:color w:val="000000"/>
                        </w:rPr>
                        <w:t xml:space="preserve">, patvirtintą Lietuvos Respublikos aplinkos ministro 2003 m. gruodžio 19 d. įsakymu Nr. 677 (Žin., 2003, Nr. </w:t>
                      </w:r>
                      <w:hyperlink r:id="rId26" w:tgtFrame="_blank" w:history="1">
                        <w:r>
                          <w:rPr>
                            <w:color w:val="0000FF" w:themeColor="hyperlink"/>
                            <w:u w:val="single"/>
                          </w:rPr>
                          <w:t>122-5552</w:t>
                        </w:r>
                      </w:hyperlink>
                      <w:r>
                        <w:rPr>
                          <w:color w:val="000000"/>
                        </w:rPr>
                        <w:t>) ISO 9377-2, ISO 16703:2004 arba jiems ekvivalentiškus metodus. Bendras angliavandenilių kiekis grunte, nenustačius frakcinės jų sudėties, traktuojamas kaip bendras benzino eilės (C</w:t>
                      </w:r>
                      <w:r>
                        <w:rPr>
                          <w:color w:val="000000"/>
                          <w:vertAlign w:val="subscript"/>
                        </w:rPr>
                        <w:t>6</w:t>
                      </w:r>
                      <w:r>
                        <w:rPr>
                          <w:color w:val="000000"/>
                        </w:rPr>
                        <w:t>-C</w:t>
                      </w:r>
                      <w:r>
                        <w:rPr>
                          <w:color w:val="000000"/>
                          <w:vertAlign w:val="subscript"/>
                        </w:rPr>
                        <w:t>10</w:t>
                      </w:r>
                      <w:r>
                        <w:rPr>
                          <w:color w:val="000000"/>
                        </w:rPr>
                        <w:t>) angliavandenilių kiekis. Šiuose Reikalavimuose angliavandeniliai pagal jų fizines, chemines ir toksikologines savybes skirstomi į frakcijas:</w:t>
                      </w:r>
                    </w:p>
                    <w:p>
                      <w:pPr>
                        <w:widowControl w:val="0"/>
                        <w:suppressAutoHyphens/>
                        <w:ind w:firstLine="567"/>
                        <w:jc w:val="both"/>
                        <w:rPr>
                          <w:color w:val="000000"/>
                        </w:rPr>
                      </w:pPr>
                      <w:r>
                        <w:rPr>
                          <w:color w:val="000000"/>
                        </w:rPr>
                        <w:t>– frakcija F1 – lakūs aromatiniai ir alifatiniai angliavandeniliai, kurių molekulėje yra nuo 6 iki 10 anglies atomų (C</w:t>
                      </w:r>
                      <w:r>
                        <w:rPr>
                          <w:color w:val="000000"/>
                          <w:vertAlign w:val="subscript"/>
                        </w:rPr>
                        <w:t>6</w:t>
                      </w:r>
                      <w:r>
                        <w:rPr>
                          <w:color w:val="000000"/>
                        </w:rPr>
                        <w:t>-C</w:t>
                      </w:r>
                      <w:r>
                        <w:rPr>
                          <w:color w:val="000000"/>
                          <w:vertAlign w:val="subscript"/>
                        </w:rPr>
                        <w:t>10</w:t>
                      </w:r>
                      <w:r>
                        <w:rPr>
                          <w:color w:val="000000"/>
                        </w:rPr>
                        <w:t xml:space="preserve">) ir kurie būdingi taršai benzinu. Šiai frakcijai priskiriami ir specifiniai aromatiniai junginiai benzenas, toluenas, etilbenzenas ir ksilenai; </w:t>
                      </w:r>
                    </w:p>
                    <w:p>
                      <w:pPr>
                        <w:widowControl w:val="0"/>
                        <w:suppressAutoHyphens/>
                        <w:ind w:firstLine="567"/>
                        <w:jc w:val="both"/>
                        <w:rPr>
                          <w:color w:val="000000"/>
                        </w:rPr>
                      </w:pPr>
                      <w:r>
                        <w:rPr>
                          <w:color w:val="000000"/>
                        </w:rPr>
                        <w:t>– frakcija F2 – pusiau lakūs aromatiniai ir alifatiniai angliavandeniliai, kurių molekulėje yra nuo 11 iki 28 anglies atomų (C</w:t>
                      </w:r>
                      <w:r>
                        <w:rPr>
                          <w:color w:val="000000"/>
                          <w:vertAlign w:val="subscript"/>
                        </w:rPr>
                        <w:t>11</w:t>
                      </w:r>
                      <w:r>
                        <w:rPr>
                          <w:color w:val="000000"/>
                        </w:rPr>
                        <w:t>-C</w:t>
                      </w:r>
                      <w:r>
                        <w:rPr>
                          <w:color w:val="000000"/>
                          <w:vertAlign w:val="subscript"/>
                        </w:rPr>
                        <w:t>28</w:t>
                      </w:r>
                      <w:r>
                        <w:rPr>
                          <w:color w:val="000000"/>
                        </w:rPr>
                        <w:t>) ir kurie būdingi taršai dyzelinu;</w:t>
                      </w:r>
                    </w:p>
                    <w:p>
                      <w:pPr>
                        <w:widowControl w:val="0"/>
                        <w:suppressAutoHyphens/>
                        <w:ind w:firstLine="567"/>
                        <w:jc w:val="both"/>
                        <w:rPr>
                          <w:color w:val="000000"/>
                        </w:rPr>
                      </w:pPr>
                      <w:r>
                        <w:rPr>
                          <w:color w:val="000000"/>
                        </w:rPr>
                        <w:t>– frakcija F3 – mažai lakūs aromatiniai ir alifatiniai angliavandeniliai, kurių molekulėje yra nuo 29 iki 40 anglies atomų (C</w:t>
                      </w:r>
                      <w:r>
                        <w:rPr>
                          <w:color w:val="000000"/>
                          <w:vertAlign w:val="subscript"/>
                        </w:rPr>
                        <w:t>29</w:t>
                      </w:r>
                      <w:r>
                        <w:rPr>
                          <w:color w:val="000000"/>
                        </w:rPr>
                        <w:t>-C</w:t>
                      </w:r>
                      <w:r>
                        <w:rPr>
                          <w:color w:val="000000"/>
                          <w:vertAlign w:val="subscript"/>
                        </w:rPr>
                        <w:t>40</w:t>
                      </w:r>
                      <w:r>
                        <w:rPr>
                          <w:color w:val="000000"/>
                        </w:rPr>
                        <w:t>) ir kurie būdingi taršai tepalais, alyvomis ir kt.;</w:t>
                      </w:r>
                    </w:p>
                  </w:sdtContent>
                </w:sdt>
                <w:sdt>
                  <w:sdtPr>
                    <w:alias w:val="9.7 p."/>
                    <w:tag w:val="part_408a87f182194991bd1aa4213ad2f17c"/>
                    <w:lock w:val="sdtLocked"/>
                    <w:richText/>
                  </w:sdtPr>
                  <w:sdtContent>
                    <w:p>
                      <w:pPr>
                        <w:widowControl w:val="0"/>
                        <w:suppressAutoHyphens/>
                        <w:ind w:firstLine="567"/>
                        <w:jc w:val="both"/>
                        <w:rPr>
                          <w:color w:val="000000"/>
                        </w:rPr>
                      </w:pPr>
                      <w:sdt>
                        <w:sdtPr>
                          <w:alias w:val="Numeris"/>
                          <w:tag w:val="nr_408a87f182194991bd1aa4213ad2f17c"/>
                          <w:lock w:val="sdtLocked"/>
                          <w:richText/>
                        </w:sdtPr>
                        <w:sdtContent>
                          <w:r>
                            <w:rPr>
                              <w:color w:val="000000"/>
                            </w:rPr>
                            <w:t>9.7</w:t>
                          </w:r>
                        </w:sdtContent>
                      </w:sdt>
                      <w:r>
                        <w:rPr>
                          <w:color w:val="000000"/>
                        </w:rPr>
                        <w:t>.</w:t>
                      </w:r>
                      <w:r>
                        <w:rPr>
                          <w:b/>
                          <w:bCs/>
                          <w:color w:val="000000"/>
                        </w:rPr>
                        <w:t xml:space="preserve"> naftos produktais užterštos teritorijos tvarkymas</w:t>
                      </w:r>
                      <w:r>
                        <w:rPr>
                          <w:color w:val="000000"/>
                        </w:rPr>
                        <w:t xml:space="preserve"> – grunto ir (ar) požeminio vandens išvalymas, jų būklės atkūrimas ir (ar) apsaugojimas nuo tolesnės taršos, siekiant sumažinti pavojų žmonėms ir ekosistemoms. Užterštos teritorijos tvarkymas apima priemones, skirtas naftos produktams pašalinti, jų koncentracijai sumažinti, sklidimui sustabdyti ar sumažinti, ar grunto iškasimą ir išvežimą į NP užteršto grunto utilizavimo vietas;</w:t>
                      </w:r>
                    </w:p>
                  </w:sdtContent>
                </w:sdt>
                <w:sdt>
                  <w:sdtPr>
                    <w:alias w:val="9.8 p."/>
                    <w:tag w:val="part_de5f98ffbd4740908ad0797dc8716171"/>
                    <w:lock w:val="sdtLocked"/>
                    <w:richText/>
                  </w:sdtPr>
                  <w:sdtContent>
                    <w:p>
                      <w:pPr>
                        <w:widowControl w:val="0"/>
                        <w:suppressAutoHyphens/>
                        <w:ind w:firstLine="567"/>
                        <w:jc w:val="both"/>
                        <w:rPr>
                          <w:color w:val="000000"/>
                        </w:rPr>
                      </w:pPr>
                      <w:sdt>
                        <w:sdtPr>
                          <w:alias w:val="Numeris"/>
                          <w:tag w:val="nr_de5f98ffbd4740908ad0797dc8716171"/>
                          <w:lock w:val="sdtLocked"/>
                          <w:richText/>
                        </w:sdtPr>
                        <w:sdtContent>
                          <w:r>
                            <w:rPr>
                              <w:color w:val="000000"/>
                            </w:rPr>
                            <w:t>9.8</w:t>
                          </w:r>
                        </w:sdtContent>
                      </w:sdt>
                      <w:r>
                        <w:rPr>
                          <w:color w:val="000000"/>
                        </w:rPr>
                        <w:t>.</w:t>
                      </w:r>
                      <w:r>
                        <w:rPr>
                          <w:b/>
                          <w:bCs/>
                          <w:color w:val="000000"/>
                        </w:rPr>
                        <w:t xml:space="preserve"> nuo geologinės aplinkos izoliuotas gruntas</w:t>
                      </w:r>
                      <w:r>
                        <w:rPr>
                          <w:color w:val="000000"/>
                        </w:rPr>
                        <w:t xml:space="preserve"> – tiesiogiai nekontaktuojantis (perdangos padarytos iš betono, sutankinto molio, geomembranų ir kt.) su supančia geologine aplinka gruntas;</w:t>
                      </w:r>
                    </w:p>
                  </w:sdtContent>
                </w:sdt>
                <w:sdt>
                  <w:sdtPr>
                    <w:alias w:val="9.9 p."/>
                    <w:tag w:val="part_a3b6da3a18814d9e9dde8be07b1c83eb"/>
                    <w:lock w:val="sdtLocked"/>
                    <w:richText/>
                  </w:sdtPr>
                  <w:sdtContent>
                    <w:p>
                      <w:pPr>
                        <w:widowControl w:val="0"/>
                        <w:suppressAutoHyphens/>
                        <w:ind w:firstLine="567"/>
                        <w:jc w:val="both"/>
                        <w:rPr>
                          <w:b/>
                          <w:bCs/>
                          <w:color w:val="000000"/>
                        </w:rPr>
                      </w:pPr>
                      <w:sdt>
                        <w:sdtPr>
                          <w:alias w:val="Numeris"/>
                          <w:tag w:val="nr_a3b6da3a18814d9e9dde8be07b1c83eb"/>
                          <w:lock w:val="sdtLocked"/>
                          <w:richText/>
                        </w:sdtPr>
                        <w:sdtContent>
                          <w:r>
                            <w:rPr>
                              <w:color w:val="000000"/>
                            </w:rPr>
                            <w:t>9.9</w:t>
                          </w:r>
                        </w:sdtContent>
                      </w:sdt>
                      <w:r>
                        <w:rPr>
                          <w:color w:val="000000"/>
                        </w:rPr>
                        <w:t>.</w:t>
                      </w:r>
                      <w:r>
                        <w:rPr>
                          <w:b/>
                          <w:bCs/>
                          <w:color w:val="000000"/>
                        </w:rPr>
                        <w:t xml:space="preserve"> patikslinta ribinė vertė (RVp)</w:t>
                      </w:r>
                      <w:r>
                        <w:rPr>
                          <w:color w:val="000000"/>
                        </w:rPr>
                        <w:t xml:space="preserve"> – naftos produktų koncentracijos ribinė vertė, patikslinta pagal konkrečios teritorijos grunto ar požeminio vandens savybes, kurią viršijus turi būti atliekamas užterštos teritorijos tvarkymas;</w:t>
                      </w:r>
                    </w:p>
                  </w:sdtContent>
                </w:sdt>
                <w:sdt>
                  <w:sdtPr>
                    <w:alias w:val="9.10 p."/>
                    <w:tag w:val="part_5720e322421a4007961414ad7f1adf95"/>
                    <w:lock w:val="sdtLocked"/>
                    <w:richText/>
                  </w:sdtPr>
                  <w:sdtContent>
                    <w:p>
                      <w:pPr>
                        <w:widowControl w:val="0"/>
                        <w:suppressAutoHyphens/>
                        <w:ind w:firstLine="567"/>
                        <w:jc w:val="both"/>
                        <w:rPr>
                          <w:color w:val="000000"/>
                        </w:rPr>
                      </w:pPr>
                      <w:sdt>
                        <w:sdtPr>
                          <w:alias w:val="Numeris"/>
                          <w:tag w:val="nr_5720e322421a4007961414ad7f1adf95"/>
                          <w:lock w:val="sdtLocked"/>
                          <w:richText/>
                        </w:sdtPr>
                        <w:sdtContent>
                          <w:r>
                            <w:rPr>
                              <w:color w:val="000000"/>
                            </w:rPr>
                            <w:t>9.10</w:t>
                          </w:r>
                        </w:sdtContent>
                      </w:sdt>
                      <w:r>
                        <w:rPr>
                          <w:color w:val="000000"/>
                        </w:rPr>
                        <w:t>.</w:t>
                      </w:r>
                      <w:r>
                        <w:rPr>
                          <w:b/>
                          <w:bCs/>
                          <w:color w:val="000000"/>
                        </w:rPr>
                        <w:t xml:space="preserve"> požeminis vanduo</w:t>
                      </w:r>
                      <w:r>
                        <w:rPr>
                          <w:color w:val="000000"/>
                        </w:rPr>
                        <w:t xml:space="preserve"> – grunto porose ar plyšiuose susikaupęs gravitacinis vanduo;</w:t>
                      </w:r>
                    </w:p>
                  </w:sdtContent>
                </w:sdt>
                <w:sdt>
                  <w:sdtPr>
                    <w:alias w:val="9.11 p."/>
                    <w:tag w:val="part_ff11ec47dbe246039689bdc944ae2fd3"/>
                    <w:lock w:val="sdtLocked"/>
                    <w:richText/>
                  </w:sdtPr>
                  <w:sdtContent>
                    <w:p>
                      <w:pPr>
                        <w:widowControl w:val="0"/>
                        <w:suppressAutoHyphens/>
                        <w:ind w:firstLine="567"/>
                        <w:jc w:val="both"/>
                        <w:rPr>
                          <w:color w:val="000000"/>
                        </w:rPr>
                      </w:pPr>
                      <w:sdt>
                        <w:sdtPr>
                          <w:alias w:val="Numeris"/>
                          <w:tag w:val="nr_ff11ec47dbe246039689bdc944ae2fd3"/>
                          <w:lock w:val="sdtLocked"/>
                          <w:richText/>
                        </w:sdtPr>
                        <w:sdtContent>
                          <w:r>
                            <w:rPr>
                              <w:color w:val="000000"/>
                            </w:rPr>
                            <w:t>9.11</w:t>
                          </w:r>
                        </w:sdtContent>
                      </w:sdt>
                      <w:r>
                        <w:rPr>
                          <w:color w:val="000000"/>
                        </w:rPr>
                        <w:t>.</w:t>
                      </w:r>
                      <w:r>
                        <w:rPr>
                          <w:b/>
                          <w:bCs/>
                          <w:color w:val="000000"/>
                        </w:rPr>
                        <w:t xml:space="preserve"> požeminis vandeningasis sluoksnis</w:t>
                      </w:r>
                      <w:r>
                        <w:rPr>
                          <w:color w:val="000000"/>
                        </w:rPr>
                        <w:t xml:space="preserve"> – vandeniu įsotintas grunto sluoksnis, esantis žemiau gruntinio vandens lygio;</w:t>
                      </w:r>
                    </w:p>
                  </w:sdtContent>
                </w:sdt>
                <w:sdt>
                  <w:sdtPr>
                    <w:alias w:val="9.12 p."/>
                    <w:tag w:val="part_7335f521730040eb9aadfd93affeb952"/>
                    <w:lock w:val="sdtLocked"/>
                    <w:richText/>
                  </w:sdtPr>
                  <w:sdtContent>
                    <w:p>
                      <w:pPr>
                        <w:widowControl w:val="0"/>
                        <w:suppressAutoHyphens/>
                        <w:ind w:firstLine="567"/>
                        <w:jc w:val="both"/>
                        <w:rPr>
                          <w:color w:val="000000"/>
                        </w:rPr>
                      </w:pPr>
                      <w:sdt>
                        <w:sdtPr>
                          <w:alias w:val="Numeris"/>
                          <w:tag w:val="nr_7335f521730040eb9aadfd93affeb952"/>
                          <w:lock w:val="sdtLocked"/>
                          <w:richText/>
                        </w:sdtPr>
                        <w:sdtContent>
                          <w:r>
                            <w:rPr>
                              <w:color w:val="000000"/>
                            </w:rPr>
                            <w:t>9.12</w:t>
                          </w:r>
                        </w:sdtContent>
                      </w:sdt>
                      <w:r>
                        <w:rPr>
                          <w:color w:val="000000"/>
                        </w:rPr>
                        <w:t>.</w:t>
                      </w:r>
                      <w:r>
                        <w:rPr>
                          <w:b/>
                          <w:bCs/>
                          <w:color w:val="000000"/>
                        </w:rPr>
                        <w:t xml:space="preserve"> prevencija</w:t>
                      </w:r>
                      <w:r>
                        <w:rPr>
                          <w:color w:val="000000"/>
                        </w:rPr>
                        <w:t xml:space="preserve"> – užterštos teritorijos ir jos prieigų požeminio vandens monitoringo vykdymas bei aplinkos teršimą mažinančių priemonių įgyvendinimas;</w:t>
                      </w:r>
                    </w:p>
                  </w:sdtContent>
                </w:sdt>
                <w:sdt>
                  <w:sdtPr>
                    <w:alias w:val="9.13 p."/>
                    <w:tag w:val="part_c751381cc5fb4682aa77e62282f606d2"/>
                    <w:lock w:val="sdtLocked"/>
                    <w:richText/>
                  </w:sdtPr>
                  <w:sdtContent>
                    <w:p>
                      <w:pPr>
                        <w:widowControl w:val="0"/>
                        <w:suppressAutoHyphens/>
                        <w:ind w:firstLine="567"/>
                        <w:jc w:val="both"/>
                        <w:rPr>
                          <w:color w:val="000000"/>
                        </w:rPr>
                      </w:pPr>
                      <w:sdt>
                        <w:sdtPr>
                          <w:alias w:val="Numeris"/>
                          <w:tag w:val="nr_c751381cc5fb4682aa77e62282f606d2"/>
                          <w:lock w:val="sdtLocked"/>
                          <w:richText/>
                        </w:sdtPr>
                        <w:sdtContent>
                          <w:r>
                            <w:rPr>
                              <w:color w:val="000000"/>
                            </w:rPr>
                            <w:t>9.13</w:t>
                          </w:r>
                        </w:sdtContent>
                      </w:sdt>
                      <w:r>
                        <w:rPr>
                          <w:color w:val="000000"/>
                        </w:rPr>
                        <w:t>.</w:t>
                      </w:r>
                      <w:r>
                        <w:rPr>
                          <w:b/>
                          <w:bCs/>
                          <w:color w:val="000000"/>
                        </w:rPr>
                        <w:t xml:space="preserve"> ribinė vertė (RV)</w:t>
                      </w:r>
                      <w:r>
                        <w:rPr>
                          <w:color w:val="000000"/>
                        </w:rPr>
                        <w:t xml:space="preserve"> – naftos produktų koncentracija tiriamame grunte ir (ar) požeminiame vandenyje, kuri, atsižvelgiant į naudojamos teritorijos paskirtį, neribotą laiką, turimomis žiniomis, nekelia pavojaus aplinkai ir žmonėms;</w:t>
                      </w:r>
                    </w:p>
                  </w:sdtContent>
                </w:sdt>
                <w:sdt>
                  <w:sdtPr>
                    <w:alias w:val="9.14 p."/>
                    <w:tag w:val="part_89923146a4b24ca5ae881f44a2da8ee0"/>
                    <w:lock w:val="sdtLocked"/>
                    <w:richText/>
                  </w:sdtPr>
                  <w:sdtContent>
                    <w:p>
                      <w:pPr>
                        <w:widowControl w:val="0"/>
                        <w:suppressAutoHyphens/>
                        <w:ind w:firstLine="567"/>
                        <w:jc w:val="both"/>
                        <w:rPr>
                          <w:color w:val="000000"/>
                        </w:rPr>
                      </w:pPr>
                      <w:sdt>
                        <w:sdtPr>
                          <w:alias w:val="Numeris"/>
                          <w:tag w:val="nr_89923146a4b24ca5ae881f44a2da8ee0"/>
                          <w:lock w:val="sdtLocked"/>
                          <w:richText/>
                        </w:sdtPr>
                        <w:sdtContent>
                          <w:r>
                            <w:rPr>
                              <w:color w:val="000000"/>
                            </w:rPr>
                            <w:t>9.14</w:t>
                          </w:r>
                        </w:sdtContent>
                      </w:sdt>
                      <w:r>
                        <w:rPr>
                          <w:color w:val="000000"/>
                        </w:rPr>
                        <w:t>.</w:t>
                      </w:r>
                      <w:r>
                        <w:rPr>
                          <w:b/>
                          <w:bCs/>
                          <w:color w:val="000000"/>
                        </w:rPr>
                        <w:t xml:space="preserve"> taršos sklaidos ribojimas</w:t>
                      </w:r>
                      <w:r>
                        <w:rPr>
                          <w:color w:val="000000"/>
                        </w:rPr>
                        <w:t xml:space="preserve"> – teršalų plitimo žemėje sustabdymas: hidraulinės užtvaros, priešfiltracinės sienelės grunte, teršalų konsolidavimas (surišimas) ir kt.;</w:t>
                      </w:r>
                    </w:p>
                  </w:sdtContent>
                </w:sdt>
                <w:sdt>
                  <w:sdtPr>
                    <w:alias w:val="9.15 p."/>
                    <w:tag w:val="part_cbafb708f2e545859f15dc8478ba1017"/>
                    <w:lock w:val="sdtLocked"/>
                    <w:richText/>
                  </w:sdtPr>
                  <w:sdtContent>
                    <w:p>
                      <w:pPr>
                        <w:widowControl w:val="0"/>
                        <w:suppressAutoHyphens/>
                        <w:ind w:firstLine="567"/>
                        <w:jc w:val="both"/>
                        <w:rPr>
                          <w:color w:val="000000"/>
                        </w:rPr>
                      </w:pPr>
                      <w:sdt>
                        <w:sdtPr>
                          <w:alias w:val="Numeris"/>
                          <w:tag w:val="nr_cbafb708f2e545859f15dc8478ba1017"/>
                          <w:lock w:val="sdtLocked"/>
                          <w:richText/>
                        </w:sdtPr>
                        <w:sdtContent>
                          <w:r>
                            <w:rPr>
                              <w:color w:val="000000"/>
                            </w:rPr>
                            <w:t>9.15</w:t>
                          </w:r>
                        </w:sdtContent>
                      </w:sdt>
                      <w:r>
                        <w:rPr>
                          <w:color w:val="000000"/>
                        </w:rPr>
                        <w:t>.</w:t>
                      </w:r>
                      <w:r>
                        <w:rPr>
                          <w:b/>
                          <w:bCs/>
                          <w:color w:val="000000"/>
                        </w:rPr>
                        <w:t xml:space="preserve"> smėlinis gruntas</w:t>
                      </w:r>
                      <w:r>
                        <w:rPr>
                          <w:color w:val="000000"/>
                        </w:rPr>
                        <w:t xml:space="preserve"> – gruntas, kuriame stambesnių kaip 0,063 mm skersmens dalelių yra daugiau negu 90 %. Šiame normatyve smėlinis gruntas skirstomas į stambiagrūdį (kai stambesnių kaip 0,5 mm skersmens grūdelių yra daugiau negu 90 %) ir smulkiagrūdį (kai smulkesnių kaip 0,5 mm skersmens grūdelių yra daugiau negu 10 %);</w:t>
                      </w:r>
                    </w:p>
                  </w:sdtContent>
                </w:sdt>
                <w:sdt>
                  <w:sdtPr>
                    <w:alias w:val="9.16 p."/>
                    <w:tag w:val="part_e9532cabc41c4ca6a4adddf2a7459de4"/>
                    <w:lock w:val="sdtLocked"/>
                    <w:richText/>
                  </w:sdtPr>
                  <w:sdtContent>
                    <w:p>
                      <w:pPr>
                        <w:widowControl w:val="0"/>
                        <w:suppressAutoHyphens/>
                        <w:ind w:firstLine="567"/>
                        <w:jc w:val="both"/>
                        <w:rPr>
                          <w:color w:val="000000"/>
                        </w:rPr>
                      </w:pPr>
                      <w:sdt>
                        <w:sdtPr>
                          <w:alias w:val="Numeris"/>
                          <w:tag w:val="nr_e9532cabc41c4ca6a4adddf2a7459de4"/>
                          <w:lock w:val="sdtLocked"/>
                          <w:richText/>
                        </w:sdtPr>
                        <w:sdtContent>
                          <w:r>
                            <w:rPr>
                              <w:color w:val="000000"/>
                            </w:rPr>
                            <w:t>9.16</w:t>
                          </w:r>
                        </w:sdtContent>
                      </w:sdt>
                      <w:r>
                        <w:rPr>
                          <w:color w:val="000000"/>
                        </w:rPr>
                        <w:t>.</w:t>
                      </w:r>
                      <w:r>
                        <w:rPr>
                          <w:b/>
                          <w:bCs/>
                          <w:color w:val="000000"/>
                        </w:rPr>
                        <w:t xml:space="preserve"> sorbcinė geba</w:t>
                      </w:r>
                      <w:r>
                        <w:rPr>
                          <w:color w:val="000000"/>
                        </w:rPr>
                        <w:t xml:space="preserve"> – kietos medžiagos ar skysčio gebėjimas įsigerti (adsorbuoti) ar sugerti (absorbuoti) dujas, garus ar ištirpusias medžiagas;</w:t>
                      </w:r>
                    </w:p>
                  </w:sdtContent>
                </w:sdt>
                <w:sdt>
                  <w:sdtPr>
                    <w:alias w:val="9.17 p."/>
                    <w:tag w:val="part_dc75ccc71a8c4e0284b471e7746475d4"/>
                    <w:lock w:val="sdtLocked"/>
                    <w:richText/>
                  </w:sdtPr>
                  <w:sdtContent>
                    <w:p>
                      <w:pPr>
                        <w:widowControl w:val="0"/>
                        <w:suppressAutoHyphens/>
                        <w:ind w:firstLine="567"/>
                        <w:jc w:val="both"/>
                        <w:rPr>
                          <w:color w:val="000000"/>
                        </w:rPr>
                      </w:pPr>
                      <w:sdt>
                        <w:sdtPr>
                          <w:alias w:val="Numeris"/>
                          <w:tag w:val="nr_dc75ccc71a8c4e0284b471e7746475d4"/>
                          <w:lock w:val="sdtLocked"/>
                          <w:richText/>
                        </w:sdtPr>
                        <w:sdtContent>
                          <w:r>
                            <w:rPr>
                              <w:color w:val="000000"/>
                            </w:rPr>
                            <w:t>9.17</w:t>
                          </w:r>
                        </w:sdtContent>
                      </w:sdt>
                      <w:r>
                        <w:rPr>
                          <w:color w:val="000000"/>
                        </w:rPr>
                        <w:t>.</w:t>
                      </w:r>
                      <w:r>
                        <w:rPr>
                          <w:b/>
                          <w:bCs/>
                          <w:color w:val="000000"/>
                        </w:rPr>
                        <w:t xml:space="preserve"> statybinis laužas </w:t>
                      </w:r>
                      <w:r>
                        <w:rPr>
                          <w:color w:val="000000"/>
                        </w:rPr>
                        <w:t>– įvairios gelžbetoninių konstrukcijų, plytų ar kitų statybinių medžiagų nuolaužos, atraižos;</w:t>
                      </w:r>
                    </w:p>
                  </w:sdtContent>
                </w:sdt>
                <w:sdt>
                  <w:sdtPr>
                    <w:alias w:val="9.18 p."/>
                    <w:tag w:val="part_0c357b3ac66a4972a33d142500fe3c3a"/>
                    <w:lock w:val="sdtLocked"/>
                    <w:richText/>
                  </w:sdtPr>
                  <w:sdtContent>
                    <w:p>
                      <w:pPr>
                        <w:widowControl w:val="0"/>
                        <w:suppressAutoHyphens/>
                        <w:ind w:firstLine="567"/>
                        <w:jc w:val="both"/>
                        <w:rPr>
                          <w:color w:val="000000"/>
                        </w:rPr>
                      </w:pPr>
                      <w:sdt>
                        <w:sdtPr>
                          <w:alias w:val="Numeris"/>
                          <w:tag w:val="nr_0c357b3ac66a4972a33d142500fe3c3a"/>
                          <w:lock w:val="sdtLocked"/>
                          <w:richText/>
                        </w:sdtPr>
                        <w:sdtContent>
                          <w:r>
                            <w:rPr>
                              <w:color w:val="000000"/>
                            </w:rPr>
                            <w:t>9.18</w:t>
                          </w:r>
                        </w:sdtContent>
                      </w:sdt>
                      <w:r>
                        <w:rPr>
                          <w:color w:val="000000"/>
                        </w:rPr>
                        <w:t>.</w:t>
                      </w:r>
                      <w:r>
                        <w:rPr>
                          <w:b/>
                          <w:bCs/>
                          <w:color w:val="000000"/>
                        </w:rPr>
                        <w:t xml:space="preserve"> užteršta teritorija</w:t>
                      </w:r>
                      <w:r>
                        <w:rPr>
                          <w:color w:val="000000"/>
                        </w:rPr>
                        <w:t xml:space="preserve"> – teritorija, kurioje gruntas ar požeminis vanduo užteršti NP, kurios užteršimas viršija ribines vertes, nurodytas šių Reikalavimų 1–3 prieduose;</w:t>
                      </w:r>
                    </w:p>
                  </w:sdtContent>
                </w:sdt>
                <w:sdt>
                  <w:sdtPr>
                    <w:alias w:val="9.19 p."/>
                    <w:tag w:val="part_4918685892c74f73bd86c6a4722bb0e4"/>
                    <w:lock w:val="sdtLocked"/>
                    <w:richText/>
                  </w:sdtPr>
                  <w:sdtContent>
                    <w:p>
                      <w:pPr>
                        <w:widowControl w:val="0"/>
                        <w:suppressAutoHyphens/>
                        <w:ind w:firstLine="567"/>
                        <w:jc w:val="both"/>
                        <w:rPr>
                          <w:color w:val="000000"/>
                        </w:rPr>
                      </w:pPr>
                      <w:sdt>
                        <w:sdtPr>
                          <w:alias w:val="Numeris"/>
                          <w:tag w:val="nr_4918685892c74f73bd86c6a4722bb0e4"/>
                          <w:lock w:val="sdtLocked"/>
                          <w:richText/>
                        </w:sdtPr>
                        <w:sdtContent>
                          <w:r>
                            <w:rPr>
                              <w:color w:val="000000"/>
                            </w:rPr>
                            <w:t>9.19</w:t>
                          </w:r>
                        </w:sdtContent>
                      </w:sdt>
                      <w:r>
                        <w:rPr>
                          <w:color w:val="000000"/>
                        </w:rPr>
                        <w:t>.</w:t>
                      </w:r>
                      <w:r>
                        <w:rPr>
                          <w:b/>
                          <w:bCs/>
                          <w:color w:val="000000"/>
                        </w:rPr>
                        <w:t xml:space="preserve"> valymas </w:t>
                      </w:r>
                      <w:r>
                        <w:rPr>
                          <w:b/>
                          <w:bCs/>
                          <w:i/>
                          <w:iCs/>
                          <w:color w:val="000000"/>
                        </w:rPr>
                        <w:t>in situ</w:t>
                      </w:r>
                      <w:r>
                        <w:rPr>
                          <w:b/>
                          <w:bCs/>
                          <w:color w:val="000000"/>
                        </w:rPr>
                        <w:t xml:space="preserve"> </w:t>
                      </w:r>
                      <w:r>
                        <w:rPr>
                          <w:color w:val="000000"/>
                        </w:rPr>
                        <w:t>– užteršto grunto ir požeminio vandens valymo metodas, kai užteršta terpė valoma jos natūralaus slūgsojimo vietoje;</w:t>
                      </w:r>
                    </w:p>
                  </w:sdtContent>
                </w:sdt>
                <w:sdt>
                  <w:sdtPr>
                    <w:alias w:val="9.20 p."/>
                    <w:tag w:val="part_d896683aecc742fda39568f25abb57a0"/>
                    <w:lock w:val="sdtLocked"/>
                    <w:richText/>
                  </w:sdtPr>
                  <w:sdtContent>
                    <w:p>
                      <w:pPr>
                        <w:widowControl w:val="0"/>
                        <w:suppressAutoHyphens/>
                        <w:ind w:firstLine="567"/>
                        <w:jc w:val="both"/>
                        <w:rPr>
                          <w:color w:val="000000"/>
                        </w:rPr>
                      </w:pPr>
                      <w:sdt>
                        <w:sdtPr>
                          <w:alias w:val="Numeris"/>
                          <w:tag w:val="nr_d896683aecc742fda39568f25abb57a0"/>
                          <w:lock w:val="sdtLocked"/>
                          <w:richText/>
                        </w:sdtPr>
                        <w:sdtContent>
                          <w:r>
                            <w:rPr>
                              <w:color w:val="000000"/>
                            </w:rPr>
                            <w:t>9.20</w:t>
                          </w:r>
                        </w:sdtContent>
                      </w:sdt>
                      <w:r>
                        <w:rPr>
                          <w:color w:val="000000"/>
                        </w:rPr>
                        <w:t xml:space="preserve">. </w:t>
                      </w:r>
                      <w:r>
                        <w:rPr>
                          <w:b/>
                          <w:bCs/>
                          <w:color w:val="000000"/>
                        </w:rPr>
                        <w:t xml:space="preserve">valymas </w:t>
                      </w:r>
                      <w:r>
                        <w:rPr>
                          <w:b/>
                          <w:bCs/>
                          <w:i/>
                          <w:iCs/>
                          <w:color w:val="000000"/>
                        </w:rPr>
                        <w:t>ex situ</w:t>
                      </w:r>
                      <w:r>
                        <w:rPr>
                          <w:color w:val="000000"/>
                        </w:rPr>
                        <w:t xml:space="preserve"> – užteršto grunto ir požeminio vandens valymo metodas, kai užteršta terpė yra išimama iš natūralios slūgsojimo vietos ir valoma įrengtose valymo aikštelėse ar specialiuose įrenginiuose;</w:t>
                      </w:r>
                    </w:p>
                  </w:sdtContent>
                </w:sdt>
                <w:sdt>
                  <w:sdtPr>
                    <w:alias w:val="9.21 p."/>
                    <w:tag w:val="part_97aa221774d741f69a98fac5b82a2520"/>
                    <w:lock w:val="sdtLocked"/>
                    <w:richText/>
                  </w:sdtPr>
                  <w:sdtContent>
                    <w:p>
                      <w:pPr>
                        <w:widowControl w:val="0"/>
                        <w:suppressAutoHyphens/>
                        <w:ind w:firstLine="567"/>
                        <w:jc w:val="both"/>
                        <w:rPr>
                          <w:color w:val="000000"/>
                        </w:rPr>
                      </w:pPr>
                      <w:sdt>
                        <w:sdtPr>
                          <w:alias w:val="Numeris"/>
                          <w:tag w:val="nr_97aa221774d741f69a98fac5b82a2520"/>
                          <w:lock w:val="sdtLocked"/>
                          <w:richText/>
                        </w:sdtPr>
                        <w:sdtContent>
                          <w:r>
                            <w:rPr>
                              <w:color w:val="000000"/>
                            </w:rPr>
                            <w:t>9.21</w:t>
                          </w:r>
                        </w:sdtContent>
                      </w:sdt>
                      <w:r>
                        <w:rPr>
                          <w:color w:val="000000"/>
                        </w:rPr>
                        <w:t>.</w:t>
                      </w:r>
                      <w:r>
                        <w:rPr>
                          <w:b/>
                          <w:bCs/>
                          <w:color w:val="000000"/>
                        </w:rPr>
                        <w:t xml:space="preserve"> žemės paviršiaus gruntas</w:t>
                      </w:r>
                      <w:r>
                        <w:rPr>
                          <w:color w:val="000000"/>
                        </w:rPr>
                        <w:t xml:space="preserve"> – grunto sluoksnis, slūgsantis nuo žemės paviršiaus iki 1,0 m gylio.</w:t>
                      </w:r>
                    </w:p>
                    <w:p>
                      <w:pPr>
                        <w:widowControl w:val="0"/>
                        <w:suppressAutoHyphens/>
                        <w:ind w:firstLine="567"/>
                        <w:jc w:val="both"/>
                        <w:rPr>
                          <w:color w:val="000000"/>
                        </w:rPr>
                      </w:pPr>
                    </w:p>
                  </w:sdtContent>
                </w:sdt>
              </w:sdtContent>
            </w:sdt>
          </w:sdtContent>
        </w:sdt>
        <w:sdt>
          <w:sdtPr>
            <w:alias w:val="skyrius"/>
            <w:tag w:val="part_258b71e14de346fda2b58999621a8473"/>
            <w:lock w:val="sdtLocked"/>
            <w:richText/>
          </w:sdtPr>
          <w:sdtContent>
            <w:p>
              <w:pPr>
                <w:widowControl w:val="0"/>
                <w:suppressAutoHyphens/>
                <w:jc w:val="center"/>
                <w:rPr>
                  <w:b/>
                  <w:bCs/>
                  <w:caps/>
                  <w:color w:val="000000"/>
                </w:rPr>
              </w:pPr>
              <w:sdt>
                <w:sdtPr>
                  <w:alias w:val="Numeris"/>
                  <w:tag w:val="nr_258b71e14de346fda2b58999621a8473"/>
                  <w:lock w:val="sdtLocked"/>
                  <w:richText/>
                </w:sdtPr>
                <w:sdtContent>
                  <w:r>
                    <w:rPr>
                      <w:b/>
                      <w:bCs/>
                      <w:caps/>
                      <w:color w:val="000000"/>
                    </w:rPr>
                    <w:t>III</w:t>
                  </w:r>
                </w:sdtContent>
              </w:sdt>
              <w:r>
                <w:rPr>
                  <w:b/>
                  <w:bCs/>
                  <w:caps/>
                  <w:color w:val="000000"/>
                </w:rPr>
                <w:t xml:space="preserve">. </w:t>
              </w:r>
              <w:sdt>
                <w:sdtPr>
                  <w:alias w:val="Pavadinimas"/>
                  <w:tag w:val="title_258b71e14de346fda2b58999621a8473"/>
                  <w:lock w:val="sdtLocked"/>
                  <w:richText/>
                </w:sdtPr>
                <w:sdtContent>
                  <w:r>
                    <w:rPr>
                      <w:b/>
                      <w:bCs/>
                      <w:caps/>
                      <w:color w:val="000000"/>
                    </w:rPr>
                    <w:t>DIDŽIAUSIos LEIDŽIAMos UŽTERŠIMO NAFTOS PRODUKTAIS RIBINĖS VERTĖS (RV)</w:t>
                  </w:r>
                </w:sdtContent>
              </w:sdt>
            </w:p>
            <w:p>
              <w:pPr>
                <w:widowControl w:val="0"/>
                <w:suppressAutoHyphens/>
                <w:ind w:firstLine="567"/>
                <w:jc w:val="both"/>
                <w:rPr>
                  <w:color w:val="000000"/>
                </w:rPr>
              </w:pPr>
            </w:p>
            <w:sdt>
              <w:sdtPr>
                <w:alias w:val="10 p."/>
                <w:tag w:val="part_f927164951ba48c7b25130540e109ef4"/>
                <w:lock w:val="sdtLocked"/>
                <w:richText/>
              </w:sdtPr>
              <w:sdtContent>
                <w:p>
                  <w:pPr>
                    <w:widowControl w:val="0"/>
                    <w:suppressAutoHyphens/>
                    <w:ind w:firstLine="567"/>
                    <w:jc w:val="both"/>
                    <w:rPr>
                      <w:color w:val="000000"/>
                    </w:rPr>
                  </w:pPr>
                  <w:sdt>
                    <w:sdtPr>
                      <w:alias w:val="Numeris"/>
                      <w:tag w:val="nr_f927164951ba48c7b25130540e109ef4"/>
                      <w:lock w:val="sdtLocked"/>
                      <w:richText/>
                    </w:sdtPr>
                    <w:sdtContent>
                      <w:r>
                        <w:rPr>
                          <w:color w:val="000000"/>
                        </w:rPr>
                        <w:t>10</w:t>
                      </w:r>
                    </w:sdtContent>
                  </w:sdt>
                  <w:r>
                    <w:rPr>
                      <w:color w:val="000000"/>
                    </w:rPr>
                    <w:t>. RV nustatomos gruntui nepriklausomai nuo jo slūgsojimo gylio ir požeminiam vandeniui.</w:t>
                  </w:r>
                </w:p>
              </w:sdtContent>
            </w:sdt>
            <w:sdt>
              <w:sdtPr>
                <w:alias w:val="11 p."/>
                <w:tag w:val="part_ced20d7c120e4672a65bd7b4c7b3ddee"/>
                <w:lock w:val="sdtLocked"/>
                <w:richText/>
              </w:sdtPr>
              <w:sdtContent>
                <w:p>
                  <w:pPr>
                    <w:widowControl w:val="0"/>
                    <w:suppressAutoHyphens/>
                    <w:ind w:firstLine="567"/>
                    <w:jc w:val="both"/>
                    <w:rPr>
                      <w:color w:val="000000"/>
                    </w:rPr>
                  </w:pPr>
                  <w:sdt>
                    <w:sdtPr>
                      <w:alias w:val="Numeris"/>
                      <w:tag w:val="nr_ced20d7c120e4672a65bd7b4c7b3ddee"/>
                      <w:lock w:val="sdtLocked"/>
                      <w:richText/>
                    </w:sdtPr>
                    <w:sdtContent>
                      <w:r>
                        <w:rPr>
                          <w:color w:val="000000"/>
                        </w:rPr>
                        <w:t>11</w:t>
                      </w:r>
                    </w:sdtContent>
                  </w:sdt>
                  <w:r>
                    <w:rPr>
                      <w:color w:val="000000"/>
                    </w:rPr>
                    <w:t>. RV nustatomos atsižvelgiant į šiuos kriterijus:</w:t>
                  </w:r>
                </w:p>
                <w:sdt>
                  <w:sdtPr>
                    <w:alias w:val="11.1 p."/>
                    <w:tag w:val="part_9828bfd7e60649229b92bf1f95d50677"/>
                    <w:lock w:val="sdtLocked"/>
                    <w:richText/>
                  </w:sdtPr>
                  <w:sdtContent>
                    <w:p>
                      <w:pPr>
                        <w:widowControl w:val="0"/>
                        <w:suppressAutoHyphens/>
                        <w:ind w:firstLine="567"/>
                        <w:jc w:val="both"/>
                        <w:rPr>
                          <w:color w:val="000000"/>
                        </w:rPr>
                      </w:pPr>
                      <w:sdt>
                        <w:sdtPr>
                          <w:alias w:val="Numeris"/>
                          <w:tag w:val="nr_9828bfd7e60649229b92bf1f95d50677"/>
                          <w:lock w:val="sdtLocked"/>
                          <w:richText/>
                        </w:sdtPr>
                        <w:sdtContent>
                          <w:r>
                            <w:rPr>
                              <w:color w:val="000000"/>
                            </w:rPr>
                            <w:t>11.1</w:t>
                          </w:r>
                        </w:sdtContent>
                      </w:sdt>
                      <w:r>
                        <w:rPr>
                          <w:color w:val="000000"/>
                        </w:rPr>
                        <w:t>. teritorijos naudojimo pobūdį (teritorijos jautrumą taršai);</w:t>
                      </w:r>
                    </w:p>
                  </w:sdtContent>
                </w:sdt>
                <w:sdt>
                  <w:sdtPr>
                    <w:alias w:val="11.2 p."/>
                    <w:tag w:val="part_7d67ec6842ab45a79dfef6e376ff9f30"/>
                    <w:lock w:val="sdtLocked"/>
                    <w:richText/>
                  </w:sdtPr>
                  <w:sdtContent>
                    <w:p>
                      <w:pPr>
                        <w:widowControl w:val="0"/>
                        <w:suppressAutoHyphens/>
                        <w:ind w:firstLine="567"/>
                        <w:jc w:val="both"/>
                        <w:rPr>
                          <w:color w:val="000000"/>
                        </w:rPr>
                      </w:pPr>
                      <w:sdt>
                        <w:sdtPr>
                          <w:alias w:val="Numeris"/>
                          <w:tag w:val="nr_7d67ec6842ab45a79dfef6e376ff9f30"/>
                          <w:lock w:val="sdtLocked"/>
                          <w:richText/>
                        </w:sdtPr>
                        <w:sdtContent>
                          <w:r>
                            <w:rPr>
                              <w:color w:val="000000"/>
                            </w:rPr>
                            <w:t>11.2</w:t>
                          </w:r>
                        </w:sdtContent>
                      </w:sdt>
                      <w:r>
                        <w:rPr>
                          <w:color w:val="000000"/>
                        </w:rPr>
                        <w:t>. užterštos teritorijos vyraujančią grunto litologinę sudėtį;</w:t>
                      </w:r>
                    </w:p>
                  </w:sdtContent>
                </w:sdt>
                <w:sdt>
                  <w:sdtPr>
                    <w:alias w:val="11.3 p."/>
                    <w:tag w:val="part_a722fa5bd7e44ff280d834129a967263"/>
                    <w:lock w:val="sdtLocked"/>
                    <w:richText/>
                  </w:sdtPr>
                  <w:sdtContent>
                    <w:p>
                      <w:pPr>
                        <w:widowControl w:val="0"/>
                        <w:suppressAutoHyphens/>
                        <w:ind w:firstLine="567"/>
                        <w:jc w:val="both"/>
                        <w:rPr>
                          <w:color w:val="000000"/>
                        </w:rPr>
                      </w:pPr>
                      <w:sdt>
                        <w:sdtPr>
                          <w:alias w:val="Numeris"/>
                          <w:tag w:val="nr_a722fa5bd7e44ff280d834129a967263"/>
                          <w:lock w:val="sdtLocked"/>
                          <w:richText/>
                        </w:sdtPr>
                        <w:sdtContent>
                          <w:r>
                            <w:rPr>
                              <w:color w:val="000000"/>
                            </w:rPr>
                            <w:t>11.3</w:t>
                          </w:r>
                        </w:sdtContent>
                      </w:sdt>
                      <w:r>
                        <w:rPr>
                          <w:color w:val="000000"/>
                        </w:rPr>
                        <w:t>. gruntą ar požeminį vandenį užteršusių angliavandenilių frakcinę sudėtį;</w:t>
                      </w:r>
                    </w:p>
                  </w:sdtContent>
                </w:sdt>
                <w:sdt>
                  <w:sdtPr>
                    <w:alias w:val="11.4 p."/>
                    <w:tag w:val="part_f8ed2c693eb64c5b8fd825519223d1e5"/>
                    <w:lock w:val="sdtLocked"/>
                    <w:richText/>
                  </w:sdtPr>
                  <w:sdtContent>
                    <w:p>
                      <w:pPr>
                        <w:widowControl w:val="0"/>
                        <w:suppressAutoHyphens/>
                        <w:ind w:firstLine="567"/>
                        <w:jc w:val="both"/>
                        <w:rPr>
                          <w:color w:val="000000"/>
                        </w:rPr>
                      </w:pPr>
                      <w:sdt>
                        <w:sdtPr>
                          <w:alias w:val="Numeris"/>
                          <w:tag w:val="nr_f8ed2c693eb64c5b8fd825519223d1e5"/>
                          <w:lock w:val="sdtLocked"/>
                          <w:richText/>
                        </w:sdtPr>
                        <w:sdtContent>
                          <w:r>
                            <w:rPr>
                              <w:color w:val="000000"/>
                            </w:rPr>
                            <w:t>11.4</w:t>
                          </w:r>
                        </w:sdtContent>
                      </w:sdt>
                      <w:r>
                        <w:rPr>
                          <w:color w:val="000000"/>
                        </w:rPr>
                        <w:t>. specifinių aromatinių junginių benzeno, tolueno, etilbenzeno ir ksilenų koncentraciją požeminiame vandenyje;</w:t>
                      </w:r>
                    </w:p>
                  </w:sdtContent>
                </w:sdt>
                <w:sdt>
                  <w:sdtPr>
                    <w:alias w:val="11.5 p."/>
                    <w:tag w:val="part_a7bfa0d01d45449c9fd99bb13996177f"/>
                    <w:lock w:val="sdtLocked"/>
                    <w:richText/>
                  </w:sdtPr>
                  <w:sdtContent>
                    <w:p>
                      <w:pPr>
                        <w:widowControl w:val="0"/>
                        <w:suppressAutoHyphens/>
                        <w:ind w:firstLine="567"/>
                        <w:jc w:val="both"/>
                        <w:rPr>
                          <w:color w:val="000000"/>
                        </w:rPr>
                      </w:pPr>
                      <w:sdt>
                        <w:sdtPr>
                          <w:alias w:val="Numeris"/>
                          <w:tag w:val="nr_a7bfa0d01d45449c9fd99bb13996177f"/>
                          <w:lock w:val="sdtLocked"/>
                          <w:richText/>
                        </w:sdtPr>
                        <w:sdtContent>
                          <w:r>
                            <w:rPr>
                              <w:color w:val="000000"/>
                            </w:rPr>
                            <w:t>11.5</w:t>
                          </w:r>
                        </w:sdtContent>
                      </w:sdt>
                      <w:r>
                        <w:rPr>
                          <w:color w:val="000000"/>
                        </w:rPr>
                        <w:t>. į gruntą susigėrusių NP agregatinį būvį ir laisvo NP ant požeminio vandens susidarymą.</w:t>
                      </w:r>
                    </w:p>
                  </w:sdtContent>
                </w:sdt>
              </w:sdtContent>
            </w:sdt>
            <w:sdt>
              <w:sdtPr>
                <w:alias w:val="12 p."/>
                <w:tag w:val="part_8ae7d494af5347c59d74ea3b3aa0c84e"/>
                <w:lock w:val="sdtLocked"/>
                <w:richText/>
              </w:sdtPr>
              <w:sdtContent>
                <w:p>
                  <w:pPr>
                    <w:widowControl w:val="0"/>
                    <w:suppressAutoHyphens/>
                    <w:ind w:firstLine="567"/>
                    <w:jc w:val="both"/>
                    <w:rPr>
                      <w:color w:val="000000"/>
                    </w:rPr>
                  </w:pPr>
                  <w:sdt>
                    <w:sdtPr>
                      <w:alias w:val="Numeris"/>
                      <w:tag w:val="nr_8ae7d494af5347c59d74ea3b3aa0c84e"/>
                      <w:lock w:val="sdtLocked"/>
                      <w:richText/>
                    </w:sdtPr>
                    <w:sdtContent>
                      <w:r>
                        <w:rPr>
                          <w:color w:val="000000"/>
                        </w:rPr>
                        <w:t>12</w:t>
                      </w:r>
                    </w:sdtContent>
                  </w:sdt>
                  <w:r>
                    <w:rPr>
                      <w:color w:val="000000"/>
                    </w:rPr>
                    <w:t>. Šių Reikalavimų 1–3 prieduose nurodytos RV yra taikomos visam užteršimui nepriklausomai nuo jo atsiradimo laiko.</w:t>
                  </w:r>
                </w:p>
                <w:p>
                  <w:pPr>
                    <w:widowControl w:val="0"/>
                    <w:suppressAutoHyphens/>
                    <w:ind w:firstLine="567"/>
                    <w:jc w:val="both"/>
                    <w:rPr>
                      <w:color w:val="000000"/>
                    </w:rPr>
                  </w:pPr>
                </w:p>
              </w:sdtContent>
            </w:sdt>
          </w:sdtContent>
        </w:sdt>
        <w:sdt>
          <w:sdtPr>
            <w:alias w:val="skyrius"/>
            <w:tag w:val="part_8e6c623c865a4266b3f5f5b3d439347f"/>
            <w:lock w:val="sdtLocked"/>
            <w:richText/>
          </w:sdtPr>
          <w:sdtContent>
            <w:p>
              <w:pPr>
                <w:widowControl w:val="0"/>
                <w:suppressAutoHyphens/>
                <w:jc w:val="center"/>
                <w:rPr>
                  <w:b/>
                  <w:bCs/>
                  <w:caps/>
                  <w:color w:val="000000"/>
                </w:rPr>
              </w:pPr>
              <w:sdt>
                <w:sdtPr>
                  <w:alias w:val="Numeris"/>
                  <w:tag w:val="nr_8e6c623c865a4266b3f5f5b3d439347f"/>
                  <w:lock w:val="sdtLocked"/>
                  <w:richText/>
                </w:sdtPr>
                <w:sdtContent>
                  <w:r>
                    <w:rPr>
                      <w:b/>
                      <w:bCs/>
                      <w:caps/>
                      <w:color w:val="000000"/>
                    </w:rPr>
                    <w:t>IV</w:t>
                  </w:r>
                </w:sdtContent>
              </w:sdt>
              <w:r>
                <w:rPr>
                  <w:b/>
                  <w:bCs/>
                  <w:caps/>
                  <w:color w:val="000000"/>
                </w:rPr>
                <w:t xml:space="preserve">. </w:t>
              </w:r>
              <w:sdt>
                <w:sdtPr>
                  <w:alias w:val="Pavadinimas"/>
                  <w:tag w:val="title_8e6c623c865a4266b3f5f5b3d439347f"/>
                  <w:lock w:val="sdtLocked"/>
                  <w:richText/>
                </w:sdtPr>
                <w:sdtContent>
                  <w:r>
                    <w:rPr>
                      <w:b/>
                      <w:bCs/>
                      <w:caps/>
                      <w:color w:val="000000"/>
                    </w:rPr>
                    <w:t>NAFTOS PRODUKTAIS užterštOS teritorijOS nustatymas, TYRIMAI IR VERTINIMAS</w:t>
                  </w:r>
                </w:sdtContent>
              </w:sdt>
            </w:p>
            <w:p>
              <w:pPr>
                <w:widowControl w:val="0"/>
                <w:suppressAutoHyphens/>
                <w:ind w:firstLine="567"/>
                <w:jc w:val="both"/>
                <w:rPr>
                  <w:color w:val="000000"/>
                </w:rPr>
              </w:pPr>
            </w:p>
            <w:sdt>
              <w:sdtPr>
                <w:alias w:val="13 p."/>
                <w:tag w:val="part_9c075fabdc7043f396dad8480f1dd325"/>
                <w:lock w:val="sdtLocked"/>
                <w:richText/>
              </w:sdtPr>
              <w:sdtContent>
                <w:p>
                  <w:pPr>
                    <w:widowControl w:val="0"/>
                    <w:suppressAutoHyphens/>
                    <w:ind w:firstLine="567"/>
                    <w:jc w:val="both"/>
                    <w:rPr>
                      <w:color w:val="000000"/>
                    </w:rPr>
                  </w:pPr>
                  <w:sdt>
                    <w:sdtPr>
                      <w:alias w:val="Numeris"/>
                      <w:tag w:val="nr_9c075fabdc7043f396dad8480f1dd325"/>
                      <w:lock w:val="sdtLocked"/>
                      <w:richText/>
                    </w:sdtPr>
                    <w:sdtContent>
                      <w:r>
                        <w:rPr>
                          <w:color w:val="000000"/>
                        </w:rPr>
                        <w:t>13</w:t>
                      </w:r>
                    </w:sdtContent>
                  </w:sdt>
                  <w:r>
                    <w:rPr>
                      <w:color w:val="000000"/>
                    </w:rPr>
                    <w:t xml:space="preserve">. Naftos produktais užterštos teritorijos ekogeologinį tyrimą, Žemės gelmių registro nuostatų, patvirtintų Lietuvos Respublikos Vyriausybės 2002 m. balandžio 26 d. nutarimu Nr. 584 (Žin., 2002, Nr. </w:t>
                  </w:r>
                  <w:hyperlink r:id="rId27" w:tgtFrame="_blank" w:history="1">
                    <w:r>
                      <w:rPr>
                        <w:color w:val="0000FF" w:themeColor="hyperlink"/>
                        <w:u w:val="single"/>
                      </w:rPr>
                      <w:t>44-1676</w:t>
                    </w:r>
                  </w:hyperlink>
                  <w:r>
                    <w:rPr>
                      <w:color w:val="000000"/>
                    </w:rPr>
                    <w:t xml:space="preserve">; 2006, Nr. 54-1961), nustatyta tvarka užregistruotą Žemės gelmių registre, gali vykdyti tik juridiniai asmenys ir šių asmenų grupės, veikiančios pagal jungtinės veiklos sutartis, vadovaujantis Leidimų tirti žemės gelmes išdavimo taisyklių, patvirtintų Lietuvos Respublikos Vyriausybės 2001 m. lapkričio 29 d. nutarimu Nr. 1433 (Žin., 2001, Nr. </w:t>
                  </w:r>
                  <w:hyperlink r:id="rId28" w:tgtFrame="_blank" w:history="1">
                    <w:r>
                      <w:rPr>
                        <w:color w:val="0000FF" w:themeColor="hyperlink"/>
                        <w:u w:val="single"/>
                      </w:rPr>
                      <w:t>102-3634</w:t>
                    </w:r>
                  </w:hyperlink>
                  <w:r>
                    <w:rPr>
                      <w:color w:val="000000"/>
                    </w:rPr>
                    <w:t>; 2005, Nr. 45-1448), nustatyta tvarka, turintys leidimą tirti žemės gelmes, suteikiantį teisę vykdyti ekogeologinius tyrimus.</w:t>
                  </w:r>
                </w:p>
              </w:sdtContent>
            </w:sdt>
            <w:sdt>
              <w:sdtPr>
                <w:alias w:val="14 p."/>
                <w:tag w:val="part_2d16bcef5a214f98ac7ad2acaf324faa"/>
                <w:lock w:val="sdtLocked"/>
                <w:richText/>
              </w:sdtPr>
              <w:sdtContent>
                <w:p>
                  <w:pPr>
                    <w:widowControl w:val="0"/>
                    <w:suppressAutoHyphens/>
                    <w:ind w:firstLine="567"/>
                    <w:jc w:val="both"/>
                    <w:rPr>
                      <w:color w:val="000000"/>
                    </w:rPr>
                  </w:pPr>
                  <w:sdt>
                    <w:sdtPr>
                      <w:alias w:val="Numeris"/>
                      <w:tag w:val="nr_2d16bcef5a214f98ac7ad2acaf324faa"/>
                      <w:lock w:val="sdtLocked"/>
                      <w:richText/>
                    </w:sdtPr>
                    <w:sdtContent>
                      <w:r>
                        <w:rPr>
                          <w:color w:val="000000"/>
                        </w:rPr>
                        <w:t>14</w:t>
                      </w:r>
                    </w:sdtContent>
                  </w:sdt>
                  <w:r>
                    <w:rPr>
                      <w:color w:val="000000"/>
                    </w:rPr>
                    <w:t xml:space="preserve">. Jeigu vadovaujantis Ekogeologinių tyrimų reglamento, patvirtinto Lietuvos geologijos tarnybos prie Aplinkos ministerijos direktoriaus 2008 m. birželio 17 d. įsakymu Nr. 1-104 (Žin., 2008, Nr. </w:t>
                  </w:r>
                  <w:hyperlink r:id="rId29" w:tgtFrame="_blank" w:history="1">
                    <w:r>
                      <w:rPr>
                        <w:color w:val="0000FF" w:themeColor="hyperlink"/>
                        <w:u w:val="single"/>
                      </w:rPr>
                      <w:t>71-2759</w:t>
                    </w:r>
                  </w:hyperlink>
                  <w:r>
                    <w:rPr>
                      <w:color w:val="000000"/>
                    </w:rPr>
                    <w:t>), nustatyta tvarka bei atlikus preliminarų ekogeologinį tyrimą pagal ir šių Reikalavimų 5 priede pateiktą metodiką,</w:t>
                  </w:r>
                  <w:r>
                    <w:rPr>
                      <w:b/>
                      <w:bCs/>
                      <w:color w:val="000000"/>
                    </w:rPr>
                    <w:t xml:space="preserve"> </w:t>
                  </w:r>
                  <w:r>
                    <w:rPr>
                      <w:color w:val="000000"/>
                    </w:rPr>
                    <w:t xml:space="preserve"> metu buvo nustatyta, kad grunto tarša NP viršija angliavandenilių indekso ar bendro NP kiekio RV, nurodytas šių Reikalavimų 1–2 prieduose, ir (arba) požeminiame vandenyje NP, benzeno, tolueno, etilbenzeno, ksilenų suma viršija RV, nurodytas šių Reikalavimų 3 priede, ir tai nurodyta Lietuvos geologijos tarnybos prie Aplinkos ministerijos (toliau – Lietuvos geologijos tarnyba ) pateiktose preliminariojo ekogeologinio tyrimo ataskaitos tyrimų vertinimo išvadose, turi būti atliekamas teritorijos detalusis ekogeologinis tyrimas.</w:t>
                  </w:r>
                </w:p>
              </w:sdtContent>
            </w:sdt>
            <w:sdt>
              <w:sdtPr>
                <w:alias w:val="15 p."/>
                <w:tag w:val="part_9ec9744d51e74aafbe3887b85c21e6b0"/>
                <w:lock w:val="sdtLocked"/>
                <w:richText/>
              </w:sdtPr>
              <w:sdtContent>
                <w:p>
                  <w:pPr>
                    <w:widowControl w:val="0"/>
                    <w:suppressAutoHyphens/>
                    <w:ind w:firstLine="567"/>
                    <w:jc w:val="both"/>
                    <w:rPr>
                      <w:color w:val="000000"/>
                    </w:rPr>
                  </w:pPr>
                  <w:sdt>
                    <w:sdtPr>
                      <w:alias w:val="Numeris"/>
                      <w:tag w:val="nr_9ec9744d51e74aafbe3887b85c21e6b0"/>
                      <w:lock w:val="sdtLocked"/>
                      <w:richText/>
                    </w:sdtPr>
                    <w:sdtContent>
                      <w:r>
                        <w:rPr>
                          <w:color w:val="000000"/>
                        </w:rPr>
                        <w:t>15</w:t>
                      </w:r>
                    </w:sdtContent>
                  </w:sdt>
                  <w:r>
                    <w:rPr>
                      <w:color w:val="000000"/>
                    </w:rPr>
                    <w:t>. Detalusis ekogeologinis tyrimas vykdomas pagal Ekogeologinių tyrimų reglamentą ir šių Reikalavimų 5 priede nurodytas rekomendacijas. Detaliojo ekogeologinio tyrimo metu grunte turi būti nustatoma šių Reikalavimų 1 ar 2 prieduose nurodytų NP angliavandenilių frakcijos (F1, F2, F3).</w:t>
                  </w:r>
                </w:p>
              </w:sdtContent>
            </w:sdt>
            <w:sdt>
              <w:sdtPr>
                <w:alias w:val="16 p."/>
                <w:tag w:val="part_a0d682b7018444a79d225b66ad6d36b4"/>
                <w:lock w:val="sdtLocked"/>
                <w:richText/>
              </w:sdtPr>
              <w:sdtContent>
                <w:p>
                  <w:pPr>
                    <w:widowControl w:val="0"/>
                    <w:suppressAutoHyphens/>
                    <w:ind w:firstLine="567"/>
                    <w:jc w:val="both"/>
                    <w:rPr>
                      <w:color w:val="000000"/>
                    </w:rPr>
                  </w:pPr>
                  <w:sdt>
                    <w:sdtPr>
                      <w:alias w:val="Numeris"/>
                      <w:tag w:val="nr_a0d682b7018444a79d225b66ad6d36b4"/>
                      <w:lock w:val="sdtLocked"/>
                      <w:richText/>
                    </w:sdtPr>
                    <w:sdtContent>
                      <w:r>
                        <w:rPr>
                          <w:color w:val="000000"/>
                        </w:rPr>
                        <w:t>16</w:t>
                      </w:r>
                    </w:sdtContent>
                  </w:sdt>
                  <w:r>
                    <w:rPr>
                      <w:color w:val="000000"/>
                    </w:rPr>
                    <w:t>. Požeminiame vandenyje detalaus ekogeologinio tyrimo metu turi būti nustatomos šių Reikalavimų 3 priede nurodytų NP angliavandenilių frakcijos bei benzeno, tolueno, etilbenzeno, ksilenų sumos koncentracijos ir įvertinamas laisvos naftos produkto sluoksnio ant požeminio vandens paviršiaus storis.</w:t>
                  </w:r>
                </w:p>
              </w:sdtContent>
            </w:sdt>
            <w:sdt>
              <w:sdtPr>
                <w:alias w:val="17 p."/>
                <w:tag w:val="part_8a80450ac02d4b369bf554898c2d8775"/>
                <w:lock w:val="sdtLocked"/>
                <w:richText/>
              </w:sdtPr>
              <w:sdtContent>
                <w:p>
                  <w:pPr>
                    <w:widowControl w:val="0"/>
                    <w:suppressAutoHyphens/>
                    <w:ind w:firstLine="567"/>
                    <w:jc w:val="both"/>
                    <w:rPr>
                      <w:color w:val="000000"/>
                    </w:rPr>
                  </w:pPr>
                  <w:sdt>
                    <w:sdtPr>
                      <w:alias w:val="Numeris"/>
                      <w:tag w:val="nr_8a80450ac02d4b369bf554898c2d8775"/>
                      <w:lock w:val="sdtLocked"/>
                      <w:richText/>
                    </w:sdtPr>
                    <w:sdtContent>
                      <w:r>
                        <w:rPr>
                          <w:color w:val="000000"/>
                        </w:rPr>
                        <w:t>17</w:t>
                      </w:r>
                    </w:sdtContent>
                  </w:sdt>
                  <w:r>
                    <w:rPr>
                      <w:color w:val="000000"/>
                    </w:rPr>
                    <w:t>. Atlikus detalųjį ekogeologinį teritorijos tyrimą, nustatyta NP koncentracija grunte bei požeminiame vandenyje patikslinama apskaičiuojant NP patikslintą ribinę vertę (toliau – RVp) pagal šių Reikalavimų 4 priede pateiktas formules, o apskaičiuotos vertės lyginamos su RV vertėmis, nurodytomis šių Reikalavimų 1 ar 2 bei 3 prieduose. RVp nustatymo tikslas – patikslinti RV vertes, atsižvelgiant į tiriamos teritorijos grunte bei požeminiame vandenyje esantį organinės medžiagos kiekį bei grunto litologinę sudėtį. Nustatytomis RVp vertėmis reikia vadovautis rengiant užterštos teritorijos tvarkymo darbų projektinę dokumentaciją, atliekant šiuos darbus ir vykdant kontrolę.</w:t>
                  </w:r>
                </w:p>
              </w:sdtContent>
            </w:sdt>
            <w:sdt>
              <w:sdtPr>
                <w:alias w:val="18 p."/>
                <w:tag w:val="part_a1e2e170f32948a884be4e80618d71cc"/>
                <w:lock w:val="sdtLocked"/>
                <w:richText/>
              </w:sdtPr>
              <w:sdtContent>
                <w:p>
                  <w:pPr>
                    <w:widowControl w:val="0"/>
                    <w:suppressAutoHyphens/>
                    <w:ind w:firstLine="567"/>
                    <w:jc w:val="both"/>
                    <w:rPr>
                      <w:color w:val="000000"/>
                    </w:rPr>
                  </w:pPr>
                  <w:sdt>
                    <w:sdtPr>
                      <w:alias w:val="Numeris"/>
                      <w:tag w:val="nr_a1e2e170f32948a884be4e80618d71cc"/>
                      <w:lock w:val="sdtLocked"/>
                      <w:richText/>
                    </w:sdtPr>
                    <w:sdtContent>
                      <w:r>
                        <w:rPr>
                          <w:color w:val="000000"/>
                        </w:rPr>
                        <w:t>18</w:t>
                      </w:r>
                    </w:sdtContent>
                  </w:sdt>
                  <w:r>
                    <w:rPr>
                      <w:color w:val="000000"/>
                    </w:rPr>
                    <w:t xml:space="preserve">. Detaliojo tyrimo metu turi būti nustatyta, ar tarša, atsižvelgiant į teritorijos panaudojimą, kelia pavojų žmonių sveikatai. Toks pavojus vertinamas naudojant rizikos įvertinimo procedūras, atsižvelgiant į grunto savybes ir funkcijas, naftos produktų koncentraciją, jų rizikos ir išsisklaidymo galimybes pagal Aplinkos atkūrimo priemonių parinkimo bei išankstinio pritarimo gavimo tvarkos aprašą, patvirtintą Lietuvos Respublikos aplinkos ministro 2006 m. gegužės 16 d. įsakymu Nr. D1-228 (Žin., 2005, Nr. </w:t>
                  </w:r>
                  <w:hyperlink r:id="rId30" w:tgtFrame="_blank" w:history="1">
                    <w:r>
                      <w:rPr>
                        <w:color w:val="0000FF" w:themeColor="hyperlink"/>
                        <w:u w:val="single"/>
                      </w:rPr>
                      <w:t>41-1317</w:t>
                    </w:r>
                  </w:hyperlink>
                  <w:r>
                    <w:rPr>
                      <w:color w:val="000000"/>
                    </w:rPr>
                    <w:t xml:space="preserve">; 2006, Nr. </w:t>
                  </w:r>
                  <w:hyperlink r:id="rId31" w:tgtFrame="_blank" w:history="1">
                    <w:r>
                      <w:rPr>
                        <w:color w:val="0000FF" w:themeColor="hyperlink"/>
                        <w:u w:val="single"/>
                      </w:rPr>
                      <w:t>59-2099</w:t>
                    </w:r>
                  </w:hyperlink>
                  <w:r>
                    <w:rPr>
                      <w:color w:val="000000"/>
                    </w:rPr>
                    <w:t>). Taršos pavojaus vertinimas turi būti atliekamas pagal analitinius skaičiavimus arba modeliavimo būdu, naudojant taršos rizikos vertinimui skirtą programinę įrangą.</w:t>
                  </w:r>
                </w:p>
              </w:sdtContent>
            </w:sdt>
            <w:sdt>
              <w:sdtPr>
                <w:alias w:val="19 p."/>
                <w:tag w:val="part_fdb68967536f4d9e8411c207a3cb8267"/>
                <w:lock w:val="sdtLocked"/>
                <w:richText/>
              </w:sdtPr>
              <w:sdtContent>
                <w:p>
                  <w:pPr>
                    <w:widowControl w:val="0"/>
                    <w:suppressAutoHyphens/>
                    <w:ind w:firstLine="567"/>
                    <w:jc w:val="both"/>
                    <w:rPr>
                      <w:color w:val="000000"/>
                    </w:rPr>
                  </w:pPr>
                  <w:sdt>
                    <w:sdtPr>
                      <w:alias w:val="Numeris"/>
                      <w:tag w:val="nr_fdb68967536f4d9e8411c207a3cb8267"/>
                      <w:lock w:val="sdtLocked"/>
                      <w:richText/>
                    </w:sdtPr>
                    <w:sdtContent>
                      <w:r>
                        <w:rPr>
                          <w:color w:val="000000"/>
                        </w:rPr>
                        <w:t>19</w:t>
                      </w:r>
                    </w:sdtContent>
                  </w:sdt>
                  <w:r>
                    <w:rPr>
                      <w:color w:val="000000"/>
                    </w:rPr>
                    <w:t>. Vertinant taršos pavojų, būtina atsižvelgti į planuojamą tiriamos teritorijos naudojimo paskirties keitimą, jei tai yra žinoma prieš pradedant detalųjį ekogeologinį tyrimą. Atliekant vertinimą rekomenduojama vadovautis LST EN ISO 15175:2004 (E). Dirvožemio kokybė. Dirvožemio apibūdinimas pagal gruntinio vandens apsaugą ir LST EN ISO 15800:2003 (E). Dirvožemio kokybė. Dirvožemio apibūdinimas pagal poveikį žmogui.</w:t>
                  </w:r>
                </w:p>
              </w:sdtContent>
            </w:sdt>
            <w:sdt>
              <w:sdtPr>
                <w:alias w:val="20 p."/>
                <w:tag w:val="part_58e3b0caf24742c28feb3a0c0ff7ddac"/>
                <w:lock w:val="sdtLocked"/>
                <w:richText/>
              </w:sdtPr>
              <w:sdtContent>
                <w:p>
                  <w:pPr>
                    <w:widowControl w:val="0"/>
                    <w:suppressAutoHyphens/>
                    <w:ind w:firstLine="567"/>
                    <w:jc w:val="both"/>
                    <w:rPr>
                      <w:color w:val="000000"/>
                    </w:rPr>
                  </w:pPr>
                  <w:sdt>
                    <w:sdtPr>
                      <w:alias w:val="Numeris"/>
                      <w:tag w:val="nr_58e3b0caf24742c28feb3a0c0ff7ddac"/>
                      <w:lock w:val="sdtLocked"/>
                      <w:richText/>
                    </w:sdtPr>
                    <w:sdtContent>
                      <w:r>
                        <w:rPr>
                          <w:color w:val="000000"/>
                        </w:rPr>
                        <w:t>20</w:t>
                      </w:r>
                    </w:sdtContent>
                  </w:sdt>
                  <w:r>
                    <w:rPr>
                      <w:color w:val="000000"/>
                    </w:rPr>
                    <w:t>. Pagal monitoringo duomenis ar kitais specialiais tyrimais nustačius, kad tarša NP gali turėti (arba turi) neigiamą įtaką paviršinio ar požeminio vandens telkiniams, šių Reikalavimų 1–3 prieduose nurodytos RV gali būti tikslinamos. RV tikslinimą pagal pateiktus tyrimų rezultatus atlieka Lietuvos geologijos tarnyba.</w:t>
                  </w:r>
                </w:p>
              </w:sdtContent>
            </w:sdt>
            <w:sdt>
              <w:sdtPr>
                <w:alias w:val="21 p."/>
                <w:tag w:val="part_e9d296e65854444884ce97a08a688ab9"/>
                <w:lock w:val="sdtLocked"/>
                <w:richText/>
              </w:sdtPr>
              <w:sdtContent>
                <w:p>
                  <w:pPr>
                    <w:widowControl w:val="0"/>
                    <w:suppressAutoHyphens/>
                    <w:ind w:firstLine="567"/>
                    <w:jc w:val="both"/>
                    <w:rPr>
                      <w:color w:val="000000"/>
                    </w:rPr>
                  </w:pPr>
                  <w:sdt>
                    <w:sdtPr>
                      <w:alias w:val="Numeris"/>
                      <w:tag w:val="nr_e9d296e65854444884ce97a08a688ab9"/>
                      <w:lock w:val="sdtLocked"/>
                      <w:richText/>
                    </w:sdtPr>
                    <w:sdtContent>
                      <w:r>
                        <w:rPr>
                          <w:color w:val="000000"/>
                        </w:rPr>
                        <w:t>21</w:t>
                      </w:r>
                    </w:sdtContent>
                  </w:sdt>
                  <w:r>
                    <w:rPr>
                      <w:color w:val="000000"/>
                    </w:rPr>
                    <w:t>. Detaliojo ekogeologinio tyrimo ataskaitos vertinimo išvadose Lietuvos geologijos tarnyba, atsižvelgusi į joje pateiktus taršos pavojaus vertinimo duomenis ir patikrinusi jų patikimumą, turi nurodyti, ar NP užterštos teritorijos tvarkymas yra būtinas, siekiant apsaugoti aplinką nuo taršos pasekmių.</w:t>
                  </w:r>
                </w:p>
              </w:sdtContent>
            </w:sdt>
            <w:sdt>
              <w:sdtPr>
                <w:alias w:val="22 p."/>
                <w:tag w:val="part_dc398dd1eddc4e02a86b88a92c84f9fd"/>
                <w:lock w:val="sdtLocked"/>
                <w:richText/>
              </w:sdtPr>
              <w:sdtContent>
                <w:p>
                  <w:pPr>
                    <w:widowControl w:val="0"/>
                    <w:suppressAutoHyphens/>
                    <w:ind w:firstLine="567"/>
                    <w:jc w:val="both"/>
                    <w:rPr>
                      <w:color w:val="000000"/>
                    </w:rPr>
                  </w:pPr>
                  <w:sdt>
                    <w:sdtPr>
                      <w:alias w:val="Numeris"/>
                      <w:tag w:val="nr_dc398dd1eddc4e02a86b88a92c84f9fd"/>
                      <w:lock w:val="sdtLocked"/>
                      <w:richText/>
                    </w:sdtPr>
                    <w:sdtContent>
                      <w:r>
                        <w:rPr>
                          <w:color w:val="000000"/>
                        </w:rPr>
                        <w:t>22</w:t>
                      </w:r>
                    </w:sdtContent>
                  </w:sdt>
                  <w:r>
                    <w:rPr>
                      <w:color w:val="000000"/>
                    </w:rPr>
                    <w:t>. Atlikto tyrimo rezultatų patikimumo įvertinimui Lietuvos geologijos tarnyba gali atlikti (organizuoti) kontrolinį tyrimą.</w:t>
                  </w:r>
                </w:p>
              </w:sdtContent>
            </w:sdt>
            <w:sdt>
              <w:sdtPr>
                <w:alias w:val="23 p."/>
                <w:tag w:val="part_706a59ac4048491e8109ac5d16709a9b"/>
                <w:lock w:val="sdtLocked"/>
                <w:richText/>
              </w:sdtPr>
              <w:sdtContent>
                <w:p>
                  <w:pPr>
                    <w:suppressAutoHyphens/>
                    <w:ind w:firstLine="567"/>
                    <w:jc w:val="both"/>
                    <w:rPr>
                      <w:color w:val="000000"/>
                    </w:rPr>
                  </w:pPr>
                  <w:sdt>
                    <w:sdtPr>
                      <w:alias w:val="Numeris"/>
                      <w:tag w:val="nr_706a59ac4048491e8109ac5d16709a9b"/>
                      <w:lock w:val="sdtLocked"/>
                      <w:richText/>
                    </w:sdtPr>
                    <w:sdtContent>
                      <w:r>
                        <w:rPr>
                          <w:color w:val="000000"/>
                          <w:szCs w:val="24"/>
                        </w:rPr>
                        <w:t>23</w:t>
                      </w:r>
                    </w:sdtContent>
                  </w:sdt>
                  <w:r>
                    <w:rPr>
                      <w:color w:val="000000"/>
                      <w:szCs w:val="24"/>
                    </w:rPr>
                    <w:t>. Lietuvos geologijos tarnyba detaliojo ekogeologinio tyrimo ataskaitos vertinimo išvadas Ekogeologinių tyrimų reglamente aprašyta tvarka pateikia ūkinės veiklos tirtoje teritorijoje vykdytojams, tirtų teritorijų savininkams ir (ar) naudotojams ir Aplinkos apsaugos departamentui prie Aplinkos ministerijos (toliau –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1ccb60793611e8ae2bfd1913d66d57">
                    <w:r w:rsidRPr="00532B9F">
                      <w:rPr>
                        <w:rFonts w:ascii="Times New Roman" w:eastAsia="MS Mincho" w:hAnsi="Times New Roman"/>
                        <w:sz w:val="20"/>
                        <w:i/>
                        <w:iCs/>
                        <w:color w:val="0000FF" w:themeColor="hyperlink"/>
                        <w:u w:val="single"/>
                      </w:rPr>
                      <w:t>D1-556</w:t>
                    </w:r>
                  </w:fldSimple>
                  <w:r>
                    <w:rPr>
                      <w:rFonts w:ascii="Times New Roman" w:eastAsia="MS Mincho" w:hAnsi="Times New Roman"/>
                      <w:sz w:val="20"/>
                      <w:i/>
                      <w:iCs/>
                    </w:rPr>
                    <w:t>,
2018-06-22,
paskelbta TAR 2018-06-26, i. k. 2018-10502            </w:t>
                  </w:r>
                </w:p>
                <w:p/>
              </w:sdtContent>
            </w:sdt>
          </w:sdtContent>
        </w:sdt>
        <w:sdt>
          <w:sdtPr>
            <w:alias w:val="skyrius"/>
            <w:tag w:val="part_8003498ec7cb4410b0ca6745e575e019"/>
            <w:lock w:val="sdtLocked"/>
            <w:richText/>
          </w:sdtPr>
          <w:sdtContent>
            <w:p>
              <w:pPr>
                <w:widowControl w:val="0"/>
                <w:suppressAutoHyphens/>
                <w:jc w:val="center"/>
                <w:rPr>
                  <w:b/>
                  <w:bCs/>
                  <w:caps/>
                  <w:color w:val="000000"/>
                </w:rPr>
              </w:pPr>
              <w:sdt>
                <w:sdtPr>
                  <w:alias w:val="Numeris"/>
                  <w:tag w:val="nr_8003498ec7cb4410b0ca6745e575e019"/>
                  <w:lock w:val="sdtLocked"/>
                  <w:richText/>
                </w:sdtPr>
                <w:sdtContent>
                  <w:r>
                    <w:rPr>
                      <w:b/>
                      <w:bCs/>
                      <w:caps/>
                      <w:color w:val="000000"/>
                    </w:rPr>
                    <w:t>V</w:t>
                  </w:r>
                </w:sdtContent>
              </w:sdt>
              <w:r>
                <w:rPr>
                  <w:b/>
                  <w:bCs/>
                  <w:caps/>
                  <w:color w:val="000000"/>
                </w:rPr>
                <w:t xml:space="preserve">. </w:t>
              </w:r>
              <w:sdt>
                <w:sdtPr>
                  <w:alias w:val="Pavadinimas"/>
                  <w:tag w:val="title_8003498ec7cb4410b0ca6745e575e019"/>
                  <w:lock w:val="sdtLocked"/>
                  <w:richText/>
                </w:sdtPr>
                <w:sdtContent>
                  <w:r>
                    <w:rPr>
                      <w:b/>
                      <w:bCs/>
                      <w:caps/>
                      <w:color w:val="000000"/>
                    </w:rPr>
                    <w:t>REIKALAVIMAI NAFTOS PRODUKTAIS UŽTERŠTOS TERITORIJOS TVARKYMUI</w:t>
                  </w:r>
                </w:sdtContent>
              </w:sdt>
            </w:p>
            <w:p>
              <w:pPr>
                <w:widowControl w:val="0"/>
                <w:suppressAutoHyphens/>
                <w:ind w:firstLine="567"/>
                <w:jc w:val="both"/>
                <w:rPr>
                  <w:color w:val="000000"/>
                </w:rPr>
              </w:pPr>
            </w:p>
            <w:sdt>
              <w:sdtPr>
                <w:alias w:val="24 p."/>
                <w:tag w:val="part_95c32bacea3c46f5ade83e8bc58eeb6d"/>
                <w:lock w:val="sdtLocked"/>
                <w:richText/>
              </w:sdtPr>
              <w:sdtContent>
                <w:p>
                  <w:pPr>
                    <w:widowControl w:val="0"/>
                    <w:suppressAutoHyphens/>
                    <w:ind w:firstLine="567"/>
                    <w:jc w:val="both"/>
                    <w:rPr>
                      <w:color w:val="000000"/>
                    </w:rPr>
                  </w:pPr>
                  <w:sdt>
                    <w:sdtPr>
                      <w:alias w:val="Numeris"/>
                      <w:tag w:val="nr_95c32bacea3c46f5ade83e8bc58eeb6d"/>
                      <w:lock w:val="sdtLocked"/>
                      <w:richText/>
                    </w:sdtPr>
                    <w:sdtContent>
                      <w:r>
                        <w:rPr>
                          <w:color w:val="000000"/>
                        </w:rPr>
                        <w:t>24</w:t>
                      </w:r>
                    </w:sdtContent>
                  </w:sdt>
                  <w:r>
                    <w:rPr>
                      <w:color w:val="000000"/>
                    </w:rPr>
                    <w:t>. Reikalavimai NP užterštos teritorijos tvarkytojui:</w:t>
                  </w:r>
                </w:p>
                <w:sdt>
                  <w:sdtPr>
                    <w:alias w:val="24.1 p."/>
                    <w:tag w:val="part_9d2c7f1b30b346008565c1185ebfb59b"/>
                    <w:lock w:val="sdtLocked"/>
                    <w:richText/>
                  </w:sdtPr>
                  <w:sdtContent>
                    <w:p>
                      <w:pPr>
                        <w:widowControl w:val="0"/>
                        <w:suppressAutoHyphens/>
                        <w:ind w:firstLine="567"/>
                        <w:jc w:val="both"/>
                        <w:rPr>
                          <w:color w:val="000000"/>
                        </w:rPr>
                      </w:pPr>
                      <w:sdt>
                        <w:sdtPr>
                          <w:alias w:val="Numeris"/>
                          <w:tag w:val="nr_9d2c7f1b30b346008565c1185ebfb59b"/>
                          <w:lock w:val="sdtLocked"/>
                          <w:richText/>
                        </w:sdtPr>
                        <w:sdtContent>
                          <w:r>
                            <w:rPr>
                              <w:color w:val="000000"/>
                            </w:rPr>
                            <w:t>24.1</w:t>
                          </w:r>
                        </w:sdtContent>
                      </w:sdt>
                      <w:r>
                        <w:rPr>
                          <w:color w:val="000000"/>
                        </w:rPr>
                        <w:t xml:space="preserve">. užterštos teritorijos valymą </w:t>
                      </w:r>
                      <w:r>
                        <w:rPr>
                          <w:i/>
                          <w:iCs/>
                          <w:color w:val="000000"/>
                        </w:rPr>
                        <w:t>in situ</w:t>
                      </w:r>
                      <w:r>
                        <w:rPr>
                          <w:color w:val="000000"/>
                        </w:rPr>
                        <w:t xml:space="preserve"> metodais ar izoliavimą gali atlikti juridiniai asmenys ar asmenų grupės, veikiančios jungtinės veiklos pagrindu, turintys leidimą tirti žemės gelmes šiai tyrimo rūšiai – ekogeologinis tyrimas ir Aplinkos ministerijos nustatyta tvarka suteiktą pavojingų atliekų tvarkytojo licenciją;</w:t>
                      </w:r>
                    </w:p>
                  </w:sdtContent>
                </w:sdt>
                <w:sdt>
                  <w:sdtPr>
                    <w:alias w:val="24.2 p."/>
                    <w:tag w:val="part_4fe24b9dd48042efa60235761082bb79"/>
                    <w:lock w:val="sdtLocked"/>
                    <w:richText/>
                  </w:sdtPr>
                  <w:sdtContent>
                    <w:p>
                      <w:pPr>
                        <w:widowControl w:val="0"/>
                        <w:suppressAutoHyphens/>
                        <w:ind w:firstLine="567"/>
                        <w:jc w:val="both"/>
                        <w:rPr>
                          <w:color w:val="000000"/>
                        </w:rPr>
                      </w:pPr>
                      <w:sdt>
                        <w:sdtPr>
                          <w:alias w:val="Numeris"/>
                          <w:tag w:val="nr_4fe24b9dd48042efa60235761082bb79"/>
                          <w:lock w:val="sdtLocked"/>
                          <w:richText/>
                        </w:sdtPr>
                        <w:sdtContent>
                          <w:r>
                            <w:rPr>
                              <w:color w:val="000000"/>
                            </w:rPr>
                            <w:t>24.2</w:t>
                          </w:r>
                        </w:sdtContent>
                      </w:sdt>
                      <w:r>
                        <w:rPr>
                          <w:color w:val="000000"/>
                        </w:rPr>
                        <w:t xml:space="preserve">. užterštos teritorijos valymą </w:t>
                      </w:r>
                      <w:r>
                        <w:rPr>
                          <w:i/>
                          <w:iCs/>
                          <w:color w:val="000000"/>
                        </w:rPr>
                        <w:t>ex situ</w:t>
                      </w:r>
                      <w:r>
                        <w:rPr>
                          <w:color w:val="000000"/>
                        </w:rPr>
                        <w:t xml:space="preserve"> metodais ar jos izoliavimo darbus gali vykdyti tik juridiniai asmenys ir šių asmenų grupės, veikiančios jungtinės veiklos pagrindu, turintys Aplinkos ministerijos nustatyta tvarka suteiktą pavojingų atliekų tvarkytojo licenciją.</w:t>
                      </w:r>
                    </w:p>
                  </w:sdtContent>
                </w:sdt>
              </w:sdtContent>
            </w:sdt>
            <w:sdt>
              <w:sdtPr>
                <w:alias w:val="25 p."/>
                <w:tag w:val="part_e6ce801d8c53454d9d50ede038afb991"/>
                <w:lock w:val="sdtLocked"/>
                <w:richText/>
              </w:sdtPr>
              <w:sdtContent>
                <w:p>
                  <w:pPr>
                    <w:widowControl w:val="0"/>
                    <w:suppressAutoHyphens/>
                    <w:ind w:firstLine="567"/>
                    <w:jc w:val="both"/>
                    <w:rPr>
                      <w:color w:val="000000"/>
                    </w:rPr>
                  </w:pPr>
                  <w:sdt>
                    <w:sdtPr>
                      <w:alias w:val="Numeris"/>
                      <w:tag w:val="nr_e6ce801d8c53454d9d50ede038afb991"/>
                      <w:lock w:val="sdtLocked"/>
                      <w:richText/>
                    </w:sdtPr>
                    <w:sdtContent>
                      <w:r>
                        <w:rPr>
                          <w:color w:val="000000"/>
                        </w:rPr>
                        <w:t>25</w:t>
                      </w:r>
                    </w:sdtContent>
                  </w:sdt>
                  <w:r>
                    <w:rPr>
                      <w:color w:val="000000"/>
                    </w:rPr>
                    <w:t xml:space="preserve">. Užterštos teritorijos tvarkymo poreikis ir būdai nustatomi, vadovaujantis Cheminėmis medžiagomis užterštų teritorijų tvarkymo aplinkos apsaugos reikalavimais, užteršimo tyrimų ir įvertinimo bei, jeigu tokių esama, pagal apibendrintus monitoringo, vykdomo vadovaujantis Ūkio subjektų požeminio vandens monitoringo vykdymo tvarka, patvirtinta Lietuvos geologijos tarnybos prie Aplinkos ministerijos direktoriaus 2003 m. spalio 24 d. įsakymu Nr. 1-59 (Žin., 2003, Nr. </w:t>
                  </w:r>
                  <w:hyperlink r:id="rId32" w:tgtFrame="_blank" w:history="1">
                    <w:r>
                      <w:rPr>
                        <w:color w:val="0000FF" w:themeColor="hyperlink"/>
                        <w:u w:val="single"/>
                      </w:rPr>
                      <w:t>101-4578</w:t>
                    </w:r>
                  </w:hyperlink>
                  <w:r>
                    <w:rPr>
                      <w:color w:val="000000"/>
                    </w:rPr>
                    <w:t>), rezultatus.</w:t>
                  </w:r>
                </w:p>
              </w:sdtContent>
            </w:sdt>
            <w:sdt>
              <w:sdtPr>
                <w:alias w:val="26 p."/>
                <w:tag w:val="part_2835c2aaa9e94e04a6ea790adacb67d3"/>
                <w:lock w:val="sdtLocked"/>
                <w:richText/>
              </w:sdtPr>
              <w:sdtContent>
                <w:p>
                  <w:pPr>
                    <w:widowControl w:val="0"/>
                    <w:suppressAutoHyphens/>
                    <w:ind w:firstLine="567"/>
                    <w:jc w:val="both"/>
                    <w:rPr>
                      <w:color w:val="000000"/>
                    </w:rPr>
                  </w:pPr>
                  <w:sdt>
                    <w:sdtPr>
                      <w:alias w:val="Numeris"/>
                      <w:tag w:val="nr_2835c2aaa9e94e04a6ea790adacb67d3"/>
                      <w:lock w:val="sdtLocked"/>
                      <w:richText/>
                    </w:sdtPr>
                    <w:sdtContent>
                      <w:r>
                        <w:rPr>
                          <w:color w:val="000000"/>
                        </w:rPr>
                        <w:t>26</w:t>
                      </w:r>
                    </w:sdtContent>
                  </w:sdt>
                  <w:r>
                    <w:rPr>
                      <w:color w:val="000000"/>
                    </w:rPr>
                    <w:t>. NP užterštos teritorijos tvarkymas vykdomas vadovaujantis pagal Ekogeologinių tyrimų reglamento reikalavimus parengtu tvarkymo planu (toliau – Planas). Už tvarkymo plano parengimą, tvarkymo būdo pasirinkimą ir tvarkymo įgyvendinimą atsakingas teritorijos savininkas ir (ar) naudotojas, ir (ar) ūkinės veiklos vykdytojas. Planas turi būti rengiamas ir įgyvendinamas vadovaujantis jau atliktų preliminariojo ir (ar) detaliojo ekogeologinių tyrimų rezultatais ir, jeigu to reikia taikytinų tvarkymo metodų technologijai parinkti, atliktais papildomais ekogeologiniais tyrimais.</w:t>
                  </w:r>
                </w:p>
              </w:sdtContent>
            </w:sdt>
            <w:sdt>
              <w:sdtPr>
                <w:alias w:val="27 p."/>
                <w:tag w:val="part_9eaeaf3d8b3b41c4bea8a4cd3b61584e"/>
                <w:lock w:val="sdtLocked"/>
                <w:richText/>
              </w:sdtPr>
              <w:sdtContent>
                <w:p>
                  <w:pPr>
                    <w:widowControl w:val="0"/>
                    <w:suppressAutoHyphens/>
                    <w:ind w:firstLine="567"/>
                    <w:jc w:val="both"/>
                    <w:rPr>
                      <w:color w:val="000000"/>
                    </w:rPr>
                  </w:pPr>
                  <w:sdt>
                    <w:sdtPr>
                      <w:alias w:val="Numeris"/>
                      <w:tag w:val="nr_9eaeaf3d8b3b41c4bea8a4cd3b61584e"/>
                      <w:lock w:val="sdtLocked"/>
                      <w:richText/>
                    </w:sdtPr>
                    <w:sdtContent>
                      <w:r>
                        <w:rPr>
                          <w:color w:val="000000"/>
                        </w:rPr>
                        <w:t>27</w:t>
                      </w:r>
                    </w:sdtContent>
                  </w:sdt>
                  <w:r>
                    <w:rPr>
                      <w:color w:val="000000"/>
                    </w:rPr>
                    <w:t>. Kai užteršimas yra seno pobūdžio ir jo kaltininkas nėra žinomas, užterštos teritorijos tvarkymo planas rengiamas atskiro subjekto, kurio valdose yra užteršta teritorija, iniciatyva ir tik šio subjekto valdose esančiai užterštai teritorijai. Šiuo atveju užterštos teritorijos tvarkymo plane būtina įvertinti teršalų migracijos tarp atskirų teritorijų ir išvalytų plotų užteršimo iš gretimybių galimybę.</w:t>
                  </w:r>
                </w:p>
              </w:sdtContent>
            </w:sdt>
            <w:sdt>
              <w:sdtPr>
                <w:alias w:val="28 p."/>
                <w:tag w:val="part_99b8eb7ee57e4080b58b1f29fde94ad3"/>
                <w:lock w:val="sdtLocked"/>
                <w:richText/>
              </w:sdtPr>
              <w:sdtContent>
                <w:p>
                  <w:pPr>
                    <w:widowControl w:val="0"/>
                    <w:suppressAutoHyphens/>
                    <w:ind w:firstLine="567"/>
                    <w:jc w:val="both"/>
                    <w:rPr>
                      <w:color w:val="000000"/>
                    </w:rPr>
                  </w:pPr>
                  <w:sdt>
                    <w:sdtPr>
                      <w:alias w:val="Numeris"/>
                      <w:tag w:val="nr_99b8eb7ee57e4080b58b1f29fde94ad3"/>
                      <w:lock w:val="sdtLocked"/>
                      <w:richText/>
                    </w:sdtPr>
                    <w:sdtContent>
                      <w:r>
                        <w:rPr>
                          <w:color w:val="000000"/>
                        </w:rPr>
                        <w:t>28</w:t>
                      </w:r>
                    </w:sdtContent>
                  </w:sdt>
                  <w:r>
                    <w:rPr>
                      <w:color w:val="000000"/>
                    </w:rPr>
                    <w:t>.</w:t>
                  </w:r>
                  <w:r>
                    <w:rPr>
                      <w:b/>
                      <w:bCs/>
                      <w:color w:val="000000"/>
                    </w:rPr>
                    <w:t xml:space="preserve"> </w:t>
                  </w:r>
                  <w:r>
                    <w:rPr>
                      <w:color w:val="000000"/>
                    </w:rPr>
                    <w:t>Užterštos teritorijos tvarkymą atlieka užteršimo kaltininkas arba užterštos teritorijos naudotojas (valdantis NP užterštą teritoriją nuosavybės ar nuomos iš valstybės teise) savo lėšomis.</w:t>
                  </w:r>
                </w:p>
              </w:sdtContent>
            </w:sdt>
            <w:sdt>
              <w:sdtPr>
                <w:alias w:val="29 p."/>
                <w:tag w:val="part_5fd618643dce42bfa0b7678db9e1ee36"/>
                <w:lock w:val="sdtLocked"/>
                <w:richText/>
              </w:sdtPr>
              <w:sdtContent>
                <w:p>
                  <w:pPr>
                    <w:suppressAutoHyphens/>
                    <w:ind w:firstLine="567"/>
                    <w:jc w:val="both"/>
                    <w:rPr>
                      <w:color w:val="000000"/>
                    </w:rPr>
                  </w:pPr>
                  <w:sdt>
                    <w:sdtPr>
                      <w:alias w:val="Numeris"/>
                      <w:tag w:val="nr_5fd618643dce42bfa0b7678db9e1ee36"/>
                      <w:lock w:val="sdtLocked"/>
                      <w:richText/>
                    </w:sdtPr>
                    <w:sdtContent>
                      <w:r>
                        <w:rPr>
                          <w:color w:val="000000"/>
                          <w:szCs w:val="24"/>
                        </w:rPr>
                        <w:t>29</w:t>
                      </w:r>
                    </w:sdtContent>
                  </w:sdt>
                  <w:r>
                    <w:rPr>
                      <w:color w:val="000000"/>
                      <w:szCs w:val="24"/>
                    </w:rPr>
                    <w:t>. Planas derinamas su AAD Aplinkos atkūrimo priemonių parinkimo ir išankstinio pritarimo gavimo tvarkos apraše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1ccb60793611e8ae2bfd1913d66d57">
                    <w:r w:rsidRPr="00532B9F">
                      <w:rPr>
                        <w:rFonts w:ascii="Times New Roman" w:eastAsia="MS Mincho" w:hAnsi="Times New Roman"/>
                        <w:sz w:val="20"/>
                        <w:i/>
                        <w:iCs/>
                        <w:color w:val="0000FF" w:themeColor="hyperlink"/>
                        <w:u w:val="single"/>
                      </w:rPr>
                      <w:t>D1-556</w:t>
                    </w:r>
                  </w:fldSimple>
                  <w:r>
                    <w:rPr>
                      <w:rFonts w:ascii="Times New Roman" w:eastAsia="MS Mincho" w:hAnsi="Times New Roman"/>
                      <w:sz w:val="20"/>
                      <w:i/>
                      <w:iCs/>
                    </w:rPr>
                    <w:t>,
2018-06-22,
paskelbta TAR 2018-06-26, i. k. 2018-10502            </w:t>
                  </w:r>
                </w:p>
                <w:p/>
              </w:sdtContent>
            </w:sdt>
            <w:sdt>
              <w:sdtPr>
                <w:alias w:val="30 p."/>
                <w:tag w:val="part_ebb62c14d62d48ac8ef6230dbddb2445"/>
                <w:lock w:val="sdtLocked"/>
                <w:richText/>
              </w:sdtPr>
              <w:sdtContent>
                <w:p>
                  <w:pPr>
                    <w:widowControl w:val="0"/>
                    <w:suppressAutoHyphens/>
                    <w:ind w:firstLine="567"/>
                    <w:jc w:val="both"/>
                    <w:rPr>
                      <w:color w:val="000000"/>
                    </w:rPr>
                  </w:pPr>
                  <w:sdt>
                    <w:sdtPr>
                      <w:alias w:val="Numeris"/>
                      <w:tag w:val="nr_ebb62c14d62d48ac8ef6230dbddb2445"/>
                      <w:lock w:val="sdtLocked"/>
                      <w:richText/>
                    </w:sdtPr>
                    <w:sdtContent>
                      <w:r>
                        <w:rPr>
                          <w:color w:val="000000"/>
                        </w:rPr>
                        <w:t>30</w:t>
                      </w:r>
                    </w:sdtContent>
                  </w:sdt>
                  <w:r>
                    <w:rPr>
                      <w:color w:val="000000"/>
                    </w:rPr>
                    <w:t>. Būtinieji reikalavimai užteršimo NP tvarkymui:</w:t>
                  </w:r>
                </w:p>
                <w:sdt>
                  <w:sdtPr>
                    <w:alias w:val="30.1 p."/>
                    <w:tag w:val="part_4107f2182a3948dea68ad44d1428194b"/>
                    <w:lock w:val="sdtLocked"/>
                    <w:richText/>
                  </w:sdtPr>
                  <w:sdtContent>
                    <w:p>
                      <w:pPr>
                        <w:widowControl w:val="0"/>
                        <w:suppressAutoHyphens/>
                        <w:ind w:firstLine="567"/>
                        <w:jc w:val="both"/>
                        <w:rPr>
                          <w:color w:val="000000"/>
                        </w:rPr>
                      </w:pPr>
                      <w:sdt>
                        <w:sdtPr>
                          <w:alias w:val="Numeris"/>
                          <w:tag w:val="nr_4107f2182a3948dea68ad44d1428194b"/>
                          <w:lock w:val="sdtLocked"/>
                          <w:richText/>
                        </w:sdtPr>
                        <w:sdtContent>
                          <w:r>
                            <w:rPr>
                              <w:color w:val="000000"/>
                            </w:rPr>
                            <w:t>30.1</w:t>
                          </w:r>
                        </w:sdtContent>
                      </w:sdt>
                      <w:r>
                        <w:rPr>
                          <w:color w:val="000000"/>
                        </w:rPr>
                        <w:t>. daugiau RVp užterštą žemės paviršiaus gruntą būtina išvalyti iki reikiamo lygio vietoje arba iškasti ir išvežti į tam skirtas užteršto grunto utilizavimo vietas. Esant techninėms galimybėms iškastą gruntą galima valyti vietoje, laikantis atitinkamų aplinkos apsaugos, priešgaisrinės ir darbo saugos reikalavimų;</w:t>
                      </w:r>
                    </w:p>
                  </w:sdtContent>
                </w:sdt>
                <w:sdt>
                  <w:sdtPr>
                    <w:alias w:val="30.2 p."/>
                    <w:tag w:val="part_4001c6c5e6634d78b7981a4ee14b35f7"/>
                    <w:lock w:val="sdtLocked"/>
                    <w:richText/>
                  </w:sdtPr>
                  <w:sdtContent>
                    <w:p>
                      <w:pPr>
                        <w:widowControl w:val="0"/>
                        <w:suppressAutoHyphens/>
                        <w:ind w:firstLine="567"/>
                        <w:jc w:val="both"/>
                        <w:rPr>
                          <w:color w:val="000000"/>
                        </w:rPr>
                      </w:pPr>
                      <w:sdt>
                        <w:sdtPr>
                          <w:alias w:val="Numeris"/>
                          <w:tag w:val="nr_4001c6c5e6634d78b7981a4ee14b35f7"/>
                          <w:lock w:val="sdtLocked"/>
                          <w:richText/>
                        </w:sdtPr>
                        <w:sdtContent>
                          <w:r>
                            <w:rPr>
                              <w:color w:val="000000"/>
                            </w:rPr>
                            <w:t>30.2</w:t>
                          </w:r>
                        </w:sdtContent>
                      </w:sdt>
                      <w:r>
                        <w:rPr>
                          <w:color w:val="000000"/>
                        </w:rPr>
                        <w:t>. nepriklausomai nuo NP frakcinės sudėties iki 2000 mg/kg (toliau – s.g.) išvalytas gruntas gali būti naudojamas pramoninių teritorijų, kuriose vykdoma skystų naftos produktų saugojimo, perdirbimo ar perkrovimo veikla, geležinkelio kelių sankasų žemės paviršiaus tvarkymui (ne giliau kaip 1 m iki aukščiausio gruntinio vandens lygio), jei tai numatyta nustatyta tvarka suderintuose atitinkamų objektų statybos ar rekonstrukcijos projektuose;</w:t>
                      </w:r>
                    </w:p>
                  </w:sdtContent>
                </w:sdt>
                <w:sdt>
                  <w:sdtPr>
                    <w:alias w:val="30.3 p."/>
                    <w:tag w:val="part_a08a284e06cd451980f9c6e4fe4ca6bb"/>
                    <w:lock w:val="sdtLocked"/>
                    <w:richText/>
                  </w:sdtPr>
                  <w:sdtContent>
                    <w:p>
                      <w:pPr>
                        <w:widowControl w:val="0"/>
                        <w:suppressAutoHyphens/>
                        <w:ind w:firstLine="567"/>
                        <w:jc w:val="both"/>
                        <w:rPr>
                          <w:color w:val="000000"/>
                        </w:rPr>
                      </w:pPr>
                      <w:sdt>
                        <w:sdtPr>
                          <w:alias w:val="Numeris"/>
                          <w:tag w:val="nr_a08a284e06cd451980f9c6e4fe4ca6bb"/>
                          <w:lock w:val="sdtLocked"/>
                          <w:richText/>
                        </w:sdtPr>
                        <w:sdtContent>
                          <w:r>
                            <w:rPr>
                              <w:color w:val="000000"/>
                            </w:rPr>
                            <w:t>30.3</w:t>
                          </w:r>
                        </w:sdtContent>
                      </w:sdt>
                      <w:r>
                        <w:rPr>
                          <w:color w:val="000000"/>
                        </w:rPr>
                        <w:t>. I, II, III kategorijos jautrumo taršai teritorijose, nurodytose šių Reikalavimų 1 ir 2 prieduose, daugiau RVp užterštas gilesniųjų sluoksnių gruntas ir požeminis vanduo turi būti išvalomi iki reikalaujamo lygio (apskaičiuotų patikslintų ribinių verčių RVp) arba pašalinamas (iškasamas) ir išvežamas į tam skirtas užteršto grunto utilizavimo vietas;</w:t>
                      </w:r>
                    </w:p>
                  </w:sdtContent>
                </w:sdt>
                <w:sdt>
                  <w:sdtPr>
                    <w:alias w:val="30.4 p."/>
                    <w:tag w:val="part_9ad9a149fa81448487b1424ffd680f5d"/>
                    <w:lock w:val="sdtLocked"/>
                    <w:richText/>
                  </w:sdtPr>
                  <w:sdtContent>
                    <w:p>
                      <w:pPr>
                        <w:widowControl w:val="0"/>
                        <w:suppressAutoHyphens/>
                        <w:ind w:firstLine="567"/>
                        <w:jc w:val="both"/>
                        <w:rPr>
                          <w:color w:val="000000"/>
                        </w:rPr>
                      </w:pPr>
                      <w:sdt>
                        <w:sdtPr>
                          <w:alias w:val="Numeris"/>
                          <w:tag w:val="nr_9ad9a149fa81448487b1424ffd680f5d"/>
                          <w:lock w:val="sdtLocked"/>
                          <w:richText/>
                        </w:sdtPr>
                        <w:sdtContent>
                          <w:r>
                            <w:rPr>
                              <w:color w:val="000000"/>
                            </w:rPr>
                            <w:t>30.4</w:t>
                          </w:r>
                        </w:sdtContent>
                      </w:sdt>
                      <w:r>
                        <w:rPr>
                          <w:color w:val="000000"/>
                        </w:rPr>
                        <w:t>. IV kategorijos jautrumo taršai teritorijose, nurodytose šių Reikalavimų 1 ir 2 prieduose, daugiau RVp užterštas gilesniųjų sluoksnių gruntas ir požeminis vanduo turi būti valomas vietoje arba iškasus – specialiai įrengtose užteršto grunto utilizavimo vietose, taip pat gali būti izoliuojamas naudojant taršos sklaidos apribojimo priemones;</w:t>
                      </w:r>
                    </w:p>
                  </w:sdtContent>
                </w:sdt>
                <w:sdt>
                  <w:sdtPr>
                    <w:alias w:val="30.5 p."/>
                    <w:tag w:val="part_663745a099fe4146bda8f27445d2e7f4"/>
                    <w:lock w:val="sdtLocked"/>
                    <w:richText/>
                  </w:sdtPr>
                  <w:sdtContent>
                    <w:p>
                      <w:pPr>
                        <w:widowControl w:val="0"/>
                        <w:suppressAutoHyphens/>
                        <w:ind w:firstLine="567"/>
                        <w:jc w:val="both"/>
                        <w:rPr>
                          <w:color w:val="000000"/>
                        </w:rPr>
                      </w:pPr>
                      <w:sdt>
                        <w:sdtPr>
                          <w:alias w:val="Numeris"/>
                          <w:tag w:val="nr_663745a099fe4146bda8f27445d2e7f4"/>
                          <w:lock w:val="sdtLocked"/>
                          <w:richText/>
                        </w:sdtPr>
                        <w:sdtContent>
                          <w:r>
                            <w:rPr>
                              <w:color w:val="000000"/>
                            </w:rPr>
                            <w:t>30.5</w:t>
                          </w:r>
                        </w:sdtContent>
                      </w:sdt>
                      <w:r>
                        <w:rPr>
                          <w:color w:val="000000"/>
                        </w:rPr>
                        <w:t>. žemės sluoksniuose esantis laisvas NP sluoksnis turi būti pašalintas (arba izoliuotas) visais atvejais ir visose teritorijose nepriklausomai nuo jų jautrumo kategorijos.</w:t>
                      </w:r>
                    </w:p>
                  </w:sdtContent>
                </w:sdt>
              </w:sdtContent>
            </w:sdt>
            <w:sdt>
              <w:sdtPr>
                <w:alias w:val="31 p."/>
                <w:tag w:val="part_9c221d7674d94ba1969be34b4be6ee86"/>
                <w:lock w:val="sdtLocked"/>
                <w:richText/>
              </w:sdtPr>
              <w:sdtContent>
                <w:p>
                  <w:pPr>
                    <w:widowControl w:val="0"/>
                    <w:suppressAutoHyphens/>
                    <w:ind w:firstLine="567"/>
                    <w:jc w:val="both"/>
                    <w:rPr>
                      <w:color w:val="000000"/>
                    </w:rPr>
                  </w:pPr>
                  <w:sdt>
                    <w:sdtPr>
                      <w:alias w:val="Numeris"/>
                      <w:tag w:val="nr_9c221d7674d94ba1969be34b4be6ee86"/>
                      <w:lock w:val="sdtLocked"/>
                      <w:richText/>
                    </w:sdtPr>
                    <w:sdtContent>
                      <w:r>
                        <w:rPr>
                          <w:color w:val="000000"/>
                        </w:rPr>
                        <w:t>31</w:t>
                      </w:r>
                    </w:sdtContent>
                  </w:sdt>
                  <w:r>
                    <w:rPr>
                      <w:color w:val="000000"/>
                    </w:rPr>
                    <w:t xml:space="preserve">. Atliekų sluoksnių sąvartynuose perdengimui, sąvartynų uždarymui gali būti naudojamas gruntas, kurio liekamasis užteršimas naftos angliavandeniliais atitinka sąlygą </w:t>
                  </w:r>
                  <w:r>
                    <w:rPr>
                      <w:b/>
                      <w:bCs/>
                      <w:color w:val="000000"/>
                    </w:rPr>
                    <w:t>(F1 + F2) + F3 / 2 ?</w:t>
                  </w:r>
                  <w:r>
                    <w:rPr>
                      <w:b/>
                      <w:bCs/>
                      <w:vanish/>
                      <w:color w:val="000000"/>
                    </w:rPr>
                    <w:t>&lt;=</w:t>
                  </w:r>
                  <w:r>
                    <w:rPr>
                      <w:b/>
                      <w:bCs/>
                      <w:color w:val="000000"/>
                    </w:rPr>
                    <w:t xml:space="preserve"> 3000 (mg/kg s.m.)</w:t>
                  </w:r>
                  <w:r>
                    <w:rPr>
                      <w:color w:val="000000"/>
                    </w:rPr>
                    <w:t>.</w:t>
                  </w:r>
                </w:p>
              </w:sdtContent>
            </w:sdt>
            <w:sdt>
              <w:sdtPr>
                <w:alias w:val="32 p."/>
                <w:tag w:val="part_3ad34bd0c9d5497eb525d86caf24177b"/>
                <w:lock w:val="sdtLocked"/>
                <w:richText/>
              </w:sdtPr>
              <w:sdtContent>
                <w:p>
                  <w:pPr>
                    <w:widowControl w:val="0"/>
                    <w:suppressAutoHyphens/>
                    <w:ind w:firstLine="567"/>
                    <w:jc w:val="both"/>
                    <w:rPr>
                      <w:color w:val="000000"/>
                    </w:rPr>
                  </w:pPr>
                  <w:sdt>
                    <w:sdtPr>
                      <w:alias w:val="Numeris"/>
                      <w:tag w:val="nr_3ad34bd0c9d5497eb525d86caf24177b"/>
                      <w:lock w:val="sdtLocked"/>
                      <w:richText/>
                    </w:sdtPr>
                    <w:sdtContent>
                      <w:r>
                        <w:rPr>
                          <w:color w:val="000000"/>
                        </w:rPr>
                        <w:t>32</w:t>
                      </w:r>
                    </w:sdtContent>
                  </w:sdt>
                  <w:r>
                    <w:rPr>
                      <w:color w:val="000000"/>
                    </w:rPr>
                    <w:t>. Keliose jautrumo taršai teritorijose esantiems objektams taikomi aukštesnio jautrumo lygio valymo ir taršos apribojimo reikalavimai bei, taršai paviršiniu ar požeminiu nuotėkiu iš vieno jautrumo teritorijos perėjus į kito jautrumo teritoriją, pastarojoje teritorijoje taikomi jai nurodyti reikalavimai.</w:t>
                  </w:r>
                </w:p>
              </w:sdtContent>
            </w:sdt>
            <w:sdt>
              <w:sdtPr>
                <w:alias w:val="33 p."/>
                <w:tag w:val="part_f5aec98bc6174da98c582d6771072da1"/>
                <w:lock w:val="sdtLocked"/>
                <w:richText/>
              </w:sdtPr>
              <w:sdtContent>
                <w:p>
                  <w:pPr>
                    <w:widowControl w:val="0"/>
                    <w:suppressAutoHyphens/>
                    <w:ind w:firstLine="567"/>
                    <w:jc w:val="both"/>
                    <w:rPr>
                      <w:color w:val="000000"/>
                    </w:rPr>
                  </w:pPr>
                  <w:sdt>
                    <w:sdtPr>
                      <w:alias w:val="Numeris"/>
                      <w:tag w:val="nr_f5aec98bc6174da98c582d6771072da1"/>
                      <w:lock w:val="sdtLocked"/>
                      <w:richText/>
                    </w:sdtPr>
                    <w:sdtContent>
                      <w:r>
                        <w:rPr>
                          <w:color w:val="000000"/>
                        </w:rPr>
                        <w:t>33</w:t>
                      </w:r>
                    </w:sdtContent>
                  </w:sdt>
                  <w:r>
                    <w:rPr>
                      <w:color w:val="000000"/>
                    </w:rPr>
                    <w:t>. Nustačius, kad požeminio vandens užteršimas ištirpusiais angliavandeniliais viršija RVp, pirmiausia būtina išsiaiškinti teršalų patekimo į požeminį vandenį židinius ir juos išvalyti arba izoliuoti. Požeminis vanduo gali būti nevalomas/neizoliuojamas, jeigu nustatoma, kad, likvidavus intensyvaus teršimo židinius, požeminio vandens taršos arealas nesiplės.</w:t>
                  </w:r>
                </w:p>
              </w:sdtContent>
            </w:sdt>
            <w:sdt>
              <w:sdtPr>
                <w:alias w:val="34 p."/>
                <w:tag w:val="part_99551450a86f4207b996d3f02900f18e"/>
                <w:lock w:val="sdtLocked"/>
                <w:richText/>
              </w:sdtPr>
              <w:sdtContent>
                <w:p>
                  <w:pPr>
                    <w:widowControl w:val="0"/>
                    <w:suppressAutoHyphens/>
                    <w:ind w:firstLine="567"/>
                    <w:jc w:val="both"/>
                    <w:rPr>
                      <w:color w:val="000000"/>
                    </w:rPr>
                  </w:pPr>
                  <w:sdt>
                    <w:sdtPr>
                      <w:alias w:val="Numeris"/>
                      <w:tag w:val="nr_99551450a86f4207b996d3f02900f18e"/>
                      <w:lock w:val="sdtLocked"/>
                      <w:richText/>
                    </w:sdtPr>
                    <w:sdtContent>
                      <w:r>
                        <w:rPr>
                          <w:color w:val="000000"/>
                        </w:rPr>
                        <w:t>34</w:t>
                      </w:r>
                    </w:sdtContent>
                  </w:sdt>
                  <w:r>
                    <w:rPr>
                      <w:color w:val="000000"/>
                    </w:rPr>
                    <w:t>. Savaiminis teritorijos apsivalymas gali būti laikomas NP užterštos teritorijos tvarkymu, jeigu joje vykdoma pagal Ūkio subjektų požeminio vandens monitoringo vykdymo tvarką patvirtinta požeminio vandens stebėsena rodo, kad taršos arealo kontūrai yra stabilūs arba taršos arealas, veikiamas natūralių gamtinių procesų, traukiasi.</w:t>
                  </w:r>
                </w:p>
              </w:sdtContent>
            </w:sdt>
            <w:sdt>
              <w:sdtPr>
                <w:alias w:val="35 p."/>
                <w:tag w:val="part_eacd161da3e8444d908072c34dd36b63"/>
                <w:lock w:val="sdtLocked"/>
                <w:richText/>
              </w:sdtPr>
              <w:sdtContent>
                <w:p>
                  <w:pPr>
                    <w:widowControl w:val="0"/>
                    <w:suppressAutoHyphens/>
                    <w:ind w:firstLine="567"/>
                    <w:jc w:val="both"/>
                    <w:rPr>
                      <w:color w:val="000000"/>
                    </w:rPr>
                  </w:pPr>
                  <w:sdt>
                    <w:sdtPr>
                      <w:alias w:val="Numeris"/>
                      <w:tag w:val="nr_eacd161da3e8444d908072c34dd36b63"/>
                      <w:lock w:val="sdtLocked"/>
                      <w:richText/>
                    </w:sdtPr>
                    <w:sdtContent>
                      <w:r>
                        <w:rPr>
                          <w:color w:val="000000"/>
                        </w:rPr>
                        <w:t>35</w:t>
                      </w:r>
                    </w:sdtContent>
                  </w:sdt>
                  <w:r>
                    <w:rPr>
                      <w:color w:val="000000"/>
                    </w:rPr>
                    <w:t>. Vykdant užterštos teritorijos dirvožemio, grunto ir požeminio vandens valymą, draudžiama naudoti tokius cheminius ir biologinius preparatus, kurie visiškai nesuskaido naftos produktų iki nekenksmingų natūralių aplinkos elementų/ cheminių junginių (pvz., H</w:t>
                  </w:r>
                  <w:r>
                    <w:rPr>
                      <w:color w:val="000000"/>
                      <w:vertAlign w:val="subscript"/>
                    </w:rPr>
                    <w:t>2</w:t>
                  </w:r>
                  <w:r>
                    <w:rPr>
                      <w:color w:val="000000"/>
                    </w:rPr>
                    <w:t>O, CO</w:t>
                  </w:r>
                  <w:r>
                    <w:rPr>
                      <w:color w:val="000000"/>
                      <w:vertAlign w:val="subscript"/>
                    </w:rPr>
                    <w:t xml:space="preserve">2 </w:t>
                  </w:r>
                  <w:r>
                    <w:rPr>
                      <w:color w:val="000000"/>
                    </w:rPr>
                    <w:t>ir kt.) arba konsoliduoja naftos produktus, arba gali turėti šalutinį poveikį aplinkai.</w:t>
                  </w:r>
                </w:p>
                <w:p>
                  <w:pPr>
                    <w:widowControl w:val="0"/>
                    <w:suppressAutoHyphens/>
                    <w:ind w:firstLine="567"/>
                    <w:jc w:val="both"/>
                    <w:rPr>
                      <w:color w:val="000000"/>
                    </w:rPr>
                  </w:pPr>
                </w:p>
              </w:sdtContent>
            </w:sdt>
          </w:sdtContent>
        </w:sdt>
        <w:sdt>
          <w:sdtPr>
            <w:alias w:val="skyrius"/>
            <w:tag w:val="part_5062404357334e53855a991256db3a75"/>
            <w:lock w:val="sdtLocked"/>
            <w:richText/>
          </w:sdtPr>
          <w:sdtContent>
            <w:p>
              <w:pPr>
                <w:widowControl w:val="0"/>
                <w:suppressAutoHyphens/>
                <w:jc w:val="center"/>
                <w:rPr>
                  <w:b/>
                  <w:bCs/>
                  <w:caps/>
                  <w:color w:val="000000"/>
                </w:rPr>
              </w:pPr>
              <w:sdt>
                <w:sdtPr>
                  <w:alias w:val="Numeris"/>
                  <w:tag w:val="nr_5062404357334e53855a991256db3a75"/>
                  <w:lock w:val="sdtLocked"/>
                  <w:richText/>
                </w:sdtPr>
                <w:sdtContent>
                  <w:r>
                    <w:rPr>
                      <w:b/>
                      <w:bCs/>
                      <w:caps/>
                      <w:color w:val="000000"/>
                    </w:rPr>
                    <w:t>VI</w:t>
                  </w:r>
                </w:sdtContent>
              </w:sdt>
              <w:r>
                <w:rPr>
                  <w:b/>
                  <w:bCs/>
                  <w:caps/>
                  <w:color w:val="000000"/>
                </w:rPr>
                <w:t xml:space="preserve">. </w:t>
              </w:r>
              <w:sdt>
                <w:sdtPr>
                  <w:alias w:val="Pavadinimas"/>
                  <w:tag w:val="title_5062404357334e53855a991256db3a75"/>
                  <w:lock w:val="sdtLocked"/>
                  <w:richText/>
                </w:sdtPr>
                <w:sdtContent>
                  <w:r>
                    <w:rPr>
                      <w:b/>
                      <w:bCs/>
                      <w:caps/>
                      <w:color w:val="000000"/>
                    </w:rPr>
                    <w:t>REIKALAVIMAI UŽTERŠTOS TERITORIJOS TVARKYMO BAIGIAMAJAI ATASKAITAI</w:t>
                  </w:r>
                </w:sdtContent>
              </w:sdt>
            </w:p>
            <w:p>
              <w:pPr>
                <w:widowControl w:val="0"/>
                <w:suppressAutoHyphens/>
                <w:ind w:firstLine="567"/>
                <w:jc w:val="both"/>
                <w:rPr>
                  <w:color w:val="000000"/>
                </w:rPr>
              </w:pPr>
            </w:p>
            <w:sdt>
              <w:sdtPr>
                <w:alias w:val="36 p."/>
                <w:tag w:val="part_c8965f676eed4e9b9aa433eda3e9389f"/>
                <w:lock w:val="sdtLocked"/>
                <w:richText/>
              </w:sdtPr>
              <w:sdtContent>
                <w:p>
                  <w:pPr>
                    <w:widowControl w:val="0"/>
                    <w:suppressAutoHyphens/>
                    <w:ind w:firstLine="567"/>
                    <w:jc w:val="both"/>
                    <w:rPr>
                      <w:color w:val="000000"/>
                    </w:rPr>
                  </w:pPr>
                  <w:sdt>
                    <w:sdtPr>
                      <w:alias w:val="Numeris"/>
                      <w:tag w:val="nr_c8965f676eed4e9b9aa433eda3e9389f"/>
                      <w:lock w:val="sdtLocked"/>
                      <w:richText/>
                    </w:sdtPr>
                    <w:sdtContent>
                      <w:r>
                        <w:rPr>
                          <w:color w:val="000000"/>
                        </w:rPr>
                        <w:t>36</w:t>
                      </w:r>
                    </w:sdtContent>
                  </w:sdt>
                  <w:r>
                    <w:rPr>
                      <w:color w:val="000000"/>
                    </w:rPr>
                    <w:t>. Užterštos teritorijos tvarkymo baigiamojoje ataskaitoje priklausomai nuo tvarkomo objekto ar teritorijos pobūdžio turi būti nurodoma ir pateikiama:</w:t>
                  </w:r>
                </w:p>
                <w:sdt>
                  <w:sdtPr>
                    <w:alias w:val="36.1 p."/>
                    <w:tag w:val="part_a867afa23c4241e1bbfd797a5ce1726c"/>
                    <w:lock w:val="sdtLocked"/>
                    <w:richText/>
                  </w:sdtPr>
                  <w:sdtContent>
                    <w:p>
                      <w:pPr>
                        <w:widowControl w:val="0"/>
                        <w:suppressAutoHyphens/>
                        <w:ind w:firstLine="567"/>
                        <w:jc w:val="both"/>
                        <w:rPr>
                          <w:color w:val="000000"/>
                        </w:rPr>
                      </w:pPr>
                      <w:sdt>
                        <w:sdtPr>
                          <w:alias w:val="Numeris"/>
                          <w:tag w:val="nr_a867afa23c4241e1bbfd797a5ce1726c"/>
                          <w:lock w:val="sdtLocked"/>
                          <w:richText/>
                        </w:sdtPr>
                        <w:sdtContent>
                          <w:r>
                            <w:rPr>
                              <w:color w:val="000000"/>
                            </w:rPr>
                            <w:t>36.1</w:t>
                          </w:r>
                        </w:sdtContent>
                      </w:sdt>
                      <w:r>
                        <w:rPr>
                          <w:color w:val="000000"/>
                        </w:rPr>
                        <w:t>. teritorijos (objekto) savininkas arba valdytojas ir naudotojas (pavadinimas, pašto adresas, kt.), žemės sklypo kadastrinis numeris;</w:t>
                      </w:r>
                    </w:p>
                  </w:sdtContent>
                </w:sdt>
                <w:sdt>
                  <w:sdtPr>
                    <w:alias w:val="36.2 p."/>
                    <w:tag w:val="part_78f57b296b2646f19d14db903998def4"/>
                    <w:lock w:val="sdtLocked"/>
                    <w:richText/>
                  </w:sdtPr>
                  <w:sdtContent>
                    <w:p>
                      <w:pPr>
                        <w:widowControl w:val="0"/>
                        <w:suppressAutoHyphens/>
                        <w:ind w:firstLine="567"/>
                        <w:jc w:val="both"/>
                        <w:rPr>
                          <w:color w:val="000000"/>
                        </w:rPr>
                      </w:pPr>
                      <w:sdt>
                        <w:sdtPr>
                          <w:alias w:val="Numeris"/>
                          <w:tag w:val="nr_78f57b296b2646f19d14db903998def4"/>
                          <w:lock w:val="sdtLocked"/>
                          <w:richText/>
                        </w:sdtPr>
                        <w:sdtContent>
                          <w:r>
                            <w:rPr>
                              <w:color w:val="000000"/>
                            </w:rPr>
                            <w:t>36.2</w:t>
                          </w:r>
                        </w:sdtContent>
                      </w:sdt>
                      <w:r>
                        <w:rPr>
                          <w:color w:val="000000"/>
                        </w:rPr>
                        <w:t>. teritorijos kampų ir centro, joje esamų ūkio objektų centrų koordinatės pagal valstybinę 1994 metų LKS-94 koordinačių sistemą. Stambaus mastelio žemėlapiai, kuriuose turi būti aiškiai nurodyta tvarkomos užterštos teritorijos vieta;</w:t>
                      </w:r>
                    </w:p>
                  </w:sdtContent>
                </w:sdt>
                <w:sdt>
                  <w:sdtPr>
                    <w:alias w:val="36.3 p."/>
                    <w:tag w:val="part_33d269d9d7fe4246b9e131a4c6a2b54d"/>
                    <w:lock w:val="sdtLocked"/>
                    <w:richText/>
                  </w:sdtPr>
                  <w:sdtContent>
                    <w:p>
                      <w:pPr>
                        <w:widowControl w:val="0"/>
                        <w:suppressAutoHyphens/>
                        <w:ind w:firstLine="567"/>
                        <w:jc w:val="both"/>
                        <w:rPr>
                          <w:color w:val="000000"/>
                        </w:rPr>
                      </w:pPr>
                      <w:sdt>
                        <w:sdtPr>
                          <w:alias w:val="Numeris"/>
                          <w:tag w:val="nr_33d269d9d7fe4246b9e131a4c6a2b54d"/>
                          <w:lock w:val="sdtLocked"/>
                          <w:richText/>
                        </w:sdtPr>
                        <w:sdtContent>
                          <w:r>
                            <w:rPr>
                              <w:color w:val="000000"/>
                            </w:rPr>
                            <w:t>36.3</w:t>
                          </w:r>
                        </w:sdtContent>
                      </w:sdt>
                      <w:r>
                        <w:rPr>
                          <w:color w:val="000000"/>
                        </w:rPr>
                        <w:t>. iki teritorijos tvarkymo atliktų detalių ekogeologinių tyrimų santrauka;</w:t>
                      </w:r>
                    </w:p>
                  </w:sdtContent>
                </w:sdt>
                <w:sdt>
                  <w:sdtPr>
                    <w:alias w:val="36.4 p."/>
                    <w:tag w:val="part_76e8aa6704924044b5bc6ffe71450f23"/>
                    <w:lock w:val="sdtLocked"/>
                    <w:richText/>
                  </w:sdtPr>
                  <w:sdtContent>
                    <w:p>
                      <w:pPr>
                        <w:widowControl w:val="0"/>
                        <w:suppressAutoHyphens/>
                        <w:ind w:firstLine="567"/>
                        <w:jc w:val="both"/>
                        <w:rPr>
                          <w:color w:val="000000"/>
                        </w:rPr>
                      </w:pPr>
                      <w:sdt>
                        <w:sdtPr>
                          <w:alias w:val="Numeris"/>
                          <w:tag w:val="nr_76e8aa6704924044b5bc6ffe71450f23"/>
                          <w:lock w:val="sdtLocked"/>
                          <w:richText/>
                        </w:sdtPr>
                        <w:sdtContent>
                          <w:r>
                            <w:rPr>
                              <w:color w:val="000000"/>
                            </w:rPr>
                            <w:t>36.4</w:t>
                          </w:r>
                        </w:sdtContent>
                      </w:sdt>
                      <w:r>
                        <w:rPr>
                          <w:color w:val="000000"/>
                        </w:rPr>
                        <w:t>. užterštos teritorijos tvarkymo tikslai, nurodant reikalaujamus grunto ir (ar) požeminio vandens išvalymo lygius, užterštos teritorijos plotas ir valytino grunto ar/ir požeminio vandens kiekis;</w:t>
                      </w:r>
                    </w:p>
                  </w:sdtContent>
                </w:sdt>
                <w:sdt>
                  <w:sdtPr>
                    <w:alias w:val="36.5 p."/>
                    <w:tag w:val="part_6a06d29264bf47c28b7824562758da8f"/>
                    <w:lock w:val="sdtLocked"/>
                    <w:richText/>
                  </w:sdtPr>
                  <w:sdtContent>
                    <w:p>
                      <w:pPr>
                        <w:widowControl w:val="0"/>
                        <w:suppressAutoHyphens/>
                        <w:ind w:firstLine="567"/>
                        <w:jc w:val="both"/>
                        <w:rPr>
                          <w:color w:val="000000"/>
                        </w:rPr>
                      </w:pPr>
                      <w:sdt>
                        <w:sdtPr>
                          <w:alias w:val="Numeris"/>
                          <w:tag w:val="nr_6a06d29264bf47c28b7824562758da8f"/>
                          <w:lock w:val="sdtLocked"/>
                          <w:richText/>
                        </w:sdtPr>
                        <w:sdtContent>
                          <w:r>
                            <w:rPr>
                              <w:color w:val="000000"/>
                            </w:rPr>
                            <w:t>36.5</w:t>
                          </w:r>
                        </w:sdtContent>
                      </w:sdt>
                      <w:r>
                        <w:rPr>
                          <w:color w:val="000000"/>
                        </w:rPr>
                        <w:t>. papildomų ekogeologinių tyrimų rezultatai, tyrimų metu išgręžtų gręžinių geologiniai techniniai pjūviai;</w:t>
                      </w:r>
                    </w:p>
                  </w:sdtContent>
                </w:sdt>
                <w:sdt>
                  <w:sdtPr>
                    <w:alias w:val="36.6 p."/>
                    <w:tag w:val="part_97a4fc581050403eae39020ef0eeffeb"/>
                    <w:lock w:val="sdtLocked"/>
                    <w:richText/>
                  </w:sdtPr>
                  <w:sdtContent>
                    <w:p>
                      <w:pPr>
                        <w:widowControl w:val="0"/>
                        <w:suppressAutoHyphens/>
                        <w:ind w:firstLine="567"/>
                        <w:jc w:val="both"/>
                        <w:rPr>
                          <w:color w:val="000000"/>
                        </w:rPr>
                      </w:pPr>
                      <w:sdt>
                        <w:sdtPr>
                          <w:alias w:val="Numeris"/>
                          <w:tag w:val="nr_97a4fc581050403eae39020ef0eeffeb"/>
                          <w:lock w:val="sdtLocked"/>
                          <w:richText/>
                        </w:sdtPr>
                        <w:sdtContent>
                          <w:r>
                            <w:rPr>
                              <w:color w:val="000000"/>
                            </w:rPr>
                            <w:t>36.6</w:t>
                          </w:r>
                        </w:sdtContent>
                      </w:sdt>
                      <w:r>
                        <w:rPr>
                          <w:color w:val="000000"/>
                        </w:rPr>
                        <w:t>. taikyto (taikytų) užterštos teritorijos tvarkymo metodo (metodų) aprašymas;</w:t>
                      </w:r>
                    </w:p>
                  </w:sdtContent>
                </w:sdt>
                <w:sdt>
                  <w:sdtPr>
                    <w:alias w:val="36.7 p."/>
                    <w:tag w:val="part_713cd471c96e40c3a2edf6e0c0e5790e"/>
                    <w:lock w:val="sdtLocked"/>
                    <w:richText/>
                  </w:sdtPr>
                  <w:sdtContent>
                    <w:p>
                      <w:pPr>
                        <w:widowControl w:val="0"/>
                        <w:suppressAutoHyphens/>
                        <w:ind w:firstLine="567"/>
                        <w:jc w:val="both"/>
                        <w:rPr>
                          <w:color w:val="000000"/>
                        </w:rPr>
                      </w:pPr>
                      <w:sdt>
                        <w:sdtPr>
                          <w:alias w:val="Numeris"/>
                          <w:tag w:val="nr_713cd471c96e40c3a2edf6e0c0e5790e"/>
                          <w:lock w:val="sdtLocked"/>
                          <w:richText/>
                        </w:sdtPr>
                        <w:sdtContent>
                          <w:r>
                            <w:rPr>
                              <w:color w:val="000000"/>
                            </w:rPr>
                            <w:t>36.7</w:t>
                          </w:r>
                        </w:sdtContent>
                      </w:sdt>
                      <w:r>
                        <w:rPr>
                          <w:color w:val="000000"/>
                        </w:rPr>
                        <w:t>. užterštos teritorijos tvarkymo metu ir po jo vykdyto monitoringo rezultatai;</w:t>
                      </w:r>
                    </w:p>
                  </w:sdtContent>
                </w:sdt>
                <w:sdt>
                  <w:sdtPr>
                    <w:alias w:val="36.8 p."/>
                    <w:tag w:val="part_95d5f4ff33164ec3a4750f50703b2b0e"/>
                    <w:lock w:val="sdtLocked"/>
                    <w:richText/>
                  </w:sdtPr>
                  <w:sdtContent>
                    <w:p>
                      <w:pPr>
                        <w:widowControl w:val="0"/>
                        <w:suppressAutoHyphens/>
                        <w:ind w:firstLine="567"/>
                        <w:jc w:val="both"/>
                        <w:rPr>
                          <w:color w:val="000000"/>
                        </w:rPr>
                      </w:pPr>
                      <w:sdt>
                        <w:sdtPr>
                          <w:alias w:val="Numeris"/>
                          <w:tag w:val="nr_95d5f4ff33164ec3a4750f50703b2b0e"/>
                          <w:lock w:val="sdtLocked"/>
                          <w:richText/>
                        </w:sdtPr>
                        <w:sdtContent>
                          <w:r>
                            <w:rPr>
                              <w:color w:val="000000"/>
                            </w:rPr>
                            <w:t>36.8</w:t>
                          </w:r>
                        </w:sdtContent>
                      </w:sdt>
                      <w:r>
                        <w:rPr>
                          <w:color w:val="000000"/>
                        </w:rPr>
                        <w:t>. lentelės, grafikai, pagrindžiantys, kad užterštos teritorijos tvarkymo tikslai pasiekti;</w:t>
                      </w:r>
                    </w:p>
                  </w:sdtContent>
                </w:sdt>
                <w:sdt>
                  <w:sdtPr>
                    <w:alias w:val="36.9 p."/>
                    <w:tag w:val="part_a28e1591b8304db3ab882b9a3ed8b958"/>
                    <w:lock w:val="sdtLocked"/>
                    <w:richText/>
                  </w:sdtPr>
                  <w:sdtContent>
                    <w:p>
                      <w:pPr>
                        <w:widowControl w:val="0"/>
                        <w:suppressAutoHyphens/>
                        <w:ind w:firstLine="567"/>
                        <w:jc w:val="both"/>
                        <w:rPr>
                          <w:color w:val="000000"/>
                        </w:rPr>
                      </w:pPr>
                      <w:sdt>
                        <w:sdtPr>
                          <w:alias w:val="Numeris"/>
                          <w:tag w:val="nr_a28e1591b8304db3ab882b9a3ed8b958"/>
                          <w:lock w:val="sdtLocked"/>
                          <w:richText/>
                        </w:sdtPr>
                        <w:sdtContent>
                          <w:r>
                            <w:rPr>
                              <w:color w:val="000000"/>
                            </w:rPr>
                            <w:t>36.9</w:t>
                          </w:r>
                        </w:sdtContent>
                      </w:sdt>
                      <w:r>
                        <w:rPr>
                          <w:color w:val="000000"/>
                        </w:rPr>
                        <w:t>. patvirtintos dokumentų kopijos apie užterštos teritorijos tvarkymo metu susidariusių atliekų tvarkymą;</w:t>
                      </w:r>
                    </w:p>
                  </w:sdtContent>
                </w:sdt>
                <w:sdt>
                  <w:sdtPr>
                    <w:alias w:val="36.10 p."/>
                    <w:tag w:val="part_c96511a2d67d44b2890ec31d132a593e"/>
                    <w:lock w:val="sdtLocked"/>
                    <w:richText/>
                  </w:sdtPr>
                  <w:sdtContent>
                    <w:p>
                      <w:pPr>
                        <w:widowControl w:val="0"/>
                        <w:suppressAutoHyphens/>
                        <w:ind w:firstLine="567"/>
                        <w:jc w:val="both"/>
                        <w:rPr>
                          <w:color w:val="000000"/>
                        </w:rPr>
                      </w:pPr>
                      <w:sdt>
                        <w:sdtPr>
                          <w:alias w:val="Numeris"/>
                          <w:tag w:val="nr_c96511a2d67d44b2890ec31d132a593e"/>
                          <w:lock w:val="sdtLocked"/>
                          <w:richText/>
                        </w:sdtPr>
                        <w:sdtContent>
                          <w:r>
                            <w:rPr>
                              <w:color w:val="000000"/>
                            </w:rPr>
                            <w:t>36.10</w:t>
                          </w:r>
                        </w:sdtContent>
                      </w:sdt>
                      <w:r>
                        <w:rPr>
                          <w:color w:val="000000"/>
                        </w:rPr>
                        <w:t>. atliktų fizinių ir cheminių tyrimų protokolų patvirtintos kopijos;</w:t>
                      </w:r>
                    </w:p>
                  </w:sdtContent>
                </w:sdt>
                <w:sdt>
                  <w:sdtPr>
                    <w:alias w:val="36.11 p."/>
                    <w:tag w:val="part_65f81f32f81b4d55b85edad9ef62b026"/>
                    <w:lock w:val="sdtLocked"/>
                    <w:richText/>
                  </w:sdtPr>
                  <w:sdtContent>
                    <w:p>
                      <w:pPr>
                        <w:widowControl w:val="0"/>
                        <w:suppressAutoHyphens/>
                        <w:ind w:firstLine="567"/>
                        <w:jc w:val="both"/>
                        <w:rPr>
                          <w:color w:val="000000"/>
                        </w:rPr>
                      </w:pPr>
                      <w:sdt>
                        <w:sdtPr>
                          <w:alias w:val="Numeris"/>
                          <w:tag w:val="nr_65f81f32f81b4d55b85edad9ef62b026"/>
                          <w:lock w:val="sdtLocked"/>
                          <w:richText/>
                        </w:sdtPr>
                        <w:sdtContent>
                          <w:r>
                            <w:rPr>
                              <w:color w:val="000000"/>
                            </w:rPr>
                            <w:t>36.11</w:t>
                          </w:r>
                        </w:sdtContent>
                      </w:sdt>
                      <w:r>
                        <w:rPr>
                          <w:color w:val="000000"/>
                        </w:rPr>
                        <w:t>. lentelė su naudotais cheminio bandinių tyrimo metodais ir jų jautrumo ribomis;</w:t>
                      </w:r>
                    </w:p>
                  </w:sdtContent>
                </w:sdt>
                <w:sdt>
                  <w:sdtPr>
                    <w:alias w:val="36.12 p."/>
                    <w:tag w:val="part_080cd09dbf9f4518a8d55fa9237bb240"/>
                    <w:lock w:val="sdtLocked"/>
                    <w:richText/>
                  </w:sdtPr>
                  <w:sdtContent>
                    <w:p>
                      <w:pPr>
                        <w:widowControl w:val="0"/>
                        <w:suppressAutoHyphens/>
                        <w:ind w:firstLine="567"/>
                        <w:jc w:val="both"/>
                        <w:rPr>
                          <w:color w:val="000000"/>
                        </w:rPr>
                      </w:pPr>
                      <w:sdt>
                        <w:sdtPr>
                          <w:alias w:val="Numeris"/>
                          <w:tag w:val="nr_080cd09dbf9f4518a8d55fa9237bb240"/>
                          <w:lock w:val="sdtLocked"/>
                          <w:richText/>
                        </w:sdtPr>
                        <w:sdtContent>
                          <w:r>
                            <w:rPr>
                              <w:color w:val="000000"/>
                            </w:rPr>
                            <w:t>36.12</w:t>
                          </w:r>
                        </w:sdtContent>
                      </w:sdt>
                      <w:r>
                        <w:rPr>
                          <w:color w:val="000000"/>
                        </w:rPr>
                        <w:t>. kita informacija, nurodyta užterštos teritorijos tvarkymo plane, galinti palengvinti užterštos teritorijos tvarkymo baigiamosios ataskaitos vertinimą.</w:t>
                      </w:r>
                    </w:p>
                  </w:sdtContent>
                </w:sdt>
              </w:sdtContent>
            </w:sdt>
            <w:sdt>
              <w:sdtPr>
                <w:alias w:val="37 p."/>
                <w:tag w:val="part_ea4c089aff0443f288c8e867604e0641"/>
                <w:lock w:val="sdtLocked"/>
                <w:richText/>
              </w:sdtPr>
              <w:sdtContent>
                <w:p>
                  <w:pPr>
                    <w:widowControl w:val="0"/>
                    <w:suppressAutoHyphens/>
                    <w:ind w:firstLine="567"/>
                    <w:jc w:val="both"/>
                    <w:rPr>
                      <w:color w:val="000000"/>
                    </w:rPr>
                  </w:pPr>
                  <w:sdt>
                    <w:sdtPr>
                      <w:alias w:val="Numeris"/>
                      <w:tag w:val="nr_ea4c089aff0443f288c8e867604e0641"/>
                      <w:lock w:val="sdtLocked"/>
                      <w:richText/>
                    </w:sdtPr>
                    <w:sdtContent>
                      <w:r>
                        <w:rPr>
                          <w:color w:val="000000"/>
                        </w:rPr>
                        <w:t>37</w:t>
                      </w:r>
                    </w:sdtContent>
                  </w:sdt>
                  <w:r>
                    <w:rPr>
                      <w:color w:val="000000"/>
                    </w:rPr>
                    <w:t>. Užterštos teritorijos tvarkymo baigiamoji ataskaita turi būti pateikta Lietuvos geologijos tarnybai atspausdinta ir elektroninėje laikmenoje (CD_R).</w:t>
                  </w:r>
                </w:p>
              </w:sdtContent>
            </w:sdt>
            <w:sdt>
              <w:sdtPr>
                <w:alias w:val="38 p."/>
                <w:tag w:val="part_da2c2e427c224ef399131e58878e886a"/>
                <w:lock w:val="sdtLocked"/>
                <w:richText/>
              </w:sdtPr>
              <w:sdtContent>
                <w:p>
                  <w:pPr>
                    <w:widowControl w:val="0"/>
                    <w:suppressAutoHyphens/>
                    <w:ind w:firstLine="567"/>
                    <w:jc w:val="both"/>
                    <w:rPr>
                      <w:color w:val="000000"/>
                    </w:rPr>
                  </w:pPr>
                  <w:sdt>
                    <w:sdtPr>
                      <w:alias w:val="Numeris"/>
                      <w:tag w:val="nr_da2c2e427c224ef399131e58878e886a"/>
                      <w:lock w:val="sdtLocked"/>
                      <w:richText/>
                    </w:sdtPr>
                    <w:sdtContent>
                      <w:r>
                        <w:rPr>
                          <w:color w:val="000000"/>
                        </w:rPr>
                        <w:t>38</w:t>
                      </w:r>
                    </w:sdtContent>
                  </w:sdt>
                  <w:r>
                    <w:rPr>
                      <w:color w:val="000000"/>
                    </w:rPr>
                    <w:t>. Užterštos teritorijos tvarkymo darbų ataskaita yra vertinama Cheminėmis medžiagomis užterštų teritorijų tvarkymo aplinkos apsaugos reikalavimuose nurodyta tvarka.</w:t>
                  </w:r>
                </w:p>
              </w:sdtContent>
            </w:sdt>
            <w:sdt>
              <w:sdtPr>
                <w:alias w:val="39 p."/>
                <w:tag w:val="part_4aa04addb6fd442787db4c7e0203a4ac"/>
                <w:lock w:val="sdtLocked"/>
                <w:richText/>
              </w:sdtPr>
              <w:sdtContent>
                <w:p>
                  <w:pPr>
                    <w:suppressAutoHyphens/>
                    <w:ind w:firstLine="567"/>
                    <w:jc w:val="both"/>
                    <w:rPr>
                      <w:color w:val="000000"/>
                    </w:rPr>
                  </w:pPr>
                  <w:sdt>
                    <w:sdtPr>
                      <w:alias w:val="Numeris"/>
                      <w:tag w:val="nr_4aa04addb6fd442787db4c7e0203a4ac"/>
                      <w:lock w:val="sdtLocked"/>
                      <w:richText/>
                    </w:sdtPr>
                    <w:sdtContent>
                      <w:r>
                        <w:rPr>
                          <w:color w:val="000000"/>
                          <w:szCs w:val="24"/>
                        </w:rPr>
                        <w:t>39</w:t>
                      </w:r>
                    </w:sdtContent>
                  </w:sdt>
                  <w:r>
                    <w:rPr>
                      <w:color w:val="000000"/>
                      <w:szCs w:val="24"/>
                    </w:rPr>
                    <w:t>. AAD, vadovaudamasis Lietuvos geologijos tarnybos vertinamosiomis išvadomis, turi teisę nuspręsti, kad NP užterštos teritorijos tvarkymo tikslai yra pasiekti ir jokios papildomos aplinkos atkūrimo priemonės nebebūtų taikomos, jei jau taikytos aplinkos atkūrimo priemonės užtikrina, kad nebėra didesnio pavojaus, kad bus padarytas neigiamas poveikis žmogaus sveikatai, požeminiam vandeniui ir (ar) su juo susijusioms ekosistemoms.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1ccb60793611e8ae2bfd1913d66d57">
                    <w:r w:rsidRPr="00532B9F">
                      <w:rPr>
                        <w:rFonts w:ascii="Times New Roman" w:eastAsia="MS Mincho" w:hAnsi="Times New Roman"/>
                        <w:sz w:val="20"/>
                        <w:i/>
                        <w:iCs/>
                        <w:color w:val="0000FF" w:themeColor="hyperlink"/>
                        <w:u w:val="single"/>
                      </w:rPr>
                      <w:t>D1-556</w:t>
                    </w:r>
                  </w:fldSimple>
                  <w:r>
                    <w:rPr>
                      <w:rFonts w:ascii="Times New Roman" w:eastAsia="MS Mincho" w:hAnsi="Times New Roman"/>
                      <w:sz w:val="20"/>
                      <w:i/>
                      <w:iCs/>
                    </w:rPr>
                    <w:t>,
2018-06-22,
paskelbta TAR 2018-06-26, i. k. 2018-10502            </w:t>
                  </w:r>
                </w:p>
                <w:p/>
              </w:sdtContent>
            </w:sdt>
          </w:sdtContent>
        </w:sdt>
        <w:sdt>
          <w:sdtPr>
            <w:alias w:val="skyrius"/>
            <w:tag w:val="part_8beeb1fc98974af48f11fc55c4eb1c70"/>
            <w:lock w:val="sdtLocked"/>
            <w:richText/>
          </w:sdtPr>
          <w:sdtContent>
            <w:p>
              <w:pPr>
                <w:widowControl w:val="0"/>
                <w:suppressAutoHyphens/>
                <w:jc w:val="center"/>
                <w:rPr>
                  <w:b/>
                  <w:bCs/>
                  <w:caps/>
                  <w:color w:val="000000"/>
                </w:rPr>
              </w:pPr>
              <w:sdt>
                <w:sdtPr>
                  <w:alias w:val="Numeris"/>
                  <w:tag w:val="nr_8beeb1fc98974af48f11fc55c4eb1c70"/>
                  <w:lock w:val="sdtLocked"/>
                  <w:richText/>
                </w:sdtPr>
                <w:sdtContent>
                  <w:r>
                    <w:rPr>
                      <w:b/>
                      <w:bCs/>
                      <w:caps/>
                      <w:color w:val="000000"/>
                    </w:rPr>
                    <w:t>VII</w:t>
                  </w:r>
                </w:sdtContent>
              </w:sdt>
              <w:r>
                <w:rPr>
                  <w:b/>
                  <w:bCs/>
                  <w:caps/>
                  <w:color w:val="000000"/>
                </w:rPr>
                <w:t xml:space="preserve">. </w:t>
              </w:r>
              <w:sdt>
                <w:sdtPr>
                  <w:alias w:val="Pavadinimas"/>
                  <w:tag w:val="title_8beeb1fc98974af48f11fc55c4eb1c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40 p."/>
                <w:tag w:val="part_ca00698d21764692abe8c0d9df118fc1"/>
                <w:lock w:val="sdtLocked"/>
                <w:richText/>
              </w:sdtPr>
              <w:sdtContent>
                <w:p>
                  <w:pPr>
                    <w:widowControl w:val="0"/>
                    <w:suppressAutoHyphens/>
                    <w:ind w:firstLine="567"/>
                    <w:jc w:val="both"/>
                    <w:rPr>
                      <w:color w:val="000000"/>
                    </w:rPr>
                  </w:pPr>
                  <w:sdt>
                    <w:sdtPr>
                      <w:alias w:val="Numeris"/>
                      <w:tag w:val="nr_ca00698d21764692abe8c0d9df118fc1"/>
                      <w:lock w:val="sdtLocked"/>
                      <w:richText/>
                    </w:sdtPr>
                    <w:sdtContent>
                      <w:r>
                        <w:rPr>
                          <w:color w:val="000000"/>
                        </w:rPr>
                        <w:t>40</w:t>
                      </w:r>
                    </w:sdtContent>
                  </w:sdt>
                  <w:r>
                    <w:rPr>
                      <w:color w:val="000000"/>
                    </w:rPr>
                    <w:t>. Užterštos teritorijos tvarkymo darbus ir/ar ekogeologinį tyrimą vykdantys asmenys už teikiamų duomenų išsamumą ir tikslumą atsako Lietuvos Respublikos įstatymų nustatyta tvarka.</w:t>
                  </w:r>
                </w:p>
              </w:sdtContent>
            </w:sdt>
            <w:sdt>
              <w:sdtPr>
                <w:alias w:val="41 p."/>
                <w:tag w:val="part_568cfa79193b47adaf33c3ac4cd382e5"/>
                <w:lock w:val="sdtLocked"/>
                <w:richText/>
              </w:sdtPr>
              <w:sdtContent>
                <w:p>
                  <w:pPr>
                    <w:widowControl w:val="0"/>
                    <w:suppressAutoHyphens/>
                    <w:ind w:firstLine="567"/>
                    <w:jc w:val="both"/>
                    <w:rPr>
                      <w:color w:val="000000"/>
                    </w:rPr>
                  </w:pPr>
                  <w:sdt>
                    <w:sdtPr>
                      <w:alias w:val="Numeris"/>
                      <w:tag w:val="nr_568cfa79193b47adaf33c3ac4cd382e5"/>
                      <w:lock w:val="sdtLocked"/>
                      <w:richText/>
                    </w:sdtPr>
                    <w:sdtContent>
                      <w:r>
                        <w:rPr>
                          <w:color w:val="000000"/>
                        </w:rPr>
                        <w:t>41</w:t>
                      </w:r>
                    </w:sdtContent>
                  </w:sdt>
                  <w:r>
                    <w:rPr>
                      <w:color w:val="000000"/>
                    </w:rPr>
                    <w:t>. Asmenys, pažeidę Reikalavimų reikalavimus, atsako Lietuvos Respublikos įstatymų nustatyta tvarka.</w:t>
                  </w:r>
                </w:p>
              </w:sdtContent>
            </w:sdt>
            <w:sdt>
              <w:sdtPr>
                <w:alias w:val="42 p."/>
                <w:tag w:val="part_7af933f17219401fa2247aac7d75327d"/>
                <w:lock w:val="sdtLocked"/>
                <w:richText/>
              </w:sdtPr>
              <w:sdtContent>
                <w:p>
                  <w:pPr>
                    <w:widowControl w:val="0"/>
                    <w:suppressAutoHyphens/>
                    <w:ind w:firstLine="567"/>
                    <w:jc w:val="both"/>
                    <w:rPr>
                      <w:color w:val="000000"/>
                    </w:rPr>
                  </w:pPr>
                  <w:sdt>
                    <w:sdtPr>
                      <w:alias w:val="Numeris"/>
                      <w:tag w:val="nr_7af933f17219401fa2247aac7d75327d"/>
                      <w:lock w:val="sdtLocked"/>
                      <w:richText/>
                    </w:sdtPr>
                    <w:sdtContent>
                      <w:r>
                        <w:rPr>
                          <w:color w:val="000000"/>
                        </w:rPr>
                        <w:t>42</w:t>
                      </w:r>
                    </w:sdtContent>
                  </w:sdt>
                  <w:r>
                    <w:rPr>
                      <w:color w:val="000000"/>
                    </w:rPr>
                    <w:t xml:space="preserve">. Sprendimas dėl ekogeologinių tyrimų vertinimo gali būti skundžiamas Administracinių bylų teisenos įstatymo (Žin., 1999, Nr. </w:t>
                  </w:r>
                  <w:hyperlink r:id="rId33" w:tgtFrame="_blank" w:history="1">
                    <w:r>
                      <w:rPr>
                        <w:color w:val="0000FF" w:themeColor="hyperlink"/>
                        <w:u w:val="single"/>
                      </w:rPr>
                      <w:t>13-308</w:t>
                    </w:r>
                  </w:hyperlink>
                  <w:r>
                    <w:rPr>
                      <w:color w:val="000000"/>
                    </w:rPr>
                    <w:t xml:space="preserve">; 2000, Nr. </w:t>
                  </w:r>
                  <w:hyperlink r:id="rId34" w:tgtFrame="_blank" w:history="1">
                    <w:r>
                      <w:rPr>
                        <w:color w:val="0000FF" w:themeColor="hyperlink"/>
                        <w:u w:val="single"/>
                      </w:rPr>
                      <w:t>85-2566</w:t>
                    </w:r>
                  </w:hyperlink>
                  <w:r>
                    <w:rPr>
                      <w:color w:val="000000"/>
                    </w:rPr>
                    <w:t>) nustatyta tvarka.</w:t>
                  </w:r>
                </w:p>
              </w:sdtContent>
            </w:sdt>
          </w:sdtContent>
        </w:sdt>
        <w:sdt>
          <w:sdtPr>
            <w:alias w:val="pabaiga"/>
            <w:tag w:val="part_d9f9db790f0344b786723b8d369c7688"/>
            <w:lock w:val="sdtLocked"/>
            <w:richText/>
          </w:sdtPr>
          <w:sdtContent>
            <w:p>
              <w:pPr>
                <w:widowControl w:val="0"/>
                <w:suppressAutoHyphens/>
                <w:jc w:val="center"/>
              </w:pPr>
              <w:r>
                <w:rPr>
                  <w:color w:val="000000"/>
                </w:rPr>
                <w:t>_________________</w:t>
              </w:r>
            </w:p>
          </w:sdtContent>
        </w:sdt>
      </w:sdtContent>
    </w:sdt>
    <w:sdt>
      <w:sdtPr>
        <w:alias w:val="1 pr."/>
        <w:tag w:val="part_f9b89276283940ada8a91f74c441478f"/>
        <w:lock w:val="sdtLocked"/>
        <w:richText/>
      </w:sdtPr>
      <w:sdtContent>
        <w:p>
          <w:pPr>
            <w:tabs>
              <w:tab w:val="left" w:pos="1304"/>
              <w:tab w:val="left" w:pos="1457"/>
              <w:tab w:val="left" w:pos="1604"/>
              <w:tab w:val="left" w:pos="1757"/>
              <w:tab w:val="left" w:pos="6000"/>
            </w:tabs>
            <w:ind w:left="4535"/>
          </w:pPr>
          <w:r>
            <w:br w:type="page"/>
            <w:t xml:space="preserve">Naftos produktais užterštų teritorijų tvarkymo </w:t>
          </w:r>
        </w:p>
        <w:p>
          <w:pPr>
            <w:tabs>
              <w:tab w:val="left" w:pos="1304"/>
              <w:tab w:val="left" w:pos="1457"/>
              <w:tab w:val="left" w:pos="1604"/>
              <w:tab w:val="left" w:pos="1757"/>
              <w:tab w:val="left" w:pos="6000"/>
            </w:tabs>
            <w:ind w:left="4535"/>
          </w:pPr>
          <w:r>
            <w:t>aplinkos apsaugos reikalavimų LAND 9-2009</w:t>
          </w:r>
        </w:p>
        <w:p>
          <w:pPr>
            <w:tabs>
              <w:tab w:val="left" w:pos="1304"/>
              <w:tab w:val="left" w:pos="1457"/>
              <w:tab w:val="left" w:pos="1604"/>
              <w:tab w:val="left" w:pos="1757"/>
              <w:tab w:val="left" w:pos="6000"/>
            </w:tabs>
            <w:ind w:left="4535"/>
          </w:pPr>
          <w:sdt>
            <w:sdtPr>
              <w:alias w:val="Numeris"/>
              <w:tag w:val="nr_f9b89276283940ada8a91f74c441478f"/>
              <w:lock w:val="sdtLocked"/>
              <w:richText/>
            </w:sdtPr>
            <w:sdtContent>
              <w:r>
                <w:t>1</w:t>
              </w:r>
            </w:sdtContent>
          </w:sdt>
          <w:r>
            <w:t xml:space="preserve"> priedas</w:t>
          </w:r>
        </w:p>
        <w:p>
          <w:pPr>
            <w:tabs>
              <w:tab w:val="left" w:pos="1304"/>
              <w:tab w:val="left" w:pos="1457"/>
              <w:tab w:val="left" w:pos="1604"/>
              <w:tab w:val="left" w:pos="1757"/>
            </w:tabs>
          </w:pPr>
        </w:p>
        <w:p>
          <w:pPr>
            <w:jc w:val="center"/>
            <w:rPr>
              <w:b/>
              <w:caps/>
            </w:rPr>
          </w:pPr>
          <w:sdt>
            <w:sdtPr>
              <w:alias w:val="Pavadinimas"/>
              <w:tag w:val="title_f9b89276283940ada8a91f74c441478f"/>
              <w:lock w:val="sdtLocked"/>
              <w:richText/>
            </w:sdtPr>
            <w:sdtContent>
              <w:r>
                <w:rPr>
                  <w:b/>
                  <w:caps/>
                </w:rPr>
                <w:t>Molinio grunto užteršimo angliavandeniliais ribinės vertės</w:t>
              </w:r>
            </w:sdtContent>
          </w:sdt>
        </w:p>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04"/>
            <w:gridCol w:w="1028"/>
            <w:gridCol w:w="3189"/>
            <w:gridCol w:w="1005"/>
            <w:gridCol w:w="1005"/>
            <w:gridCol w:w="1126"/>
            <w:gridCol w:w="1051"/>
          </w:tblGrid>
          <w:tr>
            <w:trPr>
              <w:tblHeader/>
            </w:trPr>
            <w:tc>
              <w:tcPr>
                <w:tcW w:w="1832" w:type="dxa"/>
                <w:gridSpan w:val="2"/>
              </w:tcPr>
              <w:p>
                <w:pPr>
                  <w:jc w:val="center"/>
                  <w:rPr>
                    <w:sz w:val="22"/>
                    <w:szCs w:val="22"/>
                  </w:rPr>
                </w:pPr>
                <w:r>
                  <w:rPr>
                    <w:sz w:val="22"/>
                    <w:szCs w:val="22"/>
                  </w:rPr>
                  <w:t>Teritorijos jautrumas taršai</w:t>
                </w:r>
              </w:p>
            </w:tc>
            <w:tc>
              <w:tcPr>
                <w:tcW w:w="3189" w:type="dxa"/>
                <w:vMerge w:val="restart"/>
                <w:vAlign w:val="center"/>
              </w:tcPr>
              <w:p>
                <w:pPr>
                  <w:jc w:val="center"/>
                  <w:rPr>
                    <w:sz w:val="22"/>
                    <w:szCs w:val="22"/>
                  </w:rPr>
                </w:pPr>
                <w:r>
                  <w:rPr>
                    <w:sz w:val="22"/>
                    <w:szCs w:val="22"/>
                  </w:rPr>
                  <w:t>Teritorijos naudojimo</w:t>
                </w:r>
              </w:p>
              <w:p>
                <w:pPr>
                  <w:jc w:val="center"/>
                  <w:rPr>
                    <w:sz w:val="22"/>
                    <w:szCs w:val="22"/>
                  </w:rPr>
                </w:pPr>
                <w:r>
                  <w:rPr>
                    <w:sz w:val="22"/>
                    <w:szCs w:val="22"/>
                  </w:rPr>
                  <w:t>pobūdis</w:t>
                </w:r>
              </w:p>
            </w:tc>
            <w:tc>
              <w:tcPr>
                <w:tcW w:w="4187" w:type="dxa"/>
                <w:gridSpan w:val="4"/>
                <w:vAlign w:val="center"/>
              </w:tcPr>
              <w:p>
                <w:pPr>
                  <w:jc w:val="center"/>
                  <w:rPr>
                    <w:sz w:val="22"/>
                    <w:szCs w:val="22"/>
                  </w:rPr>
                </w:pPr>
                <w:r>
                  <w:rPr>
                    <w:sz w:val="22"/>
                    <w:szCs w:val="22"/>
                  </w:rPr>
                  <w:t>* RV, mg/kg s.g.</w:t>
                </w:r>
              </w:p>
            </w:tc>
          </w:tr>
          <w:tr>
            <w:trPr>
              <w:tblHeader/>
            </w:trPr>
            <w:tc>
              <w:tcPr>
                <w:tcW w:w="804" w:type="dxa"/>
                <w:vMerge w:val="restart"/>
                <w:vAlign w:val="center"/>
              </w:tcPr>
              <w:p>
                <w:pPr>
                  <w:jc w:val="center"/>
                  <w:rPr>
                    <w:sz w:val="22"/>
                    <w:szCs w:val="22"/>
                  </w:rPr>
                </w:pPr>
                <w:r>
                  <w:rPr>
                    <w:sz w:val="22"/>
                    <w:szCs w:val="22"/>
                  </w:rPr>
                  <w:t>Kategorija</w:t>
                </w:r>
              </w:p>
            </w:tc>
            <w:tc>
              <w:tcPr>
                <w:tcW w:w="1028" w:type="dxa"/>
                <w:vMerge w:val="restart"/>
                <w:vAlign w:val="center"/>
              </w:tcPr>
              <w:p>
                <w:pPr>
                  <w:jc w:val="center"/>
                  <w:rPr>
                    <w:sz w:val="22"/>
                    <w:szCs w:val="22"/>
                  </w:rPr>
                </w:pPr>
                <w:r>
                  <w:rPr>
                    <w:sz w:val="22"/>
                    <w:szCs w:val="22"/>
                  </w:rPr>
                  <w:t>Jautrumo lygis</w:t>
                </w:r>
              </w:p>
            </w:tc>
            <w:tc>
              <w:tcPr>
                <w:tcW w:w="3189" w:type="dxa"/>
                <w:vMerge/>
              </w:tcPr>
              <w:p>
                <w:pPr>
                  <w:jc w:val="center"/>
                  <w:rPr>
                    <w:sz w:val="22"/>
                    <w:szCs w:val="22"/>
                  </w:rPr>
                </w:pPr>
              </w:p>
            </w:tc>
            <w:tc>
              <w:tcPr>
                <w:tcW w:w="3136" w:type="dxa"/>
                <w:gridSpan w:val="3"/>
                <w:vAlign w:val="center"/>
              </w:tcPr>
              <w:p>
                <w:pPr>
                  <w:jc w:val="center"/>
                  <w:rPr>
                    <w:sz w:val="22"/>
                    <w:szCs w:val="22"/>
                  </w:rPr>
                </w:pPr>
                <w:r>
                  <w:rPr>
                    <w:sz w:val="22"/>
                    <w:szCs w:val="22"/>
                  </w:rPr>
                  <w:t>Angliavandenilių frakcija</w:t>
                </w:r>
              </w:p>
            </w:tc>
            <w:tc>
              <w:tcPr>
                <w:tcW w:w="1051" w:type="dxa"/>
                <w:vMerge w:val="restart"/>
                <w:vAlign w:val="center"/>
              </w:tcPr>
              <w:p>
                <w:pPr>
                  <w:jc w:val="center"/>
                  <w:rPr>
                    <w:sz w:val="22"/>
                    <w:szCs w:val="22"/>
                  </w:rPr>
                </w:pPr>
                <w:r>
                  <w:rPr>
                    <w:sz w:val="22"/>
                    <w:szCs w:val="22"/>
                  </w:rPr>
                  <w:t xml:space="preserve">Bendras NP kiekis </w:t>
                </w:r>
                <w:r>
                  <w:rPr>
                    <w:sz w:val="22"/>
                    <w:szCs w:val="22"/>
                    <w:vertAlign w:val="superscript"/>
                  </w:rPr>
                  <w:t>(a)</w:t>
                </w:r>
              </w:p>
            </w:tc>
          </w:tr>
          <w:tr>
            <w:trPr>
              <w:trHeight w:val="577"/>
              <w:tblHeader/>
            </w:trPr>
            <w:tc>
              <w:tcPr>
                <w:tcW w:w="804" w:type="dxa"/>
                <w:vMerge/>
              </w:tcPr>
              <w:p>
                <w:pPr>
                  <w:jc w:val="center"/>
                  <w:rPr>
                    <w:sz w:val="22"/>
                    <w:szCs w:val="22"/>
                  </w:rPr>
                </w:pPr>
              </w:p>
            </w:tc>
            <w:tc>
              <w:tcPr>
                <w:tcW w:w="1028" w:type="dxa"/>
                <w:vMerge/>
              </w:tcPr>
              <w:p>
                <w:pPr>
                  <w:jc w:val="center"/>
                  <w:rPr>
                    <w:sz w:val="22"/>
                    <w:szCs w:val="22"/>
                  </w:rPr>
                </w:pPr>
              </w:p>
            </w:tc>
            <w:tc>
              <w:tcPr>
                <w:tcW w:w="3189" w:type="dxa"/>
                <w:vMerge/>
              </w:tcPr>
              <w:p>
                <w:pPr>
                  <w:jc w:val="center"/>
                  <w:rPr>
                    <w:sz w:val="22"/>
                    <w:szCs w:val="22"/>
                  </w:rPr>
                </w:pPr>
              </w:p>
            </w:tc>
            <w:tc>
              <w:tcPr>
                <w:tcW w:w="1005" w:type="dxa"/>
                <w:vAlign w:val="center"/>
              </w:tcPr>
              <w:p>
                <w:pPr>
                  <w:jc w:val="center"/>
                  <w:rPr>
                    <w:b/>
                    <w:sz w:val="22"/>
                    <w:szCs w:val="22"/>
                  </w:rPr>
                </w:pPr>
                <w:r>
                  <w:rPr>
                    <w:b/>
                    <w:sz w:val="22"/>
                    <w:szCs w:val="22"/>
                  </w:rPr>
                  <w:t>F-1</w:t>
                </w:r>
              </w:p>
              <w:p>
                <w:pPr>
                  <w:jc w:val="center"/>
                  <w:rPr>
                    <w:sz w:val="22"/>
                    <w:szCs w:val="22"/>
                  </w:rPr>
                </w:pPr>
                <w:r>
                  <w:rPr>
                    <w:sz w:val="22"/>
                    <w:szCs w:val="22"/>
                  </w:rPr>
                  <w:t>C</w:t>
                </w:r>
                <w:r>
                  <w:rPr>
                    <w:sz w:val="22"/>
                    <w:szCs w:val="22"/>
                    <w:vertAlign w:val="subscript"/>
                  </w:rPr>
                  <w:t>6</w:t>
                </w:r>
                <w:r>
                  <w:rPr>
                    <w:sz w:val="22"/>
                    <w:szCs w:val="22"/>
                  </w:rPr>
                  <w:t>-C</w:t>
                </w:r>
                <w:r>
                  <w:rPr>
                    <w:sz w:val="22"/>
                    <w:szCs w:val="22"/>
                    <w:vertAlign w:val="subscript"/>
                  </w:rPr>
                  <w:t>10</w:t>
                </w:r>
              </w:p>
            </w:tc>
            <w:tc>
              <w:tcPr>
                <w:tcW w:w="1005" w:type="dxa"/>
                <w:vAlign w:val="center"/>
              </w:tcPr>
              <w:p>
                <w:pPr>
                  <w:jc w:val="center"/>
                  <w:rPr>
                    <w:b/>
                    <w:sz w:val="22"/>
                    <w:szCs w:val="22"/>
                  </w:rPr>
                </w:pPr>
                <w:r>
                  <w:rPr>
                    <w:b/>
                    <w:sz w:val="22"/>
                    <w:szCs w:val="22"/>
                  </w:rPr>
                  <w:t>F-2</w:t>
                </w:r>
              </w:p>
              <w:p>
                <w:pPr>
                  <w:jc w:val="center"/>
                  <w:rPr>
                    <w:sz w:val="22"/>
                    <w:szCs w:val="22"/>
                  </w:rPr>
                </w:pPr>
                <w:r>
                  <w:rPr>
                    <w:sz w:val="22"/>
                    <w:szCs w:val="22"/>
                  </w:rPr>
                  <w:t>C</w:t>
                </w:r>
                <w:r>
                  <w:rPr>
                    <w:sz w:val="22"/>
                    <w:szCs w:val="22"/>
                    <w:vertAlign w:val="subscript"/>
                  </w:rPr>
                  <w:t>11</w:t>
                </w:r>
                <w:r>
                  <w:rPr>
                    <w:sz w:val="22"/>
                    <w:szCs w:val="22"/>
                  </w:rPr>
                  <w:t>-C</w:t>
                </w:r>
                <w:r>
                  <w:rPr>
                    <w:sz w:val="22"/>
                    <w:szCs w:val="22"/>
                    <w:vertAlign w:val="subscript"/>
                  </w:rPr>
                  <w:t>28</w:t>
                </w:r>
              </w:p>
            </w:tc>
            <w:tc>
              <w:tcPr>
                <w:tcW w:w="1126" w:type="dxa"/>
                <w:vAlign w:val="center"/>
              </w:tcPr>
              <w:p>
                <w:pPr>
                  <w:jc w:val="center"/>
                  <w:rPr>
                    <w:b/>
                    <w:sz w:val="22"/>
                    <w:szCs w:val="22"/>
                  </w:rPr>
                </w:pPr>
                <w:r>
                  <w:rPr>
                    <w:b/>
                    <w:sz w:val="22"/>
                    <w:szCs w:val="22"/>
                  </w:rPr>
                  <w:t>F3</w:t>
                </w:r>
              </w:p>
              <w:p>
                <w:pPr>
                  <w:jc w:val="center"/>
                  <w:rPr>
                    <w:sz w:val="22"/>
                    <w:szCs w:val="22"/>
                  </w:rPr>
                </w:pPr>
                <w:r>
                  <w:rPr>
                    <w:sz w:val="22"/>
                    <w:szCs w:val="22"/>
                  </w:rPr>
                  <w:t>C</w:t>
                </w:r>
                <w:r>
                  <w:rPr>
                    <w:sz w:val="22"/>
                    <w:szCs w:val="22"/>
                    <w:vertAlign w:val="subscript"/>
                  </w:rPr>
                  <w:t>29</w:t>
                </w:r>
                <w:r>
                  <w:rPr>
                    <w:sz w:val="22"/>
                    <w:szCs w:val="22"/>
                  </w:rPr>
                  <w:t>-C</w:t>
                </w:r>
                <w:r>
                  <w:rPr>
                    <w:sz w:val="22"/>
                    <w:szCs w:val="22"/>
                    <w:vertAlign w:val="subscript"/>
                  </w:rPr>
                  <w:t>40</w:t>
                </w:r>
              </w:p>
            </w:tc>
            <w:tc>
              <w:tcPr>
                <w:tcW w:w="1051" w:type="dxa"/>
                <w:vMerge/>
                <w:vAlign w:val="center"/>
              </w:tcPr>
              <w:p>
                <w:pPr>
                  <w:jc w:val="center"/>
                  <w:rPr>
                    <w:sz w:val="22"/>
                    <w:szCs w:val="22"/>
                  </w:rPr>
                </w:pPr>
              </w:p>
            </w:tc>
          </w:tr>
          <w:tr>
            <w:trPr>
              <w:trHeight w:val="946"/>
            </w:trPr>
            <w:tc>
              <w:tcPr>
                <w:tcW w:w="804" w:type="dxa"/>
                <w:vAlign w:val="center"/>
              </w:tcPr>
              <w:p>
                <w:pPr>
                  <w:jc w:val="center"/>
                  <w:rPr>
                    <w:sz w:val="22"/>
                    <w:szCs w:val="22"/>
                  </w:rPr>
                </w:pPr>
                <w:r>
                  <w:rPr>
                    <w:sz w:val="22"/>
                    <w:szCs w:val="22"/>
                  </w:rPr>
                  <w:t>I</w:t>
                </w:r>
              </w:p>
            </w:tc>
            <w:tc>
              <w:tcPr>
                <w:tcW w:w="1028" w:type="dxa"/>
                <w:vAlign w:val="center"/>
              </w:tcPr>
              <w:p>
                <w:pPr>
                  <w:jc w:val="center"/>
                  <w:rPr>
                    <w:sz w:val="22"/>
                    <w:szCs w:val="22"/>
                  </w:rPr>
                </w:pPr>
                <w:r>
                  <w:rPr>
                    <w:sz w:val="22"/>
                    <w:szCs w:val="22"/>
                  </w:rPr>
                  <w:t>labai jautri</w:t>
                </w:r>
              </w:p>
            </w:tc>
            <w:tc>
              <w:tcPr>
                <w:tcW w:w="3189" w:type="dxa"/>
                <w:vAlign w:val="center"/>
              </w:tcPr>
              <w:p>
                <w:pPr>
                  <w:tabs>
                    <w:tab w:val="left" w:pos="384"/>
                  </w:tabs>
                  <w:suppressAutoHyphens/>
                  <w:snapToGrid w:val="0"/>
                  <w:ind w:left="15"/>
                  <w:rPr>
                    <w:sz w:val="22"/>
                    <w:szCs w:val="22"/>
                  </w:rPr>
                </w:pPr>
                <w:r>
                  <w:rPr>
                    <w:sz w:val="22"/>
                    <w:szCs w:val="22"/>
                  </w:rPr>
                  <w:t>Geriamojo ir natūralaus mineralinio požeminio vandens šaltinių sanitarinės apsaugos zonos (toliau – SAZ) griežto režimo, taršos apribojimo ir bakteriologinės taršos apribojimo juostos, nustatytos vadovaujantis Lietuvos higienos norma HN 44:2006;</w:t>
                </w:r>
              </w:p>
              <w:p>
                <w:pPr>
                  <w:tabs>
                    <w:tab w:val="left" w:pos="15"/>
                    <w:tab w:val="left" w:pos="384"/>
                  </w:tabs>
                  <w:suppressAutoHyphens/>
                  <w:ind w:left="15"/>
                  <w:rPr>
                    <w:sz w:val="22"/>
                    <w:szCs w:val="22"/>
                  </w:rPr>
                </w:pPr>
                <w:r>
                  <w:rPr>
                    <w:sz w:val="22"/>
                    <w:szCs w:val="22"/>
                  </w:rPr>
                  <w:t xml:space="preserve">paviršinio vandens telkinių pakrantės apsaugos juostos; </w:t>
                </w:r>
              </w:p>
              <w:p>
                <w:pPr>
                  <w:tabs>
                    <w:tab w:val="left" w:pos="15"/>
                    <w:tab w:val="left" w:pos="384"/>
                  </w:tabs>
                  <w:suppressAutoHyphens/>
                  <w:ind w:left="15"/>
                  <w:rPr>
                    <w:sz w:val="22"/>
                    <w:szCs w:val="22"/>
                  </w:rPr>
                </w:pPr>
                <w:r>
                  <w:rPr>
                    <w:sz w:val="22"/>
                    <w:szCs w:val="22"/>
                  </w:rPr>
                  <w:t>saugomos teritorijos, nurodytos Lietuvos Respublikos saugomų teritorijų įstatyme, išskyrus nacionalinius ir regioninius parkus;</w:t>
                </w:r>
              </w:p>
              <w:p>
                <w:pPr>
                  <w:tabs>
                    <w:tab w:val="left" w:pos="384"/>
                  </w:tabs>
                  <w:suppressAutoHyphens/>
                  <w:ind w:left="15"/>
                  <w:rPr>
                    <w:sz w:val="22"/>
                    <w:szCs w:val="22"/>
                  </w:rPr>
                </w:pPr>
                <w:r>
                  <w:rPr>
                    <w:sz w:val="22"/>
                    <w:szCs w:val="22"/>
                  </w:rPr>
                  <w:t>kitos panašaus tipo teritorijos, atitinkančios žemės sklypų pagrindinės tikslinės žemės naudojimo paskirties, būdų ir pobūdžių specifikacijas, nustatytas Žemės sklypų pagrindinės tikslinės žemės naudojimo paskirties, būdų ir pobūdžių specifikacijoje.</w:t>
                </w:r>
              </w:p>
            </w:tc>
            <w:tc>
              <w:tcPr>
                <w:tcW w:w="1005" w:type="dxa"/>
                <w:vAlign w:val="center"/>
              </w:tcPr>
              <w:p>
                <w:pPr>
                  <w:jc w:val="center"/>
                  <w:rPr>
                    <w:sz w:val="22"/>
                    <w:szCs w:val="22"/>
                  </w:rPr>
                </w:pPr>
                <w:r>
                  <w:rPr>
                    <w:sz w:val="22"/>
                    <w:szCs w:val="22"/>
                  </w:rPr>
                  <w:t>150</w:t>
                </w:r>
              </w:p>
            </w:tc>
            <w:tc>
              <w:tcPr>
                <w:tcW w:w="1005" w:type="dxa"/>
                <w:vAlign w:val="center"/>
              </w:tcPr>
              <w:p>
                <w:pPr>
                  <w:jc w:val="center"/>
                  <w:rPr>
                    <w:sz w:val="22"/>
                    <w:szCs w:val="22"/>
                  </w:rPr>
                </w:pPr>
                <w:r>
                  <w:rPr>
                    <w:sz w:val="22"/>
                    <w:szCs w:val="22"/>
                  </w:rPr>
                  <w:t>200</w:t>
                </w:r>
              </w:p>
            </w:tc>
            <w:tc>
              <w:tcPr>
                <w:tcW w:w="1126" w:type="dxa"/>
                <w:vAlign w:val="center"/>
              </w:tcPr>
              <w:p>
                <w:pPr>
                  <w:jc w:val="center"/>
                  <w:rPr>
                    <w:sz w:val="22"/>
                    <w:szCs w:val="22"/>
                  </w:rPr>
                </w:pPr>
                <w:r>
                  <w:rPr>
                    <w:sz w:val="22"/>
                    <w:szCs w:val="22"/>
                  </w:rPr>
                  <w:t>1300</w:t>
                </w:r>
              </w:p>
            </w:tc>
            <w:tc>
              <w:tcPr>
                <w:tcW w:w="1051" w:type="dxa"/>
                <w:vAlign w:val="center"/>
              </w:tcPr>
              <w:p>
                <w:pPr>
                  <w:jc w:val="center"/>
                  <w:rPr>
                    <w:b/>
                    <w:sz w:val="22"/>
                    <w:szCs w:val="22"/>
                  </w:rPr>
                </w:pPr>
                <w:r>
                  <w:rPr>
                    <w:b/>
                    <w:sz w:val="22"/>
                    <w:szCs w:val="22"/>
                  </w:rPr>
                  <w:t>150</w:t>
                </w:r>
              </w:p>
            </w:tc>
          </w:tr>
          <w:tr>
            <w:tc>
              <w:tcPr>
                <w:tcW w:w="804" w:type="dxa"/>
                <w:vAlign w:val="center"/>
              </w:tcPr>
              <w:p>
                <w:pPr>
                  <w:jc w:val="center"/>
                  <w:rPr>
                    <w:sz w:val="22"/>
                    <w:szCs w:val="22"/>
                  </w:rPr>
                </w:pPr>
                <w:r>
                  <w:rPr>
                    <w:sz w:val="22"/>
                    <w:szCs w:val="22"/>
                  </w:rPr>
                  <w:t>II</w:t>
                </w:r>
              </w:p>
            </w:tc>
            <w:tc>
              <w:tcPr>
                <w:tcW w:w="1028" w:type="dxa"/>
                <w:vAlign w:val="center"/>
              </w:tcPr>
              <w:p>
                <w:pPr>
                  <w:ind w:firstLine="55"/>
                  <w:jc w:val="center"/>
                  <w:rPr>
                    <w:sz w:val="22"/>
                    <w:szCs w:val="22"/>
                  </w:rPr>
                </w:pPr>
                <w:r>
                  <w:rPr>
                    <w:sz w:val="22"/>
                    <w:szCs w:val="22"/>
                  </w:rPr>
                  <w:t>jautri</w:t>
                </w:r>
              </w:p>
            </w:tc>
            <w:tc>
              <w:tcPr>
                <w:tcW w:w="3189" w:type="dxa"/>
                <w:vAlign w:val="center"/>
              </w:tcPr>
              <w:p>
                <w:pPr>
                  <w:tabs>
                    <w:tab w:val="left" w:pos="0"/>
                  </w:tabs>
                  <w:suppressAutoHyphens/>
                  <w:snapToGrid w:val="0"/>
                  <w:rPr>
                    <w:sz w:val="22"/>
                    <w:szCs w:val="22"/>
                  </w:rPr>
                </w:pPr>
                <w:r>
                  <w:rPr>
                    <w:sz w:val="22"/>
                    <w:szCs w:val="22"/>
                  </w:rPr>
                  <w:t xml:space="preserve">Žemės ūkio kultūrų auginimo teritorijos; </w:t>
                </w:r>
              </w:p>
              <w:p>
                <w:pPr>
                  <w:tabs>
                    <w:tab w:val="left" w:pos="0"/>
                  </w:tabs>
                  <w:suppressAutoHyphens/>
                  <w:rPr>
                    <w:sz w:val="22"/>
                    <w:szCs w:val="22"/>
                  </w:rPr>
                </w:pPr>
                <w:r>
                  <w:rPr>
                    <w:sz w:val="22"/>
                    <w:szCs w:val="22"/>
                  </w:rPr>
                  <w:t>rekreacinės;</w:t>
                </w:r>
              </w:p>
              <w:p>
                <w:pPr>
                  <w:tabs>
                    <w:tab w:val="left" w:pos="0"/>
                  </w:tabs>
                  <w:suppressAutoHyphens/>
                  <w:rPr>
                    <w:sz w:val="22"/>
                    <w:szCs w:val="22"/>
                  </w:rPr>
                </w:pPr>
                <w:r>
                  <w:rPr>
                    <w:sz w:val="22"/>
                    <w:szCs w:val="22"/>
                  </w:rPr>
                  <w:t>gyvenamosios paskirties;</w:t>
                </w:r>
              </w:p>
              <w:p>
                <w:pPr>
                  <w:tabs>
                    <w:tab w:val="left" w:pos="0"/>
                  </w:tabs>
                  <w:rPr>
                    <w:sz w:val="22"/>
                    <w:szCs w:val="22"/>
                  </w:rPr>
                </w:pPr>
                <w:r>
                  <w:rPr>
                    <w:sz w:val="22"/>
                    <w:szCs w:val="22"/>
                  </w:rPr>
                  <w:t>geriamojo ir natūralaus mineralinio požeminio vandens šaltinių SAZ cheminės taršos apribojimų juostos 3a sektorius, nustatytas vadovaujantis Lietuvos higienos norma HN 44:2006;</w:t>
                </w:r>
              </w:p>
              <w:p>
                <w:pPr>
                  <w:tabs>
                    <w:tab w:val="left" w:pos="0"/>
                  </w:tabs>
                  <w:rPr>
                    <w:sz w:val="22"/>
                    <w:szCs w:val="22"/>
                  </w:rPr>
                </w:pPr>
                <w:r>
                  <w:rPr>
                    <w:sz w:val="22"/>
                    <w:szCs w:val="22"/>
                  </w:rPr>
                  <w:t>kitos panašaus tipo teritorijos, atitinkančios žemės sklypų pagrindinės tikslinės žemės naudojimo paskirties, būdų ir pobūdžių specifikacijas, nustatytas Žemės sklypų pagrindinės tikslinės žemės naudojimo paskirties, būdų ir pobūdžių specifikacijoje.</w:t>
                </w:r>
              </w:p>
            </w:tc>
            <w:tc>
              <w:tcPr>
                <w:tcW w:w="1005" w:type="dxa"/>
                <w:vAlign w:val="center"/>
              </w:tcPr>
              <w:p>
                <w:pPr>
                  <w:jc w:val="center"/>
                  <w:rPr>
                    <w:sz w:val="22"/>
                    <w:szCs w:val="22"/>
                  </w:rPr>
                </w:pPr>
                <w:r>
                  <w:rPr>
                    <w:sz w:val="22"/>
                    <w:szCs w:val="22"/>
                  </w:rPr>
                  <w:t>200</w:t>
                </w:r>
              </w:p>
            </w:tc>
            <w:tc>
              <w:tcPr>
                <w:tcW w:w="1005" w:type="dxa"/>
                <w:vAlign w:val="center"/>
              </w:tcPr>
              <w:p>
                <w:pPr>
                  <w:jc w:val="center"/>
                  <w:rPr>
                    <w:sz w:val="22"/>
                    <w:szCs w:val="22"/>
                  </w:rPr>
                </w:pPr>
                <w:r>
                  <w:rPr>
                    <w:sz w:val="22"/>
                    <w:szCs w:val="22"/>
                  </w:rPr>
                  <w:t>350</w:t>
                </w:r>
              </w:p>
            </w:tc>
            <w:tc>
              <w:tcPr>
                <w:tcW w:w="1126" w:type="dxa"/>
                <w:vAlign w:val="center"/>
              </w:tcPr>
              <w:p>
                <w:pPr>
                  <w:jc w:val="center"/>
                  <w:rPr>
                    <w:sz w:val="22"/>
                    <w:szCs w:val="22"/>
                  </w:rPr>
                </w:pPr>
                <w:r>
                  <w:rPr>
                    <w:sz w:val="22"/>
                    <w:szCs w:val="22"/>
                  </w:rPr>
                  <w:t>1300</w:t>
                </w:r>
              </w:p>
            </w:tc>
            <w:tc>
              <w:tcPr>
                <w:tcW w:w="1051" w:type="dxa"/>
                <w:vAlign w:val="center"/>
              </w:tcPr>
              <w:p>
                <w:pPr>
                  <w:jc w:val="center"/>
                  <w:rPr>
                    <w:b/>
                    <w:sz w:val="22"/>
                    <w:szCs w:val="22"/>
                  </w:rPr>
                </w:pPr>
                <w:r>
                  <w:rPr>
                    <w:b/>
                    <w:sz w:val="22"/>
                    <w:szCs w:val="22"/>
                  </w:rPr>
                  <w:t>200</w:t>
                </w:r>
              </w:p>
            </w:tc>
          </w:tr>
          <w:tr>
            <w:tc>
              <w:tcPr>
                <w:tcW w:w="804" w:type="dxa"/>
                <w:vAlign w:val="center"/>
              </w:tcPr>
              <w:p>
                <w:pPr>
                  <w:jc w:val="center"/>
                  <w:rPr>
                    <w:sz w:val="22"/>
                    <w:szCs w:val="22"/>
                  </w:rPr>
                </w:pPr>
                <w:r>
                  <w:rPr>
                    <w:sz w:val="22"/>
                    <w:szCs w:val="22"/>
                  </w:rPr>
                  <w:t>III</w:t>
                </w:r>
              </w:p>
            </w:tc>
            <w:tc>
              <w:tcPr>
                <w:tcW w:w="1028" w:type="dxa"/>
                <w:vAlign w:val="center"/>
              </w:tcPr>
              <w:p>
                <w:pPr>
                  <w:jc w:val="center"/>
                  <w:rPr>
                    <w:sz w:val="22"/>
                    <w:szCs w:val="22"/>
                  </w:rPr>
                </w:pPr>
                <w:r>
                  <w:rPr>
                    <w:sz w:val="22"/>
                    <w:szCs w:val="22"/>
                  </w:rPr>
                  <w:t xml:space="preserve">vidutiniškai jautri </w:t>
                </w:r>
              </w:p>
            </w:tc>
            <w:tc>
              <w:tcPr>
                <w:tcW w:w="3189" w:type="dxa"/>
                <w:vAlign w:val="center"/>
              </w:tcPr>
              <w:p>
                <w:pPr>
                  <w:tabs>
                    <w:tab w:val="left" w:pos="0"/>
                  </w:tabs>
                  <w:suppressAutoHyphens/>
                  <w:snapToGrid w:val="0"/>
                  <w:rPr>
                    <w:sz w:val="22"/>
                    <w:szCs w:val="22"/>
                  </w:rPr>
                </w:pPr>
                <w:r>
                  <w:rPr>
                    <w:sz w:val="22"/>
                    <w:szCs w:val="22"/>
                  </w:rPr>
                  <w:t>Miško teritorijos;</w:t>
                </w:r>
              </w:p>
              <w:p>
                <w:pPr>
                  <w:tabs>
                    <w:tab w:val="left" w:pos="0"/>
                  </w:tabs>
                  <w:suppressAutoHyphens/>
                  <w:snapToGrid w:val="0"/>
                  <w:rPr>
                    <w:sz w:val="22"/>
                    <w:szCs w:val="22"/>
                  </w:rPr>
                </w:pPr>
                <w:r>
                  <w:rPr>
                    <w:sz w:val="22"/>
                    <w:szCs w:val="22"/>
                  </w:rPr>
                  <w:t>geriamojo ir natūralaus mineralinio požeminio vandens šaltinių SAZ cheminės taršos apribojimo juostos 3b sektorius, nustatytas vadovaujantis Lietuvos higienos norma HN 44:2006; paviršinio vandens telkinių apsaugos zonos;</w:t>
                </w:r>
              </w:p>
              <w:p>
                <w:pPr>
                  <w:tabs>
                    <w:tab w:val="left" w:pos="0"/>
                  </w:tabs>
                  <w:rPr>
                    <w:sz w:val="22"/>
                    <w:szCs w:val="22"/>
                  </w:rPr>
                </w:pPr>
                <w:r>
                  <w:rPr>
                    <w:sz w:val="22"/>
                    <w:szCs w:val="22"/>
                  </w:rPr>
                  <w:t>komercinės (prekybos centrai ir kt.) paskirties teritorijos;</w:t>
                </w:r>
              </w:p>
              <w:p>
                <w:pPr>
                  <w:tabs>
                    <w:tab w:val="left" w:pos="0"/>
                  </w:tabs>
                  <w:rPr>
                    <w:sz w:val="22"/>
                    <w:szCs w:val="22"/>
                  </w:rPr>
                </w:pPr>
                <w:r>
                  <w:rPr>
                    <w:sz w:val="22"/>
                    <w:szCs w:val="22"/>
                  </w:rPr>
                  <w:t>kitos panašaus tipo teritorijos, atitinkančios žemės sklypų pagrindinės tikslinės žemės naudojimo paskirties, būdų ir pobūdžių specifikacijas, nustatytas Žemės sklypų pagrindinės tikslinės žemės naudojimo paskirties, būdų ir pobūdžių specifikacijoje.</w:t>
                </w:r>
              </w:p>
            </w:tc>
            <w:tc>
              <w:tcPr>
                <w:tcW w:w="1005" w:type="dxa"/>
                <w:vAlign w:val="center"/>
              </w:tcPr>
              <w:p>
                <w:pPr>
                  <w:jc w:val="center"/>
                  <w:rPr>
                    <w:sz w:val="22"/>
                    <w:szCs w:val="22"/>
                  </w:rPr>
                </w:pPr>
                <w:r>
                  <w:rPr>
                    <w:sz w:val="22"/>
                    <w:szCs w:val="22"/>
                  </w:rPr>
                  <w:t>800</w:t>
                </w:r>
              </w:p>
            </w:tc>
            <w:tc>
              <w:tcPr>
                <w:tcW w:w="1005" w:type="dxa"/>
                <w:vAlign w:val="center"/>
              </w:tcPr>
              <w:p>
                <w:pPr>
                  <w:jc w:val="center"/>
                  <w:rPr>
                    <w:sz w:val="22"/>
                    <w:szCs w:val="22"/>
                  </w:rPr>
                </w:pPr>
                <w:r>
                  <w:rPr>
                    <w:sz w:val="22"/>
                    <w:szCs w:val="22"/>
                  </w:rPr>
                  <w:t>2500</w:t>
                </w:r>
              </w:p>
            </w:tc>
            <w:tc>
              <w:tcPr>
                <w:tcW w:w="1126" w:type="dxa"/>
                <w:vAlign w:val="center"/>
              </w:tcPr>
              <w:p>
                <w:pPr>
                  <w:jc w:val="center"/>
                  <w:rPr>
                    <w:sz w:val="22"/>
                    <w:szCs w:val="22"/>
                  </w:rPr>
                </w:pPr>
                <w:r>
                  <w:rPr>
                    <w:sz w:val="22"/>
                    <w:szCs w:val="22"/>
                  </w:rPr>
                  <w:t>3500</w:t>
                </w:r>
              </w:p>
            </w:tc>
            <w:tc>
              <w:tcPr>
                <w:tcW w:w="1051" w:type="dxa"/>
                <w:vAlign w:val="center"/>
              </w:tcPr>
              <w:p>
                <w:pPr>
                  <w:jc w:val="center"/>
                  <w:rPr>
                    <w:b/>
                    <w:sz w:val="22"/>
                    <w:szCs w:val="22"/>
                  </w:rPr>
                </w:pPr>
                <w:r>
                  <w:rPr>
                    <w:b/>
                    <w:sz w:val="22"/>
                    <w:szCs w:val="22"/>
                  </w:rPr>
                  <w:t>800</w:t>
                </w:r>
              </w:p>
            </w:tc>
          </w:tr>
          <w:tr>
            <w:tc>
              <w:tcPr>
                <w:tcW w:w="804" w:type="dxa"/>
                <w:vAlign w:val="center"/>
              </w:tcPr>
              <w:p>
                <w:pPr>
                  <w:jc w:val="center"/>
                  <w:rPr>
                    <w:sz w:val="22"/>
                    <w:szCs w:val="22"/>
                  </w:rPr>
                </w:pPr>
                <w:r>
                  <w:rPr>
                    <w:sz w:val="22"/>
                    <w:szCs w:val="22"/>
                  </w:rPr>
                  <w:t>IV</w:t>
                </w:r>
              </w:p>
            </w:tc>
            <w:tc>
              <w:tcPr>
                <w:tcW w:w="1028" w:type="dxa"/>
                <w:vAlign w:val="center"/>
              </w:tcPr>
              <w:p>
                <w:pPr>
                  <w:jc w:val="center"/>
                  <w:rPr>
                    <w:sz w:val="22"/>
                    <w:szCs w:val="22"/>
                  </w:rPr>
                </w:pPr>
                <w:r>
                  <w:rPr>
                    <w:sz w:val="22"/>
                    <w:szCs w:val="22"/>
                  </w:rPr>
                  <w:t xml:space="preserve">mažai jautri </w:t>
                </w:r>
              </w:p>
            </w:tc>
            <w:tc>
              <w:tcPr>
                <w:tcW w:w="3189" w:type="dxa"/>
                <w:vAlign w:val="center"/>
              </w:tcPr>
              <w:p>
                <w:pPr>
                  <w:tabs>
                    <w:tab w:val="left" w:pos="352"/>
                  </w:tabs>
                  <w:suppressAutoHyphens/>
                  <w:snapToGrid w:val="0"/>
                  <w:rPr>
                    <w:sz w:val="22"/>
                    <w:szCs w:val="22"/>
                  </w:rPr>
                </w:pPr>
                <w:r>
                  <w:rPr>
                    <w:sz w:val="22"/>
                    <w:szCs w:val="22"/>
                  </w:rPr>
                  <w:t>Pramoninės ir industrinės paskirties teritorijos;</w:t>
                </w:r>
              </w:p>
              <w:p>
                <w:pPr>
                  <w:tabs>
                    <w:tab w:val="left" w:pos="352"/>
                  </w:tabs>
                  <w:suppressAutoHyphens/>
                  <w:rPr>
                    <w:sz w:val="22"/>
                    <w:szCs w:val="22"/>
                  </w:rPr>
                </w:pPr>
                <w:r>
                  <w:rPr>
                    <w:sz w:val="22"/>
                    <w:szCs w:val="22"/>
                  </w:rPr>
                  <w:t>automobilių keliai;</w:t>
                </w:r>
              </w:p>
              <w:p>
                <w:pPr>
                  <w:tabs>
                    <w:tab w:val="left" w:pos="352"/>
                  </w:tabs>
                  <w:suppressAutoHyphens/>
                  <w:rPr>
                    <w:sz w:val="22"/>
                    <w:szCs w:val="22"/>
                  </w:rPr>
                </w:pPr>
                <w:r>
                  <w:rPr>
                    <w:sz w:val="22"/>
                    <w:szCs w:val="22"/>
                  </w:rPr>
                  <w:t>naftos gavybos (naftos gręžinių aikštelės) ir kt.;</w:t>
                </w:r>
              </w:p>
              <w:p>
                <w:pPr>
                  <w:tabs>
                    <w:tab w:val="left" w:pos="352"/>
                  </w:tabs>
                  <w:suppressAutoHyphens/>
                  <w:rPr>
                    <w:spacing w:val="-4"/>
                    <w:sz w:val="22"/>
                    <w:szCs w:val="22"/>
                  </w:rPr>
                </w:pPr>
                <w:r>
                  <w:rPr>
                    <w:spacing w:val="-4"/>
                    <w:sz w:val="22"/>
                    <w:szCs w:val="22"/>
                  </w:rPr>
                  <w:t>naftos ir skystų NP sandėliavimo, perdirbimo ir krovos vietos (saugyklos, degalinės, terminalai ir kt.);</w:t>
                </w:r>
              </w:p>
              <w:p>
                <w:pPr>
                  <w:tabs>
                    <w:tab w:val="left" w:pos="352"/>
                  </w:tabs>
                  <w:suppressAutoHyphens/>
                  <w:rPr>
                    <w:sz w:val="22"/>
                    <w:szCs w:val="22"/>
                  </w:rPr>
                </w:pPr>
                <w:r>
                  <w:rPr>
                    <w:sz w:val="22"/>
                    <w:szCs w:val="22"/>
                  </w:rPr>
                  <w:t>geležinkelio keliai sankasos ribose;</w:t>
                </w:r>
              </w:p>
              <w:p>
                <w:pPr>
                  <w:rPr>
                    <w:sz w:val="22"/>
                    <w:szCs w:val="22"/>
                  </w:rPr>
                </w:pPr>
                <w:r>
                  <w:rPr>
                    <w:sz w:val="22"/>
                    <w:szCs w:val="22"/>
                  </w:rPr>
                  <w:t>naftotiekio siurblinių teritorijos;</w:t>
                </w:r>
              </w:p>
              <w:p>
                <w:pPr>
                  <w:rPr>
                    <w:sz w:val="22"/>
                    <w:szCs w:val="22"/>
                  </w:rPr>
                </w:pPr>
                <w:r>
                  <w:rPr>
                    <w:sz w:val="22"/>
                    <w:szCs w:val="22"/>
                  </w:rPr>
                  <w:t>kitos panašaus tipo teritorijos, atitinkančios žemės sklypų pagrindinės tikslinės žemės naudojimo paskirties, būdų ir pobūdžių specifikacijas, nustatytas Žemės sklypų pagrindinės tikslinės žemės naudojimo paskirties, būdų ir pobūdžių specifikacijoje.</w:t>
                </w:r>
              </w:p>
            </w:tc>
            <w:tc>
              <w:tcPr>
                <w:tcW w:w="1005" w:type="dxa"/>
                <w:vAlign w:val="center"/>
              </w:tcPr>
              <w:p>
                <w:pPr>
                  <w:jc w:val="center"/>
                  <w:rPr>
                    <w:sz w:val="22"/>
                    <w:szCs w:val="22"/>
                  </w:rPr>
                </w:pPr>
                <w:r>
                  <w:rPr>
                    <w:sz w:val="22"/>
                    <w:szCs w:val="22"/>
                  </w:rPr>
                  <w:t>5000</w:t>
                </w:r>
              </w:p>
            </w:tc>
            <w:tc>
              <w:tcPr>
                <w:tcW w:w="1005" w:type="dxa"/>
                <w:vAlign w:val="center"/>
              </w:tcPr>
              <w:p>
                <w:pPr>
                  <w:jc w:val="center"/>
                  <w:rPr>
                    <w:sz w:val="22"/>
                    <w:szCs w:val="22"/>
                  </w:rPr>
                </w:pPr>
                <w:r>
                  <w:rPr>
                    <w:sz w:val="22"/>
                    <w:szCs w:val="22"/>
                  </w:rPr>
                  <w:t>8000</w:t>
                </w:r>
              </w:p>
            </w:tc>
            <w:tc>
              <w:tcPr>
                <w:tcW w:w="1126" w:type="dxa"/>
                <w:vAlign w:val="center"/>
              </w:tcPr>
              <w:p>
                <w:pPr>
                  <w:jc w:val="center"/>
                  <w:rPr>
                    <w:sz w:val="22"/>
                    <w:szCs w:val="22"/>
                  </w:rPr>
                </w:pPr>
                <w:r>
                  <w:rPr>
                    <w:sz w:val="22"/>
                    <w:szCs w:val="22"/>
                  </w:rPr>
                  <w:t>15000</w:t>
                </w:r>
              </w:p>
            </w:tc>
            <w:tc>
              <w:tcPr>
                <w:tcW w:w="1051" w:type="dxa"/>
                <w:vAlign w:val="center"/>
              </w:tcPr>
              <w:p>
                <w:pPr>
                  <w:jc w:val="center"/>
                  <w:rPr>
                    <w:b/>
                    <w:sz w:val="22"/>
                    <w:szCs w:val="22"/>
                  </w:rPr>
                </w:pPr>
                <w:r>
                  <w:rPr>
                    <w:b/>
                    <w:sz w:val="22"/>
                    <w:szCs w:val="22"/>
                  </w:rPr>
                  <w:t>5000</w:t>
                </w:r>
              </w:p>
            </w:tc>
          </w:tr>
        </w:tbl>
        <w:p>
          <w:pPr>
            <w:tabs>
              <w:tab w:val="left" w:pos="1304"/>
              <w:tab w:val="left" w:pos="1457"/>
              <w:tab w:val="left" w:pos="1604"/>
              <w:tab w:val="left" w:pos="1757"/>
            </w:tabs>
            <w:jc w:val="both"/>
            <w:rPr>
              <w:sz w:val="22"/>
              <w:szCs w:val="22"/>
            </w:rPr>
          </w:pPr>
          <w:r>
            <w:rPr>
              <w:sz w:val="22"/>
              <w:szCs w:val="22"/>
            </w:rPr>
            <w:t>* kai NP sudaryti iš frakcijų mišinio, RV nustatoma imant bendrą visų frakcijų koncentraciją, taikant santykinai didžiausią dalį sudarančios frakcijos RV.</w:t>
          </w:r>
        </w:p>
        <w:p>
          <w:pPr>
            <w:tabs>
              <w:tab w:val="left" w:pos="1304"/>
              <w:tab w:val="left" w:pos="1457"/>
              <w:tab w:val="left" w:pos="1604"/>
              <w:tab w:val="left" w:pos="1757"/>
            </w:tabs>
            <w:jc w:val="both"/>
            <w:rPr>
              <w:sz w:val="22"/>
              <w:szCs w:val="22"/>
            </w:rPr>
          </w:pPr>
          <w:r>
            <w:rPr>
              <w:sz w:val="22"/>
              <w:szCs w:val="22"/>
              <w:vertAlign w:val="superscript"/>
            </w:rPr>
            <w:t>(a)</w:t>
          </w:r>
          <w:r>
            <w:rPr>
              <w:sz w:val="22"/>
              <w:szCs w:val="22"/>
            </w:rPr>
            <w:t xml:space="preserve"> arba – angliavandenilių indeksas </w:t>
          </w:r>
          <w:r>
            <w:rPr>
              <w:sz w:val="22"/>
              <w:szCs w:val="22"/>
              <w:lang w:val="it-IT"/>
            </w:rPr>
            <w:t>C</w:t>
          </w:r>
          <w:r>
            <w:rPr>
              <w:sz w:val="22"/>
              <w:szCs w:val="22"/>
              <w:vertAlign w:val="subscript"/>
              <w:lang w:val="it-IT"/>
            </w:rPr>
            <w:t>10</w:t>
          </w:r>
          <w:r>
            <w:rPr>
              <w:sz w:val="22"/>
              <w:szCs w:val="22"/>
              <w:lang w:val="it-IT"/>
            </w:rPr>
            <w:t>-C</w:t>
          </w:r>
          <w:r>
            <w:rPr>
              <w:sz w:val="22"/>
              <w:szCs w:val="22"/>
              <w:vertAlign w:val="subscript"/>
              <w:lang w:val="it-IT"/>
            </w:rPr>
            <w:t>40</w:t>
          </w:r>
        </w:p>
        <w:p>
          <w:pPr>
            <w:tabs>
              <w:tab w:val="left" w:pos="1304"/>
              <w:tab w:val="left" w:pos="1457"/>
              <w:tab w:val="left" w:pos="1604"/>
              <w:tab w:val="left" w:pos="1757"/>
            </w:tabs>
          </w:pPr>
        </w:p>
        <w:sdt>
          <w:sdtPr>
            <w:alias w:val="pabaiga"/>
            <w:tag w:val="part_9fab7845142b4efd8b37d99421a16231"/>
            <w:lock w:val="sdtLocked"/>
            <w:richText/>
          </w:sdtPr>
          <w:sdtContent>
            <w:p>
              <w:pPr>
                <w:tabs>
                  <w:tab w:val="left" w:pos="1304"/>
                  <w:tab w:val="left" w:pos="1457"/>
                  <w:tab w:val="left" w:pos="1604"/>
                  <w:tab w:val="left" w:pos="1757"/>
                </w:tabs>
                <w:jc w:val="center"/>
              </w:pPr>
              <w:r>
                <w:t>_________________</w:t>
              </w:r>
            </w:p>
          </w:sdtContent>
        </w:sdt>
      </w:sdtContent>
    </w:sdt>
    <w:sdt>
      <w:sdtPr>
        <w:alias w:val="2 pr."/>
        <w:tag w:val="part_9b51da8e4d3c447fad461034b05d5373"/>
        <w:lock w:val="sdtLocked"/>
        <w:richText/>
      </w:sdtPr>
      <w:sdtContent>
        <w:p>
          <w:pPr>
            <w:suppressAutoHyphens/>
            <w:ind w:left="4560" w:right="-3"/>
            <w:rPr>
              <w:rFonts w:eastAsia="Batang"/>
              <w:lang w:eastAsia="ar-SA"/>
            </w:rPr>
          </w:pPr>
          <w:r>
            <w:rPr>
              <w:rFonts w:eastAsia="Batang"/>
              <w:lang w:eastAsia="ar-SA"/>
            </w:rPr>
            <w:br w:type="page"/>
            <w:t xml:space="preserve">Naftos produktais užterštų teritorijų tvarkymo </w:t>
          </w:r>
        </w:p>
        <w:p>
          <w:pPr>
            <w:suppressAutoHyphens/>
            <w:ind w:left="4535"/>
            <w:rPr>
              <w:rFonts w:eastAsia="Batang"/>
              <w:lang w:eastAsia="ar-SA"/>
            </w:rPr>
          </w:pPr>
          <w:r>
            <w:rPr>
              <w:rFonts w:eastAsia="Batang"/>
              <w:lang w:eastAsia="ar-SA"/>
            </w:rPr>
            <w:t>aplinkos apsaugos reikalavimų LAND 9-2009</w:t>
          </w:r>
        </w:p>
        <w:p>
          <w:pPr>
            <w:suppressAutoHyphens/>
            <w:ind w:left="4535"/>
            <w:rPr>
              <w:rFonts w:eastAsia="Batang"/>
              <w:lang w:eastAsia="ar-SA"/>
            </w:rPr>
          </w:pPr>
          <w:sdt>
            <w:sdtPr>
              <w:alias w:val="Numeris"/>
              <w:tag w:val="nr_9b51da8e4d3c447fad461034b05d5373"/>
              <w:lock w:val="sdtLocked"/>
              <w:richText/>
            </w:sdtPr>
            <w:sdtContent>
              <w:r>
                <w:rPr>
                  <w:rFonts w:eastAsia="Batang"/>
                  <w:lang w:eastAsia="ar-SA"/>
                </w:rPr>
                <w:t>2</w:t>
              </w:r>
            </w:sdtContent>
          </w:sdt>
          <w:r>
            <w:rPr>
              <w:rFonts w:eastAsia="Batang"/>
              <w:lang w:eastAsia="ar-SA"/>
            </w:rPr>
            <w:t xml:space="preserve"> priedas</w:t>
          </w:r>
        </w:p>
        <w:p>
          <w:pPr>
            <w:suppressAutoHyphens/>
            <w:ind w:right="-3"/>
            <w:rPr>
              <w:rFonts w:eastAsia="Batang"/>
              <w:lang w:eastAsia="ar-SA"/>
            </w:rPr>
          </w:pPr>
        </w:p>
        <w:p>
          <w:pPr>
            <w:jc w:val="center"/>
            <w:rPr>
              <w:b/>
              <w:caps/>
            </w:rPr>
          </w:pPr>
          <w:sdt>
            <w:sdtPr>
              <w:alias w:val="Pavadinimas"/>
              <w:tag w:val="title_9b51da8e4d3c447fad461034b05d5373"/>
              <w:lock w:val="sdtLocked"/>
              <w:richText/>
            </w:sdtPr>
            <w:sdtContent>
              <w:r>
                <w:rPr>
                  <w:b/>
                  <w:caps/>
                </w:rPr>
                <w:t>Smėlinio grunto užteršimo angliavandeniliais ribinės vertės</w:t>
              </w:r>
            </w:sdtContent>
          </w:sdt>
        </w:p>
        <w:p>
          <w:pPr>
            <w:jc w:val="both"/>
          </w:pP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03"/>
            <w:gridCol w:w="1028"/>
            <w:gridCol w:w="3432"/>
            <w:gridCol w:w="884"/>
            <w:gridCol w:w="1005"/>
            <w:gridCol w:w="1005"/>
            <w:gridCol w:w="951"/>
          </w:tblGrid>
          <w:tr>
            <w:trPr>
              <w:trHeight w:val="20"/>
              <w:tblHeader/>
            </w:trPr>
            <w:tc>
              <w:tcPr>
                <w:tcW w:w="1831" w:type="dxa"/>
                <w:gridSpan w:val="2"/>
              </w:tcPr>
              <w:p>
                <w:pPr>
                  <w:jc w:val="center"/>
                  <w:rPr>
                    <w:sz w:val="22"/>
                    <w:szCs w:val="22"/>
                  </w:rPr>
                </w:pPr>
                <w:r>
                  <w:rPr>
                    <w:sz w:val="22"/>
                    <w:szCs w:val="22"/>
                  </w:rPr>
                  <w:t>Teritorijos jautrumas taršai</w:t>
                </w:r>
              </w:p>
            </w:tc>
            <w:tc>
              <w:tcPr>
                <w:tcW w:w="3432" w:type="dxa"/>
                <w:vMerge w:val="restart"/>
                <w:vAlign w:val="center"/>
              </w:tcPr>
              <w:p>
                <w:pPr>
                  <w:jc w:val="center"/>
                  <w:rPr>
                    <w:sz w:val="22"/>
                    <w:szCs w:val="22"/>
                  </w:rPr>
                </w:pPr>
                <w:r>
                  <w:rPr>
                    <w:sz w:val="22"/>
                    <w:szCs w:val="22"/>
                  </w:rPr>
                  <w:t>Teritorijos naudojimo</w:t>
                </w:r>
              </w:p>
              <w:p>
                <w:pPr>
                  <w:jc w:val="center"/>
                  <w:rPr>
                    <w:sz w:val="22"/>
                    <w:szCs w:val="22"/>
                  </w:rPr>
                </w:pPr>
                <w:r>
                  <w:rPr>
                    <w:sz w:val="22"/>
                    <w:szCs w:val="22"/>
                  </w:rPr>
                  <w:t>pobūdis</w:t>
                </w:r>
              </w:p>
            </w:tc>
            <w:tc>
              <w:tcPr>
                <w:tcW w:w="3845" w:type="dxa"/>
                <w:gridSpan w:val="4"/>
                <w:vAlign w:val="center"/>
              </w:tcPr>
              <w:p>
                <w:pPr>
                  <w:jc w:val="center"/>
                  <w:rPr>
                    <w:sz w:val="22"/>
                    <w:szCs w:val="22"/>
                  </w:rPr>
                </w:pPr>
                <w:r>
                  <w:rPr>
                    <w:sz w:val="22"/>
                    <w:szCs w:val="22"/>
                  </w:rPr>
                  <w:t>RV, mg/kg s.g.</w:t>
                </w:r>
              </w:p>
            </w:tc>
          </w:tr>
          <w:tr>
            <w:trPr>
              <w:trHeight w:val="20"/>
              <w:tblHeader/>
            </w:trPr>
            <w:tc>
              <w:tcPr>
                <w:tcW w:w="803" w:type="dxa"/>
                <w:vMerge w:val="restart"/>
                <w:vAlign w:val="center"/>
              </w:tcPr>
              <w:p>
                <w:pPr>
                  <w:jc w:val="center"/>
                  <w:rPr>
                    <w:sz w:val="22"/>
                    <w:szCs w:val="22"/>
                  </w:rPr>
                </w:pPr>
                <w:r>
                  <w:rPr>
                    <w:sz w:val="22"/>
                    <w:szCs w:val="22"/>
                  </w:rPr>
                  <w:t>Kategorija</w:t>
                </w:r>
              </w:p>
            </w:tc>
            <w:tc>
              <w:tcPr>
                <w:tcW w:w="1028" w:type="dxa"/>
                <w:vMerge w:val="restart"/>
                <w:vAlign w:val="center"/>
              </w:tcPr>
              <w:p>
                <w:pPr>
                  <w:jc w:val="center"/>
                  <w:rPr>
                    <w:sz w:val="22"/>
                    <w:szCs w:val="22"/>
                  </w:rPr>
                </w:pPr>
                <w:r>
                  <w:rPr>
                    <w:sz w:val="22"/>
                    <w:szCs w:val="22"/>
                  </w:rPr>
                  <w:t>Jautrumo lygis</w:t>
                </w:r>
              </w:p>
            </w:tc>
            <w:tc>
              <w:tcPr>
                <w:tcW w:w="3432" w:type="dxa"/>
                <w:vMerge/>
              </w:tcPr>
              <w:p>
                <w:pPr>
                  <w:jc w:val="both"/>
                  <w:rPr>
                    <w:sz w:val="22"/>
                    <w:szCs w:val="22"/>
                  </w:rPr>
                </w:pPr>
              </w:p>
            </w:tc>
            <w:tc>
              <w:tcPr>
                <w:tcW w:w="2894" w:type="dxa"/>
                <w:gridSpan w:val="3"/>
                <w:vAlign w:val="center"/>
              </w:tcPr>
              <w:p>
                <w:pPr>
                  <w:jc w:val="center"/>
                  <w:rPr>
                    <w:sz w:val="22"/>
                    <w:szCs w:val="22"/>
                  </w:rPr>
                </w:pPr>
                <w:r>
                  <w:rPr>
                    <w:sz w:val="22"/>
                    <w:szCs w:val="22"/>
                  </w:rPr>
                  <w:t>Angliavandenilių frakcija</w:t>
                </w:r>
              </w:p>
            </w:tc>
            <w:tc>
              <w:tcPr>
                <w:tcW w:w="951" w:type="dxa"/>
                <w:vMerge w:val="restart"/>
                <w:vAlign w:val="center"/>
              </w:tcPr>
              <w:p>
                <w:pPr>
                  <w:jc w:val="center"/>
                  <w:rPr>
                    <w:sz w:val="22"/>
                    <w:szCs w:val="22"/>
                  </w:rPr>
                </w:pPr>
                <w:r>
                  <w:rPr>
                    <w:sz w:val="22"/>
                    <w:szCs w:val="22"/>
                  </w:rPr>
                  <w:t xml:space="preserve">Bendras NP kiekis </w:t>
                </w:r>
                <w:r>
                  <w:rPr>
                    <w:sz w:val="22"/>
                    <w:szCs w:val="22"/>
                    <w:vertAlign w:val="superscript"/>
                  </w:rPr>
                  <w:t>(a)</w:t>
                </w:r>
              </w:p>
            </w:tc>
          </w:tr>
          <w:tr>
            <w:trPr>
              <w:trHeight w:val="20"/>
              <w:tblHeader/>
            </w:trPr>
            <w:tc>
              <w:tcPr>
                <w:tcW w:w="803" w:type="dxa"/>
                <w:vMerge/>
              </w:tcPr>
              <w:p>
                <w:pPr>
                  <w:jc w:val="center"/>
                  <w:rPr>
                    <w:sz w:val="22"/>
                    <w:szCs w:val="22"/>
                  </w:rPr>
                </w:pPr>
              </w:p>
            </w:tc>
            <w:tc>
              <w:tcPr>
                <w:tcW w:w="1028" w:type="dxa"/>
                <w:vMerge/>
              </w:tcPr>
              <w:p>
                <w:pPr>
                  <w:jc w:val="center"/>
                  <w:rPr>
                    <w:sz w:val="22"/>
                    <w:szCs w:val="22"/>
                  </w:rPr>
                </w:pPr>
              </w:p>
            </w:tc>
            <w:tc>
              <w:tcPr>
                <w:tcW w:w="3432" w:type="dxa"/>
                <w:vMerge/>
              </w:tcPr>
              <w:p>
                <w:pPr>
                  <w:jc w:val="both"/>
                  <w:rPr>
                    <w:sz w:val="22"/>
                    <w:szCs w:val="22"/>
                  </w:rPr>
                </w:pPr>
              </w:p>
            </w:tc>
            <w:tc>
              <w:tcPr>
                <w:tcW w:w="884" w:type="dxa"/>
                <w:vAlign w:val="center"/>
              </w:tcPr>
              <w:p>
                <w:pPr>
                  <w:jc w:val="center"/>
                  <w:rPr>
                    <w:b/>
                    <w:sz w:val="22"/>
                    <w:szCs w:val="22"/>
                  </w:rPr>
                </w:pPr>
                <w:r>
                  <w:rPr>
                    <w:b/>
                    <w:sz w:val="22"/>
                    <w:szCs w:val="22"/>
                  </w:rPr>
                  <w:t>F-1</w:t>
                </w:r>
              </w:p>
              <w:p>
                <w:pPr>
                  <w:jc w:val="center"/>
                  <w:rPr>
                    <w:sz w:val="22"/>
                    <w:szCs w:val="22"/>
                  </w:rPr>
                </w:pPr>
                <w:r>
                  <w:rPr>
                    <w:sz w:val="22"/>
                    <w:szCs w:val="22"/>
                  </w:rPr>
                  <w:t>C</w:t>
                </w:r>
                <w:r>
                  <w:rPr>
                    <w:sz w:val="22"/>
                    <w:szCs w:val="22"/>
                    <w:vertAlign w:val="subscript"/>
                  </w:rPr>
                  <w:t>6</w:t>
                </w:r>
                <w:r>
                  <w:rPr>
                    <w:sz w:val="22"/>
                    <w:szCs w:val="22"/>
                  </w:rPr>
                  <w:t>-C</w:t>
                </w:r>
                <w:r>
                  <w:rPr>
                    <w:sz w:val="22"/>
                    <w:szCs w:val="22"/>
                    <w:vertAlign w:val="subscript"/>
                  </w:rPr>
                  <w:t>10</w:t>
                </w:r>
              </w:p>
            </w:tc>
            <w:tc>
              <w:tcPr>
                <w:tcW w:w="1005" w:type="dxa"/>
                <w:vAlign w:val="center"/>
              </w:tcPr>
              <w:p>
                <w:pPr>
                  <w:jc w:val="center"/>
                  <w:rPr>
                    <w:b/>
                    <w:sz w:val="22"/>
                    <w:szCs w:val="22"/>
                  </w:rPr>
                </w:pPr>
                <w:r>
                  <w:rPr>
                    <w:b/>
                    <w:sz w:val="22"/>
                    <w:szCs w:val="22"/>
                  </w:rPr>
                  <w:t>F-2</w:t>
                </w:r>
              </w:p>
              <w:p>
                <w:pPr>
                  <w:jc w:val="center"/>
                  <w:rPr>
                    <w:sz w:val="22"/>
                    <w:szCs w:val="22"/>
                  </w:rPr>
                </w:pPr>
                <w:r>
                  <w:rPr>
                    <w:sz w:val="22"/>
                    <w:szCs w:val="22"/>
                  </w:rPr>
                  <w:t>C</w:t>
                </w:r>
                <w:r>
                  <w:rPr>
                    <w:sz w:val="22"/>
                    <w:szCs w:val="22"/>
                    <w:vertAlign w:val="subscript"/>
                  </w:rPr>
                  <w:t>11</w:t>
                </w:r>
                <w:r>
                  <w:rPr>
                    <w:sz w:val="22"/>
                    <w:szCs w:val="22"/>
                  </w:rPr>
                  <w:t>-C</w:t>
                </w:r>
                <w:r>
                  <w:rPr>
                    <w:sz w:val="22"/>
                    <w:szCs w:val="22"/>
                    <w:vertAlign w:val="subscript"/>
                  </w:rPr>
                  <w:t>28</w:t>
                </w:r>
              </w:p>
            </w:tc>
            <w:tc>
              <w:tcPr>
                <w:tcW w:w="1005" w:type="dxa"/>
                <w:vAlign w:val="center"/>
              </w:tcPr>
              <w:p>
                <w:pPr>
                  <w:jc w:val="center"/>
                  <w:rPr>
                    <w:b/>
                    <w:sz w:val="22"/>
                    <w:szCs w:val="22"/>
                  </w:rPr>
                </w:pPr>
                <w:r>
                  <w:rPr>
                    <w:b/>
                    <w:sz w:val="22"/>
                    <w:szCs w:val="22"/>
                  </w:rPr>
                  <w:t>F3</w:t>
                </w:r>
              </w:p>
              <w:p>
                <w:pPr>
                  <w:jc w:val="center"/>
                  <w:rPr>
                    <w:sz w:val="22"/>
                    <w:szCs w:val="22"/>
                  </w:rPr>
                </w:pPr>
                <w:r>
                  <w:rPr>
                    <w:sz w:val="22"/>
                    <w:szCs w:val="22"/>
                  </w:rPr>
                  <w:t>C</w:t>
                </w:r>
                <w:r>
                  <w:rPr>
                    <w:sz w:val="22"/>
                    <w:szCs w:val="22"/>
                    <w:vertAlign w:val="subscript"/>
                  </w:rPr>
                  <w:t>29</w:t>
                </w:r>
                <w:r>
                  <w:rPr>
                    <w:sz w:val="22"/>
                    <w:szCs w:val="22"/>
                  </w:rPr>
                  <w:t>-C</w:t>
                </w:r>
                <w:r>
                  <w:rPr>
                    <w:sz w:val="22"/>
                    <w:szCs w:val="22"/>
                    <w:vertAlign w:val="subscript"/>
                  </w:rPr>
                  <w:t>40</w:t>
                </w:r>
              </w:p>
            </w:tc>
            <w:tc>
              <w:tcPr>
                <w:tcW w:w="951" w:type="dxa"/>
                <w:vMerge/>
                <w:vAlign w:val="center"/>
              </w:tcPr>
              <w:p>
                <w:pPr>
                  <w:jc w:val="both"/>
                  <w:rPr>
                    <w:sz w:val="22"/>
                    <w:szCs w:val="22"/>
                  </w:rPr>
                </w:pPr>
              </w:p>
            </w:tc>
          </w:tr>
          <w:tr>
            <w:trPr>
              <w:trHeight w:val="20"/>
            </w:trPr>
            <w:tc>
              <w:tcPr>
                <w:tcW w:w="803" w:type="dxa"/>
                <w:vAlign w:val="center"/>
              </w:tcPr>
              <w:p>
                <w:pPr>
                  <w:jc w:val="center"/>
                  <w:rPr>
                    <w:sz w:val="22"/>
                    <w:szCs w:val="22"/>
                  </w:rPr>
                </w:pPr>
                <w:r>
                  <w:rPr>
                    <w:sz w:val="22"/>
                    <w:szCs w:val="22"/>
                  </w:rPr>
                  <w:t>I</w:t>
                </w:r>
              </w:p>
            </w:tc>
            <w:tc>
              <w:tcPr>
                <w:tcW w:w="1028" w:type="dxa"/>
                <w:vAlign w:val="center"/>
              </w:tcPr>
              <w:p>
                <w:pPr>
                  <w:jc w:val="center"/>
                  <w:rPr>
                    <w:sz w:val="22"/>
                    <w:szCs w:val="22"/>
                  </w:rPr>
                </w:pPr>
                <w:r>
                  <w:rPr>
                    <w:sz w:val="22"/>
                    <w:szCs w:val="22"/>
                  </w:rPr>
                  <w:t>labai jautri</w:t>
                </w:r>
              </w:p>
            </w:tc>
            <w:tc>
              <w:tcPr>
                <w:tcW w:w="3432" w:type="dxa"/>
                <w:vAlign w:val="center"/>
              </w:tcPr>
              <w:p>
                <w:pPr>
                  <w:tabs>
                    <w:tab w:val="left" w:pos="384"/>
                  </w:tabs>
                  <w:suppressAutoHyphens/>
                  <w:snapToGrid w:val="0"/>
                  <w:ind w:left="15"/>
                  <w:rPr>
                    <w:sz w:val="22"/>
                    <w:szCs w:val="22"/>
                  </w:rPr>
                </w:pPr>
                <w:r>
                  <w:rPr>
                    <w:sz w:val="22"/>
                    <w:szCs w:val="22"/>
                  </w:rPr>
                  <w:t>Geriamojo ir natūralaus mineralinio požeminio vandens šaltinių sanitarinės apsaugos zonos (toliau – SAZ) griežto režimo, taršos apribojimo ir bakteriologinės taršos apribojimo juostos, nustatytos vadovaujantis Lietuvos higienos norma HN 44:2006;</w:t>
                </w:r>
              </w:p>
              <w:p>
                <w:pPr>
                  <w:tabs>
                    <w:tab w:val="left" w:pos="15"/>
                    <w:tab w:val="left" w:pos="384"/>
                  </w:tabs>
                  <w:suppressAutoHyphens/>
                  <w:ind w:left="15"/>
                  <w:rPr>
                    <w:sz w:val="22"/>
                    <w:szCs w:val="22"/>
                  </w:rPr>
                </w:pPr>
                <w:r>
                  <w:rPr>
                    <w:sz w:val="22"/>
                    <w:szCs w:val="22"/>
                  </w:rPr>
                  <w:t xml:space="preserve">paviršinio vandens telkinių pakrantės apsaugos juostos; </w:t>
                </w:r>
              </w:p>
              <w:p>
                <w:pPr>
                  <w:tabs>
                    <w:tab w:val="left" w:pos="15"/>
                    <w:tab w:val="left" w:pos="384"/>
                  </w:tabs>
                  <w:suppressAutoHyphens/>
                  <w:ind w:left="15"/>
                  <w:rPr>
                    <w:sz w:val="22"/>
                    <w:szCs w:val="22"/>
                  </w:rPr>
                </w:pPr>
                <w:r>
                  <w:rPr>
                    <w:sz w:val="22"/>
                    <w:szCs w:val="22"/>
                  </w:rPr>
                  <w:t>saugomos teritorijos, nurodytos Lietuvos Respublikos saugomų teritorijų įstatyme, išskyrus nacionalinius ir regioninius parkus;</w:t>
                </w:r>
              </w:p>
              <w:p>
                <w:pPr>
                  <w:rPr>
                    <w:sz w:val="22"/>
                    <w:szCs w:val="22"/>
                  </w:rPr>
                </w:pPr>
                <w:r>
                  <w:rPr>
                    <w:sz w:val="22"/>
                    <w:szCs w:val="22"/>
                  </w:rPr>
                  <w:t xml:space="preserve">kitos panašaus tipo teritorijos, atitinkančios žemės sklypų pagrindinės tikslinės žemės naudojimo paskirties, būdų ir pobūdžių specifikacijas, nustatytas Žemės sklypų pagrindinės tikslinės žemės naudojimo paskirties, būdų ir pobūdžių specifikacijoje. </w:t>
                </w:r>
              </w:p>
            </w:tc>
            <w:tc>
              <w:tcPr>
                <w:tcW w:w="884" w:type="dxa"/>
                <w:vAlign w:val="center"/>
              </w:tcPr>
              <w:p>
                <w:pPr>
                  <w:jc w:val="center"/>
                  <w:rPr>
                    <w:sz w:val="22"/>
                    <w:szCs w:val="22"/>
                  </w:rPr>
                </w:pPr>
                <w:r>
                  <w:rPr>
                    <w:sz w:val="22"/>
                    <w:szCs w:val="22"/>
                  </w:rPr>
                  <w:t>100</w:t>
                </w:r>
              </w:p>
            </w:tc>
            <w:tc>
              <w:tcPr>
                <w:tcW w:w="1005" w:type="dxa"/>
                <w:vAlign w:val="center"/>
              </w:tcPr>
              <w:p>
                <w:pPr>
                  <w:jc w:val="center"/>
                  <w:rPr>
                    <w:sz w:val="22"/>
                    <w:szCs w:val="22"/>
                  </w:rPr>
                </w:pPr>
                <w:r>
                  <w:rPr>
                    <w:sz w:val="22"/>
                    <w:szCs w:val="22"/>
                  </w:rPr>
                  <w:t>150</w:t>
                </w:r>
              </w:p>
            </w:tc>
            <w:tc>
              <w:tcPr>
                <w:tcW w:w="1005" w:type="dxa"/>
                <w:vAlign w:val="center"/>
              </w:tcPr>
              <w:p>
                <w:pPr>
                  <w:jc w:val="center"/>
                  <w:rPr>
                    <w:sz w:val="22"/>
                    <w:szCs w:val="22"/>
                  </w:rPr>
                </w:pPr>
                <w:r>
                  <w:rPr>
                    <w:sz w:val="22"/>
                    <w:szCs w:val="22"/>
                  </w:rPr>
                  <w:t>300</w:t>
                </w:r>
              </w:p>
            </w:tc>
            <w:tc>
              <w:tcPr>
                <w:tcW w:w="951" w:type="dxa"/>
                <w:vAlign w:val="center"/>
              </w:tcPr>
              <w:p>
                <w:pPr>
                  <w:jc w:val="center"/>
                  <w:rPr>
                    <w:b/>
                    <w:sz w:val="22"/>
                    <w:szCs w:val="22"/>
                  </w:rPr>
                </w:pPr>
                <w:r>
                  <w:rPr>
                    <w:b/>
                    <w:sz w:val="22"/>
                    <w:szCs w:val="22"/>
                  </w:rPr>
                  <w:t>100</w:t>
                </w:r>
              </w:p>
            </w:tc>
          </w:tr>
          <w:tr>
            <w:trPr>
              <w:trHeight w:val="20"/>
            </w:trPr>
            <w:tc>
              <w:tcPr>
                <w:tcW w:w="803" w:type="dxa"/>
                <w:vAlign w:val="center"/>
              </w:tcPr>
              <w:p>
                <w:pPr>
                  <w:jc w:val="center"/>
                  <w:rPr>
                    <w:sz w:val="22"/>
                    <w:szCs w:val="22"/>
                  </w:rPr>
                </w:pPr>
                <w:r>
                  <w:rPr>
                    <w:sz w:val="22"/>
                    <w:szCs w:val="22"/>
                  </w:rPr>
                  <w:t>II</w:t>
                </w:r>
              </w:p>
            </w:tc>
            <w:tc>
              <w:tcPr>
                <w:tcW w:w="1028" w:type="dxa"/>
                <w:vAlign w:val="center"/>
              </w:tcPr>
              <w:p>
                <w:pPr>
                  <w:ind w:firstLine="55"/>
                  <w:jc w:val="center"/>
                  <w:rPr>
                    <w:sz w:val="22"/>
                    <w:szCs w:val="22"/>
                  </w:rPr>
                </w:pPr>
                <w:r>
                  <w:rPr>
                    <w:sz w:val="22"/>
                    <w:szCs w:val="22"/>
                  </w:rPr>
                  <w:t>jautri</w:t>
                </w:r>
              </w:p>
            </w:tc>
            <w:tc>
              <w:tcPr>
                <w:tcW w:w="3432" w:type="dxa"/>
                <w:vAlign w:val="center"/>
              </w:tcPr>
              <w:p>
                <w:pPr>
                  <w:tabs>
                    <w:tab w:val="left" w:pos="0"/>
                  </w:tabs>
                  <w:suppressAutoHyphens/>
                  <w:snapToGrid w:val="0"/>
                  <w:rPr>
                    <w:sz w:val="22"/>
                    <w:szCs w:val="22"/>
                  </w:rPr>
                </w:pPr>
                <w:r>
                  <w:rPr>
                    <w:sz w:val="22"/>
                    <w:szCs w:val="22"/>
                  </w:rPr>
                  <w:t xml:space="preserve">Žemės ūkio kultūrų auginimo teritorijos; </w:t>
                </w:r>
              </w:p>
              <w:p>
                <w:pPr>
                  <w:tabs>
                    <w:tab w:val="left" w:pos="0"/>
                  </w:tabs>
                  <w:suppressAutoHyphens/>
                  <w:rPr>
                    <w:sz w:val="22"/>
                    <w:szCs w:val="22"/>
                  </w:rPr>
                </w:pPr>
                <w:r>
                  <w:rPr>
                    <w:sz w:val="22"/>
                    <w:szCs w:val="22"/>
                  </w:rPr>
                  <w:t>rekreacinės;</w:t>
                </w:r>
              </w:p>
              <w:p>
                <w:pPr>
                  <w:tabs>
                    <w:tab w:val="left" w:pos="0"/>
                  </w:tabs>
                  <w:suppressAutoHyphens/>
                  <w:rPr>
                    <w:sz w:val="22"/>
                    <w:szCs w:val="22"/>
                  </w:rPr>
                </w:pPr>
                <w:r>
                  <w:rPr>
                    <w:sz w:val="22"/>
                    <w:szCs w:val="22"/>
                  </w:rPr>
                  <w:t>gyvenamosios paskirties;</w:t>
                </w:r>
              </w:p>
              <w:p>
                <w:pPr>
                  <w:tabs>
                    <w:tab w:val="left" w:pos="0"/>
                  </w:tabs>
                  <w:rPr>
                    <w:sz w:val="22"/>
                    <w:szCs w:val="22"/>
                  </w:rPr>
                </w:pPr>
                <w:r>
                  <w:rPr>
                    <w:sz w:val="22"/>
                    <w:szCs w:val="22"/>
                  </w:rPr>
                  <w:t>geriamojo ir natūralaus mineralinio požeminio vandens šaltinių SAZ cheminės taršos apribojimų juostos 3a sektorius, nustatytas vadovaujantis Lietuvos higienos norma HN 44:2006;</w:t>
                </w:r>
              </w:p>
              <w:p>
                <w:pPr>
                  <w:tabs>
                    <w:tab w:val="left" w:pos="0"/>
                  </w:tabs>
                  <w:rPr>
                    <w:sz w:val="22"/>
                    <w:szCs w:val="22"/>
                  </w:rPr>
                </w:pPr>
                <w:r>
                  <w:rPr>
                    <w:sz w:val="22"/>
                    <w:szCs w:val="22"/>
                  </w:rPr>
                  <w:t>kitos panašaus tipo teritorijos, atitinkančios žemės sklypų pagrindinės tikslinės žemės naudojimo paskirties, būdų ir pobūdžių specifikacijas, nustatytas Žemės sklypų pagrindinės tikslinės žemės naudojimo paskirties, būdų ir pobūdžių specifikacijoje.</w:t>
                </w:r>
              </w:p>
            </w:tc>
            <w:tc>
              <w:tcPr>
                <w:tcW w:w="884" w:type="dxa"/>
                <w:vAlign w:val="center"/>
              </w:tcPr>
              <w:p>
                <w:pPr>
                  <w:jc w:val="center"/>
                  <w:rPr>
                    <w:sz w:val="22"/>
                    <w:szCs w:val="22"/>
                  </w:rPr>
                </w:pPr>
                <w:r>
                  <w:rPr>
                    <w:sz w:val="22"/>
                    <w:szCs w:val="22"/>
                  </w:rPr>
                  <w:t>150</w:t>
                </w:r>
              </w:p>
            </w:tc>
            <w:tc>
              <w:tcPr>
                <w:tcW w:w="1005" w:type="dxa"/>
                <w:vAlign w:val="center"/>
              </w:tcPr>
              <w:p>
                <w:pPr>
                  <w:jc w:val="center"/>
                  <w:rPr>
                    <w:sz w:val="22"/>
                    <w:szCs w:val="22"/>
                  </w:rPr>
                </w:pPr>
                <w:r>
                  <w:rPr>
                    <w:sz w:val="22"/>
                    <w:szCs w:val="22"/>
                  </w:rPr>
                  <w:t>300</w:t>
                </w:r>
              </w:p>
            </w:tc>
            <w:tc>
              <w:tcPr>
                <w:tcW w:w="1005" w:type="dxa"/>
                <w:vAlign w:val="center"/>
              </w:tcPr>
              <w:p>
                <w:pPr>
                  <w:jc w:val="center"/>
                  <w:rPr>
                    <w:sz w:val="22"/>
                    <w:szCs w:val="22"/>
                  </w:rPr>
                </w:pPr>
                <w:r>
                  <w:rPr>
                    <w:sz w:val="22"/>
                    <w:szCs w:val="22"/>
                  </w:rPr>
                  <w:t>1300</w:t>
                </w:r>
              </w:p>
            </w:tc>
            <w:tc>
              <w:tcPr>
                <w:tcW w:w="951" w:type="dxa"/>
                <w:vAlign w:val="center"/>
              </w:tcPr>
              <w:p>
                <w:pPr>
                  <w:jc w:val="center"/>
                  <w:rPr>
                    <w:b/>
                    <w:sz w:val="22"/>
                    <w:szCs w:val="22"/>
                  </w:rPr>
                </w:pPr>
                <w:r>
                  <w:rPr>
                    <w:b/>
                    <w:sz w:val="22"/>
                    <w:szCs w:val="22"/>
                  </w:rPr>
                  <w:t>150</w:t>
                </w:r>
              </w:p>
            </w:tc>
          </w:tr>
          <w:tr>
            <w:trPr>
              <w:trHeight w:val="20"/>
            </w:trPr>
            <w:tc>
              <w:tcPr>
                <w:tcW w:w="803" w:type="dxa"/>
                <w:vAlign w:val="center"/>
              </w:tcPr>
              <w:p>
                <w:pPr>
                  <w:jc w:val="center"/>
                  <w:rPr>
                    <w:sz w:val="22"/>
                    <w:szCs w:val="22"/>
                  </w:rPr>
                </w:pPr>
                <w:r>
                  <w:rPr>
                    <w:sz w:val="22"/>
                    <w:szCs w:val="22"/>
                  </w:rPr>
                  <w:t>III</w:t>
                </w:r>
              </w:p>
            </w:tc>
            <w:tc>
              <w:tcPr>
                <w:tcW w:w="1028" w:type="dxa"/>
                <w:vAlign w:val="center"/>
              </w:tcPr>
              <w:p>
                <w:pPr>
                  <w:jc w:val="center"/>
                  <w:rPr>
                    <w:sz w:val="22"/>
                    <w:szCs w:val="22"/>
                  </w:rPr>
                </w:pPr>
                <w:r>
                  <w:rPr>
                    <w:sz w:val="22"/>
                    <w:szCs w:val="22"/>
                  </w:rPr>
                  <w:t xml:space="preserve">vidutiniškai jautri </w:t>
                </w:r>
              </w:p>
            </w:tc>
            <w:tc>
              <w:tcPr>
                <w:tcW w:w="3432" w:type="dxa"/>
                <w:vAlign w:val="center"/>
              </w:tcPr>
              <w:p>
                <w:pPr>
                  <w:tabs>
                    <w:tab w:val="left" w:pos="0"/>
                  </w:tabs>
                  <w:suppressAutoHyphens/>
                  <w:snapToGrid w:val="0"/>
                  <w:rPr>
                    <w:sz w:val="22"/>
                    <w:szCs w:val="22"/>
                  </w:rPr>
                </w:pPr>
                <w:r>
                  <w:rPr>
                    <w:sz w:val="22"/>
                    <w:szCs w:val="22"/>
                  </w:rPr>
                  <w:t>Miško teritorijos;</w:t>
                </w:r>
              </w:p>
              <w:p>
                <w:pPr>
                  <w:tabs>
                    <w:tab w:val="left" w:pos="0"/>
                  </w:tabs>
                  <w:suppressAutoHyphens/>
                  <w:snapToGrid w:val="0"/>
                  <w:rPr>
                    <w:sz w:val="22"/>
                    <w:szCs w:val="22"/>
                  </w:rPr>
                </w:pPr>
                <w:r>
                  <w:rPr>
                    <w:sz w:val="22"/>
                    <w:szCs w:val="22"/>
                  </w:rPr>
                  <w:t>geriamojo ir natūralaus mineralinio požeminio vandens šaltinių SAZ cheminės taršos apribojimo juostos 3b sektorius, nustatytas vadovaujantis Lietuvos higienos norma HN 44:2006; paviršinio vandens telkinių apsaugos zonos;</w:t>
                </w:r>
              </w:p>
              <w:p>
                <w:pPr>
                  <w:tabs>
                    <w:tab w:val="left" w:pos="0"/>
                  </w:tabs>
                  <w:rPr>
                    <w:sz w:val="22"/>
                    <w:szCs w:val="22"/>
                  </w:rPr>
                </w:pPr>
                <w:r>
                  <w:rPr>
                    <w:sz w:val="22"/>
                    <w:szCs w:val="22"/>
                  </w:rPr>
                  <w:t>komercinės (prekybos centrai ir kt.) paskirties teritorijos;</w:t>
                </w:r>
              </w:p>
              <w:p>
                <w:pPr>
                  <w:tabs>
                    <w:tab w:val="left" w:pos="0"/>
                  </w:tabs>
                  <w:rPr>
                    <w:sz w:val="22"/>
                    <w:szCs w:val="22"/>
                  </w:rPr>
                </w:pPr>
                <w:r>
                  <w:rPr>
                    <w:sz w:val="22"/>
                    <w:szCs w:val="22"/>
                  </w:rPr>
                  <w:t>kitos panašaus tipo teritorijos, atitinkančios žemės sklypų pagrindinės tikslinės žemės naudojimo paskirties, būdų ir pobūdžių specifikacijas, nustatytas Žemės sklypų pagrindinės tikslinės žemės naudojimo paskirties, būdų ir pobūdžių specifikacijoje.</w:t>
                </w:r>
              </w:p>
            </w:tc>
            <w:tc>
              <w:tcPr>
                <w:tcW w:w="884" w:type="dxa"/>
                <w:vAlign w:val="center"/>
              </w:tcPr>
              <w:p>
                <w:pPr>
                  <w:jc w:val="center"/>
                  <w:rPr>
                    <w:sz w:val="22"/>
                    <w:szCs w:val="22"/>
                  </w:rPr>
                </w:pPr>
                <w:r>
                  <w:rPr>
                    <w:sz w:val="22"/>
                    <w:szCs w:val="22"/>
                  </w:rPr>
                  <w:t>800</w:t>
                </w:r>
              </w:p>
            </w:tc>
            <w:tc>
              <w:tcPr>
                <w:tcW w:w="1005" w:type="dxa"/>
                <w:vAlign w:val="center"/>
              </w:tcPr>
              <w:p>
                <w:pPr>
                  <w:jc w:val="center"/>
                  <w:rPr>
                    <w:sz w:val="22"/>
                    <w:szCs w:val="22"/>
                  </w:rPr>
                </w:pPr>
                <w:r>
                  <w:rPr>
                    <w:sz w:val="22"/>
                    <w:szCs w:val="22"/>
                  </w:rPr>
                  <w:t>2500</w:t>
                </w:r>
              </w:p>
            </w:tc>
            <w:tc>
              <w:tcPr>
                <w:tcW w:w="1005" w:type="dxa"/>
                <w:vAlign w:val="center"/>
              </w:tcPr>
              <w:p>
                <w:pPr>
                  <w:jc w:val="center"/>
                  <w:rPr>
                    <w:sz w:val="22"/>
                    <w:szCs w:val="22"/>
                  </w:rPr>
                </w:pPr>
                <w:r>
                  <w:rPr>
                    <w:sz w:val="22"/>
                    <w:szCs w:val="22"/>
                  </w:rPr>
                  <w:t>3500</w:t>
                </w:r>
              </w:p>
            </w:tc>
            <w:tc>
              <w:tcPr>
                <w:tcW w:w="951" w:type="dxa"/>
                <w:vAlign w:val="center"/>
              </w:tcPr>
              <w:p>
                <w:pPr>
                  <w:jc w:val="center"/>
                  <w:rPr>
                    <w:b/>
                    <w:sz w:val="22"/>
                    <w:szCs w:val="22"/>
                  </w:rPr>
                </w:pPr>
                <w:r>
                  <w:rPr>
                    <w:b/>
                    <w:sz w:val="22"/>
                    <w:szCs w:val="22"/>
                  </w:rPr>
                  <w:t>800</w:t>
                </w:r>
              </w:p>
            </w:tc>
          </w:tr>
          <w:tr>
            <w:trPr>
              <w:trHeight w:val="20"/>
            </w:trPr>
            <w:tc>
              <w:tcPr>
                <w:tcW w:w="803" w:type="dxa"/>
                <w:vAlign w:val="center"/>
              </w:tcPr>
              <w:p>
                <w:pPr>
                  <w:jc w:val="center"/>
                  <w:rPr>
                    <w:sz w:val="22"/>
                    <w:szCs w:val="22"/>
                  </w:rPr>
                </w:pPr>
                <w:r>
                  <w:rPr>
                    <w:sz w:val="22"/>
                    <w:szCs w:val="22"/>
                  </w:rPr>
                  <w:t>IV</w:t>
                </w:r>
              </w:p>
            </w:tc>
            <w:tc>
              <w:tcPr>
                <w:tcW w:w="1028" w:type="dxa"/>
                <w:vAlign w:val="center"/>
              </w:tcPr>
              <w:p>
                <w:pPr>
                  <w:jc w:val="center"/>
                  <w:rPr>
                    <w:sz w:val="22"/>
                    <w:szCs w:val="22"/>
                  </w:rPr>
                </w:pPr>
                <w:r>
                  <w:rPr>
                    <w:sz w:val="22"/>
                    <w:szCs w:val="22"/>
                  </w:rPr>
                  <w:t xml:space="preserve">mažai jautri </w:t>
                </w:r>
              </w:p>
            </w:tc>
            <w:tc>
              <w:tcPr>
                <w:tcW w:w="3432" w:type="dxa"/>
                <w:vAlign w:val="center"/>
              </w:tcPr>
              <w:p>
                <w:pPr>
                  <w:tabs>
                    <w:tab w:val="left" w:pos="352"/>
                  </w:tabs>
                  <w:suppressAutoHyphens/>
                  <w:snapToGrid w:val="0"/>
                  <w:rPr>
                    <w:sz w:val="22"/>
                    <w:szCs w:val="22"/>
                  </w:rPr>
                </w:pPr>
                <w:r>
                  <w:rPr>
                    <w:sz w:val="22"/>
                    <w:szCs w:val="22"/>
                  </w:rPr>
                  <w:t>Pramoninės ir industrinės paskirties teritorijos;</w:t>
                </w:r>
              </w:p>
              <w:p>
                <w:pPr>
                  <w:tabs>
                    <w:tab w:val="left" w:pos="352"/>
                  </w:tabs>
                  <w:suppressAutoHyphens/>
                  <w:rPr>
                    <w:sz w:val="22"/>
                    <w:szCs w:val="22"/>
                  </w:rPr>
                </w:pPr>
                <w:r>
                  <w:rPr>
                    <w:sz w:val="22"/>
                    <w:szCs w:val="22"/>
                  </w:rPr>
                  <w:t>automobilių keliai;</w:t>
                </w:r>
              </w:p>
              <w:p>
                <w:pPr>
                  <w:tabs>
                    <w:tab w:val="left" w:pos="352"/>
                  </w:tabs>
                  <w:suppressAutoHyphens/>
                  <w:rPr>
                    <w:sz w:val="22"/>
                    <w:szCs w:val="22"/>
                  </w:rPr>
                </w:pPr>
                <w:r>
                  <w:rPr>
                    <w:sz w:val="22"/>
                    <w:szCs w:val="22"/>
                  </w:rPr>
                  <w:t>naftos gavybos (naftos gręžinių aikštelės) ir kt.;</w:t>
                </w:r>
              </w:p>
              <w:p>
                <w:pPr>
                  <w:tabs>
                    <w:tab w:val="left" w:pos="352"/>
                  </w:tabs>
                  <w:suppressAutoHyphens/>
                  <w:rPr>
                    <w:spacing w:val="-4"/>
                    <w:sz w:val="22"/>
                    <w:szCs w:val="22"/>
                  </w:rPr>
                </w:pPr>
                <w:r>
                  <w:rPr>
                    <w:spacing w:val="-4"/>
                    <w:sz w:val="22"/>
                    <w:szCs w:val="22"/>
                  </w:rPr>
                  <w:t>naftos ir skystų NP sandėliavimo, perdirbimo ir krovos vietos (saugyklos, degalinės, terminalai ir kt.);</w:t>
                </w:r>
              </w:p>
              <w:p>
                <w:pPr>
                  <w:tabs>
                    <w:tab w:val="left" w:pos="352"/>
                  </w:tabs>
                  <w:suppressAutoHyphens/>
                  <w:rPr>
                    <w:sz w:val="22"/>
                    <w:szCs w:val="22"/>
                  </w:rPr>
                </w:pPr>
                <w:r>
                  <w:rPr>
                    <w:sz w:val="22"/>
                    <w:szCs w:val="22"/>
                  </w:rPr>
                  <w:t>geležinkelio keliai sankasos ribose;</w:t>
                </w:r>
              </w:p>
              <w:p>
                <w:pPr>
                  <w:rPr>
                    <w:sz w:val="22"/>
                    <w:szCs w:val="22"/>
                  </w:rPr>
                </w:pPr>
                <w:r>
                  <w:rPr>
                    <w:sz w:val="22"/>
                    <w:szCs w:val="22"/>
                  </w:rPr>
                  <w:t>naftotiekio siurblinių teritorijos;</w:t>
                </w:r>
              </w:p>
              <w:p>
                <w:pPr>
                  <w:rPr>
                    <w:sz w:val="22"/>
                    <w:szCs w:val="22"/>
                  </w:rPr>
                </w:pPr>
                <w:r>
                  <w:rPr>
                    <w:sz w:val="22"/>
                    <w:szCs w:val="22"/>
                  </w:rPr>
                  <w:t>kitos panašaus tipo teritorijos, atitinkančios žemės sklypų pagrindinės tikslinės žemės naudojimo paskirties, būdų ir pobūdžių specifikacijas, nustatytas Žemės sklypų pagrindinės tikslinės žemės naudojimo paskirties, būdų ir pobūdžių specifikacijoje.</w:t>
                </w:r>
              </w:p>
            </w:tc>
            <w:tc>
              <w:tcPr>
                <w:tcW w:w="884" w:type="dxa"/>
                <w:vAlign w:val="center"/>
              </w:tcPr>
              <w:p>
                <w:pPr>
                  <w:jc w:val="center"/>
                  <w:rPr>
                    <w:sz w:val="22"/>
                    <w:szCs w:val="22"/>
                  </w:rPr>
                </w:pPr>
                <w:r>
                  <w:rPr>
                    <w:sz w:val="22"/>
                    <w:szCs w:val="22"/>
                  </w:rPr>
                  <w:t>4000</w:t>
                </w:r>
              </w:p>
            </w:tc>
            <w:tc>
              <w:tcPr>
                <w:tcW w:w="1005" w:type="dxa"/>
                <w:vAlign w:val="center"/>
              </w:tcPr>
              <w:p>
                <w:pPr>
                  <w:jc w:val="center"/>
                  <w:rPr>
                    <w:sz w:val="22"/>
                    <w:szCs w:val="22"/>
                  </w:rPr>
                </w:pPr>
                <w:r>
                  <w:rPr>
                    <w:sz w:val="22"/>
                    <w:szCs w:val="22"/>
                  </w:rPr>
                  <w:t>6000</w:t>
                </w:r>
              </w:p>
            </w:tc>
            <w:tc>
              <w:tcPr>
                <w:tcW w:w="1005" w:type="dxa"/>
                <w:vAlign w:val="center"/>
              </w:tcPr>
              <w:p>
                <w:pPr>
                  <w:jc w:val="center"/>
                  <w:rPr>
                    <w:sz w:val="22"/>
                    <w:szCs w:val="22"/>
                  </w:rPr>
                </w:pPr>
                <w:r>
                  <w:rPr>
                    <w:sz w:val="22"/>
                    <w:szCs w:val="22"/>
                  </w:rPr>
                  <w:t>10000</w:t>
                </w:r>
              </w:p>
            </w:tc>
            <w:tc>
              <w:tcPr>
                <w:tcW w:w="951" w:type="dxa"/>
                <w:vAlign w:val="center"/>
              </w:tcPr>
              <w:p>
                <w:pPr>
                  <w:jc w:val="center"/>
                  <w:rPr>
                    <w:b/>
                    <w:sz w:val="22"/>
                    <w:szCs w:val="22"/>
                  </w:rPr>
                </w:pPr>
                <w:r>
                  <w:rPr>
                    <w:b/>
                    <w:sz w:val="22"/>
                    <w:szCs w:val="22"/>
                  </w:rPr>
                  <w:t>4000</w:t>
                </w:r>
              </w:p>
            </w:tc>
          </w:tr>
        </w:tbl>
        <w:p>
          <w:pPr>
            <w:suppressAutoHyphens/>
            <w:jc w:val="both"/>
            <w:rPr>
              <w:rFonts w:eastAsia="Batang"/>
              <w:sz w:val="22"/>
              <w:szCs w:val="22"/>
              <w:vertAlign w:val="superscript"/>
              <w:lang w:eastAsia="ar-SA"/>
            </w:rPr>
          </w:pPr>
          <w:r>
            <w:rPr>
              <w:rFonts w:eastAsia="Batang"/>
              <w:sz w:val="22"/>
              <w:szCs w:val="22"/>
              <w:lang w:eastAsia="ar-SA"/>
            </w:rPr>
            <w:t>* kai NP sudaryti iš frakcijų mišinio, RV nustatoma imant bendrą visų frakcijų koncentraciją, taikant santykinai didžiausią dalį sudarančios frakcijos RV.</w:t>
          </w:r>
        </w:p>
        <w:p>
          <w:pPr>
            <w:suppressAutoHyphens/>
            <w:jc w:val="both"/>
            <w:rPr>
              <w:rFonts w:eastAsia="Batang"/>
              <w:sz w:val="22"/>
              <w:szCs w:val="22"/>
              <w:vertAlign w:val="subscript"/>
              <w:lang w:val="it-IT" w:eastAsia="ar-SA"/>
            </w:rPr>
          </w:pPr>
          <w:r>
            <w:rPr>
              <w:rFonts w:eastAsia="Batang"/>
              <w:sz w:val="22"/>
              <w:szCs w:val="22"/>
              <w:vertAlign w:val="superscript"/>
              <w:lang w:eastAsia="ar-SA"/>
            </w:rPr>
            <w:t>(a)</w:t>
          </w:r>
          <w:r>
            <w:rPr>
              <w:rFonts w:eastAsia="Batang"/>
              <w:sz w:val="22"/>
              <w:szCs w:val="22"/>
              <w:lang w:eastAsia="ar-SA"/>
            </w:rPr>
            <w:t xml:space="preserve"> arba – angliavandenilių indeksas </w:t>
          </w:r>
          <w:r>
            <w:rPr>
              <w:rFonts w:eastAsia="Batang"/>
              <w:sz w:val="22"/>
              <w:szCs w:val="22"/>
              <w:lang w:val="it-IT" w:eastAsia="ar-SA"/>
            </w:rPr>
            <w:t>C</w:t>
          </w:r>
          <w:r>
            <w:rPr>
              <w:rFonts w:eastAsia="Batang"/>
              <w:sz w:val="22"/>
              <w:szCs w:val="22"/>
              <w:vertAlign w:val="subscript"/>
              <w:lang w:val="it-IT" w:eastAsia="ar-SA"/>
            </w:rPr>
            <w:t>10</w:t>
          </w:r>
          <w:r>
            <w:rPr>
              <w:rFonts w:eastAsia="Batang"/>
              <w:sz w:val="22"/>
              <w:szCs w:val="22"/>
              <w:lang w:val="it-IT" w:eastAsia="ar-SA"/>
            </w:rPr>
            <w:t>-C</w:t>
          </w:r>
          <w:r>
            <w:rPr>
              <w:rFonts w:eastAsia="Batang"/>
              <w:sz w:val="22"/>
              <w:szCs w:val="22"/>
              <w:vertAlign w:val="subscript"/>
              <w:lang w:val="it-IT" w:eastAsia="ar-SA"/>
            </w:rPr>
            <w:t>40</w:t>
          </w:r>
        </w:p>
        <w:p>
          <w:pPr>
            <w:suppressAutoHyphens/>
            <w:ind w:right="-3"/>
            <w:rPr>
              <w:rFonts w:eastAsia="Batang"/>
              <w:lang w:eastAsia="ar-SA"/>
            </w:rPr>
          </w:pPr>
        </w:p>
        <w:sdt>
          <w:sdtPr>
            <w:alias w:val="pabaiga"/>
            <w:tag w:val="part_82292cb6f3c2416894a7de7cc631cd92"/>
            <w:lock w:val="sdtLocked"/>
            <w:richText/>
          </w:sdtPr>
          <w:sdtContent>
            <w:p>
              <w:pPr>
                <w:tabs>
                  <w:tab w:val="left" w:pos="1304"/>
                  <w:tab w:val="left" w:pos="1457"/>
                  <w:tab w:val="left" w:pos="1604"/>
                  <w:tab w:val="left" w:pos="1757"/>
                </w:tabs>
                <w:jc w:val="center"/>
              </w:pPr>
              <w:r>
                <w:t>_________________</w:t>
              </w:r>
            </w:p>
          </w:sdtContent>
        </w:sdt>
      </w:sdtContent>
    </w:sdt>
    <w:sdt>
      <w:sdtPr>
        <w:alias w:val="3 pr."/>
        <w:tag w:val="part_0a365a75482349058803856ce0f582b6"/>
        <w:lock w:val="sdtLocked"/>
        <w:richText/>
      </w:sdtPr>
      <w:sdtContent>
        <w:p>
          <w:pPr>
            <w:tabs>
              <w:tab w:val="left" w:pos="1304"/>
              <w:tab w:val="left" w:pos="1457"/>
              <w:tab w:val="left" w:pos="1604"/>
              <w:tab w:val="left" w:pos="1757"/>
            </w:tabs>
            <w:ind w:left="4560"/>
            <w:rPr>
              <w:rFonts w:eastAsia="Batang"/>
              <w:lang w:eastAsia="ar-SA"/>
            </w:rPr>
          </w:pPr>
          <w:r>
            <w:br w:type="page"/>
          </w:r>
          <w:r>
            <w:rPr>
              <w:rFonts w:eastAsia="Batang"/>
              <w:lang w:eastAsia="ar-SA"/>
            </w:rPr>
            <w:t xml:space="preserve">Naftos produktais užterštų teritorijų tvarkymo </w:t>
          </w:r>
        </w:p>
        <w:p>
          <w:pPr>
            <w:suppressAutoHyphens/>
            <w:ind w:left="4535"/>
            <w:rPr>
              <w:rFonts w:eastAsia="Batang"/>
              <w:lang w:eastAsia="ar-SA"/>
            </w:rPr>
          </w:pPr>
          <w:r>
            <w:rPr>
              <w:rFonts w:eastAsia="Batang"/>
              <w:lang w:eastAsia="ar-SA"/>
            </w:rPr>
            <w:t>aplinkos apsaugos reikalavimų LAND 9-2009</w:t>
          </w:r>
        </w:p>
        <w:p>
          <w:pPr>
            <w:suppressAutoHyphens/>
            <w:ind w:left="4535"/>
            <w:rPr>
              <w:rFonts w:eastAsia="Batang"/>
              <w:lang w:eastAsia="ar-SA"/>
            </w:rPr>
          </w:pPr>
          <w:sdt>
            <w:sdtPr>
              <w:alias w:val="Numeris"/>
              <w:tag w:val="nr_0a365a75482349058803856ce0f582b6"/>
              <w:lock w:val="sdtLocked"/>
              <w:richText/>
            </w:sdtPr>
            <w:sdtContent>
              <w:r>
                <w:rPr>
                  <w:rFonts w:eastAsia="Batang"/>
                  <w:lang w:eastAsia="ar-SA"/>
                </w:rPr>
                <w:t>3</w:t>
              </w:r>
            </w:sdtContent>
          </w:sdt>
          <w:r>
            <w:rPr>
              <w:rFonts w:eastAsia="Batang"/>
              <w:lang w:eastAsia="ar-SA"/>
            </w:rPr>
            <w:t xml:space="preserve"> priedas</w:t>
          </w:r>
        </w:p>
        <w:p>
          <w:pPr>
            <w:rPr>
              <w:caps/>
            </w:rPr>
          </w:pPr>
        </w:p>
        <w:p>
          <w:pPr>
            <w:jc w:val="center"/>
            <w:rPr>
              <w:caps/>
            </w:rPr>
          </w:pPr>
          <w:sdt>
            <w:sdtPr>
              <w:alias w:val="Pavadinimas"/>
              <w:tag w:val="title_0a365a75482349058803856ce0f582b6"/>
              <w:lock w:val="sdtLocked"/>
              <w:richText/>
            </w:sdtPr>
            <w:sdtContent>
              <w:r>
                <w:rPr>
                  <w:b/>
                  <w:caps/>
                </w:rPr>
                <w:t>Požeminio vandens užteršimo naftos angliavandeniliais ribinės vertės</w:t>
              </w:r>
            </w:sdtContent>
          </w:sdt>
        </w:p>
        <w:p>
          <w:pPr>
            <w:jc w:val="both"/>
          </w:pPr>
        </w:p>
        <w:tbl>
          <w:tblPr>
            <w:tblW w:w="922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
            <w:gridCol w:w="1200"/>
            <w:gridCol w:w="4000"/>
            <w:gridCol w:w="1400"/>
            <w:gridCol w:w="1600"/>
          </w:tblGrid>
          <w:tr>
            <w:trPr>
              <w:tblHeader/>
            </w:trPr>
            <w:tc>
              <w:tcPr>
                <w:tcW w:w="2220" w:type="dxa"/>
                <w:gridSpan w:val="2"/>
                <w:vAlign w:val="center"/>
              </w:tcPr>
              <w:p>
                <w:pPr>
                  <w:jc w:val="center"/>
                  <w:rPr>
                    <w:b/>
                    <w:sz w:val="22"/>
                    <w:szCs w:val="22"/>
                  </w:rPr>
                </w:pPr>
                <w:r>
                  <w:rPr>
                    <w:b/>
                    <w:sz w:val="22"/>
                    <w:szCs w:val="22"/>
                  </w:rPr>
                  <w:t>Teritorijos jautrumas taršai</w:t>
                </w:r>
              </w:p>
            </w:tc>
            <w:tc>
              <w:tcPr>
                <w:tcW w:w="4000" w:type="dxa"/>
                <w:vMerge w:val="restart"/>
                <w:vAlign w:val="center"/>
              </w:tcPr>
              <w:p>
                <w:pPr>
                  <w:ind w:left="-154"/>
                  <w:jc w:val="center"/>
                  <w:rPr>
                    <w:b/>
                    <w:sz w:val="22"/>
                    <w:szCs w:val="22"/>
                  </w:rPr>
                </w:pPr>
                <w:r>
                  <w:rPr>
                    <w:b/>
                    <w:sz w:val="22"/>
                    <w:szCs w:val="22"/>
                  </w:rPr>
                  <w:t>Teritorijos naudojimo pobūdis</w:t>
                </w:r>
              </w:p>
            </w:tc>
            <w:tc>
              <w:tcPr>
                <w:tcW w:w="3000" w:type="dxa"/>
                <w:gridSpan w:val="2"/>
                <w:vAlign w:val="center"/>
              </w:tcPr>
              <w:p>
                <w:pPr>
                  <w:jc w:val="center"/>
                  <w:rPr>
                    <w:b/>
                    <w:sz w:val="22"/>
                    <w:szCs w:val="22"/>
                  </w:rPr>
                </w:pPr>
                <w:r>
                  <w:rPr>
                    <w:b/>
                    <w:sz w:val="22"/>
                    <w:szCs w:val="22"/>
                  </w:rPr>
                  <w:t>Ribinės vertės, mg/l</w:t>
                </w:r>
              </w:p>
            </w:tc>
          </w:tr>
          <w:tr>
            <w:trPr>
              <w:tblHeader/>
            </w:trPr>
            <w:tc>
              <w:tcPr>
                <w:tcW w:w="1020" w:type="dxa"/>
                <w:vAlign w:val="center"/>
              </w:tcPr>
              <w:p>
                <w:pPr>
                  <w:jc w:val="center"/>
                  <w:rPr>
                    <w:sz w:val="22"/>
                    <w:szCs w:val="22"/>
                  </w:rPr>
                </w:pPr>
                <w:r>
                  <w:rPr>
                    <w:sz w:val="22"/>
                    <w:szCs w:val="22"/>
                  </w:rPr>
                  <w:t>Kategorija</w:t>
                </w:r>
              </w:p>
            </w:tc>
            <w:tc>
              <w:tcPr>
                <w:tcW w:w="1200" w:type="dxa"/>
                <w:vAlign w:val="center"/>
              </w:tcPr>
              <w:p>
                <w:pPr>
                  <w:jc w:val="center"/>
                  <w:rPr>
                    <w:sz w:val="22"/>
                    <w:szCs w:val="22"/>
                  </w:rPr>
                </w:pPr>
                <w:r>
                  <w:rPr>
                    <w:sz w:val="22"/>
                    <w:szCs w:val="22"/>
                  </w:rPr>
                  <w:t>Jautrumo lygis</w:t>
                </w:r>
              </w:p>
            </w:tc>
            <w:tc>
              <w:tcPr>
                <w:tcW w:w="4000" w:type="dxa"/>
                <w:vMerge/>
              </w:tcPr>
              <w:p>
                <w:pPr>
                  <w:jc w:val="both"/>
                  <w:rPr>
                    <w:sz w:val="22"/>
                    <w:szCs w:val="22"/>
                  </w:rPr>
                </w:pPr>
              </w:p>
            </w:tc>
            <w:tc>
              <w:tcPr>
                <w:tcW w:w="1400" w:type="dxa"/>
                <w:vAlign w:val="center"/>
              </w:tcPr>
              <w:p>
                <w:pPr>
                  <w:jc w:val="center"/>
                  <w:rPr>
                    <w:b/>
                    <w:sz w:val="22"/>
                    <w:szCs w:val="22"/>
                  </w:rPr>
                </w:pPr>
                <w:r>
                  <w:rPr>
                    <w:b/>
                    <w:sz w:val="22"/>
                    <w:szCs w:val="22"/>
                  </w:rPr>
                  <w:t>F-1</w:t>
                </w:r>
              </w:p>
              <w:p>
                <w:pPr>
                  <w:jc w:val="center"/>
                  <w:rPr>
                    <w:sz w:val="22"/>
                    <w:szCs w:val="22"/>
                  </w:rPr>
                </w:pPr>
                <w:r>
                  <w:rPr>
                    <w:sz w:val="22"/>
                    <w:szCs w:val="22"/>
                  </w:rPr>
                  <w:t>C</w:t>
                </w:r>
                <w:r>
                  <w:rPr>
                    <w:sz w:val="22"/>
                    <w:szCs w:val="22"/>
                    <w:vertAlign w:val="subscript"/>
                  </w:rPr>
                  <w:t>6</w:t>
                </w:r>
                <w:r>
                  <w:rPr>
                    <w:sz w:val="22"/>
                    <w:szCs w:val="22"/>
                  </w:rPr>
                  <w:t>-C</w:t>
                </w:r>
                <w:r>
                  <w:rPr>
                    <w:sz w:val="22"/>
                    <w:szCs w:val="22"/>
                    <w:vertAlign w:val="subscript"/>
                  </w:rPr>
                  <w:t>10</w:t>
                </w:r>
              </w:p>
            </w:tc>
            <w:tc>
              <w:tcPr>
                <w:tcW w:w="1600" w:type="dxa"/>
                <w:vAlign w:val="center"/>
              </w:tcPr>
              <w:p>
                <w:pPr>
                  <w:jc w:val="center"/>
                  <w:rPr>
                    <w:b/>
                    <w:sz w:val="22"/>
                    <w:szCs w:val="22"/>
                  </w:rPr>
                </w:pPr>
                <w:r>
                  <w:rPr>
                    <w:b/>
                    <w:sz w:val="22"/>
                    <w:szCs w:val="22"/>
                  </w:rPr>
                  <w:t>Angliavandenilių indeksas</w:t>
                </w:r>
              </w:p>
              <w:p>
                <w:pPr>
                  <w:jc w:val="center"/>
                  <w:rPr>
                    <w:sz w:val="22"/>
                    <w:szCs w:val="22"/>
                  </w:rPr>
                </w:pPr>
                <w:r>
                  <w:rPr>
                    <w:sz w:val="22"/>
                    <w:szCs w:val="22"/>
                  </w:rPr>
                  <w:t>C</w:t>
                </w:r>
                <w:r>
                  <w:rPr>
                    <w:sz w:val="22"/>
                    <w:szCs w:val="22"/>
                    <w:vertAlign w:val="subscript"/>
                  </w:rPr>
                  <w:t>10</w:t>
                </w:r>
                <w:r>
                  <w:rPr>
                    <w:sz w:val="22"/>
                    <w:szCs w:val="22"/>
                  </w:rPr>
                  <w:t>-C</w:t>
                </w:r>
                <w:r>
                  <w:rPr>
                    <w:sz w:val="22"/>
                    <w:szCs w:val="22"/>
                    <w:vertAlign w:val="subscript"/>
                  </w:rPr>
                  <w:t>40</w:t>
                </w:r>
              </w:p>
            </w:tc>
          </w:tr>
          <w:tr>
            <w:tc>
              <w:tcPr>
                <w:tcW w:w="1020" w:type="dxa"/>
                <w:vAlign w:val="center"/>
              </w:tcPr>
              <w:p>
                <w:pPr>
                  <w:jc w:val="center"/>
                  <w:rPr>
                    <w:sz w:val="22"/>
                    <w:szCs w:val="22"/>
                  </w:rPr>
                </w:pPr>
                <w:r>
                  <w:rPr>
                    <w:sz w:val="22"/>
                    <w:szCs w:val="22"/>
                  </w:rPr>
                  <w:t>I</w:t>
                </w:r>
              </w:p>
            </w:tc>
            <w:tc>
              <w:tcPr>
                <w:tcW w:w="1200" w:type="dxa"/>
                <w:vAlign w:val="center"/>
              </w:tcPr>
              <w:p>
                <w:pPr>
                  <w:jc w:val="center"/>
                  <w:rPr>
                    <w:sz w:val="22"/>
                    <w:szCs w:val="22"/>
                  </w:rPr>
                </w:pPr>
                <w:r>
                  <w:rPr>
                    <w:sz w:val="22"/>
                    <w:szCs w:val="22"/>
                  </w:rPr>
                  <w:t>labai jautri</w:t>
                </w:r>
              </w:p>
            </w:tc>
            <w:tc>
              <w:tcPr>
                <w:tcW w:w="4000" w:type="dxa"/>
                <w:vAlign w:val="center"/>
              </w:tcPr>
              <w:p>
                <w:pPr>
                  <w:tabs>
                    <w:tab w:val="left" w:pos="384"/>
                  </w:tabs>
                  <w:suppressAutoHyphens/>
                  <w:snapToGrid w:val="0"/>
                  <w:ind w:left="15"/>
                  <w:rPr>
                    <w:sz w:val="22"/>
                    <w:szCs w:val="22"/>
                  </w:rPr>
                </w:pPr>
                <w:r>
                  <w:rPr>
                    <w:sz w:val="22"/>
                    <w:szCs w:val="22"/>
                  </w:rPr>
                  <w:t>Geriamojo ir natūralaus mineralinio požeminio vandens šaltinių sanitarinės apsaugos zonos (toliau – SAZ) griežto režimo, taršos apribojimo ir bakteriologinės taršos apribojimo juostos, nustatytos vadovaujantis Lietuvos higienos norma HN 44:2006;</w:t>
                </w:r>
              </w:p>
              <w:p>
                <w:pPr>
                  <w:tabs>
                    <w:tab w:val="left" w:pos="15"/>
                    <w:tab w:val="left" w:pos="384"/>
                  </w:tabs>
                  <w:suppressAutoHyphens/>
                  <w:ind w:left="15"/>
                  <w:rPr>
                    <w:sz w:val="22"/>
                    <w:szCs w:val="22"/>
                  </w:rPr>
                </w:pPr>
                <w:r>
                  <w:rPr>
                    <w:sz w:val="22"/>
                    <w:szCs w:val="22"/>
                  </w:rPr>
                  <w:t xml:space="preserve">paviršinio vandens telkinių pakrantės apsaugos juostos; </w:t>
                </w:r>
              </w:p>
              <w:p>
                <w:pPr>
                  <w:tabs>
                    <w:tab w:val="left" w:pos="15"/>
                    <w:tab w:val="left" w:pos="384"/>
                  </w:tabs>
                  <w:suppressAutoHyphens/>
                  <w:ind w:left="15"/>
                  <w:rPr>
                    <w:sz w:val="22"/>
                    <w:szCs w:val="22"/>
                  </w:rPr>
                </w:pPr>
                <w:r>
                  <w:rPr>
                    <w:sz w:val="22"/>
                    <w:szCs w:val="22"/>
                  </w:rPr>
                  <w:t>saugomos teritorijos, nurodytos Lietuvos Respublikos saugomų teritorijų įstatyme, išskyrus nacionalinius ir regioninius parkus;</w:t>
                </w:r>
              </w:p>
              <w:p>
                <w:pPr>
                  <w:rPr>
                    <w:sz w:val="22"/>
                    <w:szCs w:val="22"/>
                  </w:rPr>
                </w:pPr>
                <w:r>
                  <w:rPr>
                    <w:sz w:val="22"/>
                    <w:szCs w:val="22"/>
                  </w:rPr>
                  <w:t xml:space="preserve">kitos panašaus tipo teritorijos, atitinkančios žemės sklypų pagrindinės tikslinės žemės naudojimo paskirties, būdų ir pobūdžių specifikacijas, nustatytas Žemės sklypų pagrindinės tikslinės žemės naudojimo paskirties, būdų ir pobūdžių specifikacijoje. </w:t>
                </w:r>
              </w:p>
            </w:tc>
            <w:tc>
              <w:tcPr>
                <w:tcW w:w="1400" w:type="dxa"/>
                <w:vAlign w:val="center"/>
              </w:tcPr>
              <w:p>
                <w:pPr>
                  <w:jc w:val="center"/>
                  <w:rPr>
                    <w:b/>
                    <w:sz w:val="22"/>
                    <w:szCs w:val="22"/>
                  </w:rPr>
                </w:pPr>
                <w:r>
                  <w:rPr>
                    <w:b/>
                    <w:sz w:val="22"/>
                    <w:szCs w:val="22"/>
                  </w:rPr>
                  <w:t>1</w:t>
                </w:r>
                <w:r>
                  <w:rPr>
                    <w:b/>
                    <w:sz w:val="22"/>
                    <w:szCs w:val="22"/>
                    <w:vertAlign w:val="superscript"/>
                  </w:rPr>
                  <w:t>A</w:t>
                </w:r>
              </w:p>
            </w:tc>
            <w:tc>
              <w:tcPr>
                <w:tcW w:w="1600" w:type="dxa"/>
                <w:vAlign w:val="center"/>
              </w:tcPr>
              <w:p>
                <w:pPr>
                  <w:jc w:val="center"/>
                  <w:rPr>
                    <w:b/>
                    <w:sz w:val="22"/>
                    <w:szCs w:val="22"/>
                  </w:rPr>
                </w:pPr>
                <w:r>
                  <w:rPr>
                    <w:b/>
                    <w:sz w:val="22"/>
                    <w:szCs w:val="22"/>
                  </w:rPr>
                  <w:t>0,5</w:t>
                </w:r>
              </w:p>
            </w:tc>
          </w:tr>
          <w:tr>
            <w:tc>
              <w:tcPr>
                <w:tcW w:w="1020" w:type="dxa"/>
                <w:vAlign w:val="center"/>
              </w:tcPr>
              <w:p>
                <w:pPr>
                  <w:jc w:val="center"/>
                  <w:rPr>
                    <w:sz w:val="22"/>
                    <w:szCs w:val="22"/>
                  </w:rPr>
                </w:pPr>
                <w:r>
                  <w:rPr>
                    <w:sz w:val="22"/>
                    <w:szCs w:val="22"/>
                  </w:rPr>
                  <w:t>II</w:t>
                </w:r>
              </w:p>
            </w:tc>
            <w:tc>
              <w:tcPr>
                <w:tcW w:w="1200" w:type="dxa"/>
                <w:vAlign w:val="center"/>
              </w:tcPr>
              <w:p>
                <w:pPr>
                  <w:jc w:val="center"/>
                  <w:rPr>
                    <w:sz w:val="22"/>
                    <w:szCs w:val="22"/>
                  </w:rPr>
                </w:pPr>
                <w:r>
                  <w:rPr>
                    <w:sz w:val="22"/>
                    <w:szCs w:val="22"/>
                  </w:rPr>
                  <w:t>jautri</w:t>
                </w:r>
              </w:p>
            </w:tc>
            <w:tc>
              <w:tcPr>
                <w:tcW w:w="4000" w:type="dxa"/>
                <w:vAlign w:val="center"/>
              </w:tcPr>
              <w:p>
                <w:pPr>
                  <w:tabs>
                    <w:tab w:val="left" w:pos="0"/>
                  </w:tabs>
                  <w:suppressAutoHyphens/>
                  <w:snapToGrid w:val="0"/>
                  <w:rPr>
                    <w:sz w:val="22"/>
                    <w:szCs w:val="22"/>
                  </w:rPr>
                </w:pPr>
                <w:r>
                  <w:rPr>
                    <w:sz w:val="22"/>
                    <w:szCs w:val="22"/>
                  </w:rPr>
                  <w:t xml:space="preserve">Žemės ūkio kultūrų auginimo teritorijos; </w:t>
                </w:r>
              </w:p>
              <w:p>
                <w:pPr>
                  <w:tabs>
                    <w:tab w:val="left" w:pos="0"/>
                  </w:tabs>
                  <w:suppressAutoHyphens/>
                  <w:rPr>
                    <w:sz w:val="22"/>
                    <w:szCs w:val="22"/>
                  </w:rPr>
                </w:pPr>
                <w:r>
                  <w:rPr>
                    <w:sz w:val="22"/>
                    <w:szCs w:val="22"/>
                  </w:rPr>
                  <w:t>rekreacinės;</w:t>
                </w:r>
              </w:p>
              <w:p>
                <w:pPr>
                  <w:tabs>
                    <w:tab w:val="left" w:pos="0"/>
                  </w:tabs>
                  <w:suppressAutoHyphens/>
                  <w:rPr>
                    <w:sz w:val="22"/>
                    <w:szCs w:val="22"/>
                  </w:rPr>
                </w:pPr>
                <w:r>
                  <w:rPr>
                    <w:sz w:val="22"/>
                    <w:szCs w:val="22"/>
                  </w:rPr>
                  <w:t>gyvenamosios paskirties;</w:t>
                </w:r>
              </w:p>
              <w:p>
                <w:pPr>
                  <w:tabs>
                    <w:tab w:val="left" w:pos="0"/>
                  </w:tabs>
                  <w:rPr>
                    <w:sz w:val="22"/>
                    <w:szCs w:val="22"/>
                  </w:rPr>
                </w:pPr>
                <w:r>
                  <w:rPr>
                    <w:sz w:val="22"/>
                    <w:szCs w:val="22"/>
                  </w:rPr>
                  <w:t>geriamojo ir natūralaus mineralinio požeminio vandens šaltinių SAZ cheminės taršos apribojimų juostos 3a sektorius, nustatytas vadovaujantis Lietuvos higienos norma HN 44:2006 (vandens gavybos tikslams nenaudojamuose vandeninguose sluoksniuose);</w:t>
                </w:r>
              </w:p>
              <w:p>
                <w:pPr>
                  <w:tabs>
                    <w:tab w:val="left" w:pos="0"/>
                  </w:tabs>
                  <w:rPr>
                    <w:sz w:val="22"/>
                    <w:szCs w:val="22"/>
                  </w:rPr>
                </w:pPr>
                <w:r>
                  <w:rPr>
                    <w:sz w:val="22"/>
                    <w:szCs w:val="22"/>
                  </w:rPr>
                  <w:t>kitos panašaus tipo teritorijos, atitinkančios žemės sklypų pagrindinės tikslinės žemės naudojimo paskirties, būdų ir pobūdžių specifikacijas, nustatytas Žemės sklypų pagrindinės tikslinės žemės naudojimo paskirties, būdų ir pobūdžių specifikacijoje.</w:t>
                </w:r>
              </w:p>
            </w:tc>
            <w:tc>
              <w:tcPr>
                <w:tcW w:w="1400" w:type="dxa"/>
                <w:vAlign w:val="center"/>
              </w:tcPr>
              <w:p>
                <w:pPr>
                  <w:jc w:val="center"/>
                  <w:rPr>
                    <w:b/>
                    <w:sz w:val="22"/>
                    <w:szCs w:val="22"/>
                  </w:rPr>
                </w:pPr>
                <w:r>
                  <w:rPr>
                    <w:b/>
                    <w:sz w:val="22"/>
                    <w:szCs w:val="22"/>
                  </w:rPr>
                  <w:t>2</w:t>
                </w:r>
                <w:r>
                  <w:rPr>
                    <w:b/>
                    <w:sz w:val="22"/>
                    <w:szCs w:val="22"/>
                    <w:vertAlign w:val="superscript"/>
                  </w:rPr>
                  <w:t>B</w:t>
                </w:r>
              </w:p>
            </w:tc>
            <w:tc>
              <w:tcPr>
                <w:tcW w:w="1600" w:type="dxa"/>
                <w:vAlign w:val="center"/>
              </w:tcPr>
              <w:p>
                <w:pPr>
                  <w:jc w:val="center"/>
                  <w:rPr>
                    <w:b/>
                    <w:sz w:val="22"/>
                    <w:szCs w:val="22"/>
                  </w:rPr>
                </w:pPr>
                <w:r>
                  <w:rPr>
                    <w:b/>
                    <w:sz w:val="22"/>
                    <w:szCs w:val="22"/>
                  </w:rPr>
                  <w:t>2</w:t>
                </w:r>
              </w:p>
            </w:tc>
          </w:tr>
          <w:tr>
            <w:trPr>
              <w:cantSplit/>
            </w:trPr>
            <w:tc>
              <w:tcPr>
                <w:tcW w:w="1020" w:type="dxa"/>
                <w:vAlign w:val="center"/>
              </w:tcPr>
              <w:p>
                <w:pPr>
                  <w:jc w:val="center"/>
                  <w:rPr>
                    <w:sz w:val="22"/>
                    <w:szCs w:val="22"/>
                  </w:rPr>
                </w:pPr>
                <w:r>
                  <w:rPr>
                    <w:sz w:val="22"/>
                    <w:szCs w:val="22"/>
                  </w:rPr>
                  <w:t>III</w:t>
                </w:r>
              </w:p>
            </w:tc>
            <w:tc>
              <w:tcPr>
                <w:tcW w:w="1200" w:type="dxa"/>
                <w:vAlign w:val="center"/>
              </w:tcPr>
              <w:p>
                <w:pPr>
                  <w:jc w:val="center"/>
                  <w:rPr>
                    <w:sz w:val="22"/>
                    <w:szCs w:val="22"/>
                  </w:rPr>
                </w:pPr>
                <w:r>
                  <w:rPr>
                    <w:sz w:val="22"/>
                    <w:szCs w:val="22"/>
                  </w:rPr>
                  <w:t>vidutiniškai</w:t>
                </w:r>
              </w:p>
              <w:p>
                <w:pPr>
                  <w:jc w:val="center"/>
                  <w:rPr>
                    <w:sz w:val="22"/>
                    <w:szCs w:val="22"/>
                  </w:rPr>
                </w:pPr>
                <w:r>
                  <w:rPr>
                    <w:sz w:val="22"/>
                    <w:szCs w:val="22"/>
                  </w:rPr>
                  <w:t>jautri</w:t>
                </w:r>
              </w:p>
            </w:tc>
            <w:tc>
              <w:tcPr>
                <w:tcW w:w="4000" w:type="dxa"/>
                <w:vAlign w:val="center"/>
              </w:tcPr>
              <w:p>
                <w:pPr>
                  <w:tabs>
                    <w:tab w:val="left" w:pos="0"/>
                  </w:tabs>
                  <w:suppressAutoHyphens/>
                  <w:snapToGrid w:val="0"/>
                  <w:rPr>
                    <w:sz w:val="22"/>
                    <w:szCs w:val="22"/>
                  </w:rPr>
                </w:pPr>
                <w:r>
                  <w:rPr>
                    <w:sz w:val="22"/>
                    <w:szCs w:val="22"/>
                  </w:rPr>
                  <w:t>Miško teritorijos;</w:t>
                </w:r>
              </w:p>
              <w:p>
                <w:pPr>
                  <w:tabs>
                    <w:tab w:val="left" w:pos="0"/>
                  </w:tabs>
                  <w:suppressAutoHyphens/>
                  <w:snapToGrid w:val="0"/>
                  <w:rPr>
                    <w:sz w:val="22"/>
                    <w:szCs w:val="22"/>
                  </w:rPr>
                </w:pPr>
                <w:r>
                  <w:rPr>
                    <w:sz w:val="22"/>
                    <w:szCs w:val="22"/>
                  </w:rPr>
                  <w:t>geriamojo ir natūralaus mineralinio požeminio vandens šaltinių SAZ cheminės taršos apribojimo juostos 3b sektorius, nustatytas vadovaujantis Lietuvos higienos norma HN 44:2006 (vandens gavybos tikslams nenaudojamuose vandeninguose sluoksniuose);</w:t>
                </w:r>
              </w:p>
              <w:p>
                <w:pPr>
                  <w:tabs>
                    <w:tab w:val="left" w:pos="0"/>
                  </w:tabs>
                  <w:suppressAutoHyphens/>
                  <w:snapToGrid w:val="0"/>
                  <w:rPr>
                    <w:sz w:val="22"/>
                    <w:szCs w:val="22"/>
                  </w:rPr>
                </w:pPr>
                <w:r>
                  <w:rPr>
                    <w:sz w:val="22"/>
                    <w:szCs w:val="22"/>
                  </w:rPr>
                  <w:t>paviršinio vandens telkinių apsaugos zonos;</w:t>
                </w:r>
              </w:p>
              <w:p>
                <w:pPr>
                  <w:tabs>
                    <w:tab w:val="left" w:pos="0"/>
                  </w:tabs>
                  <w:rPr>
                    <w:sz w:val="22"/>
                    <w:szCs w:val="22"/>
                  </w:rPr>
                </w:pPr>
                <w:r>
                  <w:rPr>
                    <w:sz w:val="22"/>
                    <w:szCs w:val="22"/>
                  </w:rPr>
                  <w:t>komercinės (prekybos centrai ir kt.) paskirties teritorijos;</w:t>
                </w:r>
              </w:p>
              <w:p>
                <w:pPr>
                  <w:tabs>
                    <w:tab w:val="left" w:pos="0"/>
                  </w:tabs>
                  <w:rPr>
                    <w:sz w:val="22"/>
                    <w:szCs w:val="22"/>
                  </w:rPr>
                </w:pPr>
                <w:r>
                  <w:rPr>
                    <w:sz w:val="22"/>
                    <w:szCs w:val="22"/>
                  </w:rPr>
                  <w:t>kitos panašaus tipo teritorijos, atitinkančios žemės sklypų pagrindinės tikslinės žemės naudojimo paskirties, būdų ir pobūdžių specifikacijas, nustatytas Žemės sklypų pagrindinės tikslinės žemės naudojimo paskirties, būdų ir pobūdžių specifikacijoje.</w:t>
                </w:r>
              </w:p>
            </w:tc>
            <w:tc>
              <w:tcPr>
                <w:tcW w:w="1400" w:type="dxa"/>
                <w:vAlign w:val="center"/>
              </w:tcPr>
              <w:p>
                <w:pPr>
                  <w:jc w:val="center"/>
                  <w:rPr>
                    <w:b/>
                    <w:sz w:val="22"/>
                    <w:szCs w:val="22"/>
                  </w:rPr>
                </w:pPr>
                <w:r>
                  <w:rPr>
                    <w:b/>
                    <w:sz w:val="22"/>
                    <w:szCs w:val="22"/>
                  </w:rPr>
                  <w:t>5</w:t>
                </w:r>
              </w:p>
            </w:tc>
            <w:tc>
              <w:tcPr>
                <w:tcW w:w="1600" w:type="dxa"/>
                <w:vAlign w:val="center"/>
              </w:tcPr>
              <w:p>
                <w:pPr>
                  <w:jc w:val="center"/>
                  <w:rPr>
                    <w:b/>
                    <w:sz w:val="22"/>
                    <w:szCs w:val="22"/>
                  </w:rPr>
                </w:pPr>
                <w:r>
                  <w:rPr>
                    <w:b/>
                    <w:sz w:val="22"/>
                    <w:szCs w:val="22"/>
                  </w:rPr>
                  <w:t>5</w:t>
                </w:r>
              </w:p>
            </w:tc>
          </w:tr>
          <w:tr>
            <w:tc>
              <w:tcPr>
                <w:tcW w:w="1020" w:type="dxa"/>
                <w:vAlign w:val="center"/>
              </w:tcPr>
              <w:p>
                <w:pPr>
                  <w:jc w:val="center"/>
                  <w:rPr>
                    <w:sz w:val="22"/>
                    <w:szCs w:val="22"/>
                  </w:rPr>
                </w:pPr>
                <w:r>
                  <w:rPr>
                    <w:sz w:val="22"/>
                    <w:szCs w:val="22"/>
                  </w:rPr>
                  <w:t>IV</w:t>
                </w:r>
              </w:p>
            </w:tc>
            <w:tc>
              <w:tcPr>
                <w:tcW w:w="1200" w:type="dxa"/>
                <w:vAlign w:val="center"/>
              </w:tcPr>
              <w:p>
                <w:pPr>
                  <w:jc w:val="center"/>
                  <w:rPr>
                    <w:sz w:val="22"/>
                    <w:szCs w:val="22"/>
                  </w:rPr>
                </w:pPr>
                <w:r>
                  <w:rPr>
                    <w:sz w:val="22"/>
                    <w:szCs w:val="22"/>
                  </w:rPr>
                  <w:t>mažai jautri</w:t>
                </w:r>
              </w:p>
            </w:tc>
            <w:tc>
              <w:tcPr>
                <w:tcW w:w="4000" w:type="dxa"/>
                <w:vAlign w:val="center"/>
              </w:tcPr>
              <w:p>
                <w:pPr>
                  <w:tabs>
                    <w:tab w:val="left" w:pos="352"/>
                  </w:tabs>
                  <w:suppressAutoHyphens/>
                  <w:snapToGrid w:val="0"/>
                  <w:rPr>
                    <w:sz w:val="22"/>
                    <w:szCs w:val="22"/>
                  </w:rPr>
                </w:pPr>
                <w:r>
                  <w:rPr>
                    <w:sz w:val="22"/>
                    <w:szCs w:val="22"/>
                  </w:rPr>
                  <w:t>Pramoninės ir industrinės paskirties teritorijos;</w:t>
                </w:r>
              </w:p>
              <w:p>
                <w:pPr>
                  <w:tabs>
                    <w:tab w:val="left" w:pos="352"/>
                  </w:tabs>
                  <w:suppressAutoHyphens/>
                  <w:rPr>
                    <w:sz w:val="22"/>
                    <w:szCs w:val="22"/>
                  </w:rPr>
                </w:pPr>
                <w:r>
                  <w:rPr>
                    <w:sz w:val="22"/>
                    <w:szCs w:val="22"/>
                  </w:rPr>
                  <w:t>automobilių keliai;</w:t>
                </w:r>
              </w:p>
              <w:p>
                <w:pPr>
                  <w:tabs>
                    <w:tab w:val="left" w:pos="352"/>
                  </w:tabs>
                  <w:suppressAutoHyphens/>
                  <w:rPr>
                    <w:sz w:val="22"/>
                    <w:szCs w:val="22"/>
                  </w:rPr>
                </w:pPr>
                <w:r>
                  <w:rPr>
                    <w:sz w:val="22"/>
                    <w:szCs w:val="22"/>
                  </w:rPr>
                  <w:t>naftos gavybos (naftos gręžinių aikštelės) ir kt.;</w:t>
                </w:r>
              </w:p>
              <w:p>
                <w:pPr>
                  <w:tabs>
                    <w:tab w:val="left" w:pos="352"/>
                  </w:tabs>
                  <w:suppressAutoHyphens/>
                  <w:rPr>
                    <w:spacing w:val="-4"/>
                    <w:sz w:val="22"/>
                    <w:szCs w:val="22"/>
                  </w:rPr>
                </w:pPr>
                <w:r>
                  <w:rPr>
                    <w:spacing w:val="-4"/>
                    <w:sz w:val="22"/>
                    <w:szCs w:val="22"/>
                  </w:rPr>
                  <w:t>naftos ir skystų NP sandėliavimo, perdirbimo ir krovos vietos (saugyklos, degalinės, terminalai ir kt.);</w:t>
                </w:r>
              </w:p>
              <w:p>
                <w:pPr>
                  <w:tabs>
                    <w:tab w:val="left" w:pos="352"/>
                  </w:tabs>
                  <w:suppressAutoHyphens/>
                  <w:rPr>
                    <w:sz w:val="22"/>
                    <w:szCs w:val="22"/>
                  </w:rPr>
                </w:pPr>
                <w:r>
                  <w:rPr>
                    <w:sz w:val="22"/>
                    <w:szCs w:val="22"/>
                  </w:rPr>
                  <w:t>geležinkelio keliai sankasos ribose;</w:t>
                </w:r>
              </w:p>
              <w:p>
                <w:pPr>
                  <w:rPr>
                    <w:sz w:val="22"/>
                    <w:szCs w:val="22"/>
                  </w:rPr>
                </w:pPr>
                <w:r>
                  <w:rPr>
                    <w:sz w:val="22"/>
                    <w:szCs w:val="22"/>
                  </w:rPr>
                  <w:t>naftotiekio siurblinių teritorijos;</w:t>
                </w:r>
              </w:p>
              <w:p>
                <w:pPr>
                  <w:rPr>
                    <w:sz w:val="22"/>
                    <w:szCs w:val="22"/>
                  </w:rPr>
                </w:pPr>
                <w:r>
                  <w:rPr>
                    <w:sz w:val="22"/>
                    <w:szCs w:val="22"/>
                  </w:rPr>
                  <w:t>kitos panašaus tipo teritorijos, atitinkančios žemės sklypų pagrindinės tikslinės žemės naudojimo paskirties, būdų ir pobūdžių specifikacijas, nustatytas Žemės sklypų pagrindinės tikslinės žemės naudojimo paskirties, būdų ir pobūdžių specifikacijoje.</w:t>
                </w:r>
              </w:p>
            </w:tc>
            <w:tc>
              <w:tcPr>
                <w:tcW w:w="1400" w:type="dxa"/>
                <w:vAlign w:val="center"/>
              </w:tcPr>
              <w:p>
                <w:pPr>
                  <w:jc w:val="center"/>
                  <w:rPr>
                    <w:sz w:val="22"/>
                    <w:szCs w:val="22"/>
                  </w:rPr>
                </w:pPr>
                <w:r>
                  <w:rPr>
                    <w:b/>
                    <w:sz w:val="22"/>
                    <w:szCs w:val="22"/>
                  </w:rPr>
                  <w:t>10</w:t>
                </w:r>
              </w:p>
            </w:tc>
            <w:tc>
              <w:tcPr>
                <w:tcW w:w="1600" w:type="dxa"/>
                <w:vAlign w:val="center"/>
              </w:tcPr>
              <w:p>
                <w:pPr>
                  <w:jc w:val="center"/>
                  <w:rPr>
                    <w:sz w:val="22"/>
                    <w:szCs w:val="22"/>
                  </w:rPr>
                </w:pPr>
                <w:r>
                  <w:rPr>
                    <w:b/>
                    <w:sz w:val="22"/>
                    <w:szCs w:val="22"/>
                  </w:rPr>
                  <w:t>10</w:t>
                </w:r>
              </w:p>
            </w:tc>
          </w:tr>
        </w:tbl>
        <w:p>
          <w:pPr>
            <w:jc w:val="both"/>
            <w:rPr>
              <w:b/>
              <w:sz w:val="22"/>
              <w:szCs w:val="22"/>
            </w:rPr>
          </w:pPr>
          <w:r>
            <w:rPr>
              <w:sz w:val="22"/>
              <w:szCs w:val="22"/>
              <w:vertAlign w:val="superscript"/>
            </w:rPr>
            <w:t>A</w:t>
          </w:r>
          <w:r>
            <w:rPr>
              <w:sz w:val="22"/>
              <w:szCs w:val="22"/>
            </w:rPr>
            <w:t xml:space="preserve"> – papildomai limituojamas užteršimas aplinkai ir žmonių sveikatai pavojingiausiais aromatiniais angliavandeniliais, kuriems nustatomos tokios RV vandens gavybos tikslams nenaudojamuose vandeninguose sluoksniuose </w:t>
          </w:r>
          <w:r>
            <w:rPr>
              <w:i/>
              <w:sz w:val="22"/>
              <w:szCs w:val="22"/>
            </w:rPr>
            <w:t xml:space="preserve">(skliausteliuose </w:t>
          </w:r>
          <w:r>
            <w:rPr>
              <w:sz w:val="22"/>
              <w:szCs w:val="22"/>
            </w:rPr>
            <w:t>vandens gavybos tikslams naudojamuose vandeninguose sluoksniuose: benzenui – 0,01(0,001) mg/l; toluenui – 0,7(0,17) mg/l; etilbenzenui -0,15(0,005) mg/l; ksilenui – 0,5(0,3) mg/l.</w:t>
          </w:r>
        </w:p>
        <w:p>
          <w:pPr>
            <w:jc w:val="both"/>
            <w:rPr>
              <w:sz w:val="22"/>
              <w:szCs w:val="22"/>
            </w:rPr>
          </w:pPr>
          <w:r>
            <w:rPr>
              <w:sz w:val="22"/>
              <w:szCs w:val="22"/>
              <w:vertAlign w:val="superscript"/>
            </w:rPr>
            <w:t>B</w:t>
          </w:r>
          <w:r>
            <w:rPr>
              <w:sz w:val="22"/>
              <w:szCs w:val="22"/>
            </w:rPr>
            <w:t xml:space="preserve"> – papildomai limituojamas užteršimas aplinkai ir žmonių sveikatai pavojingiausiais aromatiniais angliavandeniliais, kuriems nustatomos tokios RV vandens gavybos tikslams nenaudojamuose vandeninguose sluoksniuose: benzenui – 0,05 mg/l; toluenui – 1,0 mg/l; etilbenzenui -0,3 mg/l; ksilenui – 1,0 mg/l.</w:t>
          </w:r>
        </w:p>
        <w:p>
          <w:pPr>
            <w:jc w:val="both"/>
          </w:pPr>
        </w:p>
        <w:sdt>
          <w:sdtPr>
            <w:alias w:val="pabaiga"/>
            <w:tag w:val="part_ebd11f2e80884b748c14ce3c1a98c262"/>
            <w:lock w:val="sdtLocked"/>
            <w:richText/>
          </w:sdtPr>
          <w:sdtContent>
            <w:p>
              <w:pPr>
                <w:tabs>
                  <w:tab w:val="left" w:pos="1304"/>
                  <w:tab w:val="left" w:pos="1457"/>
                  <w:tab w:val="left" w:pos="1604"/>
                  <w:tab w:val="left" w:pos="1757"/>
                </w:tabs>
                <w:jc w:val="center"/>
              </w:pPr>
              <w:r>
                <w:t>_________________</w:t>
              </w:r>
            </w:p>
          </w:sdtContent>
        </w:sdt>
      </w:sdtContent>
    </w:sdt>
    <w:sdt>
      <w:sdtPr>
        <w:alias w:val="4 pr."/>
        <w:tag w:val="part_5bf4d798c4424784b3c6dacda32564d4"/>
        <w:lock w:val="sdtLocked"/>
        <w:richText/>
      </w:sdtPr>
      <w:sdtContent>
        <w:p>
          <w:pPr>
            <w:suppressAutoHyphens/>
            <w:ind w:left="4560"/>
            <w:rPr>
              <w:rFonts w:eastAsia="Batang"/>
              <w:lang w:eastAsia="ar-SA"/>
            </w:rPr>
          </w:pPr>
          <w:r>
            <w:rPr>
              <w:rFonts w:eastAsia="Batang"/>
              <w:lang w:eastAsia="ar-SA"/>
            </w:rPr>
            <w:br w:type="page"/>
            <w:t xml:space="preserve">Naftos produktais užterštų teritorijų tvarkymo </w:t>
          </w:r>
        </w:p>
        <w:p>
          <w:pPr>
            <w:suppressAutoHyphens/>
            <w:ind w:left="4560"/>
            <w:rPr>
              <w:rFonts w:eastAsia="Batang"/>
              <w:lang w:eastAsia="ar-SA"/>
            </w:rPr>
          </w:pPr>
          <w:r>
            <w:rPr>
              <w:rFonts w:eastAsia="Batang"/>
              <w:lang w:eastAsia="ar-SA"/>
            </w:rPr>
            <w:t>aplinkos apsaugos reikalavimų LAND 9-2009</w:t>
          </w:r>
        </w:p>
        <w:p>
          <w:pPr>
            <w:suppressAutoHyphens/>
            <w:ind w:left="4535"/>
            <w:rPr>
              <w:rFonts w:eastAsia="Batang"/>
              <w:lang w:eastAsia="ar-SA"/>
            </w:rPr>
          </w:pPr>
          <w:sdt>
            <w:sdtPr>
              <w:alias w:val="Numeris"/>
              <w:tag w:val="nr_5bf4d798c4424784b3c6dacda32564d4"/>
              <w:lock w:val="sdtLocked"/>
              <w:richText/>
            </w:sdtPr>
            <w:sdtContent>
              <w:r>
                <w:rPr>
                  <w:rFonts w:eastAsia="Batang"/>
                  <w:lang w:eastAsia="ar-SA"/>
                </w:rPr>
                <w:t>4</w:t>
              </w:r>
            </w:sdtContent>
          </w:sdt>
          <w:r>
            <w:rPr>
              <w:rFonts w:eastAsia="Batang"/>
              <w:lang w:eastAsia="ar-SA"/>
            </w:rPr>
            <w:t xml:space="preserve"> priedas</w:t>
          </w:r>
        </w:p>
        <w:p>
          <w:pPr>
            <w:ind w:right="-365"/>
            <w:jc w:val="both"/>
          </w:pPr>
        </w:p>
        <w:sdt>
          <w:sdtPr>
            <w:alias w:val="Pavadinimas"/>
            <w:tag w:val="title_5bf4d798c4424784b3c6dacda32564d4"/>
            <w:lock w:val="sdtLocked"/>
            <w:richText/>
          </w:sdtPr>
          <w:sdtContent>
            <w:p>
              <w:pPr>
                <w:jc w:val="center"/>
                <w:rPr>
                  <w:b/>
                  <w:bCs/>
                </w:rPr>
              </w:pPr>
              <w:r>
                <w:rPr>
                  <w:b/>
                  <w:bCs/>
                </w:rPr>
                <w:t xml:space="preserve">NAFTOS ANGLIAVANDENILIŲ PATIKSLINTOS </w:t>
              </w:r>
            </w:p>
            <w:p>
              <w:pPr>
                <w:jc w:val="center"/>
                <w:rPr>
                  <w:b/>
                  <w:bCs/>
                </w:rPr>
              </w:pPr>
              <w:r>
                <w:rPr>
                  <w:b/>
                  <w:bCs/>
                </w:rPr>
                <w:t>RIBINĖS VERTĖS (RVp) NUSTATYMAS GRUNTE IR POŽEMINIAME VANDENYJE</w:t>
              </w:r>
            </w:p>
          </w:sdtContent>
        </w:sdt>
        <w:p>
          <w:pPr>
            <w:ind w:right="-365"/>
            <w:jc w:val="both"/>
          </w:pPr>
        </w:p>
        <w:sdt>
          <w:sdtPr>
            <w:alias w:val="4 pr. 1 p."/>
            <w:tag w:val="part_1a6f2557dfd14b569a5b404a50cef79f"/>
            <w:lock w:val="sdtLocked"/>
            <w:richText/>
          </w:sdtPr>
          <w:sdtContent>
            <w:p>
              <w:pPr>
                <w:jc w:val="both"/>
                <w:rPr>
                  <w:b/>
                </w:rPr>
              </w:pPr>
              <w:sdt>
                <w:sdtPr>
                  <w:alias w:val="Numeris"/>
                  <w:tag w:val="nr_1a6f2557dfd14b569a5b404a50cef79f"/>
                  <w:lock w:val="sdtLocked"/>
                  <w:richText/>
                </w:sdtPr>
                <w:sdtContent>
                  <w:r>
                    <w:t>1</w:t>
                  </w:r>
                </w:sdtContent>
              </w:sdt>
              <w:r>
                <w:t xml:space="preserve">. </w:t>
              </w:r>
              <w:r>
                <w:rPr>
                  <w:b/>
                </w:rPr>
                <w:t>Žemės paviršiaus (iki 1,0 m gylio) grunto patikslintos ribinės vertės apskaičiavimas:</w:t>
              </w:r>
            </w:p>
            <w:p>
              <w:pPr>
                <w:ind w:right="-365"/>
                <w:jc w:val="both"/>
              </w:pPr>
            </w:p>
            <w:p>
              <w:pPr>
                <w:tabs>
                  <w:tab w:val="right" w:pos="8000"/>
                </w:tabs>
                <w:ind w:left="1077"/>
                <w:jc w:val="both"/>
              </w:pPr>
              <w:r>
                <w:rPr>
                  <w:position w:val="-24"/>
                  <w:lang w:eastAsia="lt-LT"/>
                </w:rPr>
                <w:drawing>
                  <wp:inline distT="0" distB="0" distL="0" distR="0">
                    <wp:extent cx="1333500" cy="3905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333500" cy="390525"/>
                            </a:xfrm>
                            <a:prstGeom prst="rect">
                              <a:avLst/>
                            </a:prstGeom>
                            <a:solidFill>
                              <a:srgbClr val="FFFFFF"/>
                            </a:solidFill>
                            <a:ln>
                              <a:noFill/>
                            </a:ln>
                          </pic:spPr>
                        </pic:pic>
                      </a:graphicData>
                    </a:graphic>
                  </wp:inline>
                </w:drawing>
              </w:r>
              <w:r>
                <w:rPr>
                  <w:vanish/>
                </w:rPr>
                <w:t>RVp = RV x (OM(%) / 1.2)</w:t>
              </w:r>
              <w:r>
                <w:t>,</w:t>
                <w:tab/>
                <w:t>(1)</w:t>
              </w:r>
            </w:p>
            <w:p>
              <w:pPr>
                <w:tabs>
                  <w:tab w:val="right" w:pos="8000"/>
                </w:tabs>
                <w:jc w:val="both"/>
              </w:pPr>
            </w:p>
            <w:p>
              <w:pPr>
                <w:jc w:val="both"/>
              </w:pPr>
              <w:r>
                <w:t>RVp –patikslinta ribinė vertė (mg/kg);</w:t>
              </w:r>
            </w:p>
            <w:p>
              <w:pPr>
                <w:jc w:val="both"/>
              </w:pPr>
              <w:r>
                <w:t>RV – ribinė vertė (mg/kg);</w:t>
              </w:r>
            </w:p>
            <w:p>
              <w:pPr>
                <w:jc w:val="both"/>
              </w:pPr>
              <w:r>
                <w:t xml:space="preserve">OM (%) – organinės medžiagos kiekis grunte (%). </w:t>
              </w:r>
            </w:p>
            <w:p>
              <w:pPr>
                <w:jc w:val="both"/>
              </w:pPr>
              <w:r>
                <w:t>Tais atvejais, kai nustatytas grunto organinės medžiagos kiekis yra daugiau kaip 2 % ar mažiau kaip 1.2 %, į formulę įvedamos vertės atitinkamai 2 % arba 1.2 %.</w:t>
              </w:r>
            </w:p>
            <w:p>
              <w:pPr>
                <w:ind w:right="-365"/>
                <w:jc w:val="both"/>
              </w:pPr>
            </w:p>
          </w:sdtContent>
        </w:sdt>
        <w:sdt>
          <w:sdtPr>
            <w:alias w:val="4 pr. 2 p."/>
            <w:tag w:val="part_2dca3b2ed1284802a64ac511d6f02124"/>
            <w:lock w:val="sdtLocked"/>
            <w:richText/>
          </w:sdtPr>
          <w:sdtContent>
            <w:p>
              <w:pPr>
                <w:jc w:val="both"/>
                <w:rPr>
                  <w:b/>
                </w:rPr>
              </w:pPr>
              <w:sdt>
                <w:sdtPr>
                  <w:alias w:val="Numeris"/>
                  <w:tag w:val="nr_2dca3b2ed1284802a64ac511d6f02124"/>
                  <w:lock w:val="sdtLocked"/>
                  <w:richText/>
                </w:sdtPr>
                <w:sdtContent>
                  <w:r>
                    <w:rPr>
                      <w:b/>
                    </w:rPr>
                    <w:t>2</w:t>
                  </w:r>
                </w:sdtContent>
              </w:sdt>
              <w:r>
                <w:rPr>
                  <w:b/>
                </w:rPr>
                <w:t>. Gilesniųjų sluoksnių (nuo 1,0 m gylio) grunto patikslintos ribinės vertės apskaičiavimas</w:t>
              </w:r>
            </w:p>
            <w:p>
              <w:pPr>
                <w:ind w:right="-365"/>
                <w:jc w:val="both"/>
              </w:pPr>
            </w:p>
            <w:p>
              <w:pPr>
                <w:ind w:left="1077"/>
                <w:jc w:val="both"/>
              </w:pPr>
              <w:r>
                <w:rPr>
                  <w:position w:val="-10"/>
                  <w:lang w:eastAsia="lt-LT"/>
                </w:rPr>
                <w:drawing>
                  <wp:inline distT="0" distB="0" distL="0" distR="0">
                    <wp:extent cx="990600" cy="2095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990600" cy="209550"/>
                            </a:xfrm>
                            <a:prstGeom prst="rect">
                              <a:avLst/>
                            </a:prstGeom>
                            <a:solidFill>
                              <a:srgbClr val="FFFFFF"/>
                            </a:solidFill>
                            <a:ln>
                              <a:noFill/>
                            </a:ln>
                          </pic:spPr>
                        </pic:pic>
                      </a:graphicData>
                    </a:graphic>
                  </wp:inline>
                </w:drawing>
              </w:r>
              <w:r>
                <w:rPr>
                  <w:vanish/>
                </w:rPr>
                <w:t>RVp = RV x AR</w:t>
              </w:r>
              <w:r>
                <w:t>,</w:t>
              </w:r>
            </w:p>
            <w:p>
              <w:pPr>
                <w:ind w:right="-365"/>
                <w:jc w:val="both"/>
              </w:pPr>
            </w:p>
            <w:p>
              <w:pPr>
                <w:jc w:val="center"/>
              </w:pPr>
              <w:r>
                <w:t>Koeficiento A vertės RVp nustatymui</w:t>
              </w:r>
            </w:p>
            <w:p>
              <w:pPr>
                <w:ind w:right="-365"/>
                <w:jc w:val="both"/>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76"/>
                <w:gridCol w:w="3236"/>
              </w:tblGrid>
              <w:tr>
                <w:trPr>
                  <w:tblHeader/>
                </w:trPr>
                <w:tc>
                  <w:tcPr>
                    <w:tcW w:w="4276" w:type="dxa"/>
                  </w:tcPr>
                  <w:p>
                    <w:pPr>
                      <w:ind w:right="-365"/>
                      <w:jc w:val="center"/>
                      <w:rPr>
                        <w:sz w:val="22"/>
                        <w:szCs w:val="22"/>
                      </w:rPr>
                    </w:pPr>
                    <w:r>
                      <w:rPr>
                        <w:sz w:val="22"/>
                        <w:szCs w:val="22"/>
                      </w:rPr>
                      <w:t>Grunto litologija</w:t>
                    </w:r>
                  </w:p>
                </w:tc>
                <w:tc>
                  <w:tcPr>
                    <w:tcW w:w="3236" w:type="dxa"/>
                  </w:tcPr>
                  <w:p>
                    <w:pPr>
                      <w:ind w:right="-365"/>
                      <w:jc w:val="center"/>
                      <w:rPr>
                        <w:sz w:val="22"/>
                        <w:szCs w:val="22"/>
                      </w:rPr>
                    </w:pPr>
                    <w:r>
                      <w:rPr>
                        <w:sz w:val="22"/>
                        <w:szCs w:val="22"/>
                      </w:rPr>
                      <w:t>Koeficientas A</w:t>
                    </w:r>
                  </w:p>
                </w:tc>
              </w:tr>
              <w:tr>
                <w:tc>
                  <w:tcPr>
                    <w:tcW w:w="4276" w:type="dxa"/>
                  </w:tcPr>
                  <w:p>
                    <w:pPr>
                      <w:ind w:right="-365"/>
                      <w:rPr>
                        <w:sz w:val="22"/>
                        <w:szCs w:val="22"/>
                      </w:rPr>
                    </w:pPr>
                    <w:r>
                      <w:rPr>
                        <w:b/>
                        <w:sz w:val="22"/>
                        <w:szCs w:val="22"/>
                      </w:rPr>
                      <w:t>Molinis gruntas</w:t>
                    </w:r>
                    <w:r>
                      <w:rPr>
                        <w:sz w:val="22"/>
                        <w:szCs w:val="22"/>
                      </w:rPr>
                      <w:t>:</w:t>
                    </w:r>
                  </w:p>
                </w:tc>
                <w:tc>
                  <w:tcPr>
                    <w:tcW w:w="3236" w:type="dxa"/>
                  </w:tcPr>
                  <w:p>
                    <w:pPr>
                      <w:ind w:right="-365"/>
                      <w:rPr>
                        <w:sz w:val="22"/>
                        <w:szCs w:val="22"/>
                      </w:rPr>
                    </w:pPr>
                  </w:p>
                </w:tc>
              </w:tr>
              <w:tr>
                <w:tc>
                  <w:tcPr>
                    <w:tcW w:w="4276" w:type="dxa"/>
                  </w:tcPr>
                  <w:p>
                    <w:pPr>
                      <w:ind w:right="-365"/>
                      <w:rPr>
                        <w:i/>
                        <w:sz w:val="22"/>
                        <w:szCs w:val="22"/>
                      </w:rPr>
                    </w:pPr>
                    <w:r>
                      <w:rPr>
                        <w:i/>
                        <w:sz w:val="22"/>
                        <w:szCs w:val="22"/>
                      </w:rPr>
                      <w:t>– priesmėlis, smėlingas aleuritas</w:t>
                    </w:r>
                  </w:p>
                </w:tc>
                <w:tc>
                  <w:tcPr>
                    <w:tcW w:w="3236" w:type="dxa"/>
                  </w:tcPr>
                  <w:p>
                    <w:pPr>
                      <w:ind w:right="-365"/>
                      <w:jc w:val="center"/>
                      <w:rPr>
                        <w:sz w:val="22"/>
                        <w:szCs w:val="22"/>
                      </w:rPr>
                    </w:pPr>
                    <w:r>
                      <w:rPr>
                        <w:sz w:val="22"/>
                        <w:szCs w:val="22"/>
                      </w:rPr>
                      <w:t>1</w:t>
                    </w:r>
                  </w:p>
                </w:tc>
              </w:tr>
              <w:tr>
                <w:tc>
                  <w:tcPr>
                    <w:tcW w:w="4276" w:type="dxa"/>
                  </w:tcPr>
                  <w:p>
                    <w:pPr>
                      <w:ind w:right="-365"/>
                      <w:rPr>
                        <w:i/>
                        <w:sz w:val="22"/>
                        <w:szCs w:val="22"/>
                      </w:rPr>
                    </w:pPr>
                    <w:r>
                      <w:rPr>
                        <w:i/>
                        <w:sz w:val="22"/>
                        <w:szCs w:val="22"/>
                      </w:rPr>
                      <w:t>– priemolis, aleuritas</w:t>
                    </w:r>
                  </w:p>
                </w:tc>
                <w:tc>
                  <w:tcPr>
                    <w:tcW w:w="3236" w:type="dxa"/>
                  </w:tcPr>
                  <w:p>
                    <w:pPr>
                      <w:ind w:right="-365"/>
                      <w:jc w:val="center"/>
                      <w:rPr>
                        <w:sz w:val="22"/>
                        <w:szCs w:val="22"/>
                      </w:rPr>
                    </w:pPr>
                    <w:r>
                      <w:rPr>
                        <w:sz w:val="22"/>
                        <w:szCs w:val="22"/>
                      </w:rPr>
                      <w:t>1,5</w:t>
                    </w:r>
                  </w:p>
                </w:tc>
              </w:tr>
              <w:tr>
                <w:tc>
                  <w:tcPr>
                    <w:tcW w:w="4276" w:type="dxa"/>
                  </w:tcPr>
                  <w:p>
                    <w:pPr>
                      <w:ind w:right="-365"/>
                      <w:rPr>
                        <w:i/>
                        <w:sz w:val="22"/>
                        <w:szCs w:val="22"/>
                      </w:rPr>
                    </w:pPr>
                    <w:r>
                      <w:rPr>
                        <w:i/>
                        <w:sz w:val="22"/>
                        <w:szCs w:val="22"/>
                      </w:rPr>
                      <w:t>– molis</w:t>
                    </w:r>
                  </w:p>
                </w:tc>
                <w:tc>
                  <w:tcPr>
                    <w:tcW w:w="3236" w:type="dxa"/>
                  </w:tcPr>
                  <w:p>
                    <w:pPr>
                      <w:ind w:right="-365"/>
                      <w:jc w:val="center"/>
                      <w:rPr>
                        <w:sz w:val="22"/>
                        <w:szCs w:val="22"/>
                      </w:rPr>
                    </w:pPr>
                    <w:r>
                      <w:rPr>
                        <w:sz w:val="22"/>
                        <w:szCs w:val="22"/>
                      </w:rPr>
                      <w:t>2</w:t>
                    </w:r>
                  </w:p>
                </w:tc>
              </w:tr>
              <w:tr>
                <w:tc>
                  <w:tcPr>
                    <w:tcW w:w="4276" w:type="dxa"/>
                  </w:tcPr>
                  <w:p>
                    <w:pPr>
                      <w:ind w:right="-365"/>
                      <w:rPr>
                        <w:b/>
                        <w:sz w:val="22"/>
                        <w:szCs w:val="22"/>
                      </w:rPr>
                    </w:pPr>
                    <w:r>
                      <w:rPr>
                        <w:b/>
                        <w:sz w:val="22"/>
                        <w:szCs w:val="22"/>
                      </w:rPr>
                      <w:t>Smėlinis gruntas:</w:t>
                    </w:r>
                  </w:p>
                </w:tc>
                <w:tc>
                  <w:tcPr>
                    <w:tcW w:w="3236" w:type="dxa"/>
                  </w:tcPr>
                  <w:p>
                    <w:pPr>
                      <w:ind w:right="-365"/>
                      <w:jc w:val="center"/>
                      <w:rPr>
                        <w:sz w:val="22"/>
                        <w:szCs w:val="22"/>
                      </w:rPr>
                    </w:pPr>
                  </w:p>
                </w:tc>
              </w:tr>
              <w:tr>
                <w:tc>
                  <w:tcPr>
                    <w:tcW w:w="4276" w:type="dxa"/>
                  </w:tcPr>
                  <w:p>
                    <w:pPr>
                      <w:ind w:right="-365"/>
                      <w:rPr>
                        <w:i/>
                        <w:sz w:val="22"/>
                        <w:szCs w:val="22"/>
                      </w:rPr>
                    </w:pPr>
                    <w:r>
                      <w:rPr>
                        <w:i/>
                        <w:sz w:val="22"/>
                        <w:szCs w:val="22"/>
                      </w:rPr>
                      <w:t>– smulkiagrūdis</w:t>
                    </w:r>
                  </w:p>
                </w:tc>
                <w:tc>
                  <w:tcPr>
                    <w:tcW w:w="3236" w:type="dxa"/>
                  </w:tcPr>
                  <w:p>
                    <w:pPr>
                      <w:ind w:right="-365"/>
                      <w:jc w:val="center"/>
                      <w:rPr>
                        <w:sz w:val="22"/>
                        <w:szCs w:val="22"/>
                      </w:rPr>
                    </w:pPr>
                    <w:r>
                      <w:rPr>
                        <w:sz w:val="22"/>
                        <w:szCs w:val="22"/>
                      </w:rPr>
                      <w:t>2</w:t>
                    </w:r>
                  </w:p>
                </w:tc>
              </w:tr>
              <w:tr>
                <w:tc>
                  <w:tcPr>
                    <w:tcW w:w="4276" w:type="dxa"/>
                  </w:tcPr>
                  <w:p>
                    <w:pPr>
                      <w:ind w:right="-365"/>
                      <w:rPr>
                        <w:i/>
                        <w:sz w:val="22"/>
                        <w:szCs w:val="22"/>
                      </w:rPr>
                    </w:pPr>
                    <w:r>
                      <w:rPr>
                        <w:i/>
                        <w:sz w:val="22"/>
                        <w:szCs w:val="22"/>
                      </w:rPr>
                      <w:t>– vidutingrūdis</w:t>
                    </w:r>
                  </w:p>
                </w:tc>
                <w:tc>
                  <w:tcPr>
                    <w:tcW w:w="3236" w:type="dxa"/>
                  </w:tcPr>
                  <w:p>
                    <w:pPr>
                      <w:ind w:right="-365"/>
                      <w:jc w:val="center"/>
                      <w:rPr>
                        <w:sz w:val="22"/>
                        <w:szCs w:val="22"/>
                      </w:rPr>
                    </w:pPr>
                    <w:r>
                      <w:rPr>
                        <w:sz w:val="22"/>
                        <w:szCs w:val="22"/>
                      </w:rPr>
                      <w:t>1,2</w:t>
                    </w:r>
                  </w:p>
                </w:tc>
              </w:tr>
              <w:tr>
                <w:tc>
                  <w:tcPr>
                    <w:tcW w:w="4276" w:type="dxa"/>
                  </w:tcPr>
                  <w:p>
                    <w:pPr>
                      <w:ind w:right="-365"/>
                      <w:rPr>
                        <w:i/>
                        <w:sz w:val="22"/>
                        <w:szCs w:val="22"/>
                      </w:rPr>
                    </w:pPr>
                    <w:r>
                      <w:rPr>
                        <w:i/>
                        <w:sz w:val="22"/>
                        <w:szCs w:val="22"/>
                      </w:rPr>
                      <w:t>– įvairiagrūdis</w:t>
                    </w:r>
                  </w:p>
                </w:tc>
                <w:tc>
                  <w:tcPr>
                    <w:tcW w:w="3236" w:type="dxa"/>
                  </w:tcPr>
                  <w:p>
                    <w:pPr>
                      <w:ind w:right="-365"/>
                      <w:jc w:val="center"/>
                      <w:rPr>
                        <w:sz w:val="22"/>
                        <w:szCs w:val="22"/>
                      </w:rPr>
                    </w:pPr>
                    <w:r>
                      <w:rPr>
                        <w:sz w:val="22"/>
                        <w:szCs w:val="22"/>
                      </w:rPr>
                      <w:t>1</w:t>
                    </w:r>
                  </w:p>
                </w:tc>
              </w:tr>
              <w:tr>
                <w:tc>
                  <w:tcPr>
                    <w:tcW w:w="4276" w:type="dxa"/>
                  </w:tcPr>
                  <w:p>
                    <w:pPr>
                      <w:ind w:right="-365"/>
                      <w:rPr>
                        <w:i/>
                        <w:sz w:val="22"/>
                        <w:szCs w:val="22"/>
                      </w:rPr>
                    </w:pPr>
                    <w:r>
                      <w:rPr>
                        <w:i/>
                        <w:sz w:val="22"/>
                        <w:szCs w:val="22"/>
                      </w:rPr>
                      <w:t>– stambiagrūdis</w:t>
                    </w:r>
                  </w:p>
                </w:tc>
                <w:tc>
                  <w:tcPr>
                    <w:tcW w:w="3236" w:type="dxa"/>
                  </w:tcPr>
                  <w:p>
                    <w:pPr>
                      <w:ind w:right="-365"/>
                      <w:jc w:val="center"/>
                      <w:rPr>
                        <w:sz w:val="22"/>
                        <w:szCs w:val="22"/>
                      </w:rPr>
                    </w:pPr>
                    <w:r>
                      <w:rPr>
                        <w:sz w:val="22"/>
                        <w:szCs w:val="22"/>
                      </w:rPr>
                      <w:t>0,8</w:t>
                    </w:r>
                  </w:p>
                </w:tc>
              </w:tr>
            </w:tbl>
            <w:p>
              <w:pPr>
                <w:ind w:right="-365"/>
                <w:jc w:val="both"/>
              </w:pPr>
            </w:p>
            <w:p>
              <w:pPr>
                <w:jc w:val="both"/>
              </w:pPr>
              <w:r>
                <w:t>A – koeficientas, priklausantis nuo grunto litologijos (litologija pagal LST 1445:1996. Geotechnika. Gruntų klasifikacija ir identifikacija).</w:t>
              </w:r>
            </w:p>
            <w:p>
              <w:pPr>
                <w:ind w:right="-365"/>
                <w:jc w:val="both"/>
              </w:pPr>
            </w:p>
          </w:sdtContent>
        </w:sdt>
        <w:sdt>
          <w:sdtPr>
            <w:alias w:val="4 pr. 3 p."/>
            <w:tag w:val="part_8fc354558d094c7090280ef4c0c46473"/>
            <w:lock w:val="sdtLocked"/>
            <w:richText/>
          </w:sdtPr>
          <w:sdtContent>
            <w:p>
              <w:pPr>
                <w:tabs>
                  <w:tab w:val="left" w:pos="1304"/>
                  <w:tab w:val="left" w:pos="1457"/>
                  <w:tab w:val="left" w:pos="1604"/>
                  <w:tab w:val="left" w:pos="1757"/>
                </w:tabs>
                <w:jc w:val="both"/>
                <w:rPr>
                  <w:b/>
                </w:rPr>
              </w:pPr>
              <w:sdt>
                <w:sdtPr>
                  <w:alias w:val="Numeris"/>
                  <w:tag w:val="nr_8fc354558d094c7090280ef4c0c46473"/>
                  <w:lock w:val="sdtLocked"/>
                  <w:richText/>
                </w:sdtPr>
                <w:sdtContent>
                  <w:r>
                    <w:rPr>
                      <w:b/>
                    </w:rPr>
                    <w:t>3</w:t>
                  </w:r>
                </w:sdtContent>
              </w:sdt>
              <w:r>
                <w:rPr>
                  <w:b/>
                </w:rPr>
                <w:t>. Požeminio vandens užteršimo naftos angliavandeniliais patikslintos ribinės vertės apskaičiavimas</w:t>
              </w:r>
            </w:p>
            <w:p>
              <w:pPr>
                <w:jc w:val="both"/>
              </w:pPr>
            </w:p>
            <w:p>
              <w:pPr>
                <w:tabs>
                  <w:tab w:val="right" w:pos="8000"/>
                </w:tabs>
                <w:ind w:left="1077"/>
                <w:jc w:val="both"/>
              </w:pPr>
              <w:r>
                <w:rPr>
                  <w:position w:val="-10"/>
                  <w:lang w:eastAsia="lt-LT"/>
                </w:rPr>
                <w:drawing>
                  <wp:inline distT="0" distB="0" distL="0" distR="0">
                    <wp:extent cx="990600" cy="2095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990600" cy="209550"/>
                            </a:xfrm>
                            <a:prstGeom prst="rect">
                              <a:avLst/>
                            </a:prstGeom>
                            <a:solidFill>
                              <a:srgbClr val="FFFFFF"/>
                            </a:solidFill>
                            <a:ln>
                              <a:noFill/>
                            </a:ln>
                          </pic:spPr>
                        </pic:pic>
                      </a:graphicData>
                    </a:graphic>
                  </wp:inline>
                </w:drawing>
              </w:r>
              <w:r>
                <w:rPr>
                  <w:vanish/>
                </w:rPr>
                <w:t>RVp = RV x B</w:t>
              </w:r>
              <w:r>
                <w:tab/>
                <w:t>(2)</w:t>
              </w:r>
            </w:p>
            <w:p>
              <w:pPr>
                <w:tabs>
                  <w:tab w:val="left" w:pos="1304"/>
                  <w:tab w:val="left" w:pos="1457"/>
                  <w:tab w:val="left" w:pos="1604"/>
                  <w:tab w:val="left" w:pos="1757"/>
                </w:tabs>
                <w:jc w:val="both"/>
              </w:pPr>
            </w:p>
            <w:p>
              <w:pPr>
                <w:jc w:val="both"/>
              </w:pPr>
              <w:r>
                <w:t xml:space="preserve">RVp –  patikslinta ribinė vertė (mg/l);</w:t>
              </w:r>
            </w:p>
            <w:p>
              <w:pPr>
                <w:jc w:val="both"/>
              </w:pPr>
              <w:r>
                <w:t>RV – ribinė vertė (mg/l);</w:t>
              </w:r>
            </w:p>
            <w:p>
              <w:pPr>
                <w:tabs>
                  <w:tab w:val="left" w:pos="1304"/>
                  <w:tab w:val="left" w:pos="1457"/>
                  <w:tab w:val="left" w:pos="1604"/>
                  <w:tab w:val="left" w:pos="1757"/>
                </w:tabs>
                <w:jc w:val="both"/>
              </w:pPr>
              <w:r>
                <w:t>B – koeficientas, priklausantis nuo vandeningojo sluoksnio grunto litologijos (litologija pagal LST 1445:1996. Geotechnika. Gruntų klasifikacija ir identifikacija)</w:t>
              </w:r>
            </w:p>
            <w:p>
              <w:pPr>
                <w:jc w:val="both"/>
              </w:pPr>
            </w:p>
            <w:p>
              <w:pPr>
                <w:keepNext/>
                <w:jc w:val="center"/>
              </w:pPr>
              <w:r>
                <w:t>Koeficiento B vertės RVp nustatymui</w:t>
              </w:r>
            </w:p>
            <w:p>
              <w:pPr>
                <w:keepNext/>
                <w:ind w:right="-365"/>
                <w:jc w:val="both"/>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76"/>
                <w:gridCol w:w="3236"/>
              </w:tblGrid>
              <w:tr>
                <w:tc>
                  <w:tcPr>
                    <w:tcW w:w="4276" w:type="dxa"/>
                  </w:tcPr>
                  <w:p>
                    <w:pPr>
                      <w:keepNext/>
                      <w:ind w:right="-365"/>
                      <w:jc w:val="center"/>
                      <w:rPr>
                        <w:sz w:val="22"/>
                        <w:szCs w:val="22"/>
                      </w:rPr>
                    </w:pPr>
                    <w:r>
                      <w:rPr>
                        <w:sz w:val="22"/>
                        <w:szCs w:val="22"/>
                      </w:rPr>
                      <w:t>Grunto litologija</w:t>
                    </w:r>
                  </w:p>
                </w:tc>
                <w:tc>
                  <w:tcPr>
                    <w:tcW w:w="3236" w:type="dxa"/>
                  </w:tcPr>
                  <w:p>
                    <w:pPr>
                      <w:keepNext/>
                      <w:ind w:right="-365"/>
                      <w:jc w:val="center"/>
                      <w:rPr>
                        <w:sz w:val="22"/>
                        <w:szCs w:val="22"/>
                      </w:rPr>
                    </w:pPr>
                    <w:r>
                      <w:rPr>
                        <w:sz w:val="22"/>
                        <w:szCs w:val="22"/>
                      </w:rPr>
                      <w:t>Koeficientas B</w:t>
                    </w:r>
                  </w:p>
                </w:tc>
              </w:tr>
              <w:tr>
                <w:tc>
                  <w:tcPr>
                    <w:tcW w:w="4276" w:type="dxa"/>
                  </w:tcPr>
                  <w:p>
                    <w:pPr>
                      <w:ind w:right="-365" w:firstLine="55"/>
                      <w:rPr>
                        <w:i/>
                        <w:sz w:val="22"/>
                        <w:szCs w:val="22"/>
                      </w:rPr>
                    </w:pPr>
                    <w:r>
                      <w:rPr>
                        <w:i/>
                        <w:sz w:val="22"/>
                        <w:szCs w:val="22"/>
                      </w:rPr>
                      <w:t>smėlinis vidutingrūdis – stambiagrūdis</w:t>
                    </w:r>
                  </w:p>
                </w:tc>
                <w:tc>
                  <w:tcPr>
                    <w:tcW w:w="3236" w:type="dxa"/>
                  </w:tcPr>
                  <w:p>
                    <w:pPr>
                      <w:ind w:right="-365"/>
                      <w:jc w:val="center"/>
                      <w:rPr>
                        <w:sz w:val="22"/>
                        <w:szCs w:val="22"/>
                      </w:rPr>
                    </w:pPr>
                    <w:r>
                      <w:rPr>
                        <w:sz w:val="22"/>
                        <w:szCs w:val="22"/>
                      </w:rPr>
                      <w:t>1</w:t>
                    </w:r>
                  </w:p>
                </w:tc>
              </w:tr>
              <w:tr>
                <w:tc>
                  <w:tcPr>
                    <w:tcW w:w="4276" w:type="dxa"/>
                  </w:tcPr>
                  <w:p>
                    <w:pPr>
                      <w:ind w:right="-365"/>
                      <w:rPr>
                        <w:i/>
                        <w:sz w:val="22"/>
                        <w:szCs w:val="22"/>
                      </w:rPr>
                    </w:pPr>
                    <w:r>
                      <w:rPr>
                        <w:i/>
                        <w:sz w:val="22"/>
                        <w:szCs w:val="22"/>
                      </w:rPr>
                      <w:t>smėlinis smulkiagrūdis</w:t>
                    </w:r>
                  </w:p>
                </w:tc>
                <w:tc>
                  <w:tcPr>
                    <w:tcW w:w="3236" w:type="dxa"/>
                  </w:tcPr>
                  <w:p>
                    <w:pPr>
                      <w:ind w:right="-365"/>
                      <w:jc w:val="center"/>
                      <w:rPr>
                        <w:sz w:val="22"/>
                        <w:szCs w:val="22"/>
                      </w:rPr>
                    </w:pPr>
                    <w:r>
                      <w:rPr>
                        <w:sz w:val="22"/>
                        <w:szCs w:val="22"/>
                      </w:rPr>
                      <w:t>1,2</w:t>
                    </w:r>
                  </w:p>
                </w:tc>
              </w:tr>
              <w:tr>
                <w:tc>
                  <w:tcPr>
                    <w:tcW w:w="4276" w:type="dxa"/>
                  </w:tcPr>
                  <w:p>
                    <w:pPr>
                      <w:ind w:right="-365"/>
                      <w:rPr>
                        <w:i/>
                        <w:sz w:val="22"/>
                        <w:szCs w:val="22"/>
                      </w:rPr>
                    </w:pPr>
                    <w:r>
                      <w:rPr>
                        <w:i/>
                        <w:sz w:val="22"/>
                        <w:szCs w:val="22"/>
                      </w:rPr>
                      <w:t>molinis</w:t>
                    </w:r>
                  </w:p>
                </w:tc>
                <w:tc>
                  <w:tcPr>
                    <w:tcW w:w="3236" w:type="dxa"/>
                  </w:tcPr>
                  <w:p>
                    <w:pPr>
                      <w:ind w:right="-365"/>
                      <w:jc w:val="center"/>
                      <w:rPr>
                        <w:sz w:val="22"/>
                        <w:szCs w:val="22"/>
                      </w:rPr>
                    </w:pPr>
                    <w:r>
                      <w:rPr>
                        <w:sz w:val="22"/>
                        <w:szCs w:val="22"/>
                      </w:rPr>
                      <w:t>1,5</w:t>
                    </w:r>
                  </w:p>
                </w:tc>
              </w:tr>
            </w:tbl>
            <w:p>
              <w:pPr>
                <w:jc w:val="both"/>
              </w:pPr>
            </w:p>
          </w:sdtContent>
        </w:sdt>
        <w:sdt>
          <w:sdtPr>
            <w:alias w:val="4 pr. 4 p."/>
            <w:tag w:val="part_b0cc3ef73a0a4f0487e24ae96cbefb85"/>
            <w:lock w:val="sdtLocked"/>
            <w:richText/>
          </w:sdtPr>
          <w:sdtContent>
            <w:p>
              <w:pPr>
                <w:tabs>
                  <w:tab w:val="left" w:pos="1304"/>
                  <w:tab w:val="left" w:pos="1457"/>
                  <w:tab w:val="left" w:pos="1604"/>
                  <w:tab w:val="left" w:pos="1757"/>
                </w:tabs>
                <w:jc w:val="both"/>
                <w:rPr>
                  <w:b/>
                </w:rPr>
              </w:pPr>
              <w:sdt>
                <w:sdtPr>
                  <w:alias w:val="Numeris"/>
                  <w:tag w:val="nr_b0cc3ef73a0a4f0487e24ae96cbefb85"/>
                  <w:lock w:val="sdtLocked"/>
                  <w:richText/>
                </w:sdtPr>
                <w:sdtContent>
                  <w:r>
                    <w:rPr>
                      <w:b/>
                    </w:rPr>
                    <w:t>4</w:t>
                  </w:r>
                </w:sdtContent>
              </w:sdt>
              <w:r>
                <w:rPr>
                  <w:b/>
                </w:rPr>
                <w:t>. Organinės medžiagos kiekio apskaičiavimas vadovaujantis organinės anglies matavimo rezultatais</w:t>
              </w:r>
            </w:p>
            <w:p>
              <w:pPr>
                <w:tabs>
                  <w:tab w:val="left" w:pos="1304"/>
                  <w:tab w:val="left" w:pos="1457"/>
                  <w:tab w:val="left" w:pos="1604"/>
                  <w:tab w:val="left" w:pos="1757"/>
                </w:tabs>
                <w:jc w:val="both"/>
              </w:pPr>
            </w:p>
            <w:p>
              <w:pPr>
                <w:tabs>
                  <w:tab w:val="left" w:pos="1304"/>
                  <w:tab w:val="left" w:pos="1457"/>
                  <w:tab w:val="left" w:pos="1604"/>
                  <w:tab w:val="left" w:pos="1757"/>
                  <w:tab w:val="right" w:pos="8000"/>
                </w:tabs>
                <w:ind w:left="1077"/>
                <w:jc w:val="both"/>
              </w:pPr>
              <w:r>
                <w:t>OM = 1.9 x C</w:t>
              </w:r>
              <w:r>
                <w:rPr>
                  <w:vertAlign w:val="subscript"/>
                </w:rPr>
                <w:t>org</w:t>
              </w:r>
              <w:r>
                <w:tab/>
                <w:t>(3)</w:t>
              </w:r>
            </w:p>
            <w:p>
              <w:pPr>
                <w:tabs>
                  <w:tab w:val="left" w:pos="1304"/>
                  <w:tab w:val="left" w:pos="1457"/>
                  <w:tab w:val="left" w:pos="1604"/>
                  <w:tab w:val="left" w:pos="1757"/>
                </w:tabs>
                <w:jc w:val="both"/>
              </w:pPr>
            </w:p>
          </w:sdtContent>
        </w:sdt>
        <w:sdt>
          <w:sdtPr>
            <w:alias w:val="pabaiga"/>
            <w:tag w:val="part_c9052721e27c497b9dd7bcededbb2897"/>
            <w:lock w:val="sdtLocked"/>
            <w:richText/>
          </w:sdtPr>
          <w:sdtContent>
            <w:p>
              <w:pPr>
                <w:tabs>
                  <w:tab w:val="left" w:pos="1304"/>
                  <w:tab w:val="left" w:pos="1457"/>
                  <w:tab w:val="left" w:pos="1604"/>
                  <w:tab w:val="left" w:pos="1757"/>
                </w:tabs>
                <w:jc w:val="center"/>
              </w:pPr>
              <w:r>
                <w:t>_________________</w:t>
              </w:r>
            </w:p>
            <w:p>
              <w:pPr>
                <w:tabs>
                  <w:tab w:val="left" w:pos="1304"/>
                  <w:tab w:val="left" w:pos="1457"/>
                  <w:tab w:val="left" w:pos="1604"/>
                  <w:tab w:val="left" w:pos="1757"/>
                </w:tabs>
              </w:pPr>
            </w:p>
          </w:sdtContent>
        </w:sdt>
      </w:sdtContent>
    </w:sdt>
    <w:sdt>
      <w:sdtPr>
        <w:alias w:val="5 pr."/>
        <w:tag w:val="part_96e8cc7ba4024bdfae8719a421e88134"/>
        <w:lock w:val="sdtLocked"/>
        <w:richText/>
      </w:sdtPr>
      <w:sdtContent>
        <w:p>
          <w:pPr>
            <w:widowControl w:val="0"/>
            <w:suppressAutoHyphens/>
            <w:ind w:left="4535"/>
            <w:rPr>
              <w:color w:val="000000"/>
            </w:rPr>
          </w:pPr>
          <w:r>
            <w:rPr>
              <w:color w:val="000000"/>
            </w:rPr>
            <w:br w:type="page"/>
            <w:t xml:space="preserve">Naftos produktais užterštų teritorijų tvarkymo </w:t>
          </w:r>
        </w:p>
        <w:p>
          <w:pPr>
            <w:widowControl w:val="0"/>
            <w:suppressAutoHyphens/>
            <w:ind w:left="4535"/>
            <w:rPr>
              <w:color w:val="000000"/>
            </w:rPr>
          </w:pPr>
          <w:r>
            <w:rPr>
              <w:color w:val="000000"/>
            </w:rPr>
            <w:t>aplinkos apsaugos reikalavimų LAND 9-2009</w:t>
          </w:r>
        </w:p>
        <w:p>
          <w:pPr>
            <w:widowControl w:val="0"/>
            <w:suppressAutoHyphens/>
            <w:ind w:left="4535"/>
            <w:rPr>
              <w:color w:val="000000"/>
            </w:rPr>
          </w:pPr>
          <w:sdt>
            <w:sdtPr>
              <w:alias w:val="Numeris"/>
              <w:tag w:val="nr_96e8cc7ba4024bdfae8719a421e88134"/>
              <w:lock w:val="sdtLocked"/>
              <w:richText/>
            </w:sdtPr>
            <w:sdtContent>
              <w:r>
                <w:rPr>
                  <w:color w:val="000000"/>
                </w:rPr>
                <w:t>5</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96e8cc7ba4024bdfae8719a421e88134"/>
              <w:lock w:val="sdtLocked"/>
              <w:richText/>
            </w:sdtPr>
            <w:sdtContent>
              <w:r>
                <w:rPr>
                  <w:b/>
                  <w:bCs/>
                  <w:caps/>
                  <w:color w:val="000000"/>
                </w:rPr>
                <w:t>UŽTERŠIMO NAFTOS PRODUKTAIS TYRIMO METODINĖS REKOMENDACIJOS</w:t>
              </w:r>
            </w:sdtContent>
          </w:sdt>
        </w:p>
        <w:p>
          <w:pPr>
            <w:widowControl w:val="0"/>
            <w:suppressAutoHyphens/>
            <w:jc w:val="center"/>
            <w:rPr>
              <w:color w:val="000000"/>
            </w:rPr>
          </w:pPr>
        </w:p>
        <w:sdt>
          <w:sdtPr>
            <w:alias w:val="skyrius"/>
            <w:tag w:val="part_314cfa8612484dbf8660320ae3730dd3"/>
            <w:lock w:val="sdtLocked"/>
            <w:richText/>
          </w:sdtPr>
          <w:sdtContent>
            <w:p>
              <w:pPr>
                <w:widowControl w:val="0"/>
                <w:suppressAutoHyphens/>
                <w:jc w:val="center"/>
                <w:rPr>
                  <w:b/>
                  <w:bCs/>
                  <w:caps/>
                  <w:color w:val="000000"/>
                </w:rPr>
              </w:pPr>
              <w:sdt>
                <w:sdtPr>
                  <w:alias w:val="Numeris"/>
                  <w:tag w:val="nr_314cfa8612484dbf8660320ae3730dd3"/>
                  <w:lock w:val="sdtLocked"/>
                  <w:richText/>
                </w:sdtPr>
                <w:sdtContent>
                  <w:r>
                    <w:rPr>
                      <w:b/>
                      <w:bCs/>
                      <w:caps/>
                      <w:color w:val="000000"/>
                    </w:rPr>
                    <w:t>I</w:t>
                  </w:r>
                </w:sdtContent>
              </w:sdt>
              <w:r>
                <w:rPr>
                  <w:b/>
                  <w:bCs/>
                  <w:caps/>
                  <w:color w:val="000000"/>
                </w:rPr>
                <w:t xml:space="preserve">. </w:t>
              </w:r>
              <w:sdt>
                <w:sdtPr>
                  <w:alias w:val="Pavadinimas"/>
                  <w:tag w:val="title_314cfa8612484dbf8660320ae3730dd3"/>
                  <w:lock w:val="sdtLocked"/>
                  <w:richText/>
                </w:sdtPr>
                <w:sdtContent>
                  <w:r>
                    <w:rPr>
                      <w:b/>
                      <w:bCs/>
                      <w:caps/>
                      <w:color w:val="000000"/>
                    </w:rPr>
                    <w:t>BENDRIEJI TYRIMO ORGANIZAVIMO PRINCIPAI</w:t>
                  </w:r>
                </w:sdtContent>
              </w:sdt>
            </w:p>
            <w:p>
              <w:pPr>
                <w:widowControl w:val="0"/>
                <w:suppressAutoHyphens/>
                <w:jc w:val="both"/>
                <w:rPr>
                  <w:color w:val="000000"/>
                </w:rPr>
              </w:pPr>
            </w:p>
            <w:sdt>
              <w:sdtPr>
                <w:alias w:val="5 pr. 1 p."/>
                <w:tag w:val="part_687be9d5c85a454daccca45219088d9c"/>
                <w:lock w:val="sdtLocked"/>
                <w:richText/>
              </w:sdtPr>
              <w:sdtContent>
                <w:p>
                  <w:pPr>
                    <w:widowControl w:val="0"/>
                    <w:suppressAutoHyphens/>
                    <w:ind w:firstLine="567"/>
                    <w:jc w:val="both"/>
                    <w:rPr>
                      <w:color w:val="000000"/>
                    </w:rPr>
                  </w:pPr>
                  <w:sdt>
                    <w:sdtPr>
                      <w:alias w:val="Numeris"/>
                      <w:tag w:val="nr_687be9d5c85a454daccca45219088d9c"/>
                      <w:lock w:val="sdtLocked"/>
                      <w:richText/>
                    </w:sdtPr>
                    <w:sdtContent>
                      <w:r>
                        <w:rPr>
                          <w:color w:val="000000"/>
                        </w:rPr>
                        <w:t>1</w:t>
                      </w:r>
                    </w:sdtContent>
                  </w:sdt>
                  <w:r>
                    <w:rPr>
                      <w:color w:val="000000"/>
                    </w:rPr>
                    <w:t>. Bendrieji užteršimo NP tyrimo organizavimo principai yra</w:t>
                  </w:r>
                  <w:r>
                    <w:rPr>
                      <w:b/>
                      <w:bCs/>
                      <w:color w:val="000000"/>
                    </w:rPr>
                    <w:t>: tikslingumas, nuoseklumas ir reprezentatyvumas</w:t>
                  </w:r>
                  <w:r>
                    <w:rPr>
                      <w:color w:val="000000"/>
                    </w:rPr>
                    <w:t>. Tai reiškia, kad, planuodami tam tikros teritorijos tyrimus, pirmiausia turime apibrėžti konkrečius tyrimo tikslus ir uždavinius, tyrimus atlikti etapais, detaliau ištiriant svarbiausias tiriamos teritorijos dalis, taip pat turi būti ištirti tie rodikliai, kurie labiausiai ir tiksliausiai charakterizuoja užteršimo ir užterštos terpės savybes.</w:t>
                  </w:r>
                </w:p>
              </w:sdtContent>
            </w:sdt>
            <w:sdt>
              <w:sdtPr>
                <w:alias w:val="5 pr. 2 p."/>
                <w:tag w:val="part_6b03af91f6c74d4b98c815b3288bd49f"/>
                <w:lock w:val="sdtLocked"/>
                <w:richText/>
              </w:sdtPr>
              <w:sdtContent>
                <w:p>
                  <w:pPr>
                    <w:widowControl w:val="0"/>
                    <w:suppressAutoHyphens/>
                    <w:ind w:firstLine="567"/>
                    <w:jc w:val="both"/>
                    <w:rPr>
                      <w:color w:val="000000"/>
                    </w:rPr>
                  </w:pPr>
                  <w:sdt>
                    <w:sdtPr>
                      <w:alias w:val="Numeris"/>
                      <w:tag w:val="nr_6b03af91f6c74d4b98c815b3288bd49f"/>
                      <w:lock w:val="sdtLocked"/>
                      <w:richText/>
                    </w:sdtPr>
                    <w:sdtContent>
                      <w:r>
                        <w:rPr>
                          <w:color w:val="000000"/>
                        </w:rPr>
                        <w:t>2</w:t>
                      </w:r>
                    </w:sdtContent>
                  </w:sdt>
                  <w:r>
                    <w:rPr>
                      <w:color w:val="000000"/>
                    </w:rPr>
                    <w:t>. Užteršimo NP tyrimas turi atsakyti į du klausimus: pirmas – koks yra užteršimo lygis ir ar reikalinga jį mažinti/apriboti (toliau – Tvarkyti); antras – kokie yra užteršimo mastai ir kokio dydžio teritoriją reikia tvarkyti. Šių tikslų realizavimas susideda iš komplekso konkrečių uždavinių sprendimo, tai:</w:t>
                  </w:r>
                </w:p>
                <w:sdt>
                  <w:sdtPr>
                    <w:alias w:val="5 pr. 2.1 p."/>
                    <w:tag w:val="part_e7baa74cf2ac4e879e02e80d4fcbe4cb"/>
                    <w:lock w:val="sdtLocked"/>
                    <w:richText/>
                  </w:sdtPr>
                  <w:sdtContent>
                    <w:p>
                      <w:pPr>
                        <w:widowControl w:val="0"/>
                        <w:suppressAutoHyphens/>
                        <w:ind w:firstLine="567"/>
                        <w:jc w:val="both"/>
                        <w:rPr>
                          <w:color w:val="000000"/>
                        </w:rPr>
                      </w:pPr>
                      <w:sdt>
                        <w:sdtPr>
                          <w:alias w:val="Numeris"/>
                          <w:tag w:val="nr_e7baa74cf2ac4e879e02e80d4fcbe4cb"/>
                          <w:lock w:val="sdtLocked"/>
                          <w:richText/>
                        </w:sdtPr>
                        <w:sdtContent>
                          <w:r>
                            <w:rPr>
                              <w:color w:val="000000"/>
                            </w:rPr>
                            <w:t>2.1</w:t>
                          </w:r>
                        </w:sdtContent>
                      </w:sdt>
                      <w:r>
                        <w:rPr>
                          <w:color w:val="000000"/>
                        </w:rPr>
                        <w:t>. NP koncentracijos grunte/uolienoje ir požeminiame vandenyje nustatymas;</w:t>
                      </w:r>
                    </w:p>
                  </w:sdtContent>
                </w:sdt>
                <w:sdt>
                  <w:sdtPr>
                    <w:alias w:val="5 pr. 2.2 p."/>
                    <w:tag w:val="part_8af6f83f81c049f6be34e85d184a3e3a"/>
                    <w:lock w:val="sdtLocked"/>
                    <w:richText/>
                  </w:sdtPr>
                  <w:sdtContent>
                    <w:p>
                      <w:pPr>
                        <w:widowControl w:val="0"/>
                        <w:suppressAutoHyphens/>
                        <w:ind w:firstLine="567"/>
                        <w:jc w:val="both"/>
                        <w:rPr>
                          <w:color w:val="000000"/>
                        </w:rPr>
                      </w:pPr>
                      <w:sdt>
                        <w:sdtPr>
                          <w:alias w:val="Numeris"/>
                          <w:tag w:val="nr_8af6f83f81c049f6be34e85d184a3e3a"/>
                          <w:lock w:val="sdtLocked"/>
                          <w:richText/>
                        </w:sdtPr>
                        <w:sdtContent>
                          <w:r>
                            <w:rPr>
                              <w:color w:val="000000"/>
                            </w:rPr>
                            <w:t>2.2</w:t>
                          </w:r>
                        </w:sdtContent>
                      </w:sdt>
                      <w:r>
                        <w:rPr>
                          <w:color w:val="000000"/>
                        </w:rPr>
                        <w:t>. užteršimo padėties ekosistemoje ir paplitimo geometrijos (plotas, gylis) nustatymas;</w:t>
                      </w:r>
                    </w:p>
                  </w:sdtContent>
                </w:sdt>
                <w:sdt>
                  <w:sdtPr>
                    <w:alias w:val="5 pr. 2.3 p."/>
                    <w:tag w:val="part_8bf077b6e05043089911e33f6b7b6919"/>
                    <w:lock w:val="sdtLocked"/>
                    <w:richText/>
                  </w:sdtPr>
                  <w:sdtContent>
                    <w:p>
                      <w:pPr>
                        <w:widowControl w:val="0"/>
                        <w:suppressAutoHyphens/>
                        <w:ind w:firstLine="567"/>
                        <w:jc w:val="both"/>
                        <w:rPr>
                          <w:color w:val="000000"/>
                        </w:rPr>
                      </w:pPr>
                      <w:sdt>
                        <w:sdtPr>
                          <w:alias w:val="Numeris"/>
                          <w:tag w:val="nr_8bf077b6e05043089911e33f6b7b6919"/>
                          <w:lock w:val="sdtLocked"/>
                          <w:richText/>
                        </w:sdtPr>
                        <w:sdtContent>
                          <w:r>
                            <w:rPr>
                              <w:color w:val="000000"/>
                            </w:rPr>
                            <w:t>2.3</w:t>
                          </w:r>
                        </w:sdtContent>
                      </w:sdt>
                      <w:r>
                        <w:rPr>
                          <w:color w:val="000000"/>
                        </w:rPr>
                        <w:t>. užterštos terpės (kūno) litologinių-geofiltracinių savybių nustatymas;</w:t>
                      </w:r>
                    </w:p>
                  </w:sdtContent>
                </w:sdt>
                <w:sdt>
                  <w:sdtPr>
                    <w:alias w:val="5 pr. 2.4 p."/>
                    <w:tag w:val="part_9ae9f801360e48ffa50711f6e0368d88"/>
                    <w:lock w:val="sdtLocked"/>
                    <w:richText/>
                  </w:sdtPr>
                  <w:sdtContent>
                    <w:p>
                      <w:pPr>
                        <w:widowControl w:val="0"/>
                        <w:suppressAutoHyphens/>
                        <w:ind w:firstLine="567"/>
                        <w:jc w:val="both"/>
                        <w:rPr>
                          <w:color w:val="000000"/>
                        </w:rPr>
                      </w:pPr>
                      <w:sdt>
                        <w:sdtPr>
                          <w:alias w:val="Numeris"/>
                          <w:tag w:val="nr_9ae9f801360e48ffa50711f6e0368d88"/>
                          <w:lock w:val="sdtLocked"/>
                          <w:richText/>
                        </w:sdtPr>
                        <w:sdtContent>
                          <w:r>
                            <w:rPr>
                              <w:color w:val="000000"/>
                            </w:rPr>
                            <w:t>2.4</w:t>
                          </w:r>
                        </w:sdtContent>
                      </w:sdt>
                      <w:r>
                        <w:rPr>
                          <w:color w:val="000000"/>
                        </w:rPr>
                        <w:t>. žemėje susikaupusių teršalų (NP) fizinių-cheminių savybių nustatymas;</w:t>
                      </w:r>
                    </w:p>
                  </w:sdtContent>
                </w:sdt>
                <w:sdt>
                  <w:sdtPr>
                    <w:alias w:val="5 pr. 2.5 p."/>
                    <w:tag w:val="part_cbd8128c7cd64b17bc9b1a4d93bbdae7"/>
                    <w:lock w:val="sdtLocked"/>
                    <w:richText/>
                  </w:sdtPr>
                  <w:sdtContent>
                    <w:p>
                      <w:pPr>
                        <w:widowControl w:val="0"/>
                        <w:suppressAutoHyphens/>
                        <w:ind w:firstLine="567"/>
                        <w:jc w:val="both"/>
                        <w:rPr>
                          <w:color w:val="000000"/>
                        </w:rPr>
                      </w:pPr>
                      <w:sdt>
                        <w:sdtPr>
                          <w:alias w:val="Numeris"/>
                          <w:tag w:val="nr_cbd8128c7cd64b17bc9b1a4d93bbdae7"/>
                          <w:lock w:val="sdtLocked"/>
                          <w:richText/>
                        </w:sdtPr>
                        <w:sdtContent>
                          <w:r>
                            <w:rPr>
                              <w:color w:val="000000"/>
                            </w:rPr>
                            <w:t>2.5</w:t>
                          </w:r>
                        </w:sdtContent>
                      </w:sdt>
                      <w:r>
                        <w:rPr>
                          <w:color w:val="000000"/>
                        </w:rPr>
                        <w:t>. užteršimo pavojingumo įvertinimas ir tvarkymo poreikio bei mastų nustatymas;</w:t>
                      </w:r>
                    </w:p>
                  </w:sdtContent>
                </w:sdt>
                <w:sdt>
                  <w:sdtPr>
                    <w:alias w:val="5 pr. 2.6 p."/>
                    <w:tag w:val="part_8d5bcb89c4524731aff044e31bbae07a"/>
                    <w:lock w:val="sdtLocked"/>
                    <w:richText/>
                  </w:sdtPr>
                  <w:sdtContent>
                    <w:p>
                      <w:pPr>
                        <w:widowControl w:val="0"/>
                        <w:suppressAutoHyphens/>
                        <w:ind w:firstLine="567"/>
                        <w:jc w:val="both"/>
                        <w:rPr>
                          <w:color w:val="000000"/>
                        </w:rPr>
                      </w:pPr>
                      <w:sdt>
                        <w:sdtPr>
                          <w:alias w:val="Numeris"/>
                          <w:tag w:val="nr_8d5bcb89c4524731aff044e31bbae07a"/>
                          <w:lock w:val="sdtLocked"/>
                          <w:richText/>
                        </w:sdtPr>
                        <w:sdtContent>
                          <w:r>
                            <w:rPr>
                              <w:color w:val="000000"/>
                            </w:rPr>
                            <w:t>2.6</w:t>
                          </w:r>
                        </w:sdtContent>
                      </w:sdt>
                      <w:r>
                        <w:rPr>
                          <w:color w:val="000000"/>
                        </w:rPr>
                        <w:t>. užteršimo tvarkymo būdų pagrindimas.</w:t>
                      </w:r>
                    </w:p>
                  </w:sdtContent>
                </w:sdt>
              </w:sdtContent>
            </w:sdt>
            <w:sdt>
              <w:sdtPr>
                <w:alias w:val="5 pr. 3 p."/>
                <w:tag w:val="part_b2fe7647545f4ae498ef0aa1d5610aa3"/>
                <w:lock w:val="sdtLocked"/>
                <w:richText/>
              </w:sdtPr>
              <w:sdtContent>
                <w:p>
                  <w:pPr>
                    <w:widowControl w:val="0"/>
                    <w:suppressAutoHyphens/>
                    <w:ind w:firstLine="567"/>
                    <w:jc w:val="both"/>
                    <w:rPr>
                      <w:color w:val="000000"/>
                    </w:rPr>
                  </w:pPr>
                  <w:sdt>
                    <w:sdtPr>
                      <w:alias w:val="Numeris"/>
                      <w:tag w:val="nr_b2fe7647545f4ae498ef0aa1d5610aa3"/>
                      <w:lock w:val="sdtLocked"/>
                      <w:richText/>
                    </w:sdtPr>
                    <w:sdtContent>
                      <w:r>
                        <w:rPr>
                          <w:color w:val="000000"/>
                        </w:rPr>
                        <w:t>3</w:t>
                      </w:r>
                    </w:sdtContent>
                  </w:sdt>
                  <w:r>
                    <w:rPr>
                      <w:color w:val="000000"/>
                    </w:rPr>
                    <w:t xml:space="preserve">. Tyrimo tikslai lemia tam tikrą tyrimo seką arba nuoseklumą. Pirmiausia sprendžiami tie uždaviniai, kurie leistų įvertinti užteršimo lygį ir jo tvarkymo (valymo) poreikį. Tam pakanka atskirų tyrimo taškų duomenų, nesurišant jų į bendrą erdvę. Juos vertinti kaip vieną visumą, t.y. nustatyti valymo mastus bus reikalinga tik esant valymo poreikiui. Iš to matyti, kad abiem nurodytais atvejais reikalingas nevienodas duomenų kiekis. Savo ruožtu reikalingas ir nevienodas ištyrimo laipsnis arba detalumas. Detalesnis tyrimas reikalingas sprendžiant erdvinius taršos pasiskirstymo uždavinius, t.y. nustatant tvarkymo mastus. Tvarkymo poreikiui įvertinti pakanka mažiau detalaus tyrimo. Tuo tarpu, planuojant tam tikros teritorijos tyrimus, apie jos užteršimo būklę dažnai nieko nežinoma. Gali būti taip, kad užteršimas neviršys didžiausio leidžiamo lygio ir valymo mastų nustatymas taps nereikalingas, todėl detalus teritorijos tyrimas taip pat bus nereikalingas. Atsižvelgiant į tai ir vadovaujantis nuoseklumo principu, visus tyrimus tikslinga vykdyti 2 stadijomis: </w:t>
                  </w:r>
                  <w:r>
                    <w:rPr>
                      <w:b/>
                      <w:bCs/>
                      <w:i/>
                      <w:iCs/>
                      <w:color w:val="000000"/>
                    </w:rPr>
                    <w:t xml:space="preserve">pirma – preliminarūs tyrimai; antra – detalūs tyrimai. </w:t>
                  </w:r>
                  <w:r>
                    <w:rPr>
                      <w:color w:val="000000"/>
                    </w:rPr>
                    <w:t xml:space="preserve">Atskirais atvejais po paminėtų tyrimo stadijų, siekiant patikslinti ar detalizuoti tvarkymo mastus ir būdus, gali būti atliekami </w:t>
                  </w:r>
                  <w:r>
                    <w:rPr>
                      <w:b/>
                      <w:bCs/>
                      <w:i/>
                      <w:iCs/>
                      <w:color w:val="000000"/>
                    </w:rPr>
                    <w:t>papildomi užteršimo ar jo dalies tyrimai.</w:t>
                  </w:r>
                </w:p>
              </w:sdtContent>
            </w:sdt>
            <w:sdt>
              <w:sdtPr>
                <w:alias w:val="5 pr. 4 p."/>
                <w:tag w:val="part_f056ab2a32254f09ad75b11e57347cf3"/>
                <w:lock w:val="sdtLocked"/>
                <w:richText/>
              </w:sdtPr>
              <w:sdtContent>
                <w:p>
                  <w:pPr>
                    <w:widowControl w:val="0"/>
                    <w:suppressAutoHyphens/>
                    <w:ind w:firstLine="567"/>
                    <w:jc w:val="both"/>
                    <w:rPr>
                      <w:color w:val="000000"/>
                    </w:rPr>
                  </w:pPr>
                  <w:sdt>
                    <w:sdtPr>
                      <w:alias w:val="Numeris"/>
                      <w:tag w:val="nr_f056ab2a32254f09ad75b11e57347cf3"/>
                      <w:lock w:val="sdtLocked"/>
                      <w:richText/>
                    </w:sdtPr>
                    <w:sdtContent>
                      <w:r>
                        <w:rPr>
                          <w:color w:val="000000"/>
                        </w:rPr>
                        <w:t>4</w:t>
                      </w:r>
                    </w:sdtContent>
                  </w:sdt>
                  <w:r>
                    <w:rPr>
                      <w:color w:val="000000"/>
                    </w:rPr>
                    <w:t>. Nežiūrint detalumo, kiekvienas tyrimas turi atspindėti realią padėtį, t.y. būti reprezentatyvus. Tai pasiekiama tinkamai pasirenkant tyrimo operacijų turinį, apimtis bei metodus.</w:t>
                  </w:r>
                </w:p>
                <w:p>
                  <w:pPr>
                    <w:widowControl w:val="0"/>
                    <w:suppressAutoHyphens/>
                    <w:ind w:firstLine="567"/>
                    <w:jc w:val="both"/>
                    <w:rPr>
                      <w:color w:val="000000"/>
                    </w:rPr>
                  </w:pPr>
                  <w:r>
                    <w:rPr>
                      <w:color w:val="000000"/>
                    </w:rPr>
                    <w:t>Atliekant preliminarius tyrimus, svarbiausias dėmesys turi būti skiriamas patencialių taršos vietų – teršimo židinių – bei užteršimo lygį atskiruose taškuose reprezentuojančių rodiklių ištyrimui. Savo ruožtu atitinkamai turi būti parenkamas tyrimo taškų tinklas, tiriamų rodiklių turinys ir metodai.</w:t>
                  </w:r>
                </w:p>
                <w:p>
                  <w:pPr>
                    <w:widowControl w:val="0"/>
                    <w:suppressAutoHyphens/>
                    <w:ind w:firstLine="567"/>
                    <w:jc w:val="both"/>
                    <w:rPr>
                      <w:color w:val="000000"/>
                    </w:rPr>
                  </w:pPr>
                  <w:r>
                    <w:rPr>
                      <w:color w:val="000000"/>
                    </w:rPr>
                    <w:t>Detaliai tiriant, tyrimo taškai turi apimti visą taršos arealą ir jo periferiją, t.y. skirtingo užteršimo teritorijas. Dėl to atskiruose taškuose nustatomų rodiklių turinys gali būti nevienodas. Atitinkamai gali būti naudojami ir skirtingi tyrimo metodai.</w:t>
                  </w:r>
                </w:p>
                <w:p>
                  <w:pPr>
                    <w:widowControl w:val="0"/>
                    <w:suppressAutoHyphens/>
                    <w:ind w:firstLine="567"/>
                    <w:jc w:val="both"/>
                    <w:rPr>
                      <w:color w:val="000000"/>
                    </w:rPr>
                  </w:pPr>
                </w:p>
              </w:sdtContent>
            </w:sdt>
          </w:sdtContent>
        </w:sdt>
        <w:sdt>
          <w:sdtPr>
            <w:alias w:val="skyrius"/>
            <w:tag w:val="part_fae0beba0c104ee4965324b4d3cc6c79"/>
            <w:lock w:val="sdtLocked"/>
            <w:richText/>
          </w:sdtPr>
          <w:sdtContent>
            <w:p>
              <w:pPr>
                <w:widowControl w:val="0"/>
                <w:suppressAutoHyphens/>
                <w:jc w:val="center"/>
                <w:rPr>
                  <w:b/>
                  <w:bCs/>
                  <w:caps/>
                  <w:color w:val="000000"/>
                </w:rPr>
              </w:pPr>
              <w:sdt>
                <w:sdtPr>
                  <w:alias w:val="Numeris"/>
                  <w:tag w:val="nr_fae0beba0c104ee4965324b4d3cc6c79"/>
                  <w:lock w:val="sdtLocked"/>
                  <w:richText/>
                </w:sdtPr>
                <w:sdtContent>
                  <w:r>
                    <w:rPr>
                      <w:b/>
                      <w:bCs/>
                      <w:caps/>
                      <w:color w:val="000000"/>
                    </w:rPr>
                    <w:t>II</w:t>
                  </w:r>
                </w:sdtContent>
              </w:sdt>
              <w:r>
                <w:rPr>
                  <w:b/>
                  <w:bCs/>
                  <w:caps/>
                  <w:color w:val="000000"/>
                </w:rPr>
                <w:t xml:space="preserve">. </w:t>
              </w:r>
              <w:sdt>
                <w:sdtPr>
                  <w:alias w:val="Pavadinimas"/>
                  <w:tag w:val="title_fae0beba0c104ee4965324b4d3cc6c79"/>
                  <w:lock w:val="sdtLocked"/>
                  <w:richText/>
                </w:sdtPr>
                <w:sdtContent>
                  <w:r>
                    <w:rPr>
                      <w:b/>
                      <w:bCs/>
                      <w:caps/>
                      <w:color w:val="000000"/>
                    </w:rPr>
                    <w:t>TYRIMO OPERACIJŲ TURINYS IR ATLIKIMO TVARKA</w:t>
                  </w:r>
                </w:sdtContent>
              </w:sdt>
            </w:p>
            <w:p>
              <w:pPr>
                <w:widowControl w:val="0"/>
                <w:suppressAutoHyphens/>
                <w:ind w:firstLine="567"/>
                <w:jc w:val="both"/>
                <w:rPr>
                  <w:color w:val="000000"/>
                </w:rPr>
              </w:pPr>
            </w:p>
            <w:sdt>
              <w:sdtPr>
                <w:alias w:val="5 pr. 5 p."/>
                <w:tag w:val="part_b0c55162f1ce4849b29b889281da2385"/>
                <w:lock w:val="sdtLocked"/>
                <w:richText/>
              </w:sdtPr>
              <w:sdtContent>
                <w:p>
                  <w:pPr>
                    <w:widowControl w:val="0"/>
                    <w:suppressAutoHyphens/>
                    <w:ind w:firstLine="567"/>
                    <w:jc w:val="both"/>
                    <w:rPr>
                      <w:color w:val="000000"/>
                    </w:rPr>
                  </w:pPr>
                  <w:sdt>
                    <w:sdtPr>
                      <w:alias w:val="Numeris"/>
                      <w:tag w:val="nr_b0c55162f1ce4849b29b889281da2385"/>
                      <w:lock w:val="sdtLocked"/>
                      <w:richText/>
                    </w:sdtPr>
                    <w:sdtContent>
                      <w:r>
                        <w:rPr>
                          <w:color w:val="000000"/>
                        </w:rPr>
                        <w:t>5</w:t>
                      </w:r>
                    </w:sdtContent>
                  </w:sdt>
                  <w:r>
                    <w:rPr>
                      <w:color w:val="000000"/>
                    </w:rPr>
                    <w:t>. Pagrindinės žemės užteršimo NP tyrimo operacijos nepriklausomai nuo tyrimo stadijos yra:</w:t>
                  </w:r>
                </w:p>
                <w:sdt>
                  <w:sdtPr>
                    <w:alias w:val="5 pr. 5.1 p."/>
                    <w:tag w:val="part_06160a98e8c04139a7f444017b36a3fb"/>
                    <w:lock w:val="sdtLocked"/>
                    <w:richText/>
                  </w:sdtPr>
                  <w:sdtContent>
                    <w:p>
                      <w:pPr>
                        <w:widowControl w:val="0"/>
                        <w:suppressAutoHyphens/>
                        <w:ind w:firstLine="567"/>
                        <w:jc w:val="both"/>
                        <w:rPr>
                          <w:color w:val="000000"/>
                        </w:rPr>
                      </w:pPr>
                      <w:sdt>
                        <w:sdtPr>
                          <w:alias w:val="Numeris"/>
                          <w:tag w:val="nr_06160a98e8c04139a7f444017b36a3fb"/>
                          <w:lock w:val="sdtLocked"/>
                          <w:richText/>
                        </w:sdtPr>
                        <w:sdtContent>
                          <w:r>
                            <w:rPr>
                              <w:color w:val="000000"/>
                            </w:rPr>
                            <w:t>5.1</w:t>
                          </w:r>
                        </w:sdtContent>
                      </w:sdt>
                      <w:r>
                        <w:rPr>
                          <w:color w:val="000000"/>
                        </w:rPr>
                        <w:t>. gręžimas ir grunto savybių vizualus-juslinis įvertinimas bei aprašymas;</w:t>
                      </w:r>
                    </w:p>
                  </w:sdtContent>
                </w:sdt>
                <w:sdt>
                  <w:sdtPr>
                    <w:alias w:val="5 pr. 5.2 p."/>
                    <w:tag w:val="part_6bead1e5bd57402191e7cbfaa2f64b88"/>
                    <w:lock w:val="sdtLocked"/>
                    <w:richText/>
                  </w:sdtPr>
                  <w:sdtContent>
                    <w:p>
                      <w:pPr>
                        <w:widowControl w:val="0"/>
                        <w:suppressAutoHyphens/>
                        <w:ind w:firstLine="567"/>
                        <w:jc w:val="both"/>
                        <w:rPr>
                          <w:color w:val="000000"/>
                        </w:rPr>
                      </w:pPr>
                      <w:sdt>
                        <w:sdtPr>
                          <w:alias w:val="Numeris"/>
                          <w:tag w:val="nr_6bead1e5bd57402191e7cbfaa2f64b88"/>
                          <w:lock w:val="sdtLocked"/>
                          <w:richText/>
                        </w:sdtPr>
                        <w:sdtContent>
                          <w:r>
                            <w:rPr>
                              <w:color w:val="000000"/>
                            </w:rPr>
                            <w:t>5.2</w:t>
                          </w:r>
                        </w:sdtContent>
                      </w:sdt>
                      <w:r>
                        <w:rPr>
                          <w:color w:val="000000"/>
                        </w:rPr>
                        <w:t>. geofiziniai tyrimai;</w:t>
                      </w:r>
                    </w:p>
                  </w:sdtContent>
                </w:sdt>
                <w:sdt>
                  <w:sdtPr>
                    <w:alias w:val="5 pr. 5.3 p."/>
                    <w:tag w:val="part_e1db8c10545244ca84051d207f5701f9"/>
                    <w:lock w:val="sdtLocked"/>
                    <w:richText/>
                  </w:sdtPr>
                  <w:sdtContent>
                    <w:p>
                      <w:pPr>
                        <w:widowControl w:val="0"/>
                        <w:suppressAutoHyphens/>
                        <w:ind w:firstLine="567"/>
                        <w:jc w:val="both"/>
                        <w:rPr>
                          <w:color w:val="000000"/>
                        </w:rPr>
                      </w:pPr>
                      <w:sdt>
                        <w:sdtPr>
                          <w:alias w:val="Numeris"/>
                          <w:tag w:val="nr_e1db8c10545244ca84051d207f5701f9"/>
                          <w:lock w:val="sdtLocked"/>
                          <w:richText/>
                        </w:sdtPr>
                        <w:sdtContent>
                          <w:r>
                            <w:rPr>
                              <w:color w:val="000000"/>
                            </w:rPr>
                            <w:t>5.3</w:t>
                          </w:r>
                        </w:sdtContent>
                      </w:sdt>
                      <w:r>
                        <w:rPr>
                          <w:color w:val="000000"/>
                        </w:rPr>
                        <w:t>. vandens lygio ir laisvų NP sluoksnio storio matavimas;</w:t>
                      </w:r>
                    </w:p>
                  </w:sdtContent>
                </w:sdt>
                <w:sdt>
                  <w:sdtPr>
                    <w:alias w:val="5 pr. 5.4 p."/>
                    <w:tag w:val="part_2e2636fd5acd42d4b61f6bb78142e6e2"/>
                    <w:lock w:val="sdtLocked"/>
                    <w:richText/>
                  </w:sdtPr>
                  <w:sdtContent>
                    <w:p>
                      <w:pPr>
                        <w:widowControl w:val="0"/>
                        <w:suppressAutoHyphens/>
                        <w:ind w:firstLine="567"/>
                        <w:jc w:val="both"/>
                        <w:rPr>
                          <w:color w:val="000000"/>
                        </w:rPr>
                      </w:pPr>
                      <w:sdt>
                        <w:sdtPr>
                          <w:alias w:val="Numeris"/>
                          <w:tag w:val="nr_2e2636fd5acd42d4b61f6bb78142e6e2"/>
                          <w:lock w:val="sdtLocked"/>
                          <w:richText/>
                        </w:sdtPr>
                        <w:sdtContent>
                          <w:r>
                            <w:rPr>
                              <w:color w:val="000000"/>
                            </w:rPr>
                            <w:t>5.4</w:t>
                          </w:r>
                        </w:sdtContent>
                      </w:sdt>
                      <w:r>
                        <w:rPr>
                          <w:color w:val="000000"/>
                        </w:rPr>
                        <w:t>. grunto, vandens ir NP mėginių ėmimas laboratoriniams tyrimams;</w:t>
                      </w:r>
                    </w:p>
                  </w:sdtContent>
                </w:sdt>
                <w:sdt>
                  <w:sdtPr>
                    <w:alias w:val="5 pr. 5.5 p."/>
                    <w:tag w:val="part_77093c57905449a7b67d0c64ab50bedc"/>
                    <w:lock w:val="sdtLocked"/>
                    <w:richText/>
                  </w:sdtPr>
                  <w:sdtContent>
                    <w:p>
                      <w:pPr>
                        <w:widowControl w:val="0"/>
                        <w:suppressAutoHyphens/>
                        <w:ind w:firstLine="567"/>
                        <w:jc w:val="both"/>
                        <w:rPr>
                          <w:color w:val="000000"/>
                        </w:rPr>
                      </w:pPr>
                      <w:sdt>
                        <w:sdtPr>
                          <w:alias w:val="Numeris"/>
                          <w:tag w:val="nr_77093c57905449a7b67d0c64ab50bedc"/>
                          <w:lock w:val="sdtLocked"/>
                          <w:richText/>
                        </w:sdtPr>
                        <w:sdtContent>
                          <w:r>
                            <w:rPr>
                              <w:color w:val="000000"/>
                            </w:rPr>
                            <w:t>5.5</w:t>
                          </w:r>
                        </w:sdtContent>
                      </w:sdt>
                      <w:r>
                        <w:rPr>
                          <w:color w:val="000000"/>
                        </w:rPr>
                        <w:t>. grunto filtracinių savybių tyrimai;</w:t>
                      </w:r>
                    </w:p>
                  </w:sdtContent>
                </w:sdt>
                <w:sdt>
                  <w:sdtPr>
                    <w:alias w:val="5 pr. 5.6 p."/>
                    <w:tag w:val="part_f54219c0d1fa4d6796a1da9fe57cfa2b"/>
                    <w:lock w:val="sdtLocked"/>
                    <w:richText/>
                  </w:sdtPr>
                  <w:sdtContent>
                    <w:p>
                      <w:pPr>
                        <w:widowControl w:val="0"/>
                        <w:suppressAutoHyphens/>
                        <w:ind w:firstLine="567"/>
                        <w:jc w:val="both"/>
                        <w:rPr>
                          <w:color w:val="000000"/>
                        </w:rPr>
                      </w:pPr>
                      <w:sdt>
                        <w:sdtPr>
                          <w:alias w:val="Numeris"/>
                          <w:tag w:val="nr_f54219c0d1fa4d6796a1da9fe57cfa2b"/>
                          <w:lock w:val="sdtLocked"/>
                          <w:richText/>
                        </w:sdtPr>
                        <w:sdtContent>
                          <w:r>
                            <w:rPr>
                              <w:color w:val="000000"/>
                            </w:rPr>
                            <w:t>5.6</w:t>
                          </w:r>
                        </w:sdtContent>
                      </w:sdt>
                      <w:r>
                        <w:rPr>
                          <w:color w:val="000000"/>
                        </w:rPr>
                        <w:t>. grunto ir vandens užteršimo NP laboratoriniai tyrimai;</w:t>
                      </w:r>
                    </w:p>
                  </w:sdtContent>
                </w:sdt>
                <w:sdt>
                  <w:sdtPr>
                    <w:alias w:val="5 pr. 5.7 p."/>
                    <w:tag w:val="part_acae57d969a04dde8d08122aa2eb8edc"/>
                    <w:lock w:val="sdtLocked"/>
                    <w:richText/>
                  </w:sdtPr>
                  <w:sdtContent>
                    <w:p>
                      <w:pPr>
                        <w:widowControl w:val="0"/>
                        <w:suppressAutoHyphens/>
                        <w:ind w:firstLine="567"/>
                        <w:jc w:val="both"/>
                        <w:rPr>
                          <w:color w:val="000000"/>
                        </w:rPr>
                      </w:pPr>
                      <w:sdt>
                        <w:sdtPr>
                          <w:alias w:val="Numeris"/>
                          <w:tag w:val="nr_acae57d969a04dde8d08122aa2eb8edc"/>
                          <w:lock w:val="sdtLocked"/>
                          <w:richText/>
                        </w:sdtPr>
                        <w:sdtContent>
                          <w:r>
                            <w:rPr>
                              <w:color w:val="000000"/>
                            </w:rPr>
                            <w:t>5.7</w:t>
                          </w:r>
                        </w:sdtContent>
                      </w:sdt>
                      <w:r>
                        <w:rPr>
                          <w:color w:val="000000"/>
                        </w:rPr>
                        <w:t>. vandens cheminės sudėties tyrimai;</w:t>
                      </w:r>
                    </w:p>
                  </w:sdtContent>
                </w:sdt>
                <w:sdt>
                  <w:sdtPr>
                    <w:alias w:val="5 pr. 5.8 p."/>
                    <w:tag w:val="part_0e37d8c65a7b4c6c84ea3a34a537df35"/>
                    <w:lock w:val="sdtLocked"/>
                    <w:richText/>
                  </w:sdtPr>
                  <w:sdtContent>
                    <w:p>
                      <w:pPr>
                        <w:widowControl w:val="0"/>
                        <w:suppressAutoHyphens/>
                        <w:ind w:firstLine="567"/>
                        <w:jc w:val="both"/>
                        <w:rPr>
                          <w:color w:val="000000"/>
                        </w:rPr>
                      </w:pPr>
                      <w:sdt>
                        <w:sdtPr>
                          <w:alias w:val="Numeris"/>
                          <w:tag w:val="nr_0e37d8c65a7b4c6c84ea3a34a537df35"/>
                          <w:lock w:val="sdtLocked"/>
                          <w:richText/>
                        </w:sdtPr>
                        <w:sdtContent>
                          <w:r>
                            <w:rPr>
                              <w:color w:val="000000"/>
                            </w:rPr>
                            <w:t>5.8</w:t>
                          </w:r>
                        </w:sdtContent>
                      </w:sdt>
                      <w:r>
                        <w:rPr>
                          <w:color w:val="000000"/>
                        </w:rPr>
                        <w:t>. NP fizinių-cheminių savybių tyrimai;</w:t>
                      </w:r>
                    </w:p>
                  </w:sdtContent>
                </w:sdt>
                <w:sdt>
                  <w:sdtPr>
                    <w:alias w:val="5 pr. 5.9 p."/>
                    <w:tag w:val="part_a61e5324f81947fcb3615741c7c4350b"/>
                    <w:lock w:val="sdtLocked"/>
                    <w:richText/>
                  </w:sdtPr>
                  <w:sdtContent>
                    <w:p>
                      <w:pPr>
                        <w:widowControl w:val="0"/>
                        <w:suppressAutoHyphens/>
                        <w:ind w:firstLine="567"/>
                        <w:jc w:val="both"/>
                        <w:rPr>
                          <w:color w:val="000000"/>
                        </w:rPr>
                      </w:pPr>
                      <w:sdt>
                        <w:sdtPr>
                          <w:alias w:val="Numeris"/>
                          <w:tag w:val="nr_a61e5324f81947fcb3615741c7c4350b"/>
                          <w:lock w:val="sdtLocked"/>
                          <w:richText/>
                        </w:sdtPr>
                        <w:sdtContent>
                          <w:r>
                            <w:rPr>
                              <w:color w:val="000000"/>
                            </w:rPr>
                            <w:t>5.9</w:t>
                          </w:r>
                        </w:sdtContent>
                      </w:sdt>
                      <w:r>
                        <w:rPr>
                          <w:color w:val="000000"/>
                        </w:rPr>
                        <w:t>. tyrimo taškų altitudžių ir koordinačių nustatymas.</w:t>
                      </w:r>
                    </w:p>
                  </w:sdtContent>
                </w:sdt>
              </w:sdtContent>
            </w:sdt>
            <w:sdt>
              <w:sdtPr>
                <w:alias w:val="5 pr. 6 p."/>
                <w:tag w:val="part_136216182d1e449d856f31b73cf5adef"/>
                <w:lock w:val="sdtLocked"/>
                <w:richText/>
              </w:sdtPr>
              <w:sdtContent>
                <w:p>
                  <w:pPr>
                    <w:widowControl w:val="0"/>
                    <w:suppressAutoHyphens/>
                    <w:ind w:firstLine="567"/>
                    <w:jc w:val="both"/>
                    <w:rPr>
                      <w:color w:val="000000"/>
                    </w:rPr>
                  </w:pPr>
                  <w:sdt>
                    <w:sdtPr>
                      <w:alias w:val="Numeris"/>
                      <w:tag w:val="nr_136216182d1e449d856f31b73cf5adef"/>
                      <w:lock w:val="sdtLocked"/>
                      <w:richText/>
                    </w:sdtPr>
                    <w:sdtContent>
                      <w:r>
                        <w:rPr>
                          <w:color w:val="000000"/>
                        </w:rPr>
                        <w:t>6</w:t>
                      </w:r>
                    </w:sdtContent>
                  </w:sdt>
                  <w:r>
                    <w:rPr>
                      <w:color w:val="000000"/>
                    </w:rPr>
                    <w:t>. Gręžimas – tai viena pagrindinių ir dažniausiai atliekama tyrimo operacija. Jo prasmė – ištisinio grunto stulpelio pakėlimas ir grunto litologijos bei užteršimo NP pagal vizualius-juslinius požymius apibūdinimas, gręžinių gruntinio vandens statinio lygio, taip pat laisvų NP sluoksnio storio matavimams įrengimas:</w:t>
                  </w:r>
                </w:p>
                <w:sdt>
                  <w:sdtPr>
                    <w:alias w:val="5 pr. 6.1 p."/>
                    <w:tag w:val="part_1c0d891668cd4bf9891538e87c7027d5"/>
                    <w:lock w:val="sdtLocked"/>
                    <w:richText/>
                  </w:sdtPr>
                  <w:sdtContent>
                    <w:p>
                      <w:pPr>
                        <w:widowControl w:val="0"/>
                        <w:suppressAutoHyphens/>
                        <w:ind w:firstLine="567"/>
                        <w:jc w:val="both"/>
                        <w:rPr>
                          <w:color w:val="000000"/>
                        </w:rPr>
                      </w:pPr>
                      <w:sdt>
                        <w:sdtPr>
                          <w:alias w:val="Numeris"/>
                          <w:tag w:val="nr_1c0d891668cd4bf9891538e87c7027d5"/>
                          <w:lock w:val="sdtLocked"/>
                          <w:richText/>
                        </w:sdtPr>
                        <w:sdtContent>
                          <w:r>
                            <w:rPr>
                              <w:color w:val="000000"/>
                            </w:rPr>
                            <w:t>6.1</w:t>
                          </w:r>
                        </w:sdtContent>
                      </w:sdt>
                      <w:r>
                        <w:rPr>
                          <w:color w:val="000000"/>
                        </w:rPr>
                        <w:t>. priklausomai nuo informacijos poreikio gręžiniai gali būti įvairaus tipo – kartiruojantys, stebimieji, eksploataciniai. Gręžiama gali būti taip pat įvairiais būdais – koloniniu, kalamuoju, sraigtiniu. Svarbu, kad pakeliamos uolienos kiekis ir sudėtis pakankamai atspindėtų natūralią jos litologinę sandarą ir užteršimo būklę. Gręžiant kartiruojančius gręžinius, nerekomenduojama naudoti plovimo skiedinių, galinčių šią būklę pakeisti;</w:t>
                      </w:r>
                    </w:p>
                  </w:sdtContent>
                </w:sdt>
                <w:sdt>
                  <w:sdtPr>
                    <w:alias w:val="5 pr. 6.2 p."/>
                    <w:tag w:val="part_389e389fff934544a16a87d294092b89"/>
                    <w:lock w:val="sdtLocked"/>
                    <w:richText/>
                  </w:sdtPr>
                  <w:sdtContent>
                    <w:p>
                      <w:pPr>
                        <w:widowControl w:val="0"/>
                        <w:suppressAutoHyphens/>
                        <w:ind w:firstLine="567"/>
                        <w:jc w:val="both"/>
                        <w:rPr>
                          <w:color w:val="000000"/>
                        </w:rPr>
                      </w:pPr>
                      <w:sdt>
                        <w:sdtPr>
                          <w:alias w:val="Numeris"/>
                          <w:tag w:val="nr_389e389fff934544a16a87d294092b89"/>
                          <w:lock w:val="sdtLocked"/>
                          <w:richText/>
                        </w:sdtPr>
                        <w:sdtContent>
                          <w:r>
                            <w:rPr>
                              <w:color w:val="000000"/>
                              <w:spacing w:val="-4"/>
                            </w:rPr>
                            <w:t>6.2</w:t>
                          </w:r>
                        </w:sdtContent>
                      </w:sdt>
                      <w:r>
                        <w:rPr>
                          <w:color w:val="000000"/>
                          <w:spacing w:val="-4"/>
                        </w:rPr>
                        <w:t>. gręžimo metu pakėlus gruntą, jis tuojau pat turi būti aprašomas litologiniu, vandeningumo ir užteršimo NP požiūriu. Litologija aprašoma vadovaujantis visuotinai priimta uolienų klasifikacija (LST 1445:1996). Be to, aprašant išskiriami būdingi litologiniai požymiai. Vandeningumas įvertinamas pagal grunto drėgnį. Rekomenduojama išskirti 3 vandeningumo lygius: sausą, drėgną ir šlapią. Sausas gruntas atspindės aeracijos zoną, drėgnas – reprezentuos kapiliarinę zoną, šlapias – rodys vandeningąjį sluoksnį;</w:t>
                      </w:r>
                    </w:p>
                  </w:sdtContent>
                </w:sdt>
                <w:sdt>
                  <w:sdtPr>
                    <w:alias w:val="5 pr. 6.3 p."/>
                    <w:tag w:val="part_33f1a463a43e4c619ed5f49e038584b6"/>
                    <w:lock w:val="sdtLocked"/>
                    <w:richText/>
                  </w:sdtPr>
                  <w:sdtContent>
                    <w:p>
                      <w:pPr>
                        <w:widowControl w:val="0"/>
                        <w:suppressAutoHyphens/>
                        <w:ind w:firstLine="567"/>
                        <w:jc w:val="both"/>
                        <w:rPr>
                          <w:color w:val="000000"/>
                        </w:rPr>
                      </w:pPr>
                      <w:sdt>
                        <w:sdtPr>
                          <w:alias w:val="Numeris"/>
                          <w:tag w:val="nr_33f1a463a43e4c619ed5f49e038584b6"/>
                          <w:lock w:val="sdtLocked"/>
                          <w:richText/>
                        </w:sdtPr>
                        <w:sdtContent>
                          <w:r>
                            <w:rPr>
                              <w:color w:val="000000"/>
                            </w:rPr>
                            <w:t>6.3</w:t>
                          </w:r>
                        </w:sdtContent>
                      </w:sdt>
                      <w:r>
                        <w:rPr>
                          <w:color w:val="000000"/>
                        </w:rPr>
                        <w:t>. grunto užteršimas NP apibūdinamas pagal akivaizdžius vizualius-juslinius požymius: kvapą, spalvą, blizgesį, riebaluotumą ir įsotinimą laisvais NP. Rekomenduojama išskirti 4 akivaizdaus grunto užteršimo lygius: 1) švarus; 2) silpnai užterštas; 3) vidutiniškai užterštas; 4) stipriai užterštas. Juos išskirti galima pagal tokius požymius:</w:t>
                      </w:r>
                    </w:p>
                    <w:p>
                      <w:pPr>
                        <w:widowControl w:val="0"/>
                        <w:suppressAutoHyphens/>
                        <w:ind w:firstLine="567"/>
                        <w:jc w:val="both"/>
                        <w:rPr>
                          <w:color w:val="000000"/>
                        </w:rPr>
                      </w:pPr>
                      <w:r>
                        <w:rPr>
                          <w:i/>
                          <w:iCs/>
                          <w:color w:val="000000"/>
                        </w:rPr>
                        <w:t>švarus</w:t>
                      </w:r>
                      <w:r>
                        <w:rPr>
                          <w:color w:val="000000"/>
                        </w:rPr>
                        <w:t xml:space="preserve"> – akivaizdžių užteršimo požymių nėra. NP koncentracija neviršija foninio lygio, t.y. mažesnė nei 50 mg/kg;</w:t>
                      </w:r>
                    </w:p>
                    <w:p>
                      <w:pPr>
                        <w:widowControl w:val="0"/>
                        <w:suppressAutoHyphens/>
                        <w:ind w:firstLine="567"/>
                        <w:jc w:val="both"/>
                        <w:rPr>
                          <w:color w:val="000000"/>
                        </w:rPr>
                      </w:pPr>
                      <w:r>
                        <w:rPr>
                          <w:i/>
                          <w:iCs/>
                          <w:color w:val="000000"/>
                        </w:rPr>
                        <w:t>silpnai užterštas</w:t>
                      </w:r>
                      <w:r>
                        <w:rPr>
                          <w:color w:val="000000"/>
                        </w:rPr>
                        <w:t xml:space="preserve"> – NP kvapas grunte vos užuodžiamas, neryškus, sunkiai nustatomas, uolienos grūdeliai neblizga, neriebaluoti, natūrali spalva nepakitusi. Tokį užterštumą suformuoja per gruntą prasisunkęs NP užterštas vanduo arba difuzijos būdu į uolieną įsigėrę skysti ar dujiniai NP. Jų koncentracija grunte priklausomai nuo grunto mechaninės sudėties ir NP sudėties daugiausia gali siekti 1–3 g/kg sauso grunto;</w:t>
                      </w:r>
                    </w:p>
                    <w:p>
                      <w:pPr>
                        <w:widowControl w:val="0"/>
                        <w:suppressAutoHyphens/>
                        <w:ind w:firstLine="567"/>
                        <w:jc w:val="both"/>
                        <w:rPr>
                          <w:color w:val="000000"/>
                        </w:rPr>
                      </w:pPr>
                      <w:r>
                        <w:rPr>
                          <w:i/>
                          <w:iCs/>
                          <w:color w:val="000000"/>
                        </w:rPr>
                        <w:t xml:space="preserve">vidutiniškai užterštas </w:t>
                      </w:r>
                      <w:r>
                        <w:rPr>
                          <w:color w:val="000000"/>
                        </w:rPr>
                        <w:t>–</w:t>
                      </w:r>
                      <w:r>
                        <w:rPr>
                          <w:i/>
                          <w:iCs/>
                          <w:color w:val="000000"/>
                        </w:rPr>
                        <w:t xml:space="preserve"> </w:t>
                      </w:r>
                      <w:r>
                        <w:rPr>
                          <w:color w:val="000000"/>
                        </w:rPr>
                        <w:t>NP kvapas užuodžiamas pakankamai gerai tik iš arti, uoliena truputį blizga. Jeigu tarša sena, uoliena yra patamsėjusi, truputį riebaluoja rankas, ant drėgno grunto matosi vaivorykštės spalvų plėvelė.</w:t>
                      </w:r>
                      <w:r>
                        <w:rPr>
                          <w:i/>
                          <w:iCs/>
                          <w:color w:val="000000"/>
                        </w:rPr>
                        <w:t xml:space="preserve"> </w:t>
                      </w:r>
                      <w:r>
                        <w:rPr>
                          <w:color w:val="000000"/>
                        </w:rPr>
                        <w:t>Tokį užterštumą suformuoja per uolieną prasisunkę arba joje besikaupiantys skysti NP. Jų koncentracija grunte paprastai neviršija sorbcinės gebos, kuri priklausomai nuo grunto mechaninės sudėties ir NP sudėties svyruoja nuo 3 g/kg iki 16 g/kg sauso grunto;</w:t>
                      </w:r>
                    </w:p>
                    <w:p>
                      <w:pPr>
                        <w:widowControl w:val="0"/>
                        <w:suppressAutoHyphens/>
                        <w:ind w:firstLine="567"/>
                        <w:jc w:val="both"/>
                        <w:rPr>
                          <w:color w:val="000000"/>
                        </w:rPr>
                      </w:pPr>
                      <w:r>
                        <w:rPr>
                          <w:i/>
                          <w:iCs/>
                          <w:color w:val="000000"/>
                        </w:rPr>
                        <w:t>stipriai užterštas</w:t>
                      </w:r>
                      <w:r>
                        <w:rPr>
                          <w:b/>
                          <w:bCs/>
                          <w:i/>
                          <w:iCs/>
                          <w:color w:val="000000"/>
                        </w:rPr>
                        <w:t xml:space="preserve"> </w:t>
                      </w:r>
                      <w:r>
                        <w:rPr>
                          <w:color w:val="000000"/>
                        </w:rPr>
                        <w:t>– NP kvapas yra stiprus, o, esant benzino taršai, – labai stiprus, uoliena blizga, riebaluota. Jeigu tarša sena, uoliena būna patamsėjusi arba visiškai juoda, porose aiškiai matosi skysti NP. Tokia tarša susidaro tuomet, kai skysti NP susikaupia ties gruntinio vandens lygiu arba, pvz., ant juos sunkiai praleidžiančio paviršiaus (molio ar kito mažai laidaus sluoksnio). NP visiškai ar iš dalies užpildo uolienos poras, sudarydami laisvai tekantį sluoksnį arba NP plėvelę. NP koncentracija grunte siekia kelias dešimtis tūkstančių mg/kg;</w:t>
                      </w:r>
                    </w:p>
                  </w:sdtContent>
                </w:sdt>
                <w:sdt>
                  <w:sdtPr>
                    <w:alias w:val="5 pr. 6.4 p."/>
                    <w:tag w:val="part_c59991bfd1a94c95995e63cdebb6d630"/>
                    <w:lock w:val="sdtLocked"/>
                    <w:richText/>
                  </w:sdtPr>
                  <w:sdtContent>
                    <w:p>
                      <w:pPr>
                        <w:widowControl w:val="0"/>
                        <w:suppressAutoHyphens/>
                        <w:ind w:firstLine="567"/>
                        <w:jc w:val="both"/>
                        <w:rPr>
                          <w:color w:val="000000"/>
                        </w:rPr>
                      </w:pPr>
                      <w:sdt>
                        <w:sdtPr>
                          <w:alias w:val="Numeris"/>
                          <w:tag w:val="nr_c59991bfd1a94c95995e63cdebb6d630"/>
                          <w:lock w:val="sdtLocked"/>
                          <w:richText/>
                        </w:sdtPr>
                        <w:sdtContent>
                          <w:r>
                            <w:rPr>
                              <w:color w:val="000000"/>
                            </w:rPr>
                            <w:t>6.4</w:t>
                          </w:r>
                        </w:sdtContent>
                      </w:sdt>
                      <w:r>
                        <w:rPr>
                          <w:color w:val="000000"/>
                        </w:rPr>
                        <w:t xml:space="preserve">. siekiant ištirti vandeningojo sluoksnio hidrodinamines savybes, taip pat atlikti ilgalaikius hidrocheminių, hidroterminių ir kt. rodiklių matavimus, gręžiamas stebimasis gręžinys. Priklausomai nuo matavimų trukmės stebėjimo gręžiniai skirstomi į: </w:t>
                      </w:r>
                      <w:r>
                        <w:rPr>
                          <w:b/>
                          <w:bCs/>
                          <w:color w:val="000000"/>
                        </w:rPr>
                        <w:t>1) stacionarius ir 2)</w:t>
                      </w:r>
                      <w:r>
                        <w:rPr>
                          <w:color w:val="000000"/>
                        </w:rPr>
                        <w:t xml:space="preserve"> </w:t>
                      </w:r>
                      <w:r>
                        <w:rPr>
                          <w:b/>
                          <w:bCs/>
                          <w:color w:val="000000"/>
                        </w:rPr>
                        <w:t>laikinus</w:t>
                      </w:r>
                      <w:r>
                        <w:rPr>
                          <w:color w:val="000000"/>
                        </w:rPr>
                        <w:t>. Stacionarūs gręžiniai įrengiami ilgalaikiams stebėjimams (monitoringui). Laikini gręžiniai paprastai įrengiami tyrimų metu vienkartiniams rodiklių išmatavimams atlikti. Po tyrimų jie likviduojami. Savo ruožtu pastarieji gali būti įrengiami taikant „švelnesnius“ konstrukcinius reikalavimus. Pagrindiniai bendri reikalavimai tokių gręžinių įrengimui yra:</w:t>
                      </w:r>
                    </w:p>
                    <w:sdt>
                      <w:sdtPr>
                        <w:alias w:val="5 pr. 6.4.1 p."/>
                        <w:tag w:val="part_3a4024fde3154c1aaebf665a1dd1664c"/>
                        <w:lock w:val="sdtLocked"/>
                        <w:richText/>
                      </w:sdtPr>
                      <w:sdtContent>
                        <w:p>
                          <w:pPr>
                            <w:widowControl w:val="0"/>
                            <w:suppressAutoHyphens/>
                            <w:ind w:firstLine="567"/>
                            <w:jc w:val="both"/>
                            <w:rPr>
                              <w:color w:val="000000"/>
                            </w:rPr>
                          </w:pPr>
                          <w:sdt>
                            <w:sdtPr>
                              <w:alias w:val="Numeris"/>
                              <w:tag w:val="nr_3a4024fde3154c1aaebf665a1dd1664c"/>
                              <w:lock w:val="sdtLocked"/>
                              <w:richText/>
                            </w:sdtPr>
                            <w:sdtContent>
                              <w:r>
                                <w:rPr>
                                  <w:color w:val="000000"/>
                                </w:rPr>
                                <w:t>6.4.1</w:t>
                              </w:r>
                            </w:sdtContent>
                          </w:sdt>
                          <w:r>
                            <w:rPr>
                              <w:color w:val="000000"/>
                            </w:rPr>
                            <w:t>. visais atvejais matavimų gręžiniuose tikslas yra nustatyti tikrąsias (gamtines) hidrogeosferos savybių vertes. Tuo tarpu įrengiant gręžinį jo vietoje natūralios gamtinės sąlygos neišvengiamai daugiau ar mažiau deformuojamos: suardoma natūrali vandeningojo sluoksnio grunto sankloda, požeminis vandeningasis sluoksnis tiesiogiai sujungiamas su atmosfera ir t. t. Be to, tam tikros specifinės sąlygos susidaro kontakte tarp vandeningojo sluoksnio ir jame įrengto gręžinio sienelės. Dėl šių aplinkybių tarp faktinių hidrogeologinių sąlygų, esančių sluoksnyje, ir jų verčių, išmatuotų gręžinyje, visada atsiranda tam tikra paklaida. Šios paklaidos kokybė ir dydis priklauso nuo: gręžinio įrengimo technologijos; gręžinio konstrukcinių ypatumų; geologinių-hidrogeologinių sąlygų; požemio užterštumo rūšies bei dydžio ir kt. Todėl įrengiant stebėjimo gręžinį būtina šiuos faktorius įvertinti, aprašyti ir pateikti gręžinio dokumentacijoje;</w:t>
                          </w:r>
                        </w:p>
                      </w:sdtContent>
                    </w:sdt>
                    <w:sdt>
                      <w:sdtPr>
                        <w:alias w:val="5 pr. 6.4.2 p."/>
                        <w:tag w:val="part_28b15ff7ed77467a869f915ca1d183c3"/>
                        <w:lock w:val="sdtLocked"/>
                        <w:richText/>
                      </w:sdtPr>
                      <w:sdtContent>
                        <w:p>
                          <w:pPr>
                            <w:widowControl w:val="0"/>
                            <w:suppressAutoHyphens/>
                            <w:ind w:firstLine="567"/>
                            <w:jc w:val="both"/>
                            <w:rPr>
                              <w:color w:val="000000"/>
                            </w:rPr>
                          </w:pPr>
                          <w:sdt>
                            <w:sdtPr>
                              <w:alias w:val="Numeris"/>
                              <w:tag w:val="nr_28b15ff7ed77467a869f915ca1d183c3"/>
                              <w:lock w:val="sdtLocked"/>
                              <w:richText/>
                            </w:sdtPr>
                            <w:sdtContent>
                              <w:r>
                                <w:rPr>
                                  <w:color w:val="000000"/>
                                </w:rPr>
                                <w:t>6.4.2</w:t>
                              </w:r>
                            </w:sdtContent>
                          </w:sdt>
                          <w:r>
                            <w:rPr>
                              <w:color w:val="000000"/>
                            </w:rPr>
                            <w:t>. vienas esminių stebėjimo gręžinio konstrukciją lemiančių faktorių yra migracijos barjerai, ties kuriais vyksta skystų NP kaupimasis. Dažniausiai toks barjeras yra gruntinio vandens paviršius, ant kurio vykstant intensyviam teršimui susikaupia skystų NP sluoksnis. Todėl įrengiant gręžinį būtina, jog jo filtras būtų įrengtas į laisvą gruntinio vandens paviršių. Jeigu filtras bus įleistas giliau laisvo vandens paviršiaus (panardintas), ant gruntinio vandens paviršiaus plūduriuojantys laisvi NP į gręžinį nepaklius ir gręžinys rodys netikrą vandeningojo sluoksnio užterštumo situaciją;</w:t>
                          </w:r>
                        </w:p>
                      </w:sdtContent>
                    </w:sdt>
                    <w:sdt>
                      <w:sdtPr>
                        <w:alias w:val="5 pr. 6.4.3 p."/>
                        <w:tag w:val="part_14325f8d3be94cd9a140be20a14f5d43"/>
                        <w:lock w:val="sdtLocked"/>
                        <w:richText/>
                      </w:sdtPr>
                      <w:sdtContent>
                        <w:p>
                          <w:pPr>
                            <w:widowControl w:val="0"/>
                            <w:suppressAutoHyphens/>
                            <w:ind w:firstLine="567"/>
                            <w:jc w:val="both"/>
                            <w:rPr>
                              <w:color w:val="000000"/>
                            </w:rPr>
                          </w:pPr>
                          <w:sdt>
                            <w:sdtPr>
                              <w:alias w:val="Numeris"/>
                              <w:tag w:val="nr_14325f8d3be94cd9a140be20a14f5d43"/>
                              <w:lock w:val="sdtLocked"/>
                              <w:richText/>
                            </w:sdtPr>
                            <w:sdtContent>
                              <w:r>
                                <w:rPr>
                                  <w:color w:val="000000"/>
                                </w:rPr>
                                <w:t>6.4.3</w:t>
                              </w:r>
                            </w:sdtContent>
                          </w:sdt>
                          <w:r>
                            <w:rPr>
                              <w:color w:val="000000"/>
                            </w:rPr>
                            <w:t>. dėl specifinio dviejų nesimaišančių skysčių fazinio pasiskirstymo bei grunte susidarančių kapiliarinių jėgų visais atvejais gręžinyje susiformavusio ir sluoksnyje esančio laisvų NP sluoksnio storiai yra skirtingi. Be daugelio dinaminio pobūdžio aplinkybių (gruntinio vandens lygio kitimo krypties ir tempo, teršalų kiekio balanso, jų fizinių savybių pokyčių ir kt.), šį skirtumą lemia priefiltrinės zonos grunto mechaninė sudėtis, kuri praktiškai per visą gręžinio eksploatavimo laikotarpį išlieka pastovi. Todėl, siekiant pagal NP sluoksnį gręžinyje nustatyti jo storį grunte, būtina žinoti priefiltrinės zonos grunto mechaninę sudėtį. Priešingu atveju šios natūraliai susidarančios paklaidos nustatyti ir išeliminuoti yra neįmanoma. Dėl to įrengiant gręžinį iš numatomos minėto filtro įleidimo dalies būtina paimti grunto mėginį ir granuliometriškai jį ištirti;</w:t>
                          </w:r>
                        </w:p>
                      </w:sdtContent>
                    </w:sdt>
                    <w:sdt>
                      <w:sdtPr>
                        <w:alias w:val="5 pr. 6.4.4 p."/>
                        <w:tag w:val="part_af04db3ea2da4ef981f671811d7bd3b9"/>
                        <w:lock w:val="sdtLocked"/>
                        <w:richText/>
                      </w:sdtPr>
                      <w:sdtContent>
                        <w:p>
                          <w:pPr>
                            <w:widowControl w:val="0"/>
                            <w:suppressAutoHyphens/>
                            <w:ind w:firstLine="567"/>
                            <w:jc w:val="both"/>
                            <w:rPr>
                              <w:color w:val="000000"/>
                            </w:rPr>
                          </w:pPr>
                          <w:sdt>
                            <w:sdtPr>
                              <w:alias w:val="Numeris"/>
                              <w:tag w:val="nr_af04db3ea2da4ef981f671811d7bd3b9"/>
                              <w:lock w:val="sdtLocked"/>
                              <w:richText/>
                            </w:sdtPr>
                            <w:sdtContent>
                              <w:r>
                                <w:rPr>
                                  <w:color w:val="000000"/>
                                </w:rPr>
                                <w:t>6.4.4</w:t>
                              </w:r>
                            </w:sdtContent>
                          </w:sdt>
                          <w:r>
                            <w:rPr>
                              <w:color w:val="000000"/>
                            </w:rPr>
                            <w:t>. priefiltrinės zonos grunto mechaninė sudėtis ne visuomet yra tapati natūraliam sluoksnio gruntui ir tai priklauso nuo gręžinio įrengimo technologijos. Šiuo požiūriu galime gauti skirtingus NP sluoksnio matavimo rezultatus. Čia išskirtinos 2 gręžinio filtro įrengimo technologijos rūšys. Pirma – filtras rengiamas su užpilu ar be jo. Antra – filtro zona pragręžiama su plovimo skiediniu ar be jo. Naudojant filtro užpilą arba gręžiant su plovimo (paprastai molio) skiediniu, priefiltrinės gręžinio zonos grunto mechaninė sudėtis pakeičiama arba deformuojama (užmolinama). Tokiu atveju minėto NP sluoksnio storį gręžinyje lems užpilo arba užmolintos priefiltrinės zonos grunto mechaninė sudėtis. Todėl, turint tik natūralaus grunto mechaninės sudėties ir NP sluoksnio matavimo duomenis, tačiau nežinant gręžinio filtro įrengimo technologijos, NP sluoksnio storį grunte nustatysime neteisingai. Pirmuoju atveju (kai filtras su užpilu) jį sumažinsime, antruoju (kai priefiltrinė zona užmolinta) – jį padidinsime. Šiuo atveju, siekiant to išvengti, būtina naudoti atitinkamą gręžimo technologiją arba gręžinio dokumentacijoje pateikti labai tikslius ir išsamius gręžinio įrengimo technologinius duomenis;</w:t>
                          </w:r>
                        </w:p>
                      </w:sdtContent>
                    </w:sdt>
                    <w:sdt>
                      <w:sdtPr>
                        <w:alias w:val="5 pr. 6.4.5 p."/>
                        <w:tag w:val="part_5ca442119450477896f2f2df400b3fc2"/>
                        <w:lock w:val="sdtLocked"/>
                        <w:richText/>
                      </w:sdtPr>
                      <w:sdtContent>
                        <w:p>
                          <w:pPr>
                            <w:widowControl w:val="0"/>
                            <w:suppressAutoHyphens/>
                            <w:ind w:firstLine="567"/>
                            <w:jc w:val="both"/>
                            <w:rPr>
                              <w:color w:val="000000"/>
                            </w:rPr>
                          </w:pPr>
                          <w:sdt>
                            <w:sdtPr>
                              <w:alias w:val="Numeris"/>
                              <w:tag w:val="nr_5ca442119450477896f2f2df400b3fc2"/>
                              <w:lock w:val="sdtLocked"/>
                              <w:richText/>
                            </w:sdtPr>
                            <w:sdtContent>
                              <w:r>
                                <w:rPr>
                                  <w:color w:val="000000"/>
                                </w:rPr>
                                <w:t>6.4.5</w:t>
                              </w:r>
                            </w:sdtContent>
                          </w:sdt>
                          <w:r>
                            <w:rPr>
                              <w:color w:val="000000"/>
                            </w:rPr>
                            <w:t>. klaidingą situaciją apie vandeningojo sluoksnio hidrochemines sąlygas galima gauti, naudojant chemiškai neatsparias gręžinio vamzdžių ir filtrų medžiagas, taip pat gręžinio įrengimo metu užteršus vandeningąjį sluoksnį tepaluotais vamzdžiais, nešvariais plovimui naudojamais vandenimis ir pan. Todėl pastarieji technologiniai procesai yra reikšmingi stebėjimo gręžinio kokybės požiūriu ir turi būti apibūdinami gręžinio dokumentacijoje.</w:t>
                          </w:r>
                        </w:p>
                        <w:p>
                          <w:pPr>
                            <w:widowControl w:val="0"/>
                            <w:suppressAutoHyphens/>
                            <w:ind w:firstLine="567"/>
                            <w:jc w:val="both"/>
                            <w:rPr>
                              <w:color w:val="000000"/>
                            </w:rPr>
                          </w:pPr>
                          <w:r>
                            <w:rPr>
                              <w:color w:val="000000"/>
                            </w:rPr>
                            <w:t>Be aukščiau išdėstytų specifinių reikalavimų, įrengiant stebėjimo gręžinį, dar reikia laikytis šių bendrųjų reikalavimų:</w:t>
                          </w:r>
                        </w:p>
                        <w:p>
                          <w:pPr>
                            <w:widowControl w:val="0"/>
                            <w:suppressAutoHyphens/>
                            <w:ind w:firstLine="567"/>
                            <w:jc w:val="both"/>
                            <w:rPr>
                              <w:color w:val="000000"/>
                            </w:rPr>
                          </w:pPr>
                          <w:r>
                            <w:rPr>
                              <w:color w:val="000000"/>
                            </w:rPr>
                            <w:t>– stebėjimo gręžinio įrengimo procesas visais atvejais turi susidėti iš dviejų etapų: a) geologinio pjūvio išžvalgymo; b) stebėjimo gręžinio įrengimo;</w:t>
                          </w:r>
                        </w:p>
                        <w:p>
                          <w:pPr>
                            <w:widowControl w:val="0"/>
                            <w:suppressAutoHyphens/>
                            <w:ind w:firstLine="567"/>
                            <w:jc w:val="both"/>
                            <w:rPr>
                              <w:color w:val="000000"/>
                            </w:rPr>
                          </w:pPr>
                          <w:r>
                            <w:rPr>
                              <w:color w:val="000000"/>
                            </w:rPr>
                            <w:t>– geologinio pjūvio žvalgymas atliekamas pagal kartiruojančio gręžinio gręžimo metodiką. Gręžinio dokumentacijoje pateikiamas tikslus geologinio pjūvio aprašymas, gręžimo technologija, kerno kėlimo intervalai ir išeiga. Gręžiant sraigtiniu būdu, grunto litologija aprašoma pagal ant grąžto menčių pakeltą kerną. Šiuo atveju grąžtas iš kirtavietės turi būti pakeliamas, atsižvelgiant į geologinio pjūvio sandarą, tačiau ne rečiau kaip 3 m intervalais;</w:t>
                          </w:r>
                        </w:p>
                        <w:p>
                          <w:pPr>
                            <w:widowControl w:val="0"/>
                            <w:suppressAutoHyphens/>
                            <w:ind w:firstLine="567"/>
                            <w:jc w:val="both"/>
                            <w:rPr>
                              <w:color w:val="000000"/>
                            </w:rPr>
                          </w:pPr>
                          <w:r>
                            <w:rPr>
                              <w:color w:val="000000"/>
                            </w:rPr>
                            <w:t>– atliekant pjūvio žvalgymą, iš vandeningojo sluoksnio intervalo, kuriame numatoma įstatyti gręžinio filtrą, turi būti paimtas bent vienas mėginys grunto mechaninei sudėčiai nustatyti. Imant tik vieną mėginį, pastarasis būtinai turi būti iš kontaktinės gruntinio vandeningojo sluoksnio ir aeracijos zonos dalies;</w:t>
                          </w:r>
                        </w:p>
                        <w:p>
                          <w:pPr>
                            <w:widowControl w:val="0"/>
                            <w:suppressAutoHyphens/>
                            <w:ind w:firstLine="567"/>
                            <w:jc w:val="both"/>
                            <w:rPr>
                              <w:color w:val="000000"/>
                            </w:rPr>
                          </w:pPr>
                          <w:r>
                            <w:rPr>
                              <w:color w:val="000000"/>
                            </w:rPr>
                            <w:t>– rekomenduotinas stebėjimo gręžinio įrengimo būdas yra kalamasis naudojant apsauginių vamzdžių koloną. Nerekomenduotina stebėjimo gręžinį įrengti filtrinės kolonos įsukimo būdu. Gręžimo metu negali būti naudojami plovimo skiediniai, galintys užteršti vandeningąjį sluoksnį;</w:t>
                          </w:r>
                        </w:p>
                        <w:p>
                          <w:pPr>
                            <w:widowControl w:val="0"/>
                            <w:suppressAutoHyphens/>
                            <w:ind w:firstLine="567"/>
                            <w:jc w:val="both"/>
                            <w:rPr>
                              <w:color w:val="000000"/>
                            </w:rPr>
                          </w:pPr>
                          <w:r>
                            <w:rPr>
                              <w:color w:val="000000"/>
                              <w:spacing w:val="-1"/>
                            </w:rPr>
                            <w:t>– stebėjimo gręžinių medžiagos (vamzdžiai ir filtrai) turi būti chemiškai inertiškos. Šios savybės turi būti pagrįstos atitinkama tvarka išduodamu medžiagos sertifikatu. Nesertifikuotas medžiagas stebėjimo gręžinių įrengimui naudoti draudžiama;</w:t>
                          </w:r>
                        </w:p>
                        <w:p>
                          <w:pPr>
                            <w:widowControl w:val="0"/>
                            <w:suppressAutoHyphens/>
                            <w:ind w:firstLine="567"/>
                            <w:jc w:val="both"/>
                            <w:rPr>
                              <w:color w:val="000000"/>
                            </w:rPr>
                          </w:pPr>
                          <w:r>
                            <w:rPr>
                              <w:color w:val="000000"/>
                            </w:rPr>
                            <w:t>– gręžinio vidinis skersmuo parenkamas, atsižvelgiant į gręžinyje atliekamų tyrimų rūšį ir planuojamas gręžinio aprobavimo procedūras. Siekiant sumažinti gręžinio hidraulinį inertiškumą, rekomenduotina mažinti gręžinio skersmenį;</w:t>
                          </w:r>
                        </w:p>
                        <w:p>
                          <w:pPr>
                            <w:widowControl w:val="0"/>
                            <w:suppressAutoHyphens/>
                            <w:ind w:firstLine="567"/>
                            <w:jc w:val="both"/>
                            <w:rPr>
                              <w:color w:val="000000"/>
                            </w:rPr>
                          </w:pPr>
                          <w:r>
                            <w:rPr>
                              <w:color w:val="000000"/>
                            </w:rPr>
                            <w:t>– stebėjimo gręžinio žiotys turi būti įrengtos taip, kad į gręžinį negalėtų pakliūti atsitiktinė tarša. Stacionaraus gręžinio žiotis tikslinga apgaubti specialiu, mechaniniam poveikiui atspariu gaubtu (galvute) ir aplink jį padaryti 0,3 m storio ir 0,5 m spindulio betoninį žiedą. Ant gręžinio gaubto turi būti užrašas, nurodantis gręžinio adresą;</w:t>
                          </w:r>
                        </w:p>
                        <w:p>
                          <w:pPr>
                            <w:widowControl w:val="0"/>
                            <w:suppressAutoHyphens/>
                            <w:ind w:firstLine="567"/>
                            <w:jc w:val="both"/>
                            <w:rPr>
                              <w:color w:val="000000"/>
                            </w:rPr>
                          </w:pPr>
                          <w:r>
                            <w:rPr>
                              <w:color w:val="000000"/>
                            </w:rPr>
                            <w:t>– įrengus stacionarų stebėjimo gręžinį, jis turi būti išvalytas ir hidrauliškai išbandytas. Dėl to atliekamas vandens išpumpavimas. Išsiurbimas tęsiamas iki tol, kol gręžinio vanduo išsivalo nuo nešmenų ir tampa skaidrus. Išsiurbimo metu išmatuojamas vandens debitas ir vandens lygio pažemėjimas. Baigus išpumpavimą, pamatuojamas vandens lygio atsistatymas. Laikinų stebėjimo gręžinių išbandymai atliekami pagal gręžinio tikslingumą.</w:t>
                          </w:r>
                        </w:p>
                      </w:sdtContent>
                    </w:sdt>
                  </w:sdtContent>
                </w:sdt>
              </w:sdtContent>
            </w:sdt>
            <w:sdt>
              <w:sdtPr>
                <w:alias w:val="5 pr. 7 p."/>
                <w:tag w:val="part_815d246fd5a0433a983c3b4ad80d9b47"/>
                <w:lock w:val="sdtLocked"/>
                <w:richText/>
              </w:sdtPr>
              <w:sdtContent>
                <w:p>
                  <w:pPr>
                    <w:widowControl w:val="0"/>
                    <w:suppressAutoHyphens/>
                    <w:ind w:firstLine="567"/>
                    <w:jc w:val="both"/>
                    <w:rPr>
                      <w:color w:val="000000"/>
                    </w:rPr>
                  </w:pPr>
                  <w:sdt>
                    <w:sdtPr>
                      <w:alias w:val="Numeris"/>
                      <w:tag w:val="nr_815d246fd5a0433a983c3b4ad80d9b47"/>
                      <w:lock w:val="sdtLocked"/>
                      <w:richText/>
                    </w:sdtPr>
                    <w:sdtContent>
                      <w:r>
                        <w:rPr>
                          <w:color w:val="000000"/>
                        </w:rPr>
                        <w:t>7</w:t>
                      </w:r>
                    </w:sdtContent>
                  </w:sdt>
                  <w:r>
                    <w:rPr>
                      <w:color w:val="000000"/>
                    </w:rPr>
                    <w:t>. Geofiziniai tyrimai naudotini preliminariam viršutinės litosferos dalies sluoksnių litologijos ir filtracinių savybių ištyrimui, kartiruojančių gręžinių vietos optimizavimui bei stacionariems laisvų NP sluoksnio storio grunte stebėjimams. Tinkamiausi metodai tie, kurių esmę sudaro aplinkos elektrinės varžos matavimas. Elektros varžos dydis priklauso nuo uolienos litologijos, vandeningumo ir užteršimo. Savo ruožtu jos išmatavimas leidžia nustatyti ir santykines minėtų rodiklių vertes. Antžeminiuose tyrimuose dažniausiai naudojamas vertikalaus elektrinio zondavimo (VEZ) metodas ir atskiros jo modifikacijos. Stebėjimai gręžiniuose atliekami stacionarių elektrodų (SE) pagalba. Tyrimo procedūros atliekamos pagal kiekvienam metodui skirtą instrukciją.</w:t>
                  </w:r>
                </w:p>
              </w:sdtContent>
            </w:sdt>
            <w:sdt>
              <w:sdtPr>
                <w:alias w:val="5 pr. 8 p."/>
                <w:tag w:val="part_1f85620f2c0e40cebb471fd69b8ab54f"/>
                <w:lock w:val="sdtLocked"/>
                <w:richText/>
              </w:sdtPr>
              <w:sdtContent>
                <w:p>
                  <w:pPr>
                    <w:widowControl w:val="0"/>
                    <w:suppressAutoHyphens/>
                    <w:ind w:firstLine="567"/>
                    <w:jc w:val="both"/>
                    <w:rPr>
                      <w:color w:val="000000"/>
                    </w:rPr>
                  </w:pPr>
                  <w:sdt>
                    <w:sdtPr>
                      <w:alias w:val="Numeris"/>
                      <w:tag w:val="nr_1f85620f2c0e40cebb471fd69b8ab54f"/>
                      <w:lock w:val="sdtLocked"/>
                      <w:richText/>
                    </w:sdtPr>
                    <w:sdtContent>
                      <w:r>
                        <w:rPr>
                          <w:color w:val="000000"/>
                        </w:rPr>
                        <w:t>8</w:t>
                      </w:r>
                    </w:sdtContent>
                  </w:sdt>
                  <w:r>
                    <w:rPr>
                      <w:color w:val="000000"/>
                    </w:rPr>
                    <w:t>. Vandens lygio ir laisvų NP sluoksnio storio matavimai paprastai atliekami stebėjimo gręžiniuose, šuliniuose ar atvirose kartiruojančių gręžinių gręžskylėse. Vandens lygis gali būti matuojamas mechaniniais, elektriniais, elektroniniais ar kitokio tipo prietaisais rankiniu ar automatiniu būdu. Laisvam NP sluoksniui išmatuoti naudojami specialūs matuokliai, fiksuojantys tiek NP, tiek vandens paviršių. Pagrindiniai reikalavimai yra taikomi matavimo tikslumui ir matavimo prietaiso švarai. Galima išmatavimo paklaida neturėtų būti didesnė kaip ±0,5 cm. Matuojant keliuose gręžiniuose, po kiekvieno matavimo matuoklio antgalį būtina švariai nuvalyti, o jeigu matuojamų gręžinių užteršimas stipriai skiriasi (pvz., vienuose gręžiniuose ant vandens paviršiaus yra laisvi NP, kituose jų nėra), tikslinga naudoti keletą matuoklių – vieną švariems gręžiniams, kitą užterštiems laisvais NP.</w:t>
                  </w:r>
                </w:p>
                <w:p>
                  <w:pPr>
                    <w:widowControl w:val="0"/>
                    <w:suppressAutoHyphens/>
                    <w:ind w:firstLine="567"/>
                    <w:jc w:val="both"/>
                    <w:rPr>
                      <w:color w:val="000000"/>
                    </w:rPr>
                  </w:pPr>
                  <w:r>
                    <w:rPr>
                      <w:color w:val="000000"/>
                    </w:rPr>
                    <w:t>Kuomet matavimai atliekami keliuose gręžiniuose, siekiant nustatyti gruntinio vandeningojo sluoksnio hidrodinaminę schemą, jie turi būti atliekami vienu metu. Taip pat matavimai turi būti atliekami nuo taško su žinomomis altitudėmis. Matavimo duomenys surašomi į objekto žurnalą.</w:t>
                  </w:r>
                </w:p>
              </w:sdtContent>
            </w:sdt>
            <w:sdt>
              <w:sdtPr>
                <w:alias w:val="5 pr. 9 p."/>
                <w:tag w:val="part_05de521ba60d46ec97f61fe8584305b6"/>
                <w:lock w:val="sdtLocked"/>
                <w:richText/>
              </w:sdtPr>
              <w:sdtContent>
                <w:p>
                  <w:pPr>
                    <w:widowControl w:val="0"/>
                    <w:suppressAutoHyphens/>
                    <w:ind w:firstLine="567"/>
                    <w:jc w:val="both"/>
                    <w:rPr>
                      <w:color w:val="000000"/>
                    </w:rPr>
                  </w:pPr>
                  <w:sdt>
                    <w:sdtPr>
                      <w:alias w:val="Numeris"/>
                      <w:tag w:val="nr_05de521ba60d46ec97f61fe8584305b6"/>
                      <w:lock w:val="sdtLocked"/>
                      <w:richText/>
                    </w:sdtPr>
                    <w:sdtContent>
                      <w:r>
                        <w:rPr>
                          <w:color w:val="000000"/>
                        </w:rPr>
                        <w:t>9</w:t>
                      </w:r>
                    </w:sdtContent>
                  </w:sdt>
                  <w:r>
                    <w:rPr>
                      <w:color w:val="000000"/>
                    </w:rPr>
                    <w:t xml:space="preserve">. Grunto mėginiai laboratoriniams tyrimams imami gręžinių gręžimo metu iš pakelto uolienos kerno. Mėginių kiekis </w:t>
                  </w:r>
                  <w:r>
                    <w:rPr>
                      <w:color w:val="000000"/>
                      <w:spacing w:val="-1"/>
                    </w:rPr>
                    <w:t>ir gylis parenkamas, atsižvelgiant į užteršimo būklę, gruntinio vandens lygį ir uolienų litologiją. Iš kiekvieno gręžinio mažiausiai turi būti imamas vienas mėginys, kuris turi būti imamas iš apatinės aeracijos zonos dalies, gulinčios ties gruntinio vandens paviršiumi, sluoksnio. Šioje dalyje paprastai vyksta į žemę susigėrusių NP kaupimasis, todėl iš čia paimtas mėginys reprezentuoja grunto maksimalaus užteršimo NP bei jų migracijos terpės filtracinio laidumo vertes. Esant aeracijos zonos užteršimui, mažiausiai vieną mėginį dar būtina paimti iš akivaizdžiai labiausiai užterštos aeracijos zonos dalies. Esant užteršimui nevienodos litologinės sudėties uolienose, tikslinga mėginius paimti iš kiekvieno litologinio sluoksnio, tačiau, pasirenkant jų ėmimo vietas, būtina laikytis aukščiau nurodytų prioritetų. Mėginiai, skirti užteršimo nustatymui, imami į hermetiškus, chemiškai inertiškus indus arba maišelius. Mėginių tara granuliometrinei analizei nereglamentuojama. Kiekvienam mėginiui pridedama etiketė, kurioje nurodomas objektas, gręžinio numeris, paėmimo gylis arba gylio intervalas ir paėmimo data.</w:t>
                  </w:r>
                </w:p>
              </w:sdtContent>
            </w:sdt>
            <w:sdt>
              <w:sdtPr>
                <w:alias w:val="5 pr. 10 p."/>
                <w:tag w:val="part_efa13977b35240e286798d731d692d11"/>
                <w:lock w:val="sdtLocked"/>
                <w:richText/>
              </w:sdtPr>
              <w:sdtContent>
                <w:p>
                  <w:pPr>
                    <w:widowControl w:val="0"/>
                    <w:suppressAutoHyphens/>
                    <w:ind w:firstLine="567"/>
                    <w:jc w:val="both"/>
                    <w:rPr>
                      <w:color w:val="000000"/>
                    </w:rPr>
                  </w:pPr>
                  <w:sdt>
                    <w:sdtPr>
                      <w:alias w:val="Numeris"/>
                      <w:tag w:val="nr_efa13977b35240e286798d731d692d11"/>
                      <w:lock w:val="sdtLocked"/>
                      <w:richText/>
                    </w:sdtPr>
                    <w:sdtContent>
                      <w:r>
                        <w:rPr>
                          <w:color w:val="000000"/>
                        </w:rPr>
                        <w:t>10</w:t>
                      </w:r>
                    </w:sdtContent>
                  </w:sdt>
                  <w:r>
                    <w:rPr>
                      <w:color w:val="000000"/>
                    </w:rPr>
                    <w:t>. Gruntinio vandens mėginiai imami, konservuojami ir gabenami laikantis tam skirtų reikalavimų. Siekiant eliminuoti pačiame gręžinio vandenyje ir priefiltrinėje zonoje atsirandančius vandens hidrocheminės būklės pokyčius, prieš imant mėginius būtina iš gręžinio išpumpuoti tam tikrą vandens tūrį. Paprastai ši sąlyga patikrinama pagal išpumpuojamo vandens pH stabilizaciją. Dėl to išpumpuojant vandenį periodiškai turi būti matuojamas jo pH. Priklausomai nuo vandeningo sluoksnio filtracinio laidumo minimaliai ši sąlyga tenkinama iš gręžinio išpumpavus ne mažiau kaip 1,5–3 gręžinyje esančio vandens stulpo tūrius. Mažesnis išpumpavimas reikalingas esant molingesniam gruntui ir atvirkščiai.</w:t>
                  </w:r>
                </w:p>
                <w:p>
                  <w:pPr>
                    <w:widowControl w:val="0"/>
                    <w:suppressAutoHyphens/>
                    <w:ind w:firstLine="567"/>
                    <w:jc w:val="both"/>
                    <w:rPr>
                      <w:color w:val="000000"/>
                    </w:rPr>
                  </w:pPr>
                  <w:r>
                    <w:rPr>
                      <w:color w:val="000000"/>
                    </w:rPr>
                    <w:t>Sudėtinga vandens mėginį paimti, kuomet gręžinyje ar šulinyje ant vandens paviršiaus yra susikaupęs skystų NP sluoksnis. Tokiu atveju išpumpavimas iš gręžinio turi būti atliekamas panardinus siurblį žemiau vandens dinaminio lygio, o pumpuojant reikia sekti, kad jis nenukristų žemiau siurblio. Pumpuoti reikia kuo mažesniu debitu, kad nebūtų NP emulgavimosi gręžinyje. Siurblys į gręžinį įleidžiamas taip, kad būtų išvengta jo užsiteršimo viršuje esančiais NP. Būdai, kaip tai padaryti, nereglamentuojami, tačiau jie turi būti pažymėti mėginių ėmimo protokole. Paprasčiausiai tai padaroma specialios polietileninės rankovės pagalba. Jeigu ant paimto mėginio paviršiaus nenusistovi NP plėvelė, laikoma, kad mėginys paimtas neteisingai.</w:t>
                  </w:r>
                </w:p>
                <w:p>
                  <w:pPr>
                    <w:widowControl w:val="0"/>
                    <w:suppressAutoHyphens/>
                    <w:ind w:firstLine="567"/>
                    <w:jc w:val="both"/>
                    <w:rPr>
                      <w:color w:val="000000"/>
                      <w:spacing w:val="-3"/>
                    </w:rPr>
                  </w:pPr>
                  <w:r>
                    <w:rPr>
                      <w:color w:val="000000"/>
                      <w:spacing w:val="-3"/>
                    </w:rPr>
                    <w:t>Nesiekiant didelio tikslumo, esant aprašytai užteršimo situacijai, galima vandens mėginį paimti ir semtuve. Šiuo atveju pasemtas vanduo supilamas į nusodinimo cilindrą ir laikomas tol, kol visiškai iš vandens išsidiferencijuos atskira NP fazė. Vandens mėginys iš cilindro paimamas per apatinį kranelį. Tokio būdo negalima naudoti, kai vanduo iš gręžinio išpumpuojamas siurbliu.</w:t>
                  </w:r>
                </w:p>
                <w:p>
                  <w:pPr>
                    <w:widowControl w:val="0"/>
                    <w:suppressAutoHyphens/>
                    <w:ind w:firstLine="567"/>
                    <w:jc w:val="both"/>
                    <w:rPr>
                      <w:color w:val="000000"/>
                    </w:rPr>
                  </w:pPr>
                  <w:r>
                    <w:rPr>
                      <w:color w:val="000000"/>
                      <w:spacing w:val="-3"/>
                    </w:rPr>
                    <w:t>Imant mėginius iš keleto gręžinių, kiekvieno jų vandens išpumpavimui turi būti naudojama atskira vandens pakėlimo įranga. Jeigu gręžiniai yra santykinai švarūs (skystų NP nėra), galima naudoti tą pačią vandens pakėlimo įrangą, tačiau, pereinant iš vieno gręžinio į kitą, įranga turi būti išplaunama švariu vandeniu. NP mėginiai paimami semtuve arba specialiu siurbliu.</w:t>
                  </w:r>
                </w:p>
              </w:sdtContent>
            </w:sdt>
            <w:sdt>
              <w:sdtPr>
                <w:alias w:val="5 pr. 11 p."/>
                <w:tag w:val="part_c8a5176e980041f9b3d85b1e9d86e61d"/>
                <w:lock w:val="sdtLocked"/>
                <w:richText/>
              </w:sdtPr>
              <w:sdtContent>
                <w:p>
                  <w:pPr>
                    <w:widowControl w:val="0"/>
                    <w:suppressAutoHyphens/>
                    <w:ind w:firstLine="567"/>
                    <w:jc w:val="both"/>
                    <w:rPr>
                      <w:color w:val="000000"/>
                    </w:rPr>
                  </w:pPr>
                  <w:sdt>
                    <w:sdtPr>
                      <w:alias w:val="Numeris"/>
                      <w:tag w:val="nr_c8a5176e980041f9b3d85b1e9d86e61d"/>
                      <w:lock w:val="sdtLocked"/>
                      <w:richText/>
                    </w:sdtPr>
                    <w:sdtContent>
                      <w:r>
                        <w:rPr>
                          <w:color w:val="000000"/>
                        </w:rPr>
                        <w:t>11</w:t>
                      </w:r>
                    </w:sdtContent>
                  </w:sdt>
                  <w:r>
                    <w:rPr>
                      <w:color w:val="000000"/>
                    </w:rPr>
                    <w:t>. Grunto filtracinių savybių tyrimai gali būti atliekami įvairiais tam skirtais metodais. Dažniausiai naudojami 2 metodai: 1) mechaninės sudėties tyrimas; 2) išpumpavimai iš gręžinių. Nustačius grunto mechaninę sudėtį, jo filtracijos koeficientas apskaičiuojamas tam tikslui pritaikytų empirinių formulių pagalba. Išpumpavimai ir filtracinių parametrų apskaičiavimai pagal jų duomenis atliekami taikant standartinius grafoanalitinius metodus.</w:t>
                  </w:r>
                </w:p>
              </w:sdtContent>
            </w:sdt>
            <w:sdt>
              <w:sdtPr>
                <w:alias w:val="5 pr. 12 p."/>
                <w:tag w:val="part_22df09d88710486099f64dce3b0aaa38"/>
                <w:lock w:val="sdtLocked"/>
                <w:richText/>
              </w:sdtPr>
              <w:sdtContent>
                <w:p>
                  <w:pPr>
                    <w:widowControl w:val="0"/>
                    <w:suppressAutoHyphens/>
                    <w:ind w:firstLine="567"/>
                    <w:jc w:val="both"/>
                    <w:rPr>
                      <w:color w:val="000000"/>
                    </w:rPr>
                  </w:pPr>
                  <w:sdt>
                    <w:sdtPr>
                      <w:alias w:val="Numeris"/>
                      <w:tag w:val="nr_22df09d88710486099f64dce3b0aaa38"/>
                      <w:lock w:val="sdtLocked"/>
                      <w:richText/>
                    </w:sdtPr>
                    <w:sdtContent>
                      <w:r>
                        <w:rPr>
                          <w:color w:val="000000"/>
                        </w:rPr>
                        <w:t>12</w:t>
                      </w:r>
                    </w:sdtContent>
                  </w:sdt>
                  <w:r>
                    <w:rPr>
                      <w:color w:val="000000"/>
                    </w:rPr>
                    <w:t>. Grunto užteršimas NP tiriamas nustatant angliavandenilių koncentraciją. Ji nustatoma atskirai kiekvienai normatyve limituojamai angliavandenilių grupei: benzino (C</w:t>
                  </w:r>
                  <w:r>
                    <w:rPr>
                      <w:color w:val="000000"/>
                      <w:vertAlign w:val="subscript"/>
                    </w:rPr>
                    <w:t>6</w:t>
                  </w:r>
                  <w:r>
                    <w:rPr>
                      <w:color w:val="000000"/>
                    </w:rPr>
                    <w:t>-C</w:t>
                  </w:r>
                  <w:r>
                    <w:rPr>
                      <w:color w:val="000000"/>
                      <w:vertAlign w:val="subscript"/>
                    </w:rPr>
                    <w:t>10</w:t>
                  </w:r>
                  <w:r>
                    <w:rPr>
                      <w:color w:val="000000"/>
                    </w:rPr>
                    <w:t>), dyzelino (C</w:t>
                  </w:r>
                  <w:r>
                    <w:rPr>
                      <w:color w:val="000000"/>
                      <w:vertAlign w:val="subscript"/>
                    </w:rPr>
                    <w:t>11</w:t>
                  </w:r>
                  <w:r>
                    <w:rPr>
                      <w:color w:val="000000"/>
                    </w:rPr>
                    <w:t>-C</w:t>
                  </w:r>
                  <w:r>
                    <w:rPr>
                      <w:color w:val="000000"/>
                      <w:vertAlign w:val="subscript"/>
                    </w:rPr>
                    <w:t>28</w:t>
                  </w:r>
                  <w:r>
                    <w:rPr>
                      <w:color w:val="000000"/>
                    </w:rPr>
                    <w:t>) ir sunkiųjų angliavandenilių (C</w:t>
                  </w:r>
                  <w:r>
                    <w:rPr>
                      <w:color w:val="000000"/>
                      <w:vertAlign w:val="subscript"/>
                    </w:rPr>
                    <w:t>29-</w:t>
                  </w:r>
                  <w:r>
                    <w:rPr>
                      <w:color w:val="000000"/>
                    </w:rPr>
                    <w:t>C</w:t>
                  </w:r>
                  <w:r>
                    <w:rPr>
                      <w:color w:val="000000"/>
                      <w:vertAlign w:val="subscript"/>
                    </w:rPr>
                    <w:t>40</w:t>
                  </w:r>
                  <w:r>
                    <w:rPr>
                      <w:color w:val="000000"/>
                    </w:rPr>
                    <w:t>). Jeigu nustatoma, kad užteršimas yra vienos rūšies, kituose mėginiuose galima tirti tik tos rūšies angliavandenilių grupę arba nustatyti bendrą NP kiekį. Tačiau kompleksiškai ištirti mėginiai turi sudaryti ne mažiau kaip 10 % bendro ištirtų mėginių kiekio. Visais atvejais, nežiūrint tiriamų mėginių kiekio, kompleksiškai turi būti ištirti mėginiai iš potencialaus teršimo židinio – aeracijos ir gruntinio vandens kapiliarinio pakilimo zonų. Frakcinė sudėtis turi būti tiriama tyrimo pradžioje.</w:t>
                  </w:r>
                </w:p>
                <w:p>
                  <w:pPr>
                    <w:widowControl w:val="0"/>
                    <w:suppressAutoHyphens/>
                    <w:ind w:firstLine="567"/>
                    <w:jc w:val="both"/>
                    <w:rPr>
                      <w:color w:val="000000"/>
                    </w:rPr>
                  </w:pPr>
                  <w:r>
                    <w:rPr>
                      <w:color w:val="000000"/>
                    </w:rPr>
                    <w:t>Frakcinė angliavandenilių sudėtis nustatoma chromatografiniu būdu ISO 9377-2:2000, ISO/TR 11046:1994(E) arba kitais ekvivalentiškais metodais. Bendras NP kiekis naudojamas preliminariems vertinimams ir gali būti nustatomas svorio arba kitais patvirtintais metodais. Esant žinomam užteršimo tipui, dyzelino ir sunkiųjų angliavandenilių frakcijų nustatymui be chromatografijos galima naudoti svorio ir kitus patvirtintus metodus. Benzino eilės angliavandenilius visais atvejais būtina nustatyti chromatografiškai.</w:t>
                  </w:r>
                </w:p>
                <w:p>
                  <w:pPr>
                    <w:widowControl w:val="0"/>
                    <w:suppressAutoHyphens/>
                    <w:ind w:firstLine="567"/>
                    <w:jc w:val="both"/>
                    <w:rPr>
                      <w:color w:val="000000"/>
                    </w:rPr>
                  </w:pPr>
                  <w:r>
                    <w:rPr>
                      <w:color w:val="000000"/>
                    </w:rPr>
                    <w:t>Gruntinio vandens užteršimas tiriamas nustatant analogiškus, kaip ir grunte, angliavandenilius ir ištiriant bendrąją cheminę vandens sudėtį. Pastarąją minimaliai rekomenduojama ištirti taršos arealo viršuje (prieš srautą), centrinėje dalyje, fronte ir užfrontinėje dalyje. Tyrimai atliekami standartiniais metodais.</w:t>
                  </w:r>
                </w:p>
                <w:p>
                  <w:pPr>
                    <w:widowControl w:val="0"/>
                    <w:suppressAutoHyphens/>
                    <w:ind w:firstLine="567"/>
                    <w:jc w:val="both"/>
                    <w:rPr>
                      <w:color w:val="000000"/>
                    </w:rPr>
                  </w:pPr>
                  <w:r>
                    <w:rPr>
                      <w:color w:val="000000"/>
                    </w:rPr>
                    <w:t>Angliavandenilių koncentracija nustatoma pagal analogišką tvarką, kaip ir atliekant grunto tyrimus, t.y. pirmiausia vandens užteršimas ištiriamas kompleksiškai pagal normatyve išskirtas frakcines grupes. Po to nustačius, kad tarša angliavandeniliais yra vienalytė, toliau tiriama diferencijuotai. Atskirų angliavandenilių grupių koncentracijos nustatymo metodai yra analogiški kaip ir grunto tyrimuose.</w:t>
                  </w:r>
                </w:p>
              </w:sdtContent>
            </w:sdt>
            <w:sdt>
              <w:sdtPr>
                <w:alias w:val="5 pr. 13 p."/>
                <w:tag w:val="part_d5aacf093ffc475593c40e6634b14d80"/>
                <w:lock w:val="sdtLocked"/>
                <w:richText/>
              </w:sdtPr>
              <w:sdtContent>
                <w:p>
                  <w:pPr>
                    <w:widowControl w:val="0"/>
                    <w:suppressAutoHyphens/>
                    <w:ind w:firstLine="567"/>
                    <w:jc w:val="both"/>
                    <w:rPr>
                      <w:color w:val="000000"/>
                    </w:rPr>
                  </w:pPr>
                  <w:sdt>
                    <w:sdtPr>
                      <w:alias w:val="Numeris"/>
                      <w:tag w:val="nr_d5aacf093ffc475593c40e6634b14d80"/>
                      <w:lock w:val="sdtLocked"/>
                      <w:richText/>
                    </w:sdtPr>
                    <w:sdtContent>
                      <w:r>
                        <w:rPr>
                          <w:color w:val="000000"/>
                        </w:rPr>
                        <w:t>13</w:t>
                      </w:r>
                    </w:sdtContent>
                  </w:sdt>
                  <w:r>
                    <w:rPr>
                      <w:i/>
                      <w:iCs/>
                      <w:color w:val="000000"/>
                    </w:rPr>
                    <w:t xml:space="preserve">. </w:t>
                  </w:r>
                  <w:r>
                    <w:rPr>
                      <w:color w:val="000000"/>
                    </w:rPr>
                    <w:t>NP cheminiai – fiziniai tyrimai.</w:t>
                  </w:r>
                  <w:r>
                    <w:rPr>
                      <w:i/>
                      <w:iCs/>
                      <w:color w:val="000000"/>
                    </w:rPr>
                    <w:t xml:space="preserve"> </w:t>
                  </w:r>
                  <w:r>
                    <w:rPr>
                      <w:color w:val="000000"/>
                    </w:rPr>
                    <w:t>Standartinių tyrimo uždavinių sprendimui pakanka nustatyti NP frakcinę sudėtį, tankį ir klampumą. Esant vienos rūšies užteršimui, minimaliai turi būti ištirtas vienas NP mėginys. Esant dideliam taršos arealui, rekomenduojama paimti ir ištirti mėginius iš taršos arealo epicentro ir frontinės dalies. Tai leis įvertinti NP sudėties jų filtracijos kelyje atsirandančius pokyčius. Paminėtų rodiklių tyrimai atliekami nustatytais standartiniais metodais.</w:t>
                  </w:r>
                </w:p>
              </w:sdtContent>
            </w:sdt>
            <w:sdt>
              <w:sdtPr>
                <w:alias w:val="5 pr. 14 p."/>
                <w:tag w:val="part_0e9b2ffa06754ff1aeea1e15a1e2ab9c"/>
                <w:lock w:val="sdtLocked"/>
                <w:richText/>
              </w:sdtPr>
              <w:sdtContent>
                <w:p>
                  <w:pPr>
                    <w:widowControl w:val="0"/>
                    <w:suppressAutoHyphens/>
                    <w:ind w:firstLine="567"/>
                    <w:jc w:val="both"/>
                    <w:rPr>
                      <w:color w:val="000000"/>
                    </w:rPr>
                  </w:pPr>
                  <w:sdt>
                    <w:sdtPr>
                      <w:alias w:val="Numeris"/>
                      <w:tag w:val="nr_0e9b2ffa06754ff1aeea1e15a1e2ab9c"/>
                      <w:lock w:val="sdtLocked"/>
                      <w:richText/>
                    </w:sdtPr>
                    <w:sdtContent>
                      <w:r>
                        <w:rPr>
                          <w:color w:val="000000"/>
                        </w:rPr>
                        <w:t>14</w:t>
                      </w:r>
                    </w:sdtContent>
                  </w:sdt>
                  <w:r>
                    <w:rPr>
                      <w:color w:val="000000"/>
                    </w:rPr>
                    <w:t>. Tyrimo taškų altitudžių ir koordinačių nustatymas. Tyrimo taškų altitudės ir koordinatės yra būtinos gruntinio vandeningojo sluoksnio hidrodinaminei schemai sudaryti, gruntinio vandens filtracijos greičiui, taršos arealo paplitimo plotui ir kt. apskaičiuoti. Altitudės ir koordinatės nustatomos visiems tyrimo taškams: gręžiniams, šuliniams, geofizinio tyrimo taškams ir kt. Tai atliekama standartiniais geodezijoje naudojamais metodais.</w:t>
                  </w:r>
                </w:p>
                <w:p>
                  <w:pPr>
                    <w:widowControl w:val="0"/>
                    <w:suppressAutoHyphens/>
                    <w:ind w:firstLine="567"/>
                    <w:jc w:val="both"/>
                    <w:rPr>
                      <w:color w:val="000000"/>
                    </w:rPr>
                  </w:pPr>
                </w:p>
              </w:sdtContent>
            </w:sdt>
          </w:sdtContent>
        </w:sdt>
        <w:sdt>
          <w:sdtPr>
            <w:alias w:val="skyrius"/>
            <w:tag w:val="part_a969e3ff3f794f8b8b4c653dc83c1447"/>
            <w:lock w:val="sdtLocked"/>
            <w:richText/>
          </w:sdtPr>
          <w:sdtContent>
            <w:p>
              <w:pPr>
                <w:widowControl w:val="0"/>
                <w:suppressAutoHyphens/>
                <w:jc w:val="center"/>
                <w:rPr>
                  <w:b/>
                  <w:bCs/>
                  <w:caps/>
                  <w:color w:val="000000"/>
                </w:rPr>
              </w:pPr>
              <w:sdt>
                <w:sdtPr>
                  <w:alias w:val="Numeris"/>
                  <w:tag w:val="nr_a969e3ff3f794f8b8b4c653dc83c1447"/>
                  <w:lock w:val="sdtLocked"/>
                  <w:richText/>
                </w:sdtPr>
                <w:sdtContent>
                  <w:r>
                    <w:rPr>
                      <w:b/>
                      <w:bCs/>
                      <w:caps/>
                      <w:color w:val="000000"/>
                    </w:rPr>
                    <w:t>III</w:t>
                  </w:r>
                </w:sdtContent>
              </w:sdt>
              <w:r>
                <w:rPr>
                  <w:b/>
                  <w:bCs/>
                  <w:caps/>
                  <w:color w:val="000000"/>
                </w:rPr>
                <w:t xml:space="preserve">. </w:t>
              </w:r>
              <w:sdt>
                <w:sdtPr>
                  <w:alias w:val="Pavadinimas"/>
                  <w:tag w:val="title_a969e3ff3f794f8b8b4c653dc83c1447"/>
                  <w:lock w:val="sdtLocked"/>
                  <w:richText/>
                </w:sdtPr>
                <w:sdtContent>
                  <w:r>
                    <w:rPr>
                      <w:b/>
                      <w:bCs/>
                      <w:caps/>
                      <w:color w:val="000000"/>
                    </w:rPr>
                    <w:t>TYRIMO TAŠKŲ PARINKIMAS</w:t>
                  </w:r>
                </w:sdtContent>
              </w:sdt>
            </w:p>
            <w:p>
              <w:pPr>
                <w:widowControl w:val="0"/>
                <w:suppressAutoHyphens/>
                <w:ind w:firstLine="567"/>
                <w:jc w:val="both"/>
                <w:rPr>
                  <w:color w:val="000000"/>
                </w:rPr>
              </w:pPr>
            </w:p>
            <w:sdt>
              <w:sdtPr>
                <w:alias w:val="5 pr. 15 p."/>
                <w:tag w:val="part_76885cf5b0c64c9eae9da91c42b93d2b"/>
                <w:lock w:val="sdtLocked"/>
                <w:richText/>
              </w:sdtPr>
              <w:sdtContent>
                <w:p>
                  <w:pPr>
                    <w:widowControl w:val="0"/>
                    <w:suppressAutoHyphens/>
                    <w:ind w:firstLine="567"/>
                    <w:jc w:val="both"/>
                    <w:rPr>
                      <w:color w:val="000000"/>
                    </w:rPr>
                  </w:pPr>
                  <w:sdt>
                    <w:sdtPr>
                      <w:alias w:val="Numeris"/>
                      <w:tag w:val="nr_76885cf5b0c64c9eae9da91c42b93d2b"/>
                      <w:lock w:val="sdtLocked"/>
                      <w:richText/>
                    </w:sdtPr>
                    <w:sdtContent>
                      <w:r>
                        <w:rPr>
                          <w:color w:val="000000"/>
                        </w:rPr>
                        <w:t>15</w:t>
                      </w:r>
                    </w:sdtContent>
                  </w:sdt>
                  <w:r>
                    <w:rPr>
                      <w:color w:val="000000"/>
                    </w:rPr>
                    <w:t>. Tyrimo detalumą bendruoju atveju apsprendžia tyrimo taškų kiekis santykiniame teritorijos ploto vienete. Tuo būdu vienas iš svarbiausių uždavinių yra teisingai parinkti reikiamų tyrimo taškų kiekį. Tačiau taip pat svarbu, kad tyrimo taškai atspindėtų tipingas vietas. Todėl antras svarbus uždavinys yra reprezentatyvus tyrimo taškų išdėstymas:</w:t>
                  </w:r>
                </w:p>
                <w:sdt>
                  <w:sdtPr>
                    <w:alias w:val="5 pr. 15.1 p."/>
                    <w:tag w:val="part_7435dbfdc329440eb8c2ba679545b663"/>
                    <w:lock w:val="sdtLocked"/>
                    <w:richText/>
                  </w:sdtPr>
                  <w:sdtContent>
                    <w:p>
                      <w:pPr>
                        <w:widowControl w:val="0"/>
                        <w:suppressAutoHyphens/>
                        <w:ind w:firstLine="567"/>
                        <w:jc w:val="both"/>
                        <w:rPr>
                          <w:color w:val="000000"/>
                        </w:rPr>
                      </w:pPr>
                      <w:sdt>
                        <w:sdtPr>
                          <w:alias w:val="Numeris"/>
                          <w:tag w:val="nr_7435dbfdc329440eb8c2ba679545b663"/>
                          <w:lock w:val="sdtLocked"/>
                          <w:richText/>
                        </w:sdtPr>
                        <w:sdtContent>
                          <w:r>
                            <w:rPr>
                              <w:color w:val="000000"/>
                              <w:spacing w:val="-1"/>
                            </w:rPr>
                            <w:t>15.1</w:t>
                          </w:r>
                        </w:sdtContent>
                      </w:sdt>
                      <w:r>
                        <w:rPr>
                          <w:color w:val="000000"/>
                          <w:spacing w:val="-1"/>
                        </w:rPr>
                        <w:t>. atliekant preliminarų tyrimą, tyrimo taškų kiekis nustatomas pagal tokius kriterijus:1) turimos faktinės medžiagos kiekį; 2) tiriamos teritorijos plotą; 3) potencialių taršos židinių kiekį; 4) menamą gruntinio vandens hidrodinaminę schemą.</w:t>
                      </w:r>
                    </w:p>
                    <w:p>
                      <w:pPr>
                        <w:widowControl w:val="0"/>
                        <w:suppressAutoHyphens/>
                        <w:ind w:firstLine="567"/>
                        <w:jc w:val="both"/>
                        <w:rPr>
                          <w:color w:val="000000"/>
                        </w:rPr>
                      </w:pPr>
                      <w:r>
                        <w:rPr>
                          <w:color w:val="000000"/>
                        </w:rPr>
                        <w:t>Pirmiausia plane sužymimos visos potencialiai taršios vietos ir nustatoma apytikslė šiose vietose gruntinio vandens tėkmės kryptis. Tėkmės kryptis nustatoma pagal reljefą bei vietovės hidrografinį tinklą. Jeigu pagal šiuos kriterijus gruntinio vandens tėkmės krypties nustatyti neįmanoma, ji nustatoma gręžinių pagalba. Dėl to gręžiami ne mažiau kaip 3 gręžiniai, kurie išdėstomi trikampiu. Šiuos gręžinius, esant galimybei, taip pat tikslinga išdėstyti potencialių taršos židinių vietose. Nustačius gruntinio vandens tėkmės kryptį, tyrimo taškai parenkami ties kiekvienu potencialiu taršos židiniu, jo epicentre arba šalia jo nutekančio gruntinio vandens srauto kryptimi. Priklausomai nuo potencialių taršos židinių ploto kiekvieno jų ištyrimui reikia 1–3 gręžinių;</w:t>
                      </w:r>
                    </w:p>
                  </w:sdtContent>
                </w:sdt>
                <w:sdt>
                  <w:sdtPr>
                    <w:alias w:val="5 pr. 15.2 p."/>
                    <w:tag w:val="part_bfd4bb006c8c453ea61a8487f05b176c"/>
                    <w:lock w:val="sdtLocked"/>
                    <w:richText/>
                  </w:sdtPr>
                  <w:sdtContent>
                    <w:p>
                      <w:pPr>
                        <w:widowControl w:val="0"/>
                        <w:suppressAutoHyphens/>
                        <w:ind w:firstLine="567"/>
                        <w:jc w:val="both"/>
                        <w:rPr>
                          <w:color w:val="000000"/>
                        </w:rPr>
                      </w:pPr>
                      <w:sdt>
                        <w:sdtPr>
                          <w:alias w:val="Numeris"/>
                          <w:tag w:val="nr_bfd4bb006c8c453ea61a8487f05b176c"/>
                          <w:lock w:val="sdtLocked"/>
                          <w:richText/>
                        </w:sdtPr>
                        <w:sdtContent>
                          <w:r>
                            <w:rPr>
                              <w:color w:val="000000"/>
                            </w:rPr>
                            <w:t>15.2</w:t>
                          </w:r>
                        </w:sdtContent>
                      </w:sdt>
                      <w:r>
                        <w:rPr>
                          <w:color w:val="000000"/>
                        </w:rPr>
                        <w:t xml:space="preserve">. atliekant detalų tyrimą, jau būna žinomos teritorijos geologinės-hidrogeologinės sąlygos, užterštos vietos ir apytiksliai taršos arealų kontūrai. Todėl tyrimo taškai koncentruojami tik užterštuose plotuose. Priklausomi nuo užterštos teritorijos geologinių-hidrogeologinių sąlygų vienalytiškumo, taip pat nuo užteršimo ploto tyrimo taškai gali būti išdėstomi dviem būdais: </w:t>
                      </w:r>
                      <w:r>
                        <w:rPr>
                          <w:b/>
                          <w:bCs/>
                          <w:color w:val="000000"/>
                        </w:rPr>
                        <w:t>1) linijomis ir 2)</w:t>
                      </w:r>
                      <w:r>
                        <w:rPr>
                          <w:color w:val="000000"/>
                        </w:rPr>
                        <w:t xml:space="preserve"> </w:t>
                      </w:r>
                      <w:r>
                        <w:rPr>
                          <w:b/>
                          <w:bCs/>
                          <w:color w:val="000000"/>
                        </w:rPr>
                        <w:t>šachmatine tvarka</w:t>
                      </w:r>
                      <w:r>
                        <w:rPr>
                          <w:color w:val="000000"/>
                        </w:rPr>
                        <w:t>.</w:t>
                      </w:r>
                    </w:p>
                    <w:p>
                      <w:pPr>
                        <w:widowControl w:val="0"/>
                        <w:suppressAutoHyphens/>
                        <w:ind w:firstLine="567"/>
                        <w:jc w:val="both"/>
                        <w:rPr>
                          <w:color w:val="000000"/>
                        </w:rPr>
                      </w:pPr>
                      <w:r>
                        <w:rPr>
                          <w:color w:val="000000"/>
                        </w:rPr>
                        <w:t>Gręžinių išdėstymo linijomis būdą tikslinga taikyti tuo atveju, kai užteršimo arealo plote yra vienalytės geologinės-hidrogeologinės sąlygos. Mažiausiai turi būti įrengiamos 2 gręžinių linijos: viena išilgai taršos arealo, kita skersai (jos turi eiti per taršos arealo epicentrą). Jeigu taršos arealas ilgesnis nei 100 m, rekomenduojama papildoma, einanti per taršos arealo frontą, skersinė gręžinių linija. Esant taršos arealui ilgesniam nei 200 m, skersines gręžinių linijas tikslinga išdėstyti ne rečiau kas 100 m ir taršos arealo tranzitinėje zonoje.</w:t>
                      </w:r>
                    </w:p>
                    <w:p>
                      <w:pPr>
                        <w:widowControl w:val="0"/>
                        <w:suppressAutoHyphens/>
                        <w:ind w:firstLine="567"/>
                        <w:jc w:val="both"/>
                        <w:rPr>
                          <w:color w:val="000000"/>
                        </w:rPr>
                      </w:pPr>
                      <w:r>
                        <w:rPr>
                          <w:color w:val="000000"/>
                        </w:rPr>
                        <w:t>Atstumas tarp gręžinių parenkamas atsižvelgiant į užteršimo lygį. Didesnis atstumas tarp gręžinių galimas taršos arealo viduje, mažesnis taršos arealo kraštuose ir ypač fronte. Gręžiniai turėtų būti išdėstyti tokiu atstumu, kad taršos arealo kontūro ribą būtų galima nustatyti ne mažesniu kaip 80% tikslumu. Tokiu būdu atstumas tarp dviejų paskutinių linijos gręžinių turi būti ne didesnis kaip penktadalis taršos arealo (kertamo šia linija) pločio.</w:t>
                      </w:r>
                    </w:p>
                    <w:p>
                      <w:pPr>
                        <w:widowControl w:val="0"/>
                        <w:suppressAutoHyphens/>
                        <w:ind w:firstLine="567"/>
                        <w:jc w:val="both"/>
                        <w:rPr>
                          <w:color w:val="000000"/>
                        </w:rPr>
                      </w:pPr>
                      <w:r>
                        <w:rPr>
                          <w:color w:val="000000"/>
                        </w:rPr>
                        <w:t>Gręžinių išdėstymas šachmatine tvarka naudojamas esant nevienalytėms geologinėms-hidrogeologinėms sąlygoms ir sporadiškam taršos arealo pasiskirstymui. Šiuo atveju taršos arealo kontūrų tikslumo nustatymui taikomi analogiški reikalavimai, kaip ir linijinio gręžinių išdėstymo atveju.</w:t>
                      </w:r>
                    </w:p>
                    <w:p>
                      <w:pPr>
                        <w:widowControl w:val="0"/>
                        <w:suppressAutoHyphens/>
                        <w:ind w:firstLine="567"/>
                        <w:jc w:val="both"/>
                        <w:rPr>
                          <w:color w:val="000000"/>
                        </w:rPr>
                      </w:pPr>
                    </w:p>
                  </w:sdtContent>
                </w:sdt>
              </w:sdtContent>
            </w:sdt>
          </w:sdtContent>
        </w:sdt>
        <w:sdt>
          <w:sdtPr>
            <w:alias w:val="skyrius"/>
            <w:tag w:val="part_add77ef752124fbe94586415794067ec"/>
            <w:lock w:val="sdtLocked"/>
            <w:richText/>
          </w:sdtPr>
          <w:sdtContent>
            <w:p>
              <w:pPr>
                <w:widowControl w:val="0"/>
                <w:suppressAutoHyphens/>
                <w:jc w:val="center"/>
                <w:rPr>
                  <w:b/>
                  <w:bCs/>
                  <w:caps/>
                  <w:color w:val="000000"/>
                </w:rPr>
              </w:pPr>
              <w:sdt>
                <w:sdtPr>
                  <w:alias w:val="Numeris"/>
                  <w:tag w:val="nr_add77ef752124fbe94586415794067ec"/>
                  <w:lock w:val="sdtLocked"/>
                  <w:richText/>
                </w:sdtPr>
                <w:sdtContent>
                  <w:r>
                    <w:rPr>
                      <w:b/>
                      <w:bCs/>
                      <w:caps/>
                      <w:color w:val="000000"/>
                    </w:rPr>
                    <w:t>IV</w:t>
                  </w:r>
                </w:sdtContent>
              </w:sdt>
              <w:r>
                <w:rPr>
                  <w:b/>
                  <w:bCs/>
                  <w:caps/>
                  <w:color w:val="000000"/>
                </w:rPr>
                <w:t xml:space="preserve">. </w:t>
              </w:r>
              <w:sdt>
                <w:sdtPr>
                  <w:alias w:val="Pavadinimas"/>
                  <w:tag w:val="title_add77ef752124fbe94586415794067ec"/>
                  <w:lock w:val="sdtLocked"/>
                  <w:richText/>
                </w:sdtPr>
                <w:sdtContent>
                  <w:r>
                    <w:rPr>
                      <w:b/>
                      <w:bCs/>
                      <w:caps/>
                      <w:color w:val="000000"/>
                    </w:rPr>
                    <w:t>TYRIMO DUOMENŲ APDOROJIMAS, ANALIZĖ IR PATEIKIMAS</w:t>
                  </w:r>
                </w:sdtContent>
              </w:sdt>
            </w:p>
            <w:p>
              <w:pPr>
                <w:widowControl w:val="0"/>
                <w:suppressAutoHyphens/>
                <w:ind w:firstLine="567"/>
                <w:jc w:val="both"/>
                <w:rPr>
                  <w:color w:val="000000"/>
                </w:rPr>
              </w:pPr>
            </w:p>
            <w:sdt>
              <w:sdtPr>
                <w:alias w:val="5 pr. 16 p."/>
                <w:tag w:val="part_010d04a6d7d5497ea6087a33cd48da52"/>
                <w:lock w:val="sdtLocked"/>
                <w:richText/>
              </w:sdtPr>
              <w:sdtContent>
                <w:p>
                  <w:pPr>
                    <w:widowControl w:val="0"/>
                    <w:suppressAutoHyphens/>
                    <w:ind w:firstLine="567"/>
                    <w:jc w:val="both"/>
                    <w:rPr>
                      <w:color w:val="000000"/>
                    </w:rPr>
                  </w:pPr>
                  <w:sdt>
                    <w:sdtPr>
                      <w:alias w:val="Numeris"/>
                      <w:tag w:val="nr_010d04a6d7d5497ea6087a33cd48da52"/>
                      <w:lock w:val="sdtLocked"/>
                      <w:richText/>
                    </w:sdtPr>
                    <w:sdtContent>
                      <w:r>
                        <w:rPr>
                          <w:color w:val="000000"/>
                        </w:rPr>
                        <w:t>16</w:t>
                      </w:r>
                    </w:sdtContent>
                  </w:sdt>
                  <w:r>
                    <w:rPr>
                      <w:color w:val="000000"/>
                    </w:rPr>
                    <w:t>. Atlikus tyrimus, rengiama tyrimo ataskaita. Joje turi būti pateikta:</w:t>
                  </w:r>
                </w:p>
                <w:sdt>
                  <w:sdtPr>
                    <w:alias w:val="5 pr. 16.1 p."/>
                    <w:tag w:val="part_30c7c393f17d414eb4572f55d3358696"/>
                    <w:lock w:val="sdtLocked"/>
                    <w:richText/>
                  </w:sdtPr>
                  <w:sdtContent>
                    <w:p>
                      <w:pPr>
                        <w:widowControl w:val="0"/>
                        <w:suppressAutoHyphens/>
                        <w:ind w:firstLine="567"/>
                        <w:jc w:val="both"/>
                        <w:rPr>
                          <w:color w:val="000000"/>
                        </w:rPr>
                      </w:pPr>
                      <w:sdt>
                        <w:sdtPr>
                          <w:alias w:val="Numeris"/>
                          <w:tag w:val="nr_30c7c393f17d414eb4572f55d3358696"/>
                          <w:lock w:val="sdtLocked"/>
                          <w:richText/>
                        </w:sdtPr>
                        <w:sdtContent>
                          <w:r>
                            <w:rPr>
                              <w:color w:val="000000"/>
                            </w:rPr>
                            <w:t>16.1</w:t>
                          </w:r>
                        </w:sdtContent>
                      </w:sdt>
                      <w:r>
                        <w:rPr>
                          <w:color w:val="000000"/>
                        </w:rPr>
                        <w:t>. atliktų tyrimų tikslai ir uždaviniai;</w:t>
                      </w:r>
                    </w:p>
                  </w:sdtContent>
                </w:sdt>
                <w:sdt>
                  <w:sdtPr>
                    <w:alias w:val="5 pr. 16.2 p."/>
                    <w:tag w:val="part_f612b1526b7741fa889edadd723fd1c8"/>
                    <w:lock w:val="sdtLocked"/>
                    <w:richText/>
                  </w:sdtPr>
                  <w:sdtContent>
                    <w:p>
                      <w:pPr>
                        <w:widowControl w:val="0"/>
                        <w:suppressAutoHyphens/>
                        <w:ind w:firstLine="567"/>
                        <w:jc w:val="both"/>
                        <w:rPr>
                          <w:color w:val="000000"/>
                        </w:rPr>
                      </w:pPr>
                      <w:sdt>
                        <w:sdtPr>
                          <w:alias w:val="Numeris"/>
                          <w:tag w:val="nr_f612b1526b7741fa889edadd723fd1c8"/>
                          <w:lock w:val="sdtLocked"/>
                          <w:richText/>
                        </w:sdtPr>
                        <w:sdtContent>
                          <w:r>
                            <w:rPr>
                              <w:color w:val="000000"/>
                            </w:rPr>
                            <w:t>16.2</w:t>
                          </w:r>
                        </w:sdtContent>
                      </w:sdt>
                      <w:r>
                        <w:rPr>
                          <w:color w:val="000000"/>
                        </w:rPr>
                        <w:t>. atliktų tyrimų apimtys ir metodika;</w:t>
                      </w:r>
                    </w:p>
                  </w:sdtContent>
                </w:sdt>
                <w:sdt>
                  <w:sdtPr>
                    <w:alias w:val="5 pr. 16.3 p."/>
                    <w:tag w:val="part_e547694b23014d888d64333abb69a84d"/>
                    <w:lock w:val="sdtLocked"/>
                    <w:richText/>
                  </w:sdtPr>
                  <w:sdtContent>
                    <w:p>
                      <w:pPr>
                        <w:widowControl w:val="0"/>
                        <w:suppressAutoHyphens/>
                        <w:ind w:firstLine="567"/>
                        <w:jc w:val="both"/>
                        <w:rPr>
                          <w:color w:val="000000"/>
                        </w:rPr>
                      </w:pPr>
                      <w:sdt>
                        <w:sdtPr>
                          <w:alias w:val="Numeris"/>
                          <w:tag w:val="nr_e547694b23014d888d64333abb69a84d"/>
                          <w:lock w:val="sdtLocked"/>
                          <w:richText/>
                        </w:sdtPr>
                        <w:sdtContent>
                          <w:r>
                            <w:rPr>
                              <w:color w:val="000000"/>
                            </w:rPr>
                            <w:t>16.3</w:t>
                          </w:r>
                        </w:sdtContent>
                      </w:sdt>
                      <w:r>
                        <w:rPr>
                          <w:color w:val="000000"/>
                        </w:rPr>
                        <w:t>. teritorijos technogeninė charakteristika;</w:t>
                      </w:r>
                    </w:p>
                  </w:sdtContent>
                </w:sdt>
                <w:sdt>
                  <w:sdtPr>
                    <w:alias w:val="5 pr. 16.4 p."/>
                    <w:tag w:val="part_f381063e8e21428ebb07f95b1fad90f6"/>
                    <w:lock w:val="sdtLocked"/>
                    <w:richText/>
                  </w:sdtPr>
                  <w:sdtContent>
                    <w:p>
                      <w:pPr>
                        <w:widowControl w:val="0"/>
                        <w:suppressAutoHyphens/>
                        <w:ind w:firstLine="567"/>
                        <w:jc w:val="both"/>
                        <w:rPr>
                          <w:color w:val="000000"/>
                        </w:rPr>
                      </w:pPr>
                      <w:sdt>
                        <w:sdtPr>
                          <w:alias w:val="Numeris"/>
                          <w:tag w:val="nr_f381063e8e21428ebb07f95b1fad90f6"/>
                          <w:lock w:val="sdtLocked"/>
                          <w:richText/>
                        </w:sdtPr>
                        <w:sdtContent>
                          <w:r>
                            <w:rPr>
                              <w:color w:val="000000"/>
                            </w:rPr>
                            <w:t>16.4</w:t>
                          </w:r>
                        </w:sdtContent>
                      </w:sdt>
                      <w:r>
                        <w:rPr>
                          <w:color w:val="000000"/>
                        </w:rPr>
                        <w:t>. geologinės – hidrogeologinės sąlygos;</w:t>
                      </w:r>
                    </w:p>
                  </w:sdtContent>
                </w:sdt>
                <w:sdt>
                  <w:sdtPr>
                    <w:alias w:val="5 pr. 16.5 p."/>
                    <w:tag w:val="part_ee1368afc9d1444ca295ff5f19c94ff3"/>
                    <w:lock w:val="sdtLocked"/>
                    <w:richText/>
                  </w:sdtPr>
                  <w:sdtContent>
                    <w:p>
                      <w:pPr>
                        <w:widowControl w:val="0"/>
                        <w:suppressAutoHyphens/>
                        <w:ind w:firstLine="567"/>
                        <w:jc w:val="both"/>
                        <w:rPr>
                          <w:color w:val="000000"/>
                        </w:rPr>
                      </w:pPr>
                      <w:sdt>
                        <w:sdtPr>
                          <w:alias w:val="Numeris"/>
                          <w:tag w:val="nr_ee1368afc9d1444ca295ff5f19c94ff3"/>
                          <w:lock w:val="sdtLocked"/>
                          <w:richText/>
                        </w:sdtPr>
                        <w:sdtContent>
                          <w:r>
                            <w:rPr>
                              <w:color w:val="000000"/>
                            </w:rPr>
                            <w:t>16.5</w:t>
                          </w:r>
                        </w:sdtContent>
                      </w:sdt>
                      <w:r>
                        <w:rPr>
                          <w:color w:val="000000"/>
                        </w:rPr>
                        <w:t>. grunto ir gruntinio vandens užteršimo NP būklė ir gruntinio vandens bendroji cheminė sudėtis;</w:t>
                      </w:r>
                    </w:p>
                  </w:sdtContent>
                </w:sdt>
                <w:sdt>
                  <w:sdtPr>
                    <w:alias w:val="5 pr. 16.6 p."/>
                    <w:tag w:val="part_6e1a42582af2406aa8573b57764f4a8e"/>
                    <w:lock w:val="sdtLocked"/>
                    <w:richText/>
                  </w:sdtPr>
                  <w:sdtContent>
                    <w:p>
                      <w:pPr>
                        <w:widowControl w:val="0"/>
                        <w:suppressAutoHyphens/>
                        <w:ind w:firstLine="567"/>
                        <w:jc w:val="both"/>
                        <w:rPr>
                          <w:color w:val="000000"/>
                        </w:rPr>
                      </w:pPr>
                      <w:sdt>
                        <w:sdtPr>
                          <w:alias w:val="Numeris"/>
                          <w:tag w:val="nr_6e1a42582af2406aa8573b57764f4a8e"/>
                          <w:lock w:val="sdtLocked"/>
                          <w:richText/>
                        </w:sdtPr>
                        <w:sdtContent>
                          <w:r>
                            <w:rPr>
                              <w:color w:val="000000"/>
                            </w:rPr>
                            <w:t>16.6</w:t>
                          </w:r>
                        </w:sdtContent>
                      </w:sdt>
                      <w:r>
                        <w:rPr>
                          <w:color w:val="000000"/>
                        </w:rPr>
                        <w:t>. tyrimo išvados ir rekomendacijos dėl užteršimo tvarkymo poreikio ir mastų (detalaus tyrimo atveju).</w:t>
                      </w:r>
                    </w:p>
                  </w:sdtContent>
                </w:sdt>
              </w:sdtContent>
            </w:sdt>
            <w:sdt>
              <w:sdtPr>
                <w:alias w:val="5 pr. 17 p."/>
                <w:tag w:val="part_394df2f76ece4a2eb9680d68c1c56112"/>
                <w:lock w:val="sdtLocked"/>
                <w:richText/>
              </w:sdtPr>
              <w:sdtContent>
                <w:p>
                  <w:pPr>
                    <w:widowControl w:val="0"/>
                    <w:suppressAutoHyphens/>
                    <w:ind w:firstLine="567"/>
                    <w:jc w:val="both"/>
                    <w:rPr>
                      <w:color w:val="000000"/>
                    </w:rPr>
                  </w:pPr>
                  <w:sdt>
                    <w:sdtPr>
                      <w:alias w:val="Numeris"/>
                      <w:tag w:val="nr_394df2f76ece4a2eb9680d68c1c56112"/>
                      <w:lock w:val="sdtLocked"/>
                      <w:richText/>
                    </w:sdtPr>
                    <w:sdtContent>
                      <w:r>
                        <w:rPr>
                          <w:color w:val="000000"/>
                        </w:rPr>
                        <w:t>17</w:t>
                      </w:r>
                    </w:sdtContent>
                  </w:sdt>
                  <w:r>
                    <w:rPr>
                      <w:color w:val="000000"/>
                    </w:rPr>
                    <w:t>. Apibūdinant tyrimų metodiką, turi būti pateiktas atliktų tyrimo procedūrų turinys ir jų atlikimo tvarka, pagrįstas pasirinktų tyrimo taškų kiekis ir jų išdėstymas, taip pat įvertintas atlikto tyrimo detalumas ir nustatytų taršos arealo erdvinių parametrų tikslumas.</w:t>
                  </w:r>
                </w:p>
              </w:sdtContent>
            </w:sdt>
            <w:sdt>
              <w:sdtPr>
                <w:alias w:val="5 pr. 18 p."/>
                <w:tag w:val="part_d9c90c1c28f9446984c09860dd2d3d7e"/>
                <w:lock w:val="sdtLocked"/>
                <w:richText/>
              </w:sdtPr>
              <w:sdtContent>
                <w:p>
                  <w:pPr>
                    <w:widowControl w:val="0"/>
                    <w:suppressAutoHyphens/>
                    <w:ind w:firstLine="567"/>
                    <w:jc w:val="both"/>
                    <w:rPr>
                      <w:color w:val="000000"/>
                    </w:rPr>
                  </w:pPr>
                  <w:sdt>
                    <w:sdtPr>
                      <w:alias w:val="Numeris"/>
                      <w:tag w:val="nr_d9c90c1c28f9446984c09860dd2d3d7e"/>
                      <w:lock w:val="sdtLocked"/>
                      <w:richText/>
                    </w:sdtPr>
                    <w:sdtContent>
                      <w:r>
                        <w:rPr>
                          <w:color w:val="000000"/>
                        </w:rPr>
                        <w:t>18</w:t>
                      </w:r>
                    </w:sdtContent>
                  </w:sdt>
                  <w:r>
                    <w:rPr>
                      <w:color w:val="000000"/>
                    </w:rPr>
                    <w:t>. Charakterizuojant teritorijos technogeninę būklę, reikia pateikti taršos židinių išsidėstymo schemą, nurodant jų tipą ir potencialias (toje vietoje naudojamas) teršiančias medžiagas, trumpai apibūdinti technologinį procesą ir teršalų patekimo į aplinką sąlygas. Be to, reikėtų pateikti duomenis apie objekto eksploatacijos trukmę ir laikotarpį.</w:t>
                  </w:r>
                </w:p>
              </w:sdtContent>
            </w:sdt>
            <w:sdt>
              <w:sdtPr>
                <w:alias w:val="5 pr. 19 p."/>
                <w:tag w:val="part_fe0663d9de0d43e1ae8870cc58a04617"/>
                <w:lock w:val="sdtLocked"/>
                <w:richText/>
              </w:sdtPr>
              <w:sdtContent>
                <w:p>
                  <w:pPr>
                    <w:widowControl w:val="0"/>
                    <w:suppressAutoHyphens/>
                    <w:ind w:firstLine="567"/>
                    <w:jc w:val="both"/>
                    <w:rPr>
                      <w:color w:val="000000"/>
                    </w:rPr>
                  </w:pPr>
                  <w:sdt>
                    <w:sdtPr>
                      <w:alias w:val="Numeris"/>
                      <w:tag w:val="nr_fe0663d9de0d43e1ae8870cc58a04617"/>
                      <w:lock w:val="sdtLocked"/>
                      <w:richText/>
                    </w:sdtPr>
                    <w:sdtContent>
                      <w:r>
                        <w:rPr>
                          <w:color w:val="000000"/>
                        </w:rPr>
                        <w:t>19</w:t>
                      </w:r>
                    </w:sdtContent>
                  </w:sdt>
                  <w:r>
                    <w:rPr>
                      <w:color w:val="000000"/>
                    </w:rPr>
                    <w:t>. Aprašant geologines-hidrogeologines sąlygas, reikia pateikti duomenis apie gruntų litologiją, filtracines savybes ir sluoksnių paplitimą. Taip pat būtina nurodyti gruntinio vandens slūgsojimo gylį ir filtracijos kryptį. Be to, turi būti pateikti teritorijos geologiniai-hidrogeologiniai pjūviai ir gruntinio vandeningojo sluoksnio hidrodinaminė schema.</w:t>
                  </w:r>
                </w:p>
              </w:sdtContent>
            </w:sdt>
            <w:sdt>
              <w:sdtPr>
                <w:alias w:val="5 pr. 20 p."/>
                <w:tag w:val="part_10bf4059ba6e40159a91a701ef4409f4"/>
                <w:lock w:val="sdtLocked"/>
                <w:richText/>
              </w:sdtPr>
              <w:sdtContent>
                <w:p>
                  <w:pPr>
                    <w:widowControl w:val="0"/>
                    <w:suppressAutoHyphens/>
                    <w:ind w:firstLine="567"/>
                    <w:jc w:val="both"/>
                    <w:rPr>
                      <w:color w:val="000000"/>
                    </w:rPr>
                  </w:pPr>
                  <w:sdt>
                    <w:sdtPr>
                      <w:alias w:val="Numeris"/>
                      <w:tag w:val="nr_10bf4059ba6e40159a91a701ef4409f4"/>
                      <w:lock w:val="sdtLocked"/>
                      <w:richText/>
                    </w:sdtPr>
                    <w:sdtContent>
                      <w:r>
                        <w:rPr>
                          <w:color w:val="000000"/>
                        </w:rPr>
                        <w:t>20</w:t>
                      </w:r>
                    </w:sdtContent>
                  </w:sdt>
                  <w:r>
                    <w:rPr>
                      <w:color w:val="000000"/>
                    </w:rPr>
                    <w:t>. Analizuojant grunto ir gruntinio vandens užteršimą, būtina pateikti duomenis apie užteršimo sudėtį, išskiriant benzino, dyzelino eilės ir sunkiuosius angliavandenilius. Taip pat reikia pateikti teršalų koncentraciją atskiruose taškuose ir jų pasiskirstymą pjūvyje bei plote. Užterštas gruntas ir gruntinis vanduo turi būti pažymėti geologiniuose pjūviuose. Juose taip pat būtina pažymėti laisvų NP sankaupas. Šių rodiklių pasiskirstymas turi būti pateiktas užteršimo schemoje. Atskirais atvejais hidrodinaminė ir užteršimo schemos gali būti sujungtos į vieną. Esant reikalui, grafoanalitiškai gali būti pateikta ir daugiau informacijos.</w:t>
                  </w:r>
                </w:p>
              </w:sdtContent>
            </w:sdt>
            <w:sdt>
              <w:sdtPr>
                <w:alias w:val="5 pr. 21 p."/>
                <w:tag w:val="part_2442023627154b7ba623c44a39f64bc0"/>
                <w:lock w:val="sdtLocked"/>
                <w:richText/>
              </w:sdtPr>
              <w:sdtContent>
                <w:p>
                  <w:pPr>
                    <w:widowControl w:val="0"/>
                    <w:suppressAutoHyphens/>
                    <w:ind w:firstLine="567"/>
                    <w:jc w:val="both"/>
                    <w:rPr>
                      <w:color w:val="000000"/>
                    </w:rPr>
                  </w:pPr>
                  <w:sdt>
                    <w:sdtPr>
                      <w:alias w:val="Numeris"/>
                      <w:tag w:val="nr_2442023627154b7ba623c44a39f64bc0"/>
                      <w:lock w:val="sdtLocked"/>
                      <w:richText/>
                    </w:sdtPr>
                    <w:sdtContent>
                      <w:r>
                        <w:rPr>
                          <w:color w:val="000000"/>
                        </w:rPr>
                        <w:t>21</w:t>
                      </w:r>
                    </w:sdtContent>
                  </w:sdt>
                  <w:r>
                    <w:rPr>
                      <w:color w:val="000000"/>
                    </w:rPr>
                    <w:t>. Nustatytą teritorijos užteršimą rekomenduojama įvertinti ir priskirti tam tikram užteršimo lygiui – žemo, vidutinio, aukšto ir labai aukšto.</w:t>
                  </w:r>
                </w:p>
                <w:p>
                  <w:pPr>
                    <w:widowControl w:val="0"/>
                    <w:suppressAutoHyphens/>
                    <w:ind w:firstLine="567"/>
                    <w:jc w:val="both"/>
                    <w:rPr>
                      <w:color w:val="000000"/>
                    </w:rPr>
                  </w:pPr>
                  <w:r>
                    <w:rPr>
                      <w:i/>
                      <w:iCs/>
                      <w:color w:val="000000"/>
                      <w:spacing w:val="-3"/>
                    </w:rPr>
                    <w:t>Žemas užterštumo lygis</w:t>
                  </w:r>
                  <w:r>
                    <w:rPr>
                      <w:color w:val="000000"/>
                      <w:spacing w:val="-3"/>
                    </w:rPr>
                    <w:t xml:space="preserve"> apibūdinamas situacija, kuomet visa tarša yra tik vertikalios migracijos zonos grunte, o jos koncentracija grunte yra sorbcinės gebos lygyje. Gruntinio vandens tarša yra jo nepasiekusi ir reikšmingais kiekiais nepasieks jo ateityje.</w:t>
                  </w:r>
                </w:p>
                <w:p>
                  <w:pPr>
                    <w:widowControl w:val="0"/>
                    <w:suppressAutoHyphens/>
                    <w:ind w:firstLine="567"/>
                    <w:jc w:val="both"/>
                    <w:rPr>
                      <w:color w:val="000000"/>
                    </w:rPr>
                  </w:pPr>
                  <w:r>
                    <w:rPr>
                      <w:i/>
                      <w:iCs/>
                      <w:color w:val="000000"/>
                    </w:rPr>
                    <w:t>Vidutinis užterštumo lygis</w:t>
                  </w:r>
                  <w:r>
                    <w:rPr>
                      <w:color w:val="000000"/>
                    </w:rPr>
                    <w:t xml:space="preserve"> yra tapatus situacijai, kuomet į žemę susigėrusių teršalų kiekis yra ekvivalentiškas visos aeracijos zonos sorbcinei gebai. Šiuo atveju teršalų vertikalios migracijos frontas adsorbuotame būvyje yra pasiekęs gruntinio vandens kapiliarinę zoną. Kontakto zonoje dalis adsorbuotų NP yra ištirpę vandenyje ir dėl difuzinio bei konvekcinio srauto pasklidę gruntiniame vandeningajame sluoksnyje.</w:t>
                  </w:r>
                </w:p>
                <w:p>
                  <w:pPr>
                    <w:widowControl w:val="0"/>
                    <w:suppressAutoHyphens/>
                    <w:ind w:firstLine="567"/>
                    <w:jc w:val="both"/>
                    <w:rPr>
                      <w:color w:val="000000"/>
                    </w:rPr>
                  </w:pPr>
                  <w:r>
                    <w:rPr>
                      <w:i/>
                      <w:iCs/>
                      <w:color w:val="000000"/>
                    </w:rPr>
                    <w:t>Aukštas užterštumo lygis</w:t>
                  </w:r>
                  <w:r>
                    <w:rPr>
                      <w:color w:val="000000"/>
                    </w:rPr>
                    <w:t xml:space="preserve"> rodo situaciją, kuomet kapiliarinę zoną yra pasiekęs didesnis teršalų kiekis nei gruntas gali adsorbuoti, ir jie yra paplitę gruntinio vandens paviršiuje toliau už teršimo epicentro ribų. Visas laisvame pavidale migravęs NP kiekis yra adsorbuotas migracijos kelyje ir taršos arealo plėtra sustojusi.</w:t>
                  </w:r>
                </w:p>
                <w:p>
                  <w:pPr>
                    <w:widowControl w:val="0"/>
                    <w:suppressAutoHyphens/>
                    <w:ind w:firstLine="567"/>
                    <w:jc w:val="both"/>
                    <w:rPr>
                      <w:color w:val="000000"/>
                    </w:rPr>
                  </w:pPr>
                  <w:r>
                    <w:rPr>
                      <w:i/>
                      <w:iCs/>
                      <w:color w:val="000000"/>
                    </w:rPr>
                    <w:t>Labai aukštas užterštumo lygis</w:t>
                  </w:r>
                  <w:r>
                    <w:rPr>
                      <w:color w:val="000000"/>
                    </w:rPr>
                    <w:t xml:space="preserve"> iš esmės atspindi aukštam lygiui priskirtą taršos arealo vystymosi stadiją pradiniame jos etape. Pagrindinis ją charakterizuojantis požymis yra laisvos NP fazės ant gruntinio vandens buvimas.</w:t>
                  </w:r>
                </w:p>
              </w:sdtContent>
            </w:sdt>
            <w:sdt>
              <w:sdtPr>
                <w:alias w:val="5 pr. 22 p."/>
                <w:tag w:val="part_38d554848f6c46a19d1d7f014e92477d"/>
                <w:lock w:val="sdtLocked"/>
                <w:richText/>
              </w:sdtPr>
              <w:sdtContent>
                <w:p>
                  <w:pPr>
                    <w:widowControl w:val="0"/>
                    <w:suppressAutoHyphens/>
                    <w:ind w:firstLine="567"/>
                    <w:jc w:val="both"/>
                    <w:rPr>
                      <w:color w:val="000000"/>
                    </w:rPr>
                  </w:pPr>
                  <w:sdt>
                    <w:sdtPr>
                      <w:alias w:val="Numeris"/>
                      <w:tag w:val="nr_38d554848f6c46a19d1d7f014e92477d"/>
                      <w:lock w:val="sdtLocked"/>
                      <w:richText/>
                    </w:sdtPr>
                    <w:sdtContent>
                      <w:r>
                        <w:rPr>
                          <w:color w:val="000000"/>
                        </w:rPr>
                        <w:t>22</w:t>
                      </w:r>
                    </w:sdtContent>
                  </w:sdt>
                  <w:r>
                    <w:rPr>
                      <w:color w:val="000000"/>
                    </w:rPr>
                    <w:t>. Tyrimo išvadose pateikiama apibendrinta technogeninės apkrovos, geologinių sąlygų ir užteršimo būklės situacija, nurodomas užteršimo tvarkymo poreikis ir mastai.</w:t>
                  </w:r>
                </w:p>
              </w:sdtContent>
            </w:sdt>
            <w:sdt>
              <w:sdtPr>
                <w:alias w:val="5 pr. 23 p."/>
                <w:tag w:val="part_285350895c184ea4a1d84b429a78fab6"/>
                <w:lock w:val="sdtLocked"/>
                <w:richText/>
              </w:sdtPr>
              <w:sdtContent>
                <w:p>
                  <w:pPr>
                    <w:widowControl w:val="0"/>
                    <w:suppressAutoHyphens/>
                    <w:ind w:firstLine="567"/>
                    <w:jc w:val="both"/>
                    <w:rPr>
                      <w:color w:val="000000"/>
                      <w:spacing w:val="-5"/>
                    </w:rPr>
                  </w:pPr>
                  <w:sdt>
                    <w:sdtPr>
                      <w:alias w:val="Numeris"/>
                      <w:tag w:val="nr_285350895c184ea4a1d84b429a78fab6"/>
                      <w:lock w:val="sdtLocked"/>
                      <w:richText/>
                    </w:sdtPr>
                    <w:sdtContent>
                      <w:r>
                        <w:rPr>
                          <w:color w:val="000000"/>
                          <w:spacing w:val="-5"/>
                        </w:rPr>
                        <w:t>23</w:t>
                      </w:r>
                    </w:sdtContent>
                  </w:sdt>
                  <w:r>
                    <w:rPr>
                      <w:color w:val="000000"/>
                      <w:spacing w:val="-5"/>
                    </w:rPr>
                    <w:t>. Ataskaitoje be teksto ir nurodytos grafoanalitinės medžiagos, kaip priedai, turi būti pateikta visa tyrimo faktinė medžiaga.</w:t>
                  </w:r>
                </w:p>
                <w:p>
                  <w:pPr>
                    <w:widowControl w:val="0"/>
                    <w:suppressAutoHyphens/>
                    <w:jc w:val="both"/>
                    <w:rPr>
                      <w:color w:val="000000"/>
                    </w:rPr>
                  </w:pPr>
                </w:p>
              </w:sdtContent>
            </w:sdt>
          </w:sdtContent>
        </w:sdt>
        <w:sdt>
          <w:sdtPr>
            <w:alias w:val="pabaiga"/>
            <w:tag w:val="part_9ee293b450914bc799c2232976355b77"/>
            <w:lock w:val="sdtLocked"/>
            <w:richText/>
          </w:sdtPr>
          <w:sdtContent>
            <w:p>
              <w:pPr>
                <w:widowControl w:val="0"/>
                <w:suppressAutoHyphens/>
                <w:jc w:val="center"/>
              </w:pPr>
              <w:r>
                <w:rPr>
                  <w:color w:val="000000"/>
                </w:rPr>
                <w:t>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51ccb60793611e8ae2bfd1913d66d57">
            <w:r w:rsidRPr="00532B9F">
              <w:rPr>
                <w:rFonts w:ascii="Times New Roman" w:eastAsia="MS Mincho" w:hAnsi="Times New Roman"/>
                <w:sz w:val="20"/>
                <w:iCs/>
                <w:color w:val="0000FF" w:themeColor="hyperlink"/>
                <w:u w:val="single"/>
              </w:rPr>
              <w:t>D1-556</w:t>
            </w:r>
          </w:fldSimple>
          <w:r>
            <w:rPr>
              <w:rFonts w:ascii="Times New Roman" w:eastAsia="MS Mincho" w:hAnsi="Times New Roman"/>
              <w:sz w:val="20"/>
              <w:iCs/>
            </w:rPr>
            <w:t>,
2018-06-22,
paskelbta TAR 2018-06-26, i. k. 2018-10502                </w:t>
          </w:r>
        </w:p>
        <w:p>
          <w:pPr>
            <w:jc w:val="both"/>
            <w:rPr>
              <w:rFonts w:ascii="Times New Roman" w:hAnsi="Times New Roman"/>
            </w:rPr>
          </w:pPr>
          <w:r>
            <w:rPr>
              <w:rFonts w:ascii="Times New Roman" w:hAnsi="Times New Roman"/>
              <w:sz w:val="20"/>
            </w:rPr>
            <w:t>Dėl Lietuvos Respublikos aplinkos ministro 2009 m. lapkričio 17 d. įsakymo Nr. D1-694 „Dėl Lietuvos Respublikos aplinkos apsaugos normatyvinio dokumento LAND 9-2009 „Naftos produktais užterštų teritorijų tvarkymo aplinkos apsaugos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047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51B531D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A497A19DF124"/>
  <Relationship Id="rId13" Type="http://schemas.openxmlformats.org/officeDocument/2006/relationships/hyperlink" TargetMode="External" Target="https://www.e-tar.lt/portal/lt/legalAct/TAR.3D555BF4BF16"/>
  <Relationship Id="rId14" Type="http://schemas.openxmlformats.org/officeDocument/2006/relationships/hyperlink" TargetMode="External" Target="https://www.e-tar.lt/portal/lt/legalAct/TAR.F6BF0759BD62"/>
  <Relationship Id="rId15" Type="http://schemas.openxmlformats.org/officeDocument/2006/relationships/hyperlink" TargetMode="External" Target="https://www.e-tar.lt/portal/lt/legalAct/TAR.84CF9F27446F"/>
  <Relationship Id="rId16" Type="http://schemas.openxmlformats.org/officeDocument/2006/relationships/hyperlink" TargetMode="External" Target="https://www.e-tar.lt/portal/lt/legalAct/TAR.247DAE8A3F57"/>
  <Relationship Id="rId17" Type="http://schemas.openxmlformats.org/officeDocument/2006/relationships/hyperlink" TargetMode="External" Target="https://www.e-tar.lt/portal/lt/legalAct/TAR.19594D985C82"/>
  <Relationship Id="rId18" Type="http://schemas.openxmlformats.org/officeDocument/2006/relationships/hyperlink" TargetMode="External" Target="https://www.e-tar.lt/portal/lt/legalAct/TAR.731E69EF9ECD"/>
  <Relationship Id="rId19" Type="http://schemas.openxmlformats.org/officeDocument/2006/relationships/header" Target="header1.xml"/>
  <Relationship Id="rId2" Type="http://schemas.openxmlformats.org/officeDocument/2006/relationships/fontTable" Target="fontTable.xml"/>
  <Relationship Id="rId20" Type="http://schemas.openxmlformats.org/officeDocument/2006/relationships/header" Target="header2.xml"/>
  <Relationship Id="rId21" Type="http://schemas.openxmlformats.org/officeDocument/2006/relationships/footer" Target="footer1.xml"/>
  <Relationship Id="rId22" Type="http://schemas.openxmlformats.org/officeDocument/2006/relationships/footer" Target="footer2.xml"/>
  <Relationship Id="rId23" Type="http://schemas.openxmlformats.org/officeDocument/2006/relationships/header" Target="header3.xml"/>
  <Relationship Id="rId24" Type="http://schemas.openxmlformats.org/officeDocument/2006/relationships/footer" Target="footer3.xml"/>
  <Relationship Id="rId25" Type="http://schemas.openxmlformats.org/officeDocument/2006/relationships/hyperlink" TargetMode="External" Target="https://www.e-tar.lt/portal/lt/legalAct/TAR.554EE563D95B"/>
  <Relationship Id="rId26" Type="http://schemas.openxmlformats.org/officeDocument/2006/relationships/hyperlink" TargetMode="External" Target="https://www.e-tar.lt/portal/lt/legalAct/TAR.438B30CE3969"/>
  <Relationship Id="rId27" Type="http://schemas.openxmlformats.org/officeDocument/2006/relationships/hyperlink" TargetMode="External" Target="https://www.e-tar.lt/portal/lt/legalAct/TAR.EFC89AA464F6"/>
  <Relationship Id="rId28" Type="http://schemas.openxmlformats.org/officeDocument/2006/relationships/hyperlink" TargetMode="External" Target="https://www.e-tar.lt/portal/lt/legalAct/TAR.633F92FEFFC9"/>
  <Relationship Id="rId29" Type="http://schemas.openxmlformats.org/officeDocument/2006/relationships/hyperlink" TargetMode="External" Target="https://www.e-tar.lt/portal/lt/legalAct/TAR.D7048734A661"/>
  <Relationship Id="rId3" Type="http://schemas.openxmlformats.org/officeDocument/2006/relationships/footnotes" Target="footnotes.xml"/>
  <Relationship Id="rId30" Type="http://schemas.openxmlformats.org/officeDocument/2006/relationships/hyperlink" TargetMode="External" Target="https://www.e-tar.lt/portal/lt/legalAct/TAR.BBD422BBD020"/>
  <Relationship Id="rId31" Type="http://schemas.openxmlformats.org/officeDocument/2006/relationships/hyperlink" TargetMode="External" Target="https://www.e-tar.lt/portal/lt/legalAct/TAR.91488566B8B2"/>
  <Relationship Id="rId32" Type="http://schemas.openxmlformats.org/officeDocument/2006/relationships/hyperlink" TargetMode="External" Target="https://www.e-tar.lt/portal/lt/legalAct/TAR.3CEFCE5151A2"/>
  <Relationship Id="rId33" Type="http://schemas.openxmlformats.org/officeDocument/2006/relationships/hyperlink" TargetMode="External" Target="https://www.e-tar.lt/portal/lt/legalAct/TAR.67B5099C5848"/>
  <Relationship Id="rId34" Type="http://schemas.openxmlformats.org/officeDocument/2006/relationships/hyperlink" TargetMode="External" Target="https://www.e-tar.lt/portal/lt/legalAct/TAR.78FAC7B20AD8"/>
  <Relationship Id="rId35" Type="http://schemas.openxmlformats.org/officeDocument/2006/relationships/image" Target="media/image3.wmf"/>
  <Relationship Id="rId36" Type="http://schemas.openxmlformats.org/officeDocument/2006/relationships/image" Target="media/image4.wmf"/>
  <Relationship Id="rId37" Type="http://schemas.openxmlformats.org/officeDocument/2006/relationships/image" Target="media/image5.wmf"/>
  <Relationship Id="rId38"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3632d65004dc1a1d33bfa8ccdfaeb" PartId="cae7cce98bf245de9695f725585492e9">
    <Part Type="preambule" DocPartId="ad5754792b9f421e89ead32e9e323781" PartId="e2af0b51399b49c1a6bca15dcdfd96e0"/>
    <Part Type="punktas" Nr="1" Abbr="1 p." DocPartId="48b6bbf2705e4560a11d7356e396c59d" PartId="a022923419404a9d8543d3d3953075eb"/>
    <Part Type="punktas" Nr="2" Abbr="2 p." DocPartId="c03d77d9409044dbbd200381f5033dc8" PartId="809855da11e8445b9757c8e3d29fd069"/>
    <Part Type="punktas" Nr="3" Abbr="3 p." DocPartId="1903aeb24d1145939c68d5840c0e274c" PartId="b7a6903ab4f841f2b94559792c8f54ec">
      <Part Type="punktas" Nr="3.1" Abbr="3.1 p." DocPartId="be5d9c30037342d5abfd8064df5cd99d" PartId="4dfedecde91e48f08a3b2e79aa8dfe28"/>
      <Part Type="punktas" Nr="3.2" Abbr="3.2 p." DocPartId="3561e128a8fa44cca58d047f59b5fe6a" PartId="614fd01be5bd46ce90a9a8fa67df7b47"/>
    </Part>
    <Part Type="signatura" DocPartId="76b702d5ff8749e0a2bd604a811afbac" PartId="bda6377a41cd45128af447bdce87844e"/>
  </Part>
  <Part Type="patvirtinta" Title="NAFTOS PRODUKTAIS UŽTERŠTŲ TERITORIJŲ TVARKYMO APLINKOS APSAUGOS REIKALAVIMAI LAND 9-2009" DocPartId="df4e7d10b861425495a469c4863492ed" PartId="082cf1d8b84b4073bad213212e2373ff">
    <Part Type="skyrius" Nr="1" Title="BENDROSIOS NUOSTATOS" DocPartId="08280ec946fe4f5581267c71a60d2bbe" PartId="5a210181cbcf4863a56d736edb868626">
      <Part Type="punktas" Nr="1" Abbr="1 p." DocPartId="0f13d1353a1d4695959611f77649d85b" PartId="653b271dfb144d609fbf67ad4a1fdaf8">
        <Part Type="punktas" Nr="1.1" Abbr="1.1 p." DocPartId="da91fe861e944386a835b2ba43a904db" PartId="10cb362b6de143b5a3ae641a05cf975b"/>
        <Part Type="punktas" Nr="1.2" Abbr="1.2 p." DocPartId="9c51838ffd3f4b72818047eefb51a85e" PartId="55940793e65146d98b20463b02b6428b"/>
        <Part Type="punktas" Nr="1.3" Abbr="1.3 p." DocPartId="2604fbba69c847839acc8ab1cf463fc0" PartId="dba36bebc1884aaf973b426035c1a76f"/>
        <Part Type="punktas" Nr="1.4" Abbr="1.4 p." DocPartId="54ae74ae36f54faf8ed68f140e7ee44e" PartId="4771756df6e542b89be41d9667d01fe8"/>
      </Part>
      <Part Type="punktas" Nr="2" Abbr="2 p." DocPartId="76b6fdcb6bbc42ffbfe5fe014947a3e0" PartId="3d8c15cda750456cb0be7202ba958332">
        <Part Type="punktas" Nr="2.1" Abbr="2.1 p." DocPartId="585b228b475d4d6f9f3b9b23ea28c5c9" PartId="618ea34e57c64eb091a08f1bf0196e8c"/>
        <Part Type="punktas" Nr="2.2" Abbr="2.2 p." DocPartId="3ecaeeb3a19a432d9e766cf72d9f531a" PartId="3ba1bf9d307c468bbb39a6808dca1797"/>
        <Part Type="punktas" Nr="2.3" Abbr="2.3 p." DocPartId="d8a42a2b7411485990fecc5ed1e8beb5" PartId="ab7d3bb5a1ef4354a60b162487983350"/>
        <Part Type="punktas" Nr="2.4" Abbr="2.4 p." DocPartId="8a3c2119c2bf416f94dcbcd03bcfc887" PartId="8d0a0358e6b44654865e27eead043a0f"/>
        <Part Type="punktas" Nr="2.5" Abbr="2.5 p." DocPartId="42784ef64e9d46a8a056c1c46c336a63" PartId="6fed73097b5b41f4bdb97dded6ab94c4"/>
      </Part>
      <Part Type="punktas" Nr="3" Abbr="3 p." DocPartId="93f9c8386b5840df82b0d1c307b85b37" PartId="4215ffd4fc3347e886af850500ac174b"/>
      <Part Type="punktas" Nr="4" Abbr="4 p." DocPartId="d69938d9158e4db495db4524c8df3698" PartId="cb4b98fe97a04cd481e862fc5132fc04"/>
      <Part Type="punktas" Nr="5" Abbr="5 p." DocPartId="25aeeefb1c45419aabfa1ed0ff313860" PartId="4c4f87bce4694c6d87f43bac48ed987f"/>
      <Part Type="punktas" Nr="6" Abbr="6 p." DocPartId="37b62d48bf3c4d48a0efd3e28ae8e600" PartId="8dca7632741f4c71b87bedf579aa5967">
        <Part Type="punktas" Nr="6.1" Abbr="6.1 p." DocPartId="6a955b849e0b401495f9cd1ccf3ba7f1" PartId="c21a2a18c0534730aabdaa0b097a007c"/>
        <Part Type="punktas" Nr="6.2" Abbr="6.2 p." DocPartId="f66240bfd9fd4d00a25cd9d0e6e03134" PartId="457d86aa06214fbf815ff70430770ce8"/>
        <Part Type="punktas" Nr="6.3" Abbr="6.3 p." DocPartId="6245171085164ebcb28b0b35f7656638" PartId="8aac00cdb6d64f70913eb08d1d7c9da0"/>
      </Part>
      <Part Type="punktas" Nr="7" Abbr="7 p." DocPartId="8010335b745a42aea183e79e4b2c4db5" PartId="e96ef282ec4e4441b1bc2404773db489"/>
      <Part Type="punktas" Nr="8" Abbr="8 p." DocPartId="f994a414015c4ae5b707ae13af416d67" PartId="cd6683ba373c488390bb199c43d7a4f6"/>
    </Part>
    <Part Type="skyrius" Nr="2" Title="PAGRINDINĖS SĄVOKOS" DocPartId="75bc11719007489a81107a063ba53933" PartId="df8a80198a184474a59a2d423f417b5a">
      <Part Type="punktas" Nr="9" Abbr="9 p." DocPartId="72c987696ef64284b8be867a7c6b5b66" PartId="a9929cb469d844cb93fb5d6a7d6a6485">
        <Part Type="punktas" Nr="9.1" Abbr="9.1 p." DocPartId="25c0c61bc628491eb4ca7c80de3d332c" PartId="029512b3f6db49d7919b0bb0942c5d0c"/>
        <Part Type="punktas" Nr="9.2" Abbr="9.2 p." DocPartId="f1de5c315fee40d4893763dad5e0d4d3" PartId="d92d00c9bcc54cb4acb274f634131889"/>
        <Part Type="punktas" Nr="9.3" Abbr="9.3 p." DocPartId="595218b6f75c4caf802a99e5455f0dbe" PartId="01f01510493d4ba093c256d5eebb9075"/>
        <Part Type="punktas" Nr="9.4" Abbr="9.4 p." DocPartId="6cf994728247493681bc3b16bd484aac" PartId="a9670133640f4898b757b27d7ea60c19"/>
        <Part Type="punktas" Nr="9.5" Abbr="9.5 p." DocPartId="273c91bc83f74cad89c04221618fdb1d" PartId="f83548daa89c46ec9151ee723a2c1b13"/>
        <Part Type="punktas" Nr="9.6" Abbr="9.6 p." DocPartId="04e86ac48a304d91b8c9ccb44efa5728" PartId="523d7d8865354ffaafc5f239ef7f98d3"/>
        <Part Type="punktas" Nr="9.7" Abbr="9.7 p." DocPartId="1d5ccaf66b65482192a0b05520c29ec8" PartId="408a87f182194991bd1aa4213ad2f17c"/>
        <Part Type="punktas" Nr="9.8" Abbr="9.8 p." DocPartId="a3468abeef5d404dbcc17e5c860e0797" PartId="de5f98ffbd4740908ad0797dc8716171"/>
        <Part Type="punktas" Nr="9.9" Abbr="9.9 p." DocPartId="75c7c22232874423953d4db4d2294ccb" PartId="a3b6da3a18814d9e9dde8be07b1c83eb"/>
        <Part Type="punktas" Nr="9.10" Abbr="9.10 p." DocPartId="c072924e5e1444b6bc35fd79551e82af" PartId="5720e322421a4007961414ad7f1adf95"/>
        <Part Type="punktas" Nr="9.11" Abbr="9.11 p." DocPartId="838c13b9d70e45d7b8721e84581c412a" PartId="ff11ec47dbe246039689bdc944ae2fd3"/>
        <Part Type="punktas" Nr="9.12" Abbr="9.12 p." DocPartId="a2ed61352d4547bca4e0389a04575a04" PartId="7335f521730040eb9aadfd93affeb952"/>
        <Part Type="punktas" Nr="9.13" Abbr="9.13 p." DocPartId="1adf530c93b548e79c358be744085081" PartId="c751381cc5fb4682aa77e62282f606d2"/>
        <Part Type="punktas" Nr="9.14" Abbr="9.14 p." DocPartId="778d74d6f1c04868beda2dfa97ea6bb9" PartId="89923146a4b24ca5ae881f44a2da8ee0"/>
        <Part Type="punktas" Nr="9.15" Abbr="9.15 p." DocPartId="d278cefd68864ce6b8d2d4f98a4630ec" PartId="cbafb708f2e545859f15dc8478ba1017"/>
        <Part Type="punktas" Nr="9.16" Abbr="9.16 p." DocPartId="225f6f504088422d8c435c1ec2b33bf2" PartId="e9532cabc41c4ca6a4adddf2a7459de4"/>
        <Part Type="punktas" Nr="9.17" Abbr="9.17 p." DocPartId="ecf4fed097b4435eb51210622de3c527" PartId="dc75ccc71a8c4e0284b471e7746475d4"/>
        <Part Type="punktas" Nr="9.18" Abbr="9.18 p." DocPartId="ebb589d3c5a74022876c2e645b556849" PartId="0c357b3ac66a4972a33d142500fe3c3a"/>
        <Part Type="punktas" Nr="9.19" Abbr="9.19 p." DocPartId="a545e57f3fbf48b296b1f18edb10c8aa" PartId="4918685892c74f73bd86c6a4722bb0e4"/>
        <Part Type="punktas" Nr="9.20" Abbr="9.20 p." DocPartId="98042a7c4ce546588411849d73cd5789" PartId="d896683aecc742fda39568f25abb57a0"/>
        <Part Type="punktas" Nr="9.21" Abbr="9.21 p." DocPartId="a8b1777bf6094f9c9080bde9029f2b34" PartId="97aa221774d741f69a98fac5b82a2520"/>
      </Part>
    </Part>
    <Part Type="skyrius" Nr="3" Title="DIDŽIAUSIOS LEIDŽIAMOS UŽTERŠIMO NAFTOS PRODUKTAIS RIBINĖS VERTĖS (RV)" DocPartId="0aaa853292914232a82701d0013ef82d" PartId="258b71e14de346fda2b58999621a8473">
      <Part Type="punktas" Nr="10" Abbr="10 p." DocPartId="bf1e8a0406764656a4aefda0fc81335f" PartId="f927164951ba48c7b25130540e109ef4"/>
      <Part Type="punktas" Nr="11" Abbr="11 p." DocPartId="a653893eeca24cc5b5cb798d8c1bf23a" PartId="ced20d7c120e4672a65bd7b4c7b3ddee">
        <Part Type="punktas" Nr="11.1" Abbr="11.1 p." DocPartId="397bc432e2284282a53cbd861109e08e" PartId="9828bfd7e60649229b92bf1f95d50677"/>
        <Part Type="punktas" Nr="11.2" Abbr="11.2 p." DocPartId="ed46c894f3b6445faedcbd43b4f178d5" PartId="7d67ec6842ab45a79dfef6e376ff9f30"/>
        <Part Type="punktas" Nr="11.3" Abbr="11.3 p." DocPartId="7157e8e9b8a54c84a3a79a2323975814" PartId="a722fa5bd7e44ff280d834129a967263"/>
        <Part Type="punktas" Nr="11.4" Abbr="11.4 p." DocPartId="290b4a15572c4f73a0f51c3d41fe5a1e" PartId="f8ed2c693eb64c5b8fd825519223d1e5"/>
        <Part Type="punktas" Nr="11.5" Abbr="11.5 p." DocPartId="50a5972d444e4a4ca1376153388d5035" PartId="a7bfa0d01d45449c9fd99bb13996177f"/>
      </Part>
      <Part Type="punktas" Nr="12" Abbr="12 p." DocPartId="c7c5c266020c473887c5ba50fc34319e" PartId="8ae7d494af5347c59d74ea3b3aa0c84e"/>
    </Part>
    <Part Type="skyrius" Nr="4" Title="NAFTOS PRODUKTAIS UŽTERŠTOS TERITORIJOS NUSTATYMAS, TYRIMAI IR VERTINIMAS" DocPartId="a02456d293d34b2cad0ffc0f8d6a2e44" PartId="8e6c623c865a4266b3f5f5b3d439347f">
      <Part Type="punktas" Nr="13" Abbr="13 p." DocPartId="13ffcdbd9d77477fb8c023cd9c735c52" PartId="9c075fabdc7043f396dad8480f1dd325"/>
      <Part Type="punktas" Nr="14" Abbr="14 p." DocPartId="40bff425a88a44e8bc5b232c122c9ff0" PartId="2d16bcef5a214f98ac7ad2acaf324faa"/>
      <Part Type="punktas" Nr="15" Abbr="15 p." DocPartId="8ea0f77ce4fc47399da9c8b5fa412ec7" PartId="9ec9744d51e74aafbe3887b85c21e6b0"/>
      <Part Type="punktas" Nr="16" Abbr="16 p." DocPartId="d2356ada5b854c318f5a8a391acea809" PartId="a0d682b7018444a79d225b66ad6d36b4"/>
      <Part Type="punktas" Nr="17" Abbr="17 p." DocPartId="1141aac30ecb4e588add2f25421dbb7b" PartId="8a80450ac02d4b369bf554898c2d8775"/>
      <Part Type="punktas" Nr="18" Abbr="18 p." DocPartId="bc9de5d4ef7249548bcb5f2d0d262478" PartId="a1e2e170f32948a884be4e80618d71cc"/>
      <Part Type="punktas" Nr="19" Abbr="19 p." DocPartId="2321da2405fd4be3bc2d66ae1fe75445" PartId="fdb68967536f4d9e8411c207a3cb8267"/>
      <Part Type="punktas" Nr="20" Abbr="20 p." DocPartId="aa73d0816f254c96a65b6e09608c13bf" PartId="58e3b0caf24742c28feb3a0c0ff7ddac"/>
      <Part Type="punktas" Nr="21" Abbr="21 p." DocPartId="96260bd0a3184dd7951356038b409d0a" PartId="e9d296e65854444884ce97a08a688ab9"/>
      <Part Type="punktas" Nr="22" Abbr="22 p." DocPartId="3f37de6721c14796a48b27e894f04ee0" PartId="dc398dd1eddc4e02a86b88a92c84f9fd"/>
      <Part Type="punktas" Nr="23" Abbr="23 p." DocPartId="64573ef291724d21955f8d1ed7547c0e" PartId="706a59ac4048491e8109ac5d16709a9b"/>
    </Part>
    <Part Type="skyrius" Nr="5" Title="REIKALAVIMAI NAFTOS PRODUKTAIS UŽTERŠTOS TERITORIJOS TVARKYMUI" DocPartId="4d34aee4348743bfb5c32bfa03d44a7b" PartId="8003498ec7cb4410b0ca6745e575e019">
      <Part Type="punktas" Nr="24" Abbr="24 p." DocPartId="ef5bb4b405eb4459a4739c7f3285ba55" PartId="95c32bacea3c46f5ade83e8bc58eeb6d">
        <Part Type="punktas" Nr="24.1" Abbr="24.1 p." DocPartId="1b015469a4ec4d60a2df093fd70bed2b" PartId="9d2c7f1b30b346008565c1185ebfb59b"/>
        <Part Type="punktas" Nr="24.2" Abbr="24.2 p." DocPartId="9203a8197bf64f858e2702f204b947cd" PartId="4fe24b9dd48042efa60235761082bb79"/>
      </Part>
      <Part Type="punktas" Nr="25" Abbr="25 p." DocPartId="50ea56789123403d92b73781a931cada" PartId="e6ce801d8c53454d9d50ede038afb991"/>
      <Part Type="punktas" Nr="26" Abbr="26 p." DocPartId="3c68686f70fb4845ab5e5f2d03061779" PartId="2835c2aaa9e94e04a6ea790adacb67d3"/>
      <Part Type="punktas" Nr="27" Abbr="27 p." DocPartId="fc6d701394dc4a419066104b6963fe1c" PartId="9eaeaf3d8b3b41c4bea8a4cd3b61584e"/>
      <Part Type="punktas" Nr="28" Abbr="28 p." DocPartId="8233925fd60a465bbf340990b0482840" PartId="99b8eb7ee57e4080b58b1f29fde94ad3"/>
      <Part Type="punktas" Nr="29" Abbr="29 p." DocPartId="212967a8dfe4494d8f85e56297524258" PartId="5fd618643dce42bfa0b7678db9e1ee36"/>
      <Part Type="punktas" Nr="30" Abbr="30 p." DocPartId="d3016f0ead864603bc4e215eb78098f6" PartId="ebb62c14d62d48ac8ef6230dbddb2445">
        <Part Type="punktas" Nr="30.1" Abbr="30.1 p." DocPartId="70179fd402904b24b40bca1bb4f093e1" PartId="4107f2182a3948dea68ad44d1428194b"/>
        <Part Type="punktas" Nr="30.2" Abbr="30.2 p." DocPartId="b854d0fa83534373a3eac32ba3c58098" PartId="4001c6c5e6634d78b7981a4ee14b35f7"/>
        <Part Type="punktas" Nr="30.3" Abbr="30.3 p." DocPartId="034be17df51e40e1b073e993f170403a" PartId="a08a284e06cd451980f9c6e4fe4ca6bb"/>
        <Part Type="punktas" Nr="30.4" Abbr="30.4 p." DocPartId="e937839abe5e47feaeb370db45f95733" PartId="9ad9a149fa81448487b1424ffd680f5d"/>
        <Part Type="punktas" Nr="30.5" Abbr="30.5 p." DocPartId="bd2a7f327384448380f8b6e09059dfb0" PartId="663745a099fe4146bda8f27445d2e7f4"/>
      </Part>
      <Part Type="punktas" Nr="31" Abbr="31 p." DocPartId="57e32e6ae72e436598ad4468635bfd7e" PartId="9c221d7674d94ba1969be34b4be6ee86"/>
      <Part Type="punktas" Nr="32" Abbr="32 p." DocPartId="2826e8e556bb4915879c0eda300c992f" PartId="3ad34bd0c9d5497eb525d86caf24177b"/>
      <Part Type="punktas" Nr="33" Abbr="33 p." DocPartId="b09eaab3cd7446a3981d587462a7c862" PartId="f5aec98bc6174da98c582d6771072da1"/>
      <Part Type="punktas" Nr="34" Abbr="34 p." DocPartId="cf267e73a5ae4b69b744d393986401c8" PartId="99551450a86f4207b996d3f02900f18e"/>
      <Part Type="punktas" Nr="35" Abbr="35 p." DocPartId="c7c9276a819a4bddb334d40047986300" PartId="eacd161da3e8444d908072c34dd36b63"/>
    </Part>
    <Part Type="skyrius" Nr="6" Title="REIKALAVIMAI UŽTERŠTOS TERITORIJOS TVARKYMO BAIGIAMAJAI ATASKAITAI" DocPartId="60290b06fd1046558ea78b4114c11ce0" PartId="5062404357334e53855a991256db3a75">
      <Part Type="punktas" Nr="36" Abbr="36 p." DocPartId="656bd1bc96e3402693af1e212e609852" PartId="c8965f676eed4e9b9aa433eda3e9389f">
        <Part Type="punktas" Nr="36.1" Abbr="36.1 p." DocPartId="0d38c3c56df144f8a915310920112fcb" PartId="a867afa23c4241e1bbfd797a5ce1726c"/>
        <Part Type="punktas" Nr="36.2" Abbr="36.2 p." DocPartId="2333fc0a6da1455f869c96ab198cf5a8" PartId="78f57b296b2646f19d14db903998def4"/>
        <Part Type="punktas" Nr="36.3" Abbr="36.3 p." DocPartId="baac6509a81b47d7adb6fe197821b8fb" PartId="33d269d9d7fe4246b9e131a4c6a2b54d"/>
        <Part Type="punktas" Nr="36.4" Abbr="36.4 p." DocPartId="7fd62c87f08744b5b9971594dd49ae16" PartId="76e8aa6704924044b5bc6ffe71450f23"/>
        <Part Type="punktas" Nr="36.5" Abbr="36.5 p." DocPartId="550f65f0eaaa461598d2d67019c59c68" PartId="6a06d29264bf47c28b7824562758da8f"/>
        <Part Type="punktas" Nr="36.6" Abbr="36.6 p." DocPartId="c913579b6aaa41b297c0d85b56a0a8b6" PartId="97a4fc581050403eae39020ef0eeffeb"/>
        <Part Type="punktas" Nr="36.7" Abbr="36.7 p." DocPartId="98f40d0ab57243d0851c891659a046da" PartId="713cd471c96e40c3a2edf6e0c0e5790e"/>
        <Part Type="punktas" Nr="36.8" Abbr="36.8 p." DocPartId="1864d89230954ee7aed1d81f8c58b960" PartId="95d5f4ff33164ec3a4750f50703b2b0e"/>
        <Part Type="punktas" Nr="36.9" Abbr="36.9 p." DocPartId="cca485f9b78a41b4a89993be5d403253" PartId="a28e1591b8304db3ab882b9a3ed8b958"/>
        <Part Type="punktas" Nr="36.10" Abbr="36.10 p." DocPartId="58d6e677f2ab4f9a999e6f8b68eb1d53" PartId="c96511a2d67d44b2890ec31d132a593e"/>
        <Part Type="punktas" Nr="36.11" Abbr="36.11 p." DocPartId="a9bdb8f1b5eb42afbed9214d3932d717" PartId="65f81f32f81b4d55b85edad9ef62b026"/>
        <Part Type="punktas" Nr="36.12" Abbr="36.12 p." DocPartId="a22077c8f6274cf986d5d0ad44170e8b" PartId="080cd09dbf9f4518a8d55fa9237bb240"/>
      </Part>
      <Part Type="punktas" Nr="37" Abbr="37 p." DocPartId="dde02c83ba4842eca972ae649fb36ab8" PartId="ea4c089aff0443f288c8e867604e0641"/>
      <Part Type="punktas" Nr="38" Abbr="38 p." DocPartId="0ba83e30d57e4c248546eb7a360ec122" PartId="da2c2e427c224ef399131e58878e886a"/>
      <Part Type="punktas" Nr="39" Abbr="39 p." DocPartId="2c3630e664b94ab3b0a7dcdb9b21c34c" PartId="4aa04addb6fd442787db4c7e0203a4ac"/>
    </Part>
    <Part Type="skyrius" Nr="7" Title="BAIGIAMOSIOS NUOSTATOS" DocPartId="b05266059bc1419d92ef8898060f43a2" PartId="8beeb1fc98974af48f11fc55c4eb1c70">
      <Part Type="punktas" Nr="40" Abbr="40 p." DocPartId="c8ac59ed25ae4b07bcc3348a5e03b862" PartId="ca00698d21764692abe8c0d9df118fc1"/>
      <Part Type="punktas" Nr="41" Abbr="41 p." DocPartId="73f0cda8733242168d4f3f12c0f1da69" PartId="568cfa79193b47adaf33c3ac4cd382e5"/>
      <Part Type="punktas" Nr="42" Abbr="42 p." DocPartId="918b8e420c6545e59c6003cce7f2b8b7" PartId="7af933f17219401fa2247aac7d75327d"/>
    </Part>
    <Part Type="pabaiga" DocPartId="94533e6314174892b2af78fecd57cf97" PartId="d9f9db790f0344b786723b8d369c7688"/>
  </Part>
  <Part Type="priedas" Nr="1" Abbr="1 pr." Title="MOLINIO GRUNTO UŽTERŠIMO ANGLIAVANDENILIAIS RIBINĖS VERTĖS" DocPartId="f304f72cf2a14b83b084f942907f1fae" PartId="f9b89276283940ada8a91f74c441478f">
    <Part Type="pabaiga" DocPartId="6fdaf0aae7804a44b6c931b4e1cc0897" PartId="9fab7845142b4efd8b37d99421a16231"/>
  </Part>
  <Part Type="priedas" Nr="2" Abbr="2 pr." Title="SMĖLINIO GRUNTO UŽTERŠIMO ANGLIAVANDENILIAIS RIBINĖS VERTĖS" DocPartId="2f0df94cf0ef4eddbef418827354694e" PartId="9b51da8e4d3c447fad461034b05d5373">
    <Part Type="pabaiga" DocPartId="2036cd90a11c40bda8749afb9c9b08d5" PartId="82292cb6f3c2416894a7de7cc631cd92"/>
  </Part>
  <Part Type="priedas" Nr="3" Abbr="3 pr." Title="POŽEMINIO VANDENS UŽTERŠIMO NAFTOS ANGLIAVANDENILIAIS RIBINĖS VERTĖS" DocPartId="e6cd570ac7e9451b805cee18a3bc04ab" PartId="0a365a75482349058803856ce0f582b6">
    <Part Type="pabaiga" DocPartId="4e6a6d6d18a34b099333ed65540c0cc7" PartId="ebd11f2e80884b748c14ce3c1a98c262"/>
  </Part>
  <Part Type="priedas" Nr="4" Abbr="4 pr." Title="NAFTOS ANGLIAVANDENILIŲ PATIKSLINTOS RIBINĖS VERTĖS (RVp) NUSTATYMAS GRUNTE IR POŽEMINIAME VANDENYJE" DocPartId="552e578e3a554a11b2793ad6696783e3" PartId="5bf4d798c4424784b3c6dacda32564d4">
    <Part Type="punktas" Nr="1" Abbr="4 pr. 1 p." DocPartId="5263532f82fc4d13acce078f204c9a75" PartId="1a6f2557dfd14b569a5b404a50cef79f"/>
    <Part Type="punktas" Nr="2" Abbr="4 pr. 2 p." DocPartId="883dc04ae1ed4078b13112ed3f622358" PartId="2dca3b2ed1284802a64ac511d6f02124"/>
    <Part Type="punktas" Nr="3" Abbr="4 pr. 3 p." DocPartId="49712579b9e241f4a75438c592d76dbc" PartId="8fc354558d094c7090280ef4c0c46473"/>
    <Part Type="punktas" Nr="4" Abbr="4 pr. 4 p." DocPartId="88e434ff956742d2bec78ecc30706534" PartId="b0cc3ef73a0a4f0487e24ae96cbefb85"/>
    <Part Type="pabaiga" DocPartId="56728f374c564bbfb3880d6281bbebc6" PartId="c9052721e27c497b9dd7bcededbb2897"/>
  </Part>
  <Part Type="priedas" Nr="5" Abbr="5 pr." Title="UŽTERŠIMO NAFTOS PRODUKTAIS TYRIMO METODINĖS REKOMENDACIJOS" DocPartId="9941d1629f394fb5a9bff91a9869043e" PartId="96e8cc7ba4024bdfae8719a421e88134">
    <Part Type="skyrius" Nr="1" Title="BENDRIEJI TYRIMO ORGANIZAVIMO PRINCIPAI" DocPartId="2ff2f5771eff4e6388ae21580ad5945b" PartId="314cfa8612484dbf8660320ae3730dd3">
      <Part Type="punktas" Nr="1" Abbr="5 pr. 1 p." DocPartId="0abeaf2d9fa846d2b2e96f9c5f0c7382" PartId="687be9d5c85a454daccca45219088d9c"/>
      <Part Type="punktas" Nr="2" Abbr="5 pr. 2 p." DocPartId="78ac62ff8848428796c65012ce95e41e" PartId="6b03af91f6c74d4b98c815b3288bd49f">
        <Part Type="punktas" Nr="2.1" Abbr="5 pr. 2.1 p." DocPartId="b82e2c2078c447ae93c1c99bfb0433f1" PartId="e7baa74cf2ac4e879e02e80d4fcbe4cb"/>
        <Part Type="punktas" Nr="2.2" Abbr="5 pr. 2.2 p." DocPartId="9c10ee0e149c42a98ea0bd480a8a692c" PartId="8af6f83f81c049f6be34e85d184a3e3a"/>
        <Part Type="punktas" Nr="2.3" Abbr="5 pr. 2.3 p." DocPartId="70e811de7d974d498be8ee78df31504d" PartId="8bf077b6e05043089911e33f6b7b6919"/>
        <Part Type="punktas" Nr="2.4" Abbr="5 pr. 2.4 p." DocPartId="d53e88be066044a89027ec18bc6c5d73" PartId="9ae9f801360e48ffa50711f6e0368d88"/>
        <Part Type="punktas" Nr="2.5" Abbr="5 pr. 2.5 p." DocPartId="86669a0de9cf44ffaa834c7c7ea80af0" PartId="cbd8128c7cd64b17bc9b1a4d93bbdae7"/>
        <Part Type="punktas" Nr="2.6" Abbr="5 pr. 2.6 p." DocPartId="8c4ac7822c0649dcb54695e9d7e1eb51" PartId="8d5bcb89c4524731aff044e31bbae07a"/>
      </Part>
      <Part Type="punktas" Nr="3" Abbr="5 pr. 3 p." DocPartId="be3e9ee806784091a45b74a578cc6caf" PartId="b2fe7647545f4ae498ef0aa1d5610aa3"/>
      <Part Type="punktas" Nr="4" Abbr="5 pr. 4 p." DocPartId="3e017514dc534166af1ade11c336d5c6" PartId="f056ab2a32254f09ad75b11e57347cf3"/>
    </Part>
    <Part Type="skyrius" Nr="2" Title="TYRIMO OPERACIJŲ TURINYS IR ATLIKIMO TVARKA" DocPartId="28af3fb85c5d4e3e86a892ba7cec6cfb" PartId="fae0beba0c104ee4965324b4d3cc6c79">
      <Part Type="punktas" Nr="5" Abbr="5 pr. 5 p." DocPartId="6d940694d9194337b6b46b7d52733f83" PartId="b0c55162f1ce4849b29b889281da2385">
        <Part Type="punktas" Nr="5.1" Abbr="5 pr. 5.1 p." DocPartId="dd3fee33c2604a56a5ada5bc5e2bff35" PartId="06160a98e8c04139a7f444017b36a3fb"/>
        <Part Type="punktas" Nr="5.2" Abbr="5 pr. 5.2 p." DocPartId="c62f1ffa56c94f84be05fc54889eba3a" PartId="6bead1e5bd57402191e7cbfaa2f64b88"/>
        <Part Type="punktas" Nr="5.3" Abbr="5 pr. 5.3 p." DocPartId="bcf3b3273054408d9c14947682f83ab5" PartId="e1db8c10545244ca84051d207f5701f9"/>
        <Part Type="punktas" Nr="5.4" Abbr="5 pr. 5.4 p." DocPartId="0a181bcf1e96493c921256de550c999f" PartId="2e2636fd5acd42d4b61f6bb78142e6e2"/>
        <Part Type="punktas" Nr="5.5" Abbr="5 pr. 5.5 p." DocPartId="00662fd9862d4bcc9d3938c6d644711d" PartId="77093c57905449a7b67d0c64ab50bedc"/>
        <Part Type="punktas" Nr="5.6" Abbr="5 pr. 5.6 p." DocPartId="c9ac7ac94f6949a28be9f2034931c537" PartId="f54219c0d1fa4d6796a1da9fe57cfa2b"/>
        <Part Type="punktas" Nr="5.7" Abbr="5 pr. 5.7 p." DocPartId="10c184fdf2514d1199cec2bf083d448e" PartId="acae57d969a04dde8d08122aa2eb8edc"/>
        <Part Type="punktas" Nr="5.8" Abbr="5 pr. 5.8 p." DocPartId="df54bf891dfa40fcbfee6d809acf371f" PartId="0e37d8c65a7b4c6c84ea3a34a537df35"/>
        <Part Type="punktas" Nr="5.9" Abbr="5 pr. 5.9 p." DocPartId="99bb153a84d44f3aaf066d6b160e6e9c" PartId="a61e5324f81947fcb3615741c7c4350b"/>
      </Part>
      <Part Type="punktas" Nr="6" Abbr="5 pr. 6 p." DocPartId="52cd454b620b49cc99071e0887bc9f33" PartId="136216182d1e449d856f31b73cf5adef">
        <Part Type="punktas" Nr="6.1" Abbr="5 pr. 6.1 p." DocPartId="c8913364ae7f43b0bd1086edf297d06c" PartId="1c0d891668cd4bf9891538e87c7027d5"/>
        <Part Type="punktas" Nr="6.2" Abbr="5 pr. 6.2 p." DocPartId="038dbaaea75f4b10a26d09bfe9236221" PartId="389e389fff934544a16a87d294092b89"/>
        <Part Type="punktas" Nr="6.3" Abbr="5 pr. 6.3 p." DocPartId="e8515f6962d4453d9abd5c4d5cab5310" PartId="33f1a463a43e4c619ed5f49e038584b6"/>
        <Part Type="punktas" Nr="6.4" Abbr="5 pr. 6.4 p." DocPartId="00deeefcd7034723b29965b229ab845b" PartId="c59991bfd1a94c95995e63cdebb6d630">
          <Part Type="punktas" Nr="6.4.1" Abbr="5 pr. 6.4.1 p." DocPartId="b8a84f3cba8f44ae9d3a5bcde2fdad14" PartId="3a4024fde3154c1aaebf665a1dd1664c"/>
          <Part Type="punktas" Nr="6.4.2" Abbr="5 pr. 6.4.2 p." DocPartId="3666376469e64ee09f8b73ff0541bab3" PartId="28b15ff7ed77467a869f915ca1d183c3"/>
          <Part Type="punktas" Nr="6.4.3" Abbr="5 pr. 6.4.3 p." DocPartId="7635a25a8bec47c8959a8ec8ec6e2613" PartId="14325f8d3be94cd9a140be20a14f5d43"/>
          <Part Type="punktas" Nr="6.4.4" Abbr="5 pr. 6.4.4 p." DocPartId="764b3ab8fbc442e4a7e4a685f4d139bd" PartId="af04db3ea2da4ef981f671811d7bd3b9"/>
          <Part Type="punktas" Nr="6.4.5" Abbr="5 pr. 6.4.5 p." DocPartId="eb427c2a78b4464b8d7dc351f139513e" PartId="5ca442119450477896f2f2df400b3fc2"/>
        </Part>
      </Part>
      <Part Type="punktas" Nr="7" Abbr="5 pr. 7 p." DocPartId="fb07a839b7884e7db69f33fb06a8c759" PartId="815d246fd5a0433a983c3b4ad80d9b47"/>
      <Part Type="punktas" Nr="8" Abbr="5 pr. 8 p." DocPartId="c787ba12fbf64538acd256d0871ceace" PartId="1f85620f2c0e40cebb471fd69b8ab54f"/>
      <Part Type="punktas" Nr="9" Abbr="5 pr. 9 p." DocPartId="088802f0cef54787993ceb577d209376" PartId="05de521ba60d46ec97f61fe8584305b6"/>
      <Part Type="punktas" Nr="10" Abbr="5 pr. 10 p." DocPartId="55d795b964b245c485a7bb4f920bce3f" PartId="efa13977b35240e286798d731d692d11"/>
      <Part Type="punktas" Nr="11" Abbr="5 pr. 11 p." DocPartId="b91e4345069243ca913914ef2c8243b8" PartId="c8a5176e980041f9b3d85b1e9d86e61d"/>
      <Part Type="punktas" Nr="12" Abbr="5 pr. 12 p." DocPartId="b59db07d2a48462fa1e703c6b1b588eb" PartId="22df09d88710486099f64dce3b0aaa38"/>
      <Part Type="punktas" Nr="13" Abbr="5 pr. 13 p." DocPartId="07dce9f6538c4368b625305c568578e4" PartId="d5aacf093ffc475593c40e6634b14d80"/>
      <Part Type="punktas" Nr="14" Abbr="5 pr. 14 p." DocPartId="44e1a344d9164ceb80bd9feeef9b230c" PartId="0e9b2ffa06754ff1aeea1e15a1e2ab9c"/>
    </Part>
    <Part Type="skyrius" Nr="3" Title="TYRIMO TAŠKŲ PARINKIMAS" DocPartId="4cd88ac38ea44155a541b947abe7ae77" PartId="a969e3ff3f794f8b8b4c653dc83c1447">
      <Part Type="punktas" Nr="15" Abbr="5 pr. 15 p." DocPartId="60349a00a48c43e7bf54b33dbab4d2d4" PartId="76885cf5b0c64c9eae9da91c42b93d2b">
        <Part Type="punktas" Nr="15.1" Abbr="5 pr. 15.1 p." DocPartId="f9797f9f90d34432ac35111b817e5522" PartId="7435dbfdc329440eb8c2ba679545b663"/>
        <Part Type="punktas" Nr="15.2" Abbr="5 pr. 15.2 p." DocPartId="1af252dbc1284756b578707b5f79f8a2" PartId="bfd4bb006c8c453ea61a8487f05b176c"/>
      </Part>
    </Part>
    <Part Type="skyrius" Nr="4" Title="TYRIMO DUOMENŲ APDOROJIMAS, ANALIZĖ IR PATEIKIMAS" DocPartId="65ca66b6a7914124a4e0287219f78ea5" PartId="add77ef752124fbe94586415794067ec">
      <Part Type="punktas" Nr="16" Abbr="5 pr. 16 p." DocPartId="e4470bfcdbc245a3ba5bec5310cd6d58" PartId="010d04a6d7d5497ea6087a33cd48da52">
        <Part Type="punktas" Nr="16.1" Abbr="5 pr. 16.1 p." DocPartId="de5acfd625c14498a520eee85f3c6c22" PartId="30c7c393f17d414eb4572f55d3358696"/>
        <Part Type="punktas" Nr="16.2" Abbr="5 pr. 16.2 p." DocPartId="51c1e08ecd9540d5893c5815ac21cb8f" PartId="f612b1526b7741fa889edadd723fd1c8"/>
        <Part Type="punktas" Nr="16.3" Abbr="5 pr. 16.3 p." DocPartId="b1b855aec68a4c67a7d7d86fec13f9c1" PartId="e547694b23014d888d64333abb69a84d"/>
        <Part Type="punktas" Nr="16.4" Abbr="5 pr. 16.4 p." DocPartId="6699b975d0c94bfb9f287e9e9c0a0587" PartId="f381063e8e21428ebb07f95b1fad90f6"/>
        <Part Type="punktas" Nr="16.5" Abbr="5 pr. 16.5 p." DocPartId="c6a816c37bf54e5595c215d51ba5bcfd" PartId="ee1368afc9d1444ca295ff5f19c94ff3"/>
        <Part Type="punktas" Nr="16.6" Abbr="5 pr. 16.6 p." DocPartId="fc4e936181574e32ab866f497bc711e4" PartId="6e1a42582af2406aa8573b57764f4a8e"/>
      </Part>
      <Part Type="punktas" Nr="17" Abbr="5 pr. 17 p." DocPartId="7f34b75bdeca456cb659b89f8438f879" PartId="394df2f76ece4a2eb9680d68c1c56112"/>
      <Part Type="punktas" Nr="18" Abbr="5 pr. 18 p." DocPartId="89a28dae9db34b56a79e99b04cb1f8f8" PartId="d9c90c1c28f9446984c09860dd2d3d7e"/>
      <Part Type="punktas" Nr="19" Abbr="5 pr. 19 p." DocPartId="61466226a93d4c27b63069560d0a35b4" PartId="fe0663d9de0d43e1ae8870cc58a04617"/>
      <Part Type="punktas" Nr="20" Abbr="5 pr. 20 p." DocPartId="ca744c4748634a04b847f560c538c027" PartId="10bf4059ba6e40159a91a701ef4409f4"/>
      <Part Type="punktas" Nr="21" Abbr="5 pr. 21 p." DocPartId="c3d32179c8384b5d92a3f5759690fdc5" PartId="2442023627154b7ba623c44a39f64bc0"/>
      <Part Type="punktas" Nr="22" Abbr="5 pr. 22 p." DocPartId="660f799b566b44e4a2e8711cbf8acd14" PartId="38d554848f6c46a19d1d7f014e92477d"/>
      <Part Type="punktas" Nr="23" Abbr="5 pr. 23 p." DocPartId="0cd6c45c4b6c4d76930176de64a38eb5" PartId="285350895c184ea4a1d84b429a78fab6"/>
    </Part>
    <Part Type="pabaiga" DocPartId="ab475ddc43834f3c9ff9900fb5e9578c" PartId="9ee293b450914bc799c2232976355b77"/>
  </Part>
</Parts>
</file>

<file path=customXml/itemProps1.xml><?xml version="1.0" encoding="utf-8"?>
<ds:datastoreItem xmlns:ds="http://schemas.openxmlformats.org/officeDocument/2006/customXml" ds:itemID="{CFE6ACB8-993E-4ECF-A191-A403DB96FB1F}">
  <ds:schemaRefs>
    <ds:schemaRef ds:uri="http://lrs.lt/TAIS/DocParts"/>
  </ds:schemaRefs>
</ds:datastoreItem>
</file>

<file path=docProps/app.xml><?xml version="1.0" encoding="utf-8"?>
<Properties xmlns="http://schemas.openxmlformats.org/officeDocument/2006/extended-properties">
  <Template>Normal.dotm</Template>
  <TotalTime>2</TotalTime>
  <Pages>24</Pages>
  <Words>44271</Words>
  <Characters>25236</Characters>
  <Application>Microsoft Office Word</Application>
  <DocSecurity>0</DocSecurity>
  <Lines>210</Lines>
  <Paragraphs>138</Paragraphs>
  <ScaleCrop>false</ScaleCrop>
  <Company>Teisines informacijos centras</Company>
  <LinksUpToDate>false</LinksUpToDate>
  <CharactersWithSpaces>69369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2015-09-14T02:20:00Z</dcterms:created>
  <dc:creator>Sandra</dc:creator>
  <lastModifiedBy>JUOSPONIENĖ Karolina</lastModifiedBy>
  <dcterms:modified xsi:type="dcterms:W3CDTF">2018-06-27T06:27:00Z</dcterms:modified>
  <revision>5</revision>
  <dc:title>LIETUVOS RESPUBLIKOS APLINKOS MINISTRO</dc:title>
</coreProperties>
</file>