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2027-01-01 iki 2030-12-31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16"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17"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18"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b7beaa444b294d84968ba6b95ded54e0"/>
                <w:lock w:val="sdtLocked"/>
                <w:richText/>
              </w:sdtPr>
              <w:sdtContent>
                <w:p>
                  <w:pPr>
                    <w:spacing w:line="360" w:lineRule="auto"/>
                    <w:ind w:firstLine="720"/>
                    <w:jc w:val="both"/>
                    <w:textAlignment w:val="baseline"/>
                    <w:rPr>
                      <w:szCs w:val="24"/>
                    </w:rPr>
                  </w:pPr>
                  <w:sdt>
                    <w:sdtPr>
                      <w:alias w:val="Numeris"/>
                      <w:tag w:val="nr_b7beaa444b294d84968ba6b95ded54e0"/>
                      <w:lock w:val="sdtLocked"/>
                      <w:richText/>
                    </w:sdtPr>
                    <w:sdtContent>
                      <w:r>
                        <w:rPr>
                          <w:b/>
                          <w:bCs/>
                          <w:color w:val="000000"/>
                          <w:szCs w:val="24"/>
                        </w:rPr>
                        <w:t>10</w:t>
                      </w:r>
                    </w:sdtContent>
                  </w:sdt>
                  <w:r>
                    <w:rPr>
                      <w:b/>
                      <w:bCs/>
                      <w:color w:val="000000"/>
                      <w:szCs w:val="24"/>
                    </w:rPr>
                    <w:t xml:space="preserve"> straipsnis. </w:t>
                  </w:r>
                  <w:sdt>
                    <w:sdtPr>
                      <w:alias w:val="Pavadinimas"/>
                      <w:tag w:val="title_b7beaa444b294d84968ba6b95ded54e0"/>
                      <w:lock w:val="sdtLocked"/>
                      <w:richText/>
                    </w:sdtPr>
                    <w:sdtContent>
                      <w:r>
                        <w:rPr>
                          <w:b/>
                          <w:bCs/>
                          <w:color w:val="000000"/>
                          <w:szCs w:val="24"/>
                        </w:rPr>
                        <w:t>Specialios išimtys orlaivių naudotojams</w:t>
                      </w:r>
                    </w:sdtContent>
                  </w:sdt>
                </w:p>
                <w:sdt>
                  <w:sdtPr>
                    <w:alias w:val="10 str. 1 d."/>
                    <w:tag w:val="part_b6fe6722e37f43e2b1fb52d1b15f12d2"/>
                    <w:lock w:val="sdtLocked"/>
                    <w:richText/>
                  </w:sdtPr>
                  <w:sdtContent>
                    <w:p>
                      <w:pPr>
                        <w:spacing w:line="360" w:lineRule="auto"/>
                        <w:ind w:firstLine="720"/>
                        <w:jc w:val="both"/>
                        <w:textAlignment w:val="baseline"/>
                        <w:rPr>
                          <w:color w:val="000000"/>
                          <w:szCs w:val="24"/>
                        </w:rPr>
                      </w:pPr>
                      <w:r>
                        <w:rPr>
                          <w:szCs w:val="24"/>
                        </w:rPr>
                        <w:t>Šio</w:t>
                      </w:r>
                      <w:r>
                        <w:rPr>
                          <w:color w:val="000000"/>
                          <w:szCs w:val="24"/>
                        </w:rPr>
                        <w:t xml:space="preserve"> įstatymo 6 straipsnio 2 ir 3 dalių reikalavimai netaikomi orlaivių naudotojų skrydžiams, kurie:</w:t>
                      </w:r>
                    </w:p>
                    <w:sdt>
                      <w:sdtPr>
                        <w:alias w:val="10 str. 1 d. 1 p."/>
                        <w:tag w:val="part_4b86131465f046c5b44366988908a43f"/>
                        <w:lock w:val="sdtLocked"/>
                        <w:richText/>
                      </w:sdtPr>
                      <w:sdtContent>
                        <w:p>
                          <w:pPr>
                            <w:spacing w:line="360" w:lineRule="auto"/>
                            <w:ind w:firstLine="720"/>
                            <w:jc w:val="both"/>
                            <w:textAlignment w:val="baseline"/>
                            <w:rPr>
                              <w:color w:val="000000"/>
                              <w:szCs w:val="24"/>
                            </w:rPr>
                          </w:pPr>
                          <w:sdt>
                            <w:sdtPr>
                              <w:alias w:val="Numeris"/>
                              <w:tag w:val="nr_4b86131465f046c5b44366988908a43f"/>
                              <w:lock w:val="sdtLocked"/>
                              <w:richText/>
                            </w:sdt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115"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116" w:tgtFrame="_blank" w:history="1">
                            <w:r>
                              <w:rPr>
                                <w:color w:val="0000FF" w:themeColor="hyperlink"/>
                                <w:szCs w:val="24"/>
                                <w:u w:val="single"/>
                              </w:rPr>
                              <w:t>2009/450/EB</w:t>
                            </w:r>
                          </w:hyperlink>
                          <w:r>
                            <w:rPr>
                              <w:color w:val="000000"/>
                              <w:szCs w:val="24"/>
                            </w:rPr>
                            <w:t xml:space="preserve"> dėl išsamaus Europos Parlamento ir Tarybos direktyvos </w:t>
                          </w:r>
                          <w:hyperlink r:id="rId117" w:tgtFrame="_blank" w:history="1">
                            <w:r>
                              <w:rPr>
                                <w:color w:val="0000FF" w:themeColor="hyperlink"/>
                                <w:szCs w:val="24"/>
                                <w:u w:val="single"/>
                              </w:rPr>
                              <w:t>2003/87/EB</w:t>
                            </w:r>
                          </w:hyperlink>
                          <w:r>
                            <w:rPr>
                              <w:color w:val="000000"/>
                              <w:szCs w:val="24"/>
                            </w:rPr>
                            <w:t xml:space="preserve"> I priede išvardytų aviacijos veiklos rūšių išaiškinimo;</w:t>
                          </w:r>
                        </w:p>
                      </w:sdtContent>
                    </w:sdt>
                    <w:sdt>
                      <w:sdtPr>
                        <w:alias w:val="10 str. 1 d. 2 p."/>
                        <w:tag w:val="part_9bdde41a53ef4cde8934889c5f98b73e"/>
                        <w:lock w:val="sdtLocked"/>
                        <w:richText/>
                      </w:sdtPr>
                      <w:sdtContent>
                        <w:p>
                          <w:pPr>
                            <w:spacing w:line="360" w:lineRule="auto"/>
                            <w:ind w:firstLine="720"/>
                            <w:jc w:val="both"/>
                            <w:textAlignment w:val="baseline"/>
                            <w:rPr>
                              <w:color w:val="000000"/>
                              <w:szCs w:val="24"/>
                            </w:rPr>
                          </w:pPr>
                          <w:sdt>
                            <w:sdtPr>
                              <w:alias w:val="Numeris"/>
                              <w:tag w:val="nr_9bdde41a53ef4cde8934889c5f98b73e"/>
                              <w:lock w:val="sdtLocked"/>
                              <w:richText/>
                            </w:sdtPr>
                            <w:sdtContent>
                              <w:r>
                                <w:rPr>
                                  <w:color w:val="000000"/>
                                  <w:szCs w:val="24"/>
                                </w:rPr>
                                <w:t>2</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pačiame atokiausiame regione ar kitame atokiausiame regione;</w:t>
                          </w:r>
                        </w:p>
                      </w:sdtContent>
                    </w:sdt>
                    <w:sdt>
                      <w:sdtPr>
                        <w:alias w:val="10 str. 1 d. 3 p."/>
                        <w:tag w:val="part_31d95a305b364bd6ad004dc45dfbaa33"/>
                        <w:lock w:val="sdtLocked"/>
                        <w:richText/>
                      </w:sdtPr>
                      <w:sdtContent>
                        <w:p>
                          <w:pPr>
                            <w:suppressAutoHyphens/>
                            <w:spacing w:line="360" w:lineRule="auto"/>
                            <w:ind w:firstLine="720"/>
                            <w:jc w:val="both"/>
                            <w:textAlignment w:val="baseline"/>
                            <w:rPr>
                              <w:color w:val="000000"/>
                              <w:szCs w:val="24"/>
                            </w:rPr>
                          </w:pPr>
                          <w:sdt>
                            <w:sdtPr>
                              <w:alias w:val="Numeris"/>
                              <w:tag w:val="nr_31d95a305b364bd6ad004dc45dfbaa33"/>
                              <w:lock w:val="sdtLocked"/>
                              <w:richText/>
                            </w:sdtPr>
                            <w:sdtContent>
                              <w:r>
                                <w:rPr>
                                  <w:szCs w:val="24"/>
                                </w:rPr>
                                <w:t>3</w:t>
                              </w:r>
                            </w:sdtContent>
                          </w:sdt>
                          <w:r>
                            <w:rPr>
                              <w:szCs w:val="24"/>
                            </w:rPr>
                            <w:t xml:space="preserve">) vykdomi į Jungtinių Tautų apibrėžtas mažiausiai išsivysčiusias šalis, mažas besivystančias salų valstybes ir iš jų, išskyrus Europos Komisijos įgyvendinimo reglamente dėl valstybių, kurios Europos Parlamento ir Tarybos direktyvos </w:t>
                          </w:r>
                          <w:hyperlink r:id="rId118" w:tgtFrame="_blank" w:history="1">
                            <w:r>
                              <w:rPr>
                                <w:color w:val="0000FF" w:themeColor="hyperlink"/>
                                <w:szCs w:val="24"/>
                                <w:u w:val="single"/>
                              </w:rPr>
                              <w:t>2003/87/EB</w:t>
                            </w:r>
                          </w:hyperlink>
                          <w:r>
                            <w:rPr>
                              <w:szCs w:val="24"/>
                            </w:rPr>
                            <w:t xml:space="preserve"> taikymo tikslais laikomos taikančiomis Tarptautinės civilinės aviacijos organizacijos pasaulinę rinkos priemonę (CORSIA), sąrašo išvardytas šalis ir valstybes, kurių bendrasis vidaus produktas (BVP) vienam gyventojui yra lygus Europos Sąjungos vidurkiui arba už jį didesnis.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19"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0"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1"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5143abc0680147088380b152436e37ba"/>
                    <w:lock w:val="sdtLocked"/>
                    <w:richText/>
                  </w:sdtPr>
                  <w:sdtContent>
                    <w:p>
                      <w:pPr>
                        <w:suppressAutoHyphens/>
                        <w:spacing w:line="360" w:lineRule="auto"/>
                        <w:ind w:firstLine="720"/>
                        <w:jc w:val="both"/>
                        <w:textAlignment w:val="baseline"/>
                        <w:rPr>
                          <w:color w:val="000000"/>
                          <w:szCs w:val="24"/>
                        </w:rPr>
                      </w:pPr>
                      <w:sdt>
                        <w:sdtPr>
                          <w:alias w:val="Numeris"/>
                          <w:tag w:val="nr_5143abc0680147088380b152436e37ba"/>
                          <w:lock w:val="sdtLocked"/>
                          <w:richText/>
                        </w:sdt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nepatenkančioms į šio įstatymo 2 priede nurodytų veiklos rūšių sąrašą, išmestų ŠESD kiekį. Kai galutiniams kuro vartotojams vykdant veiklas, nepatenkančias į šio įstatymo 2 priedo veiklos rūšių sąrašą, padaromos išlaidos, kurios jiems perkeliamos dėl reguliuojamųjų subjektų atsisakymo apyvartinių taršos leidimų už dėl šio įstatymo 2 priede nurodytoms veikloms išleisto kuro išmetamų ŠESD kiekį, gali būti suteikiama finansinė kompensacija pagal Europos Komisijos priimtus įgyvendinimo aktus dėl išsamių taisyklių, kaip išvengti dvigubo skaičiavimo ir apyvartinių taršos leidimų už išmetamas ŠESD, kurioms šis straipsnis netaikomas, atsisakymo ir dėl finansinės kompensacijos galutiniams kuro vartotojams, kai tokio dvigubo skaičiavimo arba apyvartinių taršos leidimų atsisakymo negalima išvengti. Siekiant išvengti išlaidų perkėlimo rizikos, reguliuojamieji subjektai privalo nustatyti, patikimai ir tiksliai dokumentuoti kiekvienos rūšies išleidžiamo vartoti kuro, naudojamo šio įstatymo 2 priede nurodytoms veikloms, tikslius kiekius, išleidimo būdus ir išleidžiamo vartoti kuro galutinę paskirtį.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2"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23"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24" w:tgtFrame="_blank" w:history="1">
                        <w:r>
                          <w:rPr>
                            <w:color w:val="0000FF" w:themeColor="hyperlink"/>
                            <w:szCs w:val="24"/>
                            <w:u w:val="single"/>
                            <w:lang w:eastAsia="lt-LT"/>
                          </w:rPr>
                          <w:t>(ES) 2018/842</w:t>
                        </w:r>
                      </w:hyperlink>
                      <w:r>
                        <w:rPr>
                          <w:color w:val="000000"/>
                          <w:szCs w:val="24"/>
                          <w:lang w:eastAsia="lt-LT"/>
                        </w:rPr>
                        <w:t xml:space="preserve"> ir Reglamentu </w:t>
                      </w:r>
                      <w:hyperlink r:id="rId25"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9c777a01f9d547cfa899c4fd132634ae"/>
                        <w:lock w:val="sdtLocked"/>
                        <w:richText/>
                      </w:sdtPr>
                      <w:sdtContent>
                        <w:p>
                          <w:pPr>
                            <w:spacing w:line="400" w:lineRule="atLeast"/>
                            <w:ind w:firstLine="720"/>
                            <w:jc w:val="both"/>
                          </w:pPr>
                          <w:sdt>
                            <w:sdtPr>
                              <w:alias w:val="Numeris"/>
                              <w:tag w:val="nr_9c777a01f9d547cfa899c4fd132634ae"/>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26"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
                      <w:sdtPr>
                        <w:alias w:val="10 p."/>
                        <w:tag w:val="part_7b5a4bac71564d818ae0d58d72ad508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b5a4bac71564d818ae0d58d72ad5089"/>
                              <w:lock w:val="sdtLocked"/>
                              <w:richText/>
                            </w:sdtPr>
                            <w:sdtContent>
                              <w:r>
                                <w:rPr>
                                  <w:color w:val="000000"/>
                                  <w:szCs w:val="24"/>
                                </w:rPr>
                                <w:t>10</w:t>
                              </w:r>
                            </w:sdtContent>
                          </w:sdt>
                          <w:r>
                            <w:rPr>
                              <w:color w:val="000000"/>
                              <w:szCs w:val="24"/>
                            </w:rPr>
                            <w:t>) finansinėms priemonėms, kurios, naudojantis valstybės pagalba, leistų šiltnamio efektą sukeliančias dujas išmetančių įrenginių valdytojams, patenkantiems į sektorius ar jų pošakius, kuriuose pagal Europos Komisijos gaires dėl tam tikrų valstybės pagalbos priemonių, susijusių su šiltnamio efektą sukeliančių dujų apyvartinių taršos leidimų prekybos sistema, kyla reali išmetamo anglies dioksido kiekio perkėlimo dėl didelių netiesioginių išlaidų, faktiškai patiriamų su išmetamų ŠESD kiekiu susijusias išlaidas perkeliant į elektros energijos kainas, rizika, sumažinti išmetamų ŠESD mažinimo įsipareigojimų finansinę ir ekonominę naštą, įgyvendinti – 1 proc. lėšų, nurodytų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ae41df458b6a49a1a641e57e129e8cca"/>
                    <w:lock w:val="sdtLocked"/>
                    <w:richText/>
                  </w:sdtPr>
                  <w:sdtContent>
                    <w:p>
                      <w:pPr>
                        <w:spacing w:line="400" w:lineRule="atLeast"/>
                        <w:ind w:firstLine="720"/>
                        <w:jc w:val="both"/>
                        <w:rPr>
                          <w:b/>
                          <w:caps/>
                          <w:color w:val="000000"/>
                          <w:szCs w:val="24"/>
                          <w:lang w:eastAsia="lt-LT"/>
                        </w:rPr>
                      </w:pPr>
                      <w:sdt>
                        <w:sdtPr>
                          <w:alias w:val="Numeris"/>
                          <w:tag w:val="nr_ae41df458b6a49a1a641e57e129e8cca"/>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sdtContent>
                </w:sdt>
                <w:sdt>
                  <w:sdtPr>
                    <w:alias w:val="7 d."/>
                    <w:tag w:val="part_6f67240cc7164e76bdce6373abdcc981"/>
                    <w:lock w:val="sdtLocked"/>
                    <w:richText/>
                  </w:sdtPr>
                  <w:sdtContent>
                    <w:p>
                      <w:pPr>
                        <w:suppressAutoHyphens/>
                        <w:spacing w:line="360" w:lineRule="auto"/>
                        <w:ind w:firstLine="720"/>
                        <w:jc w:val="both"/>
                        <w:textAlignment w:val="baseline"/>
                        <w:rPr>
                          <w:color w:val="000000"/>
                          <w:szCs w:val="24"/>
                        </w:rPr>
                      </w:pPr>
                      <w:sdt>
                        <w:sdtPr>
                          <w:alias w:val="Numeris"/>
                          <w:tag w:val="nr_6f67240cc7164e76bdce6373abdcc981"/>
                          <w:lock w:val="sdtLocked"/>
                          <w:richText/>
                        </w:sdtPr>
                        <w:sdtContent>
                          <w:r>
                            <w:rPr>
                              <w:color w:val="000000"/>
                              <w:szCs w:val="24"/>
                            </w:rPr>
                            <w:t>7</w:t>
                          </w:r>
                        </w:sdtContent>
                      </w:sdt>
                      <w:r>
                        <w:rPr>
                          <w:szCs w:val="24"/>
                        </w:rPr>
                        <w:t>. Šio straipsnio 3 dalies 10 punkte nurodytoms finansinėms priemonėms įgyvendinti skirtas valstybės pagalbos schemas rengia, derina su Europos Komisija ir tvirtina Vyriausybės įgaliota institucija.</w:t>
                      </w:r>
                    </w:p>
                    <w:p>
                      <w:pPr>
                        <w:spacing w:line="360" w:lineRule="auto"/>
                        <w:ind w:firstLine="720"/>
                        <w:rPr>
                          <w:sz w:val="8"/>
                          <w:szCs w:val="8"/>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413a6d67657844499ca8c8fdfe1bae67"/>
                    <w:lock w:val="sdtLocked"/>
                    <w:richText/>
                  </w:sdtPr>
                  <w:sdtContent>
                    <w:p>
                      <w:pPr>
                        <w:suppressAutoHyphens/>
                        <w:spacing w:line="360" w:lineRule="auto"/>
                        <w:ind w:firstLine="720"/>
                        <w:jc w:val="both"/>
                        <w:textAlignment w:val="baseline"/>
                        <w:rPr>
                          <w:color w:val="000000"/>
                          <w:szCs w:val="24"/>
                        </w:rPr>
                      </w:pPr>
                      <w:sdt>
                        <w:sdtPr>
                          <w:alias w:val="Numeris"/>
                          <w:tag w:val="nr_413a6d67657844499ca8c8fdfe1bae67"/>
                          <w:lock w:val="sdtLocked"/>
                          <w:richText/>
                        </w:sdtPr>
                        <w:sdtContent>
                          <w:r>
                            <w:rPr>
                              <w:szCs w:val="24"/>
                            </w:rPr>
                            <w:t>1</w:t>
                          </w:r>
                        </w:sdtContent>
                      </w:sdt>
                      <w:r>
                        <w:rPr>
                          <w:szCs w:val="24"/>
                        </w:rPr>
                        <w:t xml:space="preserve">. </w:t>
                      </w:r>
                      <w:r>
                        <w:rPr>
                          <w:color w:val="000000"/>
                          <w:szCs w:val="24"/>
                        </w:rPr>
                        <w:t>Stacionarios šaldymo, oro kondicionavimo įrangos, stacionarių gaisro gesinimo sistemų, gesintuvų ir šilumos siurblių, turinčių tam tikrų F-dujų, (toliau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nurodytai veiklos kategorijai ar kitą dokumentą, kuriuo suteikiama teisė atlikti atitinkamos įrangos montavimo, nuotėkio patikrinimo, techninės priežiūros, remonto ir (ar) eksploatacijos nutraukimo ir F-dujų surinkimo darbus kitiems subjektams. Atestatus turintys juridiniai asmenys užtikrina, kad veiklai, kuriai vykdyti reikalingas fizinio asmens, dirbančio su F-dujomis ir jų turinčia įranga, pažymėjimas, vykdyti pakaktų reikiamos kvalifikacijos darbuotojų, kurių minimalus skaičius nurodytas šio straipsnio 3 dalies 2 ir 3 punktuose. Fizinių asmenų, dirbančių su įranga, kvalifikacijos reikalavimai pagal veiklos kategoriją nustatyti Europos Komisijos įgyvendinamuosiuose aktuose, reglamentuojančiuose fizinių asmenų, dirbančių su F</w:t>
                        <w:noBreakHyphen/>
                        <w:t>dujomis ir jų turinčia tam tikra įranga, būtiniausius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fd5282dfb57743e7b91537ed2e401c1a"/>
                    <w:lock w:val="sdtLocked"/>
                    <w:richText/>
                  </w:sdtPr>
                  <w:sdtContent>
                    <w:p>
                      <w:pPr>
                        <w:tabs>
                          <w:tab w:val="left" w:pos="1134"/>
                        </w:tabs>
                        <w:suppressAutoHyphens/>
                        <w:spacing w:line="360" w:lineRule="auto"/>
                        <w:ind w:firstLine="720"/>
                        <w:jc w:val="both"/>
                        <w:textAlignment w:val="baseline"/>
                        <w:rPr>
                          <w:szCs w:val="24"/>
                        </w:rPr>
                      </w:pPr>
                      <w:sdt>
                        <w:sdtPr>
                          <w:alias w:val="Numeris"/>
                          <w:tag w:val="nr_fd5282dfb57743e7b91537ed2e401c1a"/>
                          <w:lock w:val="sdtLocked"/>
                          <w:richText/>
                        </w:sdtPr>
                        <w:sdtContent>
                          <w:r>
                            <w:rPr>
                              <w:szCs w:val="24"/>
                            </w:rPr>
                            <w:t>3</w:t>
                          </w:r>
                        </w:sdtContent>
                      </w:sdt>
                      <w:r>
                        <w:rPr>
                          <w:szCs w:val="24"/>
                        </w:rPr>
                        <w:t>. Aplinkos ministro įgaliota institucija, gavusi asmens prašymą išduoti atestatą ir dokumentus, patvirtinančius atitiktį nustatytiems reikalavimams, per 5 darbo dienas šiam asmeniui išsiunčia patvirtinimą, kad prašymas gautas. Jeigu pateikti ne visi ar netikslūs dokumentai arba informacija, ji praneša šiam asmeniui apie trūkumus ir nurodo ne trumpesnį kaip 5 darbo dienų terminą trūkumams pašalinti. Atestatas išduodamas arba pateikiamas motyvuotas atsisakymas išduoti atestatą ne vėliau kaip per 30 kalendorinių dienų nuo visų tinkamai pateiktų dokumentų gavimo dienos. Išduoti atestatai galioja neterminuotai šio straipsnio 1 dalyje nurodytiems asmenims, atitinkantiems šiuos reikalavimus:</w:t>
                      </w:r>
                    </w:p>
                    <w:sdt>
                      <w:sdtPr>
                        <w:alias w:val="18 str. 3 d. 1 p."/>
                        <w:tag w:val="part_38f88195404f479a90bcb4087b0d43b9"/>
                        <w:lock w:val="sdtLocked"/>
                        <w:richText/>
                      </w:sdtPr>
                      <w:sdtContent>
                        <w:p>
                          <w:pPr>
                            <w:tabs>
                              <w:tab w:val="left" w:pos="1134"/>
                            </w:tabs>
                            <w:suppressAutoHyphens/>
                            <w:spacing w:line="360" w:lineRule="auto"/>
                            <w:ind w:firstLine="720"/>
                            <w:jc w:val="both"/>
                            <w:textAlignment w:val="baseline"/>
                            <w:rPr>
                              <w:szCs w:val="24"/>
                            </w:rPr>
                          </w:pPr>
                          <w:sdt>
                            <w:sdtPr>
                              <w:alias w:val="Numeris"/>
                              <w:tag w:val="nr_38f88195404f479a90bcb4087b0d43b9"/>
                              <w:lock w:val="sdtLocked"/>
                              <w:richText/>
                            </w:sdtPr>
                            <w:sdtContent>
                              <w:r>
                                <w:rPr>
                                  <w:szCs w:val="24"/>
                                </w:rPr>
                                <w:t>1</w:t>
                              </w:r>
                            </w:sdtContent>
                          </w:sdt>
                          <w:r>
                            <w:rPr>
                              <w:szCs w:val="24"/>
                            </w:rPr>
                            <w:t>) fiziniai asmenys, dirbantys pagal darbo sutartis, ar kiti fiziniai asmenys, su kuriais fizinis asmuo yra sudaręs kitų rūšių sutartis, turi fizinių asmenų, dirbančių su F-dujomis ir OAM ir jų turinčia įranga, pažymėjimus (toliau – pažymėjimas). Juridiniame asmenyje dirba pakankamai reikiamos kvalifikacijos pažymėjimus turinčių darbuotojų, kurių minimalus skaičius nurodytas šios dalies 2 ir 3 punktuose, kad laikantis visų būtinų darbų saugos reikalavimų būtų galima vykdyti veiklą, apimančią įrangos montavimo, nuotėkio patikrinimo, techninės priežiūros, remonto ir (ar) eksploatacijos nutraukimo darbų atlikimą kitiems subjektams. Asmenys, norintys gauti atestatą ir vykdyti veiklą, apimančią bent vieno iš stacionarios šaldymo, oro kondicionavimo, šilumos siurblių įrangos, izoterminių sunkvežimių ir priekabų šaldymo įrenginių arba stacionarių priešgaisrinių sistemų ir gesintuvų arba elektros skirstymo įrenginių montavimo, techninės priežiūros, eksploatacijos nutraukimo ir F-dujų surinkimo darbų atlikimą kitiems subjektams, turi atitikti minimalius dirbančių fizinių asmenų skaičiaus reikalavimus;</w:t>
                          </w:r>
                        </w:p>
                      </w:sdtContent>
                    </w:sdt>
                    <w:sdt>
                      <w:sdtPr>
                        <w:alias w:val="18 str. 3 d. 2 p."/>
                        <w:tag w:val="part_0a956b23507b4372a76c3d1777207c1f"/>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a956b23507b4372a76c3d1777207c1f"/>
                              <w:lock w:val="sdtLocked"/>
                              <w:richText/>
                            </w:sdtPr>
                            <w:sdtContent>
                              <w:r>
                                <w:rPr>
                                  <w:color w:val="000000"/>
                                  <w:szCs w:val="24"/>
                                </w:rPr>
                                <w:t>2</w:t>
                              </w:r>
                            </w:sdtContent>
                          </w:sdt>
                          <w:r>
                            <w:rPr>
                              <w:color w:val="000000"/>
                              <w:szCs w:val="24"/>
                            </w:rPr>
                            <w:t>) vienas fizinis asmuo gali atlikti įrangos montavimo darbus, kai F-dujų kiekis sumontuotoje įrangoje neviršija 50 t anglies dioksido ekvivalento F-dujų (I veiklos tipas). Jeigu įrangoje F-dujų yra daugiau kaip 50 t anglies dioksido ekvivalento, siekiant užtikrinti darbų saugos reikalavimus, montavimo darbus turi atlikti du arba daugiau fizinių asmenų (II veiklos tipas);</w:t>
                          </w:r>
                        </w:p>
                      </w:sdtContent>
                    </w:sdt>
                    <w:sdt>
                      <w:sdtPr>
                        <w:alias w:val="18 str. 3 d. 3 p."/>
                        <w:tag w:val="part_62a3953119504116befe8a4de078d9fb"/>
                        <w:lock w:val="sdtLocked"/>
                        <w:richText/>
                      </w:sdtPr>
                      <w:sdtContent>
                        <w:p>
                          <w:pPr>
                            <w:tabs>
                              <w:tab w:val="left" w:pos="1134"/>
                            </w:tabs>
                            <w:suppressAutoHyphens/>
                            <w:spacing w:line="360" w:lineRule="auto"/>
                            <w:ind w:firstLine="720"/>
                            <w:jc w:val="both"/>
                            <w:textAlignment w:val="baseline"/>
                            <w:rPr>
                              <w:szCs w:val="24"/>
                            </w:rPr>
                          </w:pPr>
                          <w:sdt>
                            <w:sdtPr>
                              <w:alias w:val="Numeris"/>
                              <w:tag w:val="nr_62a3953119504116befe8a4de078d9fb"/>
                              <w:lock w:val="sdtLocked"/>
                              <w:richText/>
                            </w:sdtPr>
                            <w:sdtContent>
                              <w:r>
                                <w:rPr>
                                  <w:color w:val="000000"/>
                                  <w:szCs w:val="24"/>
                                </w:rPr>
                                <w:t>3</w:t>
                              </w:r>
                            </w:sdtContent>
                          </w:sdt>
                          <w:r>
                            <w:rPr>
                              <w:color w:val="000000"/>
                              <w:szCs w:val="24"/>
                            </w:rPr>
                            <w:t>) vienas fizinis asmuo gali atlikti nuotėkio patikrinimo, techninės priežiūros, remonto ir (ar) eksploatacijos nutraukimo darbus, kai F-dujų kiekis sumontuotoje įrangoje neviršija 500 t anglies dioksido ekvivalento F-dujų (I veiklos tipas). Jeigu įrangoje F-dujų yra daugiau kaip 500 t anglies dioksido ekvivalento, siekiant užtikrinti darbų saugos reikalavimus, nuotėkio patikrinimo, techninės priežiūros, remonto ir (ar) eksploatacijos nutraukimo darbus turi atlikti du arba daugiau fizinių asmenų (II veiklos tipas);</w:t>
                          </w:r>
                        </w:p>
                      </w:sdtContent>
                    </w:sdt>
                    <w:sdt>
                      <w:sdtPr>
                        <w:alias w:val="18 str. 3 d. 4 p."/>
                        <w:tag w:val="part_53bfd0a28366489f9fc5f908822dc96c"/>
                        <w:lock w:val="sdtLocked"/>
                        <w:richText/>
                      </w:sdtPr>
                      <w:sdtContent>
                        <w:p>
                          <w:pPr>
                            <w:tabs>
                              <w:tab w:val="left" w:pos="1134"/>
                            </w:tabs>
                            <w:suppressAutoHyphens/>
                            <w:spacing w:line="360" w:lineRule="auto"/>
                            <w:ind w:firstLine="720"/>
                            <w:jc w:val="both"/>
                            <w:textAlignment w:val="baseline"/>
                            <w:rPr>
                              <w:szCs w:val="24"/>
                            </w:rPr>
                          </w:pPr>
                          <w:sdt>
                            <w:sdtPr>
                              <w:alias w:val="Numeris"/>
                              <w:tag w:val="nr_53bfd0a28366489f9fc5f908822dc96c"/>
                              <w:lock w:val="sdtLocked"/>
                              <w:richText/>
                            </w:sdtPr>
                            <w:sdtContent>
                              <w:r>
                                <w:rPr>
                                  <w:szCs w:val="24"/>
                                </w:rPr>
                                <w:t>4</w:t>
                              </w:r>
                            </w:sdtContent>
                          </w:sdt>
                          <w:r>
                            <w:rPr>
                              <w:szCs w:val="24"/>
                            </w:rPr>
                            <w:t>) asmenys, norintys gauti atestatą, privalo turėti atitinkamos rūšies ir kategorijos, jei taikoma, veiklai, dėl kurios yra atestuojami, vykdyti būtiną techninę įrangą, kurios reikalavimus nustato aplinkos ministras. Reikalavimus atitinkanti įranga sudaro sąlygas atlikti šiuos įrangos montavimo, techninės priežiūros, remonto ir (ar) eksploatacijos nutraukimo darbus kitiems subjektams: atlikti įrangos patikrą dėl F-dujų nuotėkio, šių dujų slėgio ir temperatūros matavimus, surinkti F-dujas iš įrangos, jas saugoti ir transportuoti, pripildyti įrangą ir sistemas F-dujų, montuoti įrangą, vamzdynus ir kitas įrangos dalis nesukeliant F-dujų nuotėkio;</w:t>
                          </w:r>
                        </w:p>
                      </w:sdtContent>
                    </w:sdt>
                    <w:sdt>
                      <w:sdtPr>
                        <w:alias w:val="18 str. 3 d. 5 p."/>
                        <w:tag w:val="part_086588dbe3314eb7b2ff6e810983392b"/>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86588dbe3314eb7b2ff6e810983392b"/>
                              <w:lock w:val="sdtLocked"/>
                              <w:richText/>
                            </w:sdtPr>
                            <w:sdtContent>
                              <w:r>
                                <w:rPr>
                                  <w:szCs w:val="24"/>
                                </w:rPr>
                                <w:t>5</w:t>
                              </w:r>
                            </w:sdtContent>
                          </w:sdt>
                          <w:r>
                            <w:rPr>
                              <w:szCs w:val="24"/>
                            </w:rPr>
                            <w:t>) asmuo sumoka valstybės rinkliavą Lietuvos Respublikos rinkliavų įstatyme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27"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f2e3f0fe12114f9185d54a3078222bcd"/>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f2e3f0fe12114f9185d54a3078222bcd"/>
                          <w:lock w:val="sdtLocked"/>
                          <w:richText/>
                        </w:sdtPr>
                        <w:sdtContent>
                          <w:r>
                            <w:rPr>
                              <w:szCs w:val="24"/>
                            </w:rPr>
                            <w:t>10</w:t>
                          </w:r>
                        </w:sdtContent>
                      </w:sdt>
                      <w:r>
                        <w:rPr>
                          <w:szCs w:val="24"/>
                        </w:rPr>
                        <w:t xml:space="preserve">. </w:t>
                      </w:r>
                      <w:r>
                        <w:rPr>
                          <w:color w:val="000000"/>
                          <w:szCs w:val="24"/>
                        </w:rPr>
                        <w:t xml:space="preserve">Atestatai išduodami, jų galiojimas sustabdomas, galiojimo sustabdymas panaikinamas ir galiojimas panaikinamas per Aplinkosaugos leidimų informacinę sistemą (toliau – ALIS). Duomenys ir informacija apie atestatus visuomenės informavimo tikslais viešinami ALIS ir Licencijų informacinėje sistemoje (toliau – LIS) iki atestato galiojimo panaikinimo dienos, taip sudarant palankias sąlygas paslaugų ieškantiems suinteresuotiems asmenims rasti atestatus turinčių paslaugų teikėjų. </w:t>
                      </w:r>
                      <w:r>
                        <w:rPr>
                          <w:szCs w:val="24"/>
                        </w:rPr>
                        <w:t>Viešinama ši atestatuose esanti informacija: fizinio asmens vardas ir pavardė arba juridinio asmens pavadinimas ir juridinio asmens kodas, veiklos rūšis, veiklos tipas, kategorija ir atestato galiojimo būsena.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72006ad3b1724b73a546f6394860b65e"/>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72006ad3b1724b73a546f6394860b65e"/>
                          <w:lock w:val="sdtLocked"/>
                          <w:richText/>
                        </w:sdtPr>
                        <w:sdtContent>
                          <w:r>
                            <w:rPr>
                              <w:szCs w:val="24"/>
                            </w:rPr>
                            <w:t>6</w:t>
                          </w:r>
                        </w:sdtContent>
                      </w:sdt>
                      <w:r>
                        <w:rPr>
                          <w:szCs w:val="24"/>
                        </w:rPr>
                        <w:t>. Fiziniai asmenys, norintys mokytis pagal vieną iš šio straipsnio 3 dalyje nurodytų programų ir gauti pažymėjimą, turi būti įgiję vidurinį išsilavinimą.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8736ae9a3b73472f9f8895103e8783bb"/>
                    <w:lock w:val="sdtLocked"/>
                    <w:richText/>
                  </w:sdtPr>
                  <w:sdtContent>
                    <w:p>
                      <w:pPr>
                        <w:widowControl w:val="0"/>
                        <w:spacing w:line="360" w:lineRule="auto"/>
                        <w:ind w:firstLine="720"/>
                        <w:jc w:val="both"/>
                        <w:rPr>
                          <w:color w:val="000000"/>
                          <w:szCs w:val="24"/>
                          <w:lang w:eastAsia="ar-SA"/>
                        </w:rPr>
                      </w:pPr>
                      <w:sdt>
                        <w:sdtPr>
                          <w:alias w:val="Numeris"/>
                          <w:tag w:val="nr_8736ae9a3b73472f9f8895103e8783bb"/>
                          <w:lock w:val="sdtLocked"/>
                          <w:richText/>
                        </w:sdtPr>
                        <w:sdtContent>
                          <w:r>
                            <w:rPr>
                              <w:szCs w:val="24"/>
                            </w:rPr>
                            <w:t>2</w:t>
                          </w:r>
                        </w:sdtContent>
                      </w:sdt>
                      <w:r>
                        <w:rPr>
                          <w:szCs w:val="24"/>
                        </w:rPr>
                        <w:t>. Leidimai asmenims išduodami, jų galiojimas sustabdomas, galiojimo sustabdymas panaikinamas ir galiojimas panaikinamas per ALIS. Leidimai galioja neterminuotai. Informacija ir duomenys apie leidimus visuomenės informavimo tikslais viešinami ALIS ir LIS iki leidimo galiojimo panaikinimo dienos, taip sudarant palankias sąlygas paslaugų ieškantiems suinteresuotiems asmenims rasti leidimus turinčių paslaugų teikėjų. Viešinama ši leidimuose esanti informacija: fizinio asmens vardas ir pavardė arba juridinio asmens pavadinimas ir juridinio asmens kodas, leidimo išdavimo data, leidimo numeris, leidimo galiojimo būsena, mokymo programų pavadinimai. Leidimai išduodami asmenims, kurie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f582327b9e154401b079888846abd47d"/>
                        <w:lock w:val="sdtLocked"/>
                        <w:richText/>
                      </w:sdtPr>
                      <w:sdtContent>
                        <w:p>
                          <w:pPr>
                            <w:widowControl w:val="0"/>
                            <w:spacing w:line="360" w:lineRule="auto"/>
                            <w:ind w:firstLine="720"/>
                            <w:jc w:val="both"/>
                            <w:rPr>
                              <w:color w:val="000000"/>
                              <w:szCs w:val="24"/>
                            </w:rPr>
                          </w:pPr>
                          <w:sdt>
                            <w:sdtPr>
                              <w:alias w:val="Numeris"/>
                              <w:tag w:val="nr_f582327b9e154401b079888846abd47d"/>
                              <w:lock w:val="sdtLocked"/>
                              <w:richText/>
                            </w:sdtPr>
                            <w:sdtContent>
                              <w:r>
                                <w:rPr>
                                  <w:color w:val="000000"/>
                                  <w:szCs w:val="24"/>
                                </w:rPr>
                                <w:t>2</w:t>
                              </w:r>
                            </w:sdtContent>
                          </w:sdt>
                          <w:r>
                            <w:rPr>
                              <w:color w:val="000000"/>
                              <w:szCs w:val="24"/>
                            </w:rPr>
                            <w:t xml:space="preserve">) įrengiant ir montuojant naujas stacionarias gaisro gesinimo sistemas, užpildomas 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28"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29"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3cd327e9c0994434a0d1d2f881a55adc"/>
                <w:lock w:val="sdtLocked"/>
                <w:richText/>
              </w:sdtPr>
              <w:sdtContent>
                <w:p>
                  <w:pPr>
                    <w:spacing w:line="360" w:lineRule="auto"/>
                    <w:ind w:firstLine="720"/>
                    <w:jc w:val="both"/>
                    <w:rPr>
                      <w:b/>
                    </w:rPr>
                  </w:pPr>
                  <w:sdt>
                    <w:sdtPr>
                      <w:alias w:val="Numeris"/>
                      <w:tag w:val="nr_3cd327e9c0994434a0d1d2f881a55adc"/>
                      <w:lock w:val="sdtLocked"/>
                      <w:richText/>
                    </w:sdtPr>
                    <w:sdtContent>
                      <w:r>
                        <w:rPr>
                          <w:b/>
                        </w:rPr>
                        <w:t>23</w:t>
                      </w:r>
                    </w:sdtContent>
                  </w:sdt>
                  <w:r>
                    <w:rPr>
                      <w:b/>
                    </w:rPr>
                    <w:t xml:space="preserve"> straipsnis. </w:t>
                  </w:r>
                  <w:sdt>
                    <w:sdtPr>
                      <w:alias w:val="Pavadinimas"/>
                      <w:tag w:val="title_3cd327e9c0994434a0d1d2f881a55adc"/>
                      <w:lock w:val="sdtLocked"/>
                      <w:richText/>
                    </w:sdtPr>
                    <w:sdtContent>
                      <w:r>
                        <w:rPr>
                          <w:b/>
                        </w:rPr>
                        <w:t xml:space="preserve">Veikos, už kurias skiriamos ekonominės piniginės sankcijos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3 str. 1 d."/>
                    <w:tag w:val="part_30bddfb3bdc04fa6b249ab983d55562d"/>
                    <w:lock w:val="sdtLocked"/>
                    <w:richText/>
                  </w:sdtPr>
                  <w:sdtContent>
                    <w:p>
                      <w:pPr>
                        <w:widowControl w:val="0"/>
                        <w:tabs>
                          <w:tab w:val="left" w:pos="180"/>
                        </w:tabs>
                        <w:spacing w:line="360" w:lineRule="auto"/>
                        <w:ind w:firstLine="720"/>
                        <w:jc w:val="both"/>
                        <w:rPr>
                          <w:color w:val="000000"/>
                          <w:szCs w:val="24"/>
                        </w:rPr>
                      </w:pPr>
                      <w:r>
                        <w:rPr>
                          <w:kern w:val="2"/>
                          <w:szCs w:val="24"/>
                        </w:rPr>
                        <w:t>Skiriama vieno šimto eurų atitinkamai pagal Europos vartotojų kainų indeksą indeksuojama ekonominė piniginė sankcija:</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sdt>
                      <w:sdtPr>
                        <w:alias w:val="23 str. 1 d. 1 p."/>
                        <w:tag w:val="part_7add8636761d4d4788b96fce1cf1a778"/>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7add8636761d4d4788b96fce1cf1a778"/>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72e7693964b49d48a87fca628b6561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572e7693964b49d48a87fca628b6561d"/>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07e0c577e3884790b76fd59d8fd6fbbd"/>
                        <w:lock w:val="sdtLocked"/>
                        <w:richText/>
                      </w:sdtPr>
                      <w:sdtContent>
                        <w:p>
                          <w:pPr>
                            <w:widowControl w:val="0"/>
                            <w:shd w:val="clear" w:color="000000" w:fill="auto"/>
                            <w:tabs>
                              <w:tab w:val="left" w:pos="180"/>
                            </w:tabs>
                            <w:spacing w:line="360" w:lineRule="auto"/>
                            <w:ind w:firstLine="720"/>
                            <w:jc w:val="both"/>
                            <w:rPr>
                              <w:color w:val="000000"/>
                              <w:szCs w:val="24"/>
                            </w:rPr>
                          </w:pPr>
                          <w:sdt>
                            <w:sdtPr>
                              <w:alias w:val="Numeris"/>
                              <w:tag w:val="nr_07e0c577e3884790b76fd59d8fd6fbbd"/>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hd w:val="clear" w:color="000000" w:fill="auto"/>
                            <w:spacing w:line="360" w:lineRule="auto"/>
                            <w:ind w:firstLine="720"/>
                            <w:rPr>
                              <w:color w:val="000000"/>
                              <w:szCs w:val="24"/>
                            </w:rPr>
                          </w:pPr>
                        </w:p>
                      </w:sdtContent>
                    </w:sdt>
                  </w:sdtContent>
                </w:sdt>
              </w:sdtContent>
            </w:sdt>
            <w:sdt>
              <w:sdtPr>
                <w:alias w:val="24 str."/>
                <w:tag w:val="part_99716dfe91db45c181037a1468f94d55"/>
                <w:lock w:val="sdtLocked"/>
                <w:richText/>
              </w:sdtPr>
              <w:sdtContent>
                <w:p>
                  <w:pPr>
                    <w:tabs>
                      <w:tab w:val="left" w:pos="709"/>
                    </w:tabs>
                    <w:spacing w:line="360" w:lineRule="auto"/>
                    <w:ind w:firstLine="720"/>
                    <w:jc w:val="both"/>
                    <w:rPr>
                      <w:kern w:val="2"/>
                      <w:szCs w:val="24"/>
                    </w:rPr>
                  </w:pPr>
                  <w:sdt>
                    <w:sdtPr>
                      <w:alias w:val="Numeris"/>
                      <w:tag w:val="nr_99716dfe91db45c181037a1468f94d55"/>
                      <w:lock w:val="sdtLocked"/>
                      <w:richText/>
                    </w:sdtPr>
                    <w:sdtContent>
                      <w:r>
                        <w:rPr>
                          <w:b/>
                          <w:kern w:val="2"/>
                          <w:szCs w:val="24"/>
                        </w:rPr>
                        <w:t>24</w:t>
                      </w:r>
                    </w:sdtContent>
                  </w:sdt>
                  <w:r>
                    <w:rPr>
                      <w:b/>
                      <w:kern w:val="2"/>
                      <w:szCs w:val="24"/>
                    </w:rPr>
                    <w:t xml:space="preserve"> straipsnis. </w:t>
                  </w:r>
                  <w:sdt>
                    <w:sdtPr>
                      <w:alias w:val="Pavadinimas"/>
                      <w:tag w:val="title_99716dfe91db45c181037a1468f94d55"/>
                      <w:lock w:val="sdtLocked"/>
                      <w:richText/>
                    </w:sdtPr>
                    <w:sdtContent>
                      <w:r>
                        <w:rPr>
                          <w:b/>
                          <w:kern w:val="2"/>
                          <w:szCs w:val="24"/>
                        </w:rPr>
                        <w:t>Ekonomines pinigines sankcijas skiriantys pareigūnai</w:t>
                      </w:r>
                    </w:sdtContent>
                  </w:sdt>
                </w:p>
                <w:sdt>
                  <w:sdtPr>
                    <w:alias w:val="24 str. 1 d."/>
                    <w:tag w:val="part_03aa81b1c2f24a28897eedb36a80a818"/>
                    <w:lock w:val="sdtLocked"/>
                    <w:richText/>
                  </w:sdtPr>
                  <w:sdtContent>
                    <w:p>
                      <w:pPr>
                        <w:tabs>
                          <w:tab w:val="left" w:pos="709"/>
                        </w:tabs>
                        <w:spacing w:line="360" w:lineRule="auto"/>
                        <w:ind w:firstLine="720"/>
                        <w:jc w:val="both"/>
                        <w:rPr>
                          <w:kern w:val="2"/>
                          <w:szCs w:val="24"/>
                        </w:rPr>
                      </w:pPr>
                      <w:r>
                        <w:rPr>
                          <w:kern w:val="2"/>
                          <w:szCs w:val="24"/>
                        </w:rPr>
                        <w:t>Ekonomines pinigines sankcijas už šio įstatymo 23 straipsnyje numatytas veikas skiria Aplinkos apsaugos departamento aplinkos apsaugos valstybinės kontrolės pareigūnai (toliau – aplinkos apsaugos valstybinės kontrolės pareigūnai).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w:tag w:val="part_aa6541e7e56d4f8cac3358449e74d8a3"/>
                <w:lock w:val="sdtLocked"/>
                <w:richText/>
              </w:sdtPr>
              <w:sdtContent>
                <w:p>
                  <w:pPr>
                    <w:spacing w:line="360" w:lineRule="auto"/>
                    <w:ind w:firstLine="720"/>
                    <w:jc w:val="both"/>
                    <w:rPr>
                      <w:b/>
                    </w:rPr>
                  </w:pPr>
                  <w:sdt>
                    <w:sdtPr>
                      <w:alias w:val="Numeris"/>
                      <w:tag w:val="nr_aa6541e7e56d4f8cac3358449e74d8a3"/>
                      <w:lock w:val="sdtLocked"/>
                      <w:richText/>
                    </w:sdtPr>
                    <w:sdtContent>
                      <w:r>
                        <w:rPr>
                          <w:b/>
                        </w:rPr>
                        <w:t>25</w:t>
                      </w:r>
                    </w:sdtContent>
                  </w:sdt>
                  <w:r>
                    <w:rPr>
                      <w:b/>
                    </w:rPr>
                    <w:t xml:space="preserve"> straipsnis. </w:t>
                  </w:r>
                  <w:sdt>
                    <w:sdtPr>
                      <w:alias w:val="Pavadinimas"/>
                      <w:tag w:val="title_aa6541e7e56d4f8cac3358449e74d8a3"/>
                      <w:lock w:val="sdtLocked"/>
                      <w:richText/>
                    </w:sdtPr>
                    <w:sdtContent>
                      <w:r>
                        <w:rPr>
                          <w:b/>
                        </w:rPr>
                        <w:t xml:space="preserve">Bylų dėl ekonominių piniginių sankcijų skyrimo iškėlimo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5 str. 1 d."/>
                    <w:tag w:val="part_2bb41409d1ab459295c707dd34b9b1e7"/>
                    <w:lock w:val="sdtLocked"/>
                    <w:richText/>
                  </w:sdtPr>
                  <w:sdtContent>
                    <w:p>
                      <w:pPr>
                        <w:tabs>
                          <w:tab w:val="left" w:pos="709"/>
                        </w:tabs>
                        <w:spacing w:line="360" w:lineRule="auto"/>
                        <w:ind w:firstLine="720"/>
                        <w:jc w:val="both"/>
                        <w:rPr>
                          <w:kern w:val="2"/>
                          <w:szCs w:val="24"/>
                        </w:rPr>
                      </w:pPr>
                      <w:sdt>
                        <w:sdtPr>
                          <w:alias w:val="Numeris"/>
                          <w:tag w:val="nr_2bb41409d1ab459295c707dd34b9b1e7"/>
                          <w:lock w:val="sdtLocked"/>
                          <w:richText/>
                        </w:sdtPr>
                        <w:sdtContent>
                          <w:r>
                            <w:rPr>
                              <w:kern w:val="2"/>
                              <w:szCs w:val="24"/>
                            </w:rPr>
                            <w:t>1</w:t>
                          </w:r>
                        </w:sdtContent>
                      </w:sdt>
                      <w:r>
                        <w:rPr>
                          <w:kern w:val="2"/>
                          <w:szCs w:val="24"/>
                        </w:rPr>
                        <w:t>. Aplinkos apsaugos valstybinės kontrolės pareigūnas, nustatęs šio įstatymo 23 straipsnyje nurodytą (-us) pažeidimą (-us), ne vėliau kaip per 5 darbo dienas iškelia bylą dėl ekonominės piniginės sankcijos skyrimo ir surašo aplinkos ministro patvirtintos formos neteisėto ŠESD išmetimo į atmosferą aktą (toliau – aktas). Akte nurodoma:</w:t>
                      </w:r>
                    </w:p>
                    <w:sdt>
                      <w:sdtPr>
                        <w:alias w:val="25 str. 1 d. 1 p."/>
                        <w:tag w:val="part_8a61d7069f394b51a1b775425c23656a"/>
                        <w:lock w:val="sdtLocked"/>
                        <w:richText/>
                      </w:sdtPr>
                      <w:sdtContent>
                        <w:p>
                          <w:pPr>
                            <w:tabs>
                              <w:tab w:val="left" w:pos="709"/>
                            </w:tabs>
                            <w:spacing w:line="360" w:lineRule="auto"/>
                            <w:ind w:firstLine="720"/>
                            <w:jc w:val="both"/>
                            <w:rPr>
                              <w:kern w:val="2"/>
                              <w:szCs w:val="24"/>
                            </w:rPr>
                          </w:pPr>
                          <w:sdt>
                            <w:sdtPr>
                              <w:alias w:val="Numeris"/>
                              <w:tag w:val="nr_8a61d7069f394b51a1b775425c23656a"/>
                              <w:lock w:val="sdtLocked"/>
                              <w:richText/>
                            </w:sdtPr>
                            <w:sdtContent>
                              <w:r>
                                <w:rPr>
                                  <w:kern w:val="2"/>
                                  <w:szCs w:val="24"/>
                                </w:rPr>
                                <w:t>1</w:t>
                              </w:r>
                            </w:sdtContent>
                          </w:sdt>
                          <w:r>
                            <w:rPr>
                              <w:kern w:val="2"/>
                              <w:szCs w:val="24"/>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471fdee14818486c839c6cf97b5688a7"/>
                        <w:lock w:val="sdtLocked"/>
                        <w:richText/>
                      </w:sdtPr>
                      <w:sdtContent>
                        <w:p>
                          <w:pPr>
                            <w:tabs>
                              <w:tab w:val="left" w:pos="709"/>
                            </w:tabs>
                            <w:spacing w:line="360" w:lineRule="auto"/>
                            <w:ind w:firstLine="720"/>
                            <w:jc w:val="both"/>
                            <w:rPr>
                              <w:kern w:val="2"/>
                              <w:szCs w:val="24"/>
                            </w:rPr>
                          </w:pPr>
                          <w:sdt>
                            <w:sdtPr>
                              <w:alias w:val="Numeris"/>
                              <w:tag w:val="nr_471fdee14818486c839c6cf97b5688a7"/>
                              <w:lock w:val="sdtLocked"/>
                              <w:richText/>
                            </w:sdtPr>
                            <w:sdtContent>
                              <w:r>
                                <w:rPr>
                                  <w:kern w:val="2"/>
                                  <w:szCs w:val="24"/>
                                </w:rPr>
                                <w:t>2</w:t>
                              </w:r>
                            </w:sdtContent>
                          </w:sdt>
                          <w:r>
                            <w:rPr>
                              <w:kern w:val="2"/>
                              <w:szCs w:val="24"/>
                            </w:rPr>
                            <w:t>) pažeidimo esmė ir pažeidimą nustatantis šio įstatymo 23 straipsnio punktas;</w:t>
                          </w:r>
                        </w:p>
                      </w:sdtContent>
                    </w:sdt>
                    <w:sdt>
                      <w:sdtPr>
                        <w:alias w:val="25 str. 1 d. 3 p."/>
                        <w:tag w:val="part_98ca24ff52b3460ca562c31c646ec764"/>
                        <w:lock w:val="sdtLocked"/>
                        <w:richText/>
                      </w:sdtPr>
                      <w:sdtContent>
                        <w:p>
                          <w:pPr>
                            <w:tabs>
                              <w:tab w:val="left" w:pos="709"/>
                            </w:tabs>
                            <w:spacing w:line="360" w:lineRule="auto"/>
                            <w:ind w:firstLine="720"/>
                            <w:jc w:val="both"/>
                            <w:rPr>
                              <w:kern w:val="2"/>
                              <w:szCs w:val="24"/>
                            </w:rPr>
                          </w:pPr>
                          <w:sdt>
                            <w:sdtPr>
                              <w:alias w:val="Numeris"/>
                              <w:tag w:val="nr_98ca24ff52b3460ca562c31c646ec764"/>
                              <w:lock w:val="sdtLocked"/>
                              <w:richText/>
                            </w:sdtPr>
                            <w:sdtContent>
                              <w:r>
                                <w:rPr>
                                  <w:kern w:val="2"/>
                                  <w:szCs w:val="24"/>
                                </w:rPr>
                                <w:t>3</w:t>
                              </w:r>
                            </w:sdtContent>
                          </w:sdt>
                          <w:r>
                            <w:rPr>
                              <w:kern w:val="2"/>
                              <w:szCs w:val="24"/>
                            </w:rPr>
                            <w:t>) skirtinos įtariamam padariusiam pažeidimą asmeniui ekonominės piniginės sankcijos dydis ir jį pagrindžiantys skaičiavimai ir motyvai;</w:t>
                          </w:r>
                        </w:p>
                      </w:sdtContent>
                    </w:sdt>
                    <w:sdt>
                      <w:sdtPr>
                        <w:alias w:val="25 str. 1 d. 4 p."/>
                        <w:tag w:val="part_28e09596b23347e9b48f4e96f3d4f248"/>
                        <w:lock w:val="sdtLocked"/>
                        <w:richText/>
                      </w:sdtPr>
                      <w:sdtContent>
                        <w:p>
                          <w:pPr>
                            <w:tabs>
                              <w:tab w:val="left" w:pos="709"/>
                            </w:tabs>
                            <w:spacing w:line="360" w:lineRule="auto"/>
                            <w:ind w:firstLine="720"/>
                            <w:jc w:val="both"/>
                            <w:rPr>
                              <w:kern w:val="2"/>
                              <w:szCs w:val="24"/>
                            </w:rPr>
                          </w:pPr>
                          <w:sdt>
                            <w:sdtPr>
                              <w:alias w:val="Numeris"/>
                              <w:tag w:val="nr_28e09596b23347e9b48f4e96f3d4f248"/>
                              <w:lock w:val="sdtLocked"/>
                              <w:richText/>
                            </w:sdtPr>
                            <w:sdtContent>
                              <w:r>
                                <w:rPr>
                                  <w:kern w:val="2"/>
                                  <w:szCs w:val="24"/>
                                </w:rPr>
                                <w:t>4</w:t>
                              </w:r>
                            </w:sdtContent>
                          </w:sdt>
                          <w:r>
                            <w:rPr>
                              <w:kern w:val="2"/>
                              <w:szCs w:val="24"/>
                            </w:rPr>
                            <w:t>) bylos dėl ekonominės piniginės sankcijos skyrimo nagrinėjimo vieta, data ir laikas;</w:t>
                          </w:r>
                        </w:p>
                      </w:sdtContent>
                    </w:sdt>
                    <w:sdt>
                      <w:sdtPr>
                        <w:alias w:val="25 str. 1 d. 5 p."/>
                        <w:tag w:val="part_7562877e4c4e42a985c913827c55b395"/>
                        <w:lock w:val="sdtLocked"/>
                        <w:richText/>
                      </w:sdtPr>
                      <w:sdtContent>
                        <w:p>
                          <w:pPr>
                            <w:tabs>
                              <w:tab w:val="left" w:pos="709"/>
                            </w:tabs>
                            <w:spacing w:line="360" w:lineRule="auto"/>
                            <w:ind w:firstLine="720"/>
                            <w:jc w:val="both"/>
                            <w:rPr>
                              <w:kern w:val="2"/>
                              <w:szCs w:val="24"/>
                            </w:rPr>
                          </w:pPr>
                          <w:sdt>
                            <w:sdtPr>
                              <w:alias w:val="Numeris"/>
                              <w:tag w:val="nr_7562877e4c4e42a985c913827c55b395"/>
                              <w:lock w:val="sdtLocked"/>
                              <w:richText/>
                            </w:sdtPr>
                            <w:sdtContent>
                              <w:r>
                                <w:rPr>
                                  <w:kern w:val="2"/>
                                  <w:szCs w:val="24"/>
                                </w:rPr>
                                <w:t>5</w:t>
                              </w:r>
                            </w:sdtContent>
                          </w:sdt>
                          <w:r>
                            <w:rPr>
                              <w:kern w:val="2"/>
                              <w:szCs w:val="24"/>
                            </w:rPr>
                            <w:t>) aktą surašęs aplinkos apsaugos valstybinės kontrolės pareigūnas (vardas, pavardė, tarnybos vieta, pareigos, parašas).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33feb13a5ba344cd99b4ca9b1e584089"/>
                <w:lock w:val="sdtLocked"/>
                <w:richText/>
              </w:sdtPr>
              <w:sdtContent>
                <w:p>
                  <w:pPr>
                    <w:tabs>
                      <w:tab w:val="left" w:pos="709"/>
                    </w:tabs>
                    <w:spacing w:line="360" w:lineRule="auto"/>
                    <w:ind w:firstLine="720"/>
                    <w:jc w:val="both"/>
                    <w:rPr>
                      <w:b/>
                      <w:kern w:val="2"/>
                      <w:szCs w:val="24"/>
                    </w:rPr>
                  </w:pPr>
                  <w:sdt>
                    <w:sdtPr>
                      <w:alias w:val="Numeris"/>
                      <w:tag w:val="nr_33feb13a5ba344cd99b4ca9b1e584089"/>
                      <w:lock w:val="sdtLocked"/>
                      <w:richText/>
                    </w:sdtPr>
                    <w:sdtContent>
                      <w:r>
                        <w:rPr>
                          <w:b/>
                          <w:kern w:val="2"/>
                          <w:szCs w:val="24"/>
                        </w:rPr>
                        <w:t>26</w:t>
                      </w:r>
                    </w:sdtContent>
                  </w:sdt>
                  <w:r>
                    <w:rPr>
                      <w:b/>
                      <w:kern w:val="2"/>
                      <w:szCs w:val="24"/>
                    </w:rPr>
                    <w:t xml:space="preserve"> straipsnis. </w:t>
                  </w:r>
                  <w:sdt>
                    <w:sdtPr>
                      <w:alias w:val="Pavadinimas"/>
                      <w:tag w:val="title_33feb13a5ba344cd99b4ca9b1e584089"/>
                      <w:lock w:val="sdtLocked"/>
                      <w:richText/>
                    </w:sdtPr>
                    <w:sdtContent>
                      <w:r>
                        <w:rPr>
                          <w:b/>
                          <w:kern w:val="2"/>
                          <w:szCs w:val="24"/>
                        </w:rPr>
                        <w:t>Ekonominių piniginių sankcijų skyrimo terminai</w:t>
                      </w:r>
                    </w:sdtContent>
                  </w:sdt>
                </w:p>
                <w:sdt>
                  <w:sdtPr>
                    <w:alias w:val="26 str. 1 d."/>
                    <w:tag w:val="part_f34699347b45464b956ff2ec0cf775c4"/>
                    <w:lock w:val="sdtLocked"/>
                    <w:richText/>
                  </w:sdtPr>
                  <w:sdtContent>
                    <w:p>
                      <w:pPr>
                        <w:spacing w:line="360" w:lineRule="auto"/>
                        <w:ind w:firstLine="720"/>
                        <w:jc w:val="both"/>
                        <w:rPr>
                          <w:b/>
                          <w:kern w:val="2"/>
                          <w:szCs w:val="24"/>
                        </w:rPr>
                      </w:pPr>
                      <w:r>
                        <w:rPr>
                          <w:kern w:val="2"/>
                          <w:szCs w:val="24"/>
                        </w:rPr>
                        <w:t>Ekonominės piniginės sankcijos už veikas, numatytas šio įstatymo 23 straipsnyje, skiriamos per vienus metus nuo pažeidimo nustatymo dienos, bet ne vėliau kaip per 3 metus nuo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7 str."/>
                <w:tag w:val="part_8fcfff850b17463c975a4ee17e3f94ce"/>
                <w:lock w:val="sdtLocked"/>
                <w:richText/>
              </w:sdtPr>
              <w:sdtContent>
                <w:p>
                  <w:pPr>
                    <w:spacing w:line="360" w:lineRule="auto"/>
                    <w:ind w:firstLine="720"/>
                    <w:jc w:val="both"/>
                    <w:rPr>
                      <w:b/>
                    </w:rPr>
                  </w:pPr>
                  <w:sdt>
                    <w:sdtPr>
                      <w:alias w:val="Numeris"/>
                      <w:tag w:val="nr_8fcfff850b17463c975a4ee17e3f94ce"/>
                      <w:lock w:val="sdtLocked"/>
                      <w:richText/>
                    </w:sdtPr>
                    <w:sdtContent>
                      <w:r>
                        <w:rPr>
                          <w:b/>
                        </w:rPr>
                        <w:t>27</w:t>
                      </w:r>
                    </w:sdtContent>
                  </w:sdt>
                  <w:r>
                    <w:rPr>
                      <w:b/>
                    </w:rPr>
                    <w:t xml:space="preserve"> straipsnis. </w:t>
                  </w:r>
                  <w:sdt>
                    <w:sdtPr>
                      <w:alias w:val="Pavadinimas"/>
                      <w:tag w:val="title_8fcfff850b17463c975a4ee17e3f94ce"/>
                      <w:lock w:val="sdtLocked"/>
                      <w:richText/>
                    </w:sdtPr>
                    <w:sdtContent>
                      <w:r>
                        <w:rPr>
                          <w:b/>
                        </w:rPr>
                        <w:t xml:space="preserve">Ekonominių piniginių sankcijų skyrimo bylų proceso dalyviai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9a35326131224ab885b9f8d433561d72"/>
                    <w:lock w:val="sdtLocked"/>
                    <w:richText/>
                  </w:sdtPr>
                  <w:sdtContent>
                    <w:p>
                      <w:pPr>
                        <w:tabs>
                          <w:tab w:val="left" w:pos="709"/>
                        </w:tabs>
                        <w:spacing w:line="360" w:lineRule="auto"/>
                        <w:ind w:firstLine="720"/>
                        <w:jc w:val="both"/>
                        <w:rPr>
                          <w:kern w:val="2"/>
                          <w:szCs w:val="24"/>
                        </w:rPr>
                      </w:pPr>
                      <w:sdt>
                        <w:sdtPr>
                          <w:alias w:val="Numeris"/>
                          <w:tag w:val="nr_9a35326131224ab885b9f8d433561d72"/>
                          <w:lock w:val="sdtLocked"/>
                          <w:richText/>
                        </w:sdtPr>
                        <w:sdtContent>
                          <w:r>
                            <w:rPr>
                              <w:kern w:val="2"/>
                              <w:szCs w:val="24"/>
                            </w:rPr>
                            <w:t>3</w:t>
                          </w:r>
                        </w:sdtContent>
                      </w:sdt>
                      <w:r>
                        <w:rPr>
                          <w:kern w:val="2"/>
                          <w:szCs w:val="24"/>
                        </w:rPr>
                        <w:t>. Įtariamas padaręs pažeidimą asmuo ir proceso dalyviai apie ekonominės piniginės sankcijos skyrimo bylos nagrinėjimo vietą, datą ir laiką informuojami raštu.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8 str."/>
                <w:tag w:val="part_ba0634cd352f49aa99474bed065b6b05"/>
                <w:lock w:val="sdtLocked"/>
                <w:richText/>
              </w:sdtPr>
              <w:sdtContent>
                <w:p>
                  <w:pPr>
                    <w:spacing w:line="360" w:lineRule="auto"/>
                    <w:ind w:left="2268" w:hanging="1548"/>
                    <w:jc w:val="both"/>
                    <w:rPr>
                      <w:kern w:val="2"/>
                      <w:szCs w:val="24"/>
                    </w:rPr>
                  </w:pPr>
                  <w:sdt>
                    <w:sdtPr>
                      <w:alias w:val="Numeris"/>
                      <w:tag w:val="nr_ba0634cd352f49aa99474bed065b6b05"/>
                      <w:lock w:val="sdtLocked"/>
                      <w:richText/>
                    </w:sdtPr>
                    <w:sdtContent>
                      <w:r>
                        <w:rPr>
                          <w:b/>
                          <w:kern w:val="2"/>
                          <w:szCs w:val="24"/>
                        </w:rPr>
                        <w:t>28</w:t>
                      </w:r>
                    </w:sdtContent>
                  </w:sdt>
                  <w:r>
                    <w:rPr>
                      <w:b/>
                      <w:kern w:val="2"/>
                      <w:szCs w:val="24"/>
                    </w:rPr>
                    <w:t xml:space="preserve"> straipsnis. </w:t>
                  </w:r>
                  <w:sdt>
                    <w:sdtPr>
                      <w:alias w:val="Pavadinimas"/>
                      <w:tag w:val="title_ba0634cd352f49aa99474bed065b6b05"/>
                      <w:lock w:val="sdtLocked"/>
                      <w:richText/>
                    </w:sdtPr>
                    <w:sdtContent>
                      <w:r>
                        <w:rPr>
                          <w:b/>
                          <w:kern w:val="2"/>
                          <w:szCs w:val="24"/>
                        </w:rPr>
                        <w:t>Bylos dėl ekonominės piniginės sankcijos skyrimo nagrinėjimas ir ekonominės piniginės sankcijos skyrimo bylos nagrinėjimo atidėjimas</w:t>
                      </w:r>
                    </w:sdtContent>
                  </w:sdt>
                </w:p>
                <w:sdt>
                  <w:sdtPr>
                    <w:alias w:val="28 str. 1 d."/>
                    <w:tag w:val="part_4839d8d637f4442cbff4a0c43b4a9833"/>
                    <w:lock w:val="sdtLocked"/>
                    <w:richText/>
                  </w:sdtPr>
                  <w:sdtContent>
                    <w:p>
                      <w:pPr>
                        <w:spacing w:line="360" w:lineRule="auto"/>
                        <w:ind w:firstLine="720"/>
                        <w:jc w:val="both"/>
                        <w:rPr>
                          <w:szCs w:val="24"/>
                          <w:lang w:eastAsia="lt-LT"/>
                        </w:rPr>
                      </w:pPr>
                      <w:sdt>
                        <w:sdtPr>
                          <w:alias w:val="Numeris"/>
                          <w:tag w:val="nr_4839d8d637f4442cbff4a0c43b4a9833"/>
                          <w:lock w:val="sdtLocked"/>
                          <w:richText/>
                        </w:sdtPr>
                        <w:sdtContent>
                          <w:r>
                            <w:rPr>
                              <w:szCs w:val="24"/>
                              <w:lang w:eastAsia="lt-LT"/>
                            </w:rPr>
                            <w:t>1</w:t>
                          </w:r>
                        </w:sdtContent>
                      </w:sdt>
                      <w:r>
                        <w:rPr>
                          <w:szCs w:val="24"/>
                          <w:lang w:eastAsia="lt-LT"/>
                        </w:rPr>
                        <w:t>. Byla dėl ekonominės piniginės sankcijos skyrimo nagrinėjama dalyvaujant įtariamam padariusiam pažeidimą asmeniui ir proceso dalyviams.</w:t>
                      </w:r>
                    </w:p>
                  </w:sdtContent>
                </w:sdt>
                <w:sdt>
                  <w:sdtPr>
                    <w:alias w:val="28 str. 2 d."/>
                    <w:tag w:val="part_b05123e26e5648cd86eb9faacd6d1f53"/>
                    <w:lock w:val="sdtLocked"/>
                    <w:richText/>
                  </w:sdtPr>
                  <w:sdtContent>
                    <w:p>
                      <w:pPr>
                        <w:spacing w:line="360" w:lineRule="auto"/>
                        <w:ind w:firstLine="720"/>
                        <w:jc w:val="both"/>
                        <w:rPr>
                          <w:szCs w:val="24"/>
                          <w:lang w:eastAsia="lt-LT"/>
                        </w:rPr>
                      </w:pPr>
                      <w:sdt>
                        <w:sdtPr>
                          <w:alias w:val="Numeris"/>
                          <w:tag w:val="nr_b05123e26e5648cd86eb9faacd6d1f53"/>
                          <w:lock w:val="sdtLocked"/>
                          <w:richText/>
                        </w:sdtPr>
                        <w:sdtContent>
                          <w:r>
                            <w:rPr>
                              <w:szCs w:val="24"/>
                              <w:lang w:eastAsia="lt-LT"/>
                            </w:rPr>
                            <w:t>2</w:t>
                          </w:r>
                        </w:sdtContent>
                      </w:sdt>
                      <w:r>
                        <w:rPr>
                          <w:szCs w:val="24"/>
                          <w:lang w:eastAsia="lt-LT"/>
                        </w:rPr>
                        <w:t>. Ekonominės piniginės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f2cda671128b45a1985840ef82f97f12"/>
                    <w:lock w:val="sdtLocked"/>
                    <w:richText/>
                  </w:sdtPr>
                  <w:sdtContent>
                    <w:p>
                      <w:pPr>
                        <w:spacing w:line="360" w:lineRule="auto"/>
                        <w:ind w:firstLine="720"/>
                        <w:jc w:val="both"/>
                        <w:rPr>
                          <w:szCs w:val="24"/>
                          <w:lang w:eastAsia="lt-LT"/>
                        </w:rPr>
                      </w:pPr>
                      <w:sdt>
                        <w:sdtPr>
                          <w:alias w:val="Numeris"/>
                          <w:tag w:val="nr_f2cda671128b45a1985840ef82f97f12"/>
                          <w:lock w:val="sdtLocked"/>
                          <w:richText/>
                        </w:sdtPr>
                        <w:sdtContent>
                          <w:r>
                            <w:rPr>
                              <w:szCs w:val="24"/>
                              <w:lang w:eastAsia="lt-LT"/>
                            </w:rPr>
                            <w:t>3</w:t>
                          </w:r>
                        </w:sdtContent>
                      </w:sdt>
                      <w:r>
                        <w:rPr>
                          <w:szCs w:val="24"/>
                          <w:lang w:eastAsia="lt-LT"/>
                        </w:rPr>
                        <w:t>. Ekonominės piniginės sankcijos skyrimo byla nagrinėjama ir neatvykus įtariamam padariusiam pažeidimą asmeniui ir (ar) proceso dalyviams, jeigu žinoma, kad apie bylos dėl ekonominės piniginės sankcijos skyrimo nagrinėjimą jie informuoti ir raštu nepateikė motyvuoto prašymo atidėti bylos nagrinėjimą.</w:t>
                      </w:r>
                    </w:p>
                  </w:sdtContent>
                </w:sdt>
                <w:sdt>
                  <w:sdtPr>
                    <w:alias w:val="28 str. 4 d."/>
                    <w:tag w:val="part_84ed3b2012774f6d8d6e79bc6871cfa4"/>
                    <w:lock w:val="sdtLocked"/>
                    <w:richText/>
                  </w:sdtPr>
                  <w:sdtContent>
                    <w:p>
                      <w:pPr>
                        <w:spacing w:line="360" w:lineRule="auto"/>
                        <w:ind w:firstLine="720"/>
                        <w:jc w:val="both"/>
                        <w:rPr>
                          <w:szCs w:val="24"/>
                          <w:lang w:eastAsia="lt-LT"/>
                        </w:rPr>
                      </w:pPr>
                      <w:sdt>
                        <w:sdtPr>
                          <w:alias w:val="Numeris"/>
                          <w:tag w:val="nr_84ed3b2012774f6d8d6e79bc6871cfa4"/>
                          <w:lock w:val="sdtLocked"/>
                          <w:richText/>
                        </w:sdtPr>
                        <w:sdtContent>
                          <w:r>
                            <w:rPr>
                              <w:szCs w:val="24"/>
                              <w:lang w:eastAsia="lt-LT"/>
                            </w:rPr>
                            <w:t>4</w:t>
                          </w:r>
                        </w:sdtContent>
                      </w:sdt>
                      <w:r>
                        <w:rPr>
                          <w:szCs w:val="24"/>
                          <w:lang w:eastAsia="lt-LT"/>
                        </w:rPr>
                        <w:t>. Sprendimą atidėti bylos dėl ekonominės piniginės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piniginės sankcijos skyrimo bylą, nustato naują ekonominės piniginės sankcijos skyrimo bylos nagrinėjimo vietą, datą ir laiką.</w:t>
                      </w:r>
                    </w:p>
                  </w:sdtContent>
                </w:sdt>
                <w:sdt>
                  <w:sdtPr>
                    <w:alias w:val="28 str. 5 d."/>
                    <w:tag w:val="part_757b0bf75a2b4fb28e8d012d9e77e6b1"/>
                    <w:lock w:val="sdtLocked"/>
                    <w:richText/>
                  </w:sdtPr>
                  <w:sdtContent>
                    <w:p>
                      <w:pPr>
                        <w:spacing w:line="360" w:lineRule="auto"/>
                        <w:ind w:firstLine="720"/>
                        <w:jc w:val="both"/>
                        <w:rPr>
                          <w:szCs w:val="24"/>
                          <w:lang w:eastAsia="lt-LT"/>
                        </w:rPr>
                      </w:pPr>
                      <w:sdt>
                        <w:sdtPr>
                          <w:alias w:val="Numeris"/>
                          <w:tag w:val="nr_757b0bf75a2b4fb28e8d012d9e77e6b1"/>
                          <w:lock w:val="sdtLocked"/>
                          <w:richText/>
                        </w:sdtPr>
                        <w:sdtContent>
                          <w:r>
                            <w:rPr>
                              <w:szCs w:val="24"/>
                              <w:lang w:eastAsia="lt-LT"/>
                            </w:rPr>
                            <w:t>5</w:t>
                          </w:r>
                        </w:sdtContent>
                      </w:sdt>
                      <w:r>
                        <w:rPr>
                          <w:szCs w:val="24"/>
                          <w:lang w:eastAsia="lt-LT"/>
                        </w:rPr>
                        <w:t>. Šio straipsnio 4 dalyje nurodytas nutarimas įtariamam padariusiam pažeidimą asmeniui ir proceso dalyviams įteikiamas registruotąja pašto siunta.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w:tag w:val="part_bc03bad221cd4cad9435f2b4fc21bb30"/>
                <w:lock w:val="sdtLocked"/>
                <w:richText/>
              </w:sdtPr>
              <w:sdtContent>
                <w:p>
                  <w:pPr>
                    <w:spacing w:line="360" w:lineRule="auto"/>
                    <w:ind w:left="2268" w:hanging="1548"/>
                    <w:jc w:val="both"/>
                    <w:rPr>
                      <w:b/>
                    </w:rPr>
                  </w:pPr>
                  <w:sdt>
                    <w:sdtPr>
                      <w:alias w:val="Numeris"/>
                      <w:tag w:val="nr_bc03bad221cd4cad9435f2b4fc21bb30"/>
                      <w:lock w:val="sdtLocked"/>
                      <w:richText/>
                    </w:sdtPr>
                    <w:sdtContent>
                      <w:r>
                        <w:rPr>
                          <w:b/>
                        </w:rPr>
                        <w:t>29</w:t>
                      </w:r>
                    </w:sdtContent>
                  </w:sdt>
                  <w:r>
                    <w:rPr>
                      <w:b/>
                    </w:rPr>
                    <w:t xml:space="preserve"> straipsnis. </w:t>
                  </w:r>
                  <w:sdt>
                    <w:sdtPr>
                      <w:alias w:val="Pavadinimas"/>
                      <w:tag w:val="title_bc03bad221cd4cad9435f2b4fc21bb30"/>
                      <w:lock w:val="sdtLocked"/>
                      <w:richText/>
                    </w:sdtPr>
                    <w:sdtContent>
                      <w:r>
                        <w:rPr>
                          <w:b/>
                        </w:rPr>
                        <w:t xml:space="preserve">Nutarimai, priimami išnagrinėjus bylą dėl ekonominės piniginės sankcijos skyrimo, ir jų apskundimas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
                  <w:sdtPr>
                    <w:alias w:val="29 str. 1 d."/>
                    <w:tag w:val="part_9ad3783dfbc94b0bac92166403d60816"/>
                    <w:lock w:val="sdtLocked"/>
                    <w:richText/>
                  </w:sdtPr>
                  <w:sdtContent>
                    <w:p>
                      <w:pPr>
                        <w:tabs>
                          <w:tab w:val="left" w:pos="709"/>
                        </w:tabs>
                        <w:spacing w:line="360" w:lineRule="auto"/>
                        <w:ind w:firstLine="720"/>
                        <w:jc w:val="both"/>
                        <w:rPr>
                          <w:kern w:val="2"/>
                          <w:szCs w:val="24"/>
                        </w:rPr>
                      </w:pPr>
                      <w:sdt>
                        <w:sdtPr>
                          <w:alias w:val="Numeris"/>
                          <w:tag w:val="nr_9ad3783dfbc94b0bac92166403d60816"/>
                          <w:lock w:val="sdtLocked"/>
                          <w:richText/>
                        </w:sdtPr>
                        <w:sdtContent>
                          <w:r>
                            <w:rPr>
                              <w:kern w:val="2"/>
                              <w:szCs w:val="24"/>
                            </w:rPr>
                            <w:t>1</w:t>
                          </w:r>
                        </w:sdtContent>
                      </w:sdt>
                      <w:r>
                        <w:rPr>
                          <w:kern w:val="2"/>
                          <w:szCs w:val="24"/>
                        </w:rPr>
                        <w:t>. Aplinkos apsaugos valstybinės kontrolės pareigūnas, išnagrinėjęs ekonominės piniginės sankcijos skyrimo bylą, priima atitinkamą nutarimą:</w:t>
                      </w:r>
                    </w:p>
                    <w:sdt>
                      <w:sdtPr>
                        <w:alias w:val="29 str. 1 d. 1 p."/>
                        <w:tag w:val="part_a5500dbfbe2a45bdb75f9a6046ea596c"/>
                        <w:lock w:val="sdtLocked"/>
                        <w:richText/>
                      </w:sdtPr>
                      <w:sdtContent>
                        <w:p>
                          <w:pPr>
                            <w:tabs>
                              <w:tab w:val="left" w:pos="709"/>
                            </w:tabs>
                            <w:spacing w:line="360" w:lineRule="auto"/>
                            <w:ind w:firstLine="720"/>
                            <w:jc w:val="both"/>
                            <w:rPr>
                              <w:kern w:val="2"/>
                              <w:szCs w:val="24"/>
                            </w:rPr>
                          </w:pPr>
                          <w:sdt>
                            <w:sdtPr>
                              <w:alias w:val="Numeris"/>
                              <w:tag w:val="nr_a5500dbfbe2a45bdb75f9a6046ea596c"/>
                              <w:lock w:val="sdtLocked"/>
                              <w:richText/>
                            </w:sdtPr>
                            <w:sdtContent>
                              <w:r>
                                <w:rPr>
                                  <w:kern w:val="2"/>
                                  <w:szCs w:val="24"/>
                                </w:rPr>
                                <w:t>1</w:t>
                              </w:r>
                            </w:sdtContent>
                          </w:sdt>
                          <w:r>
                            <w:rPr>
                              <w:kern w:val="2"/>
                              <w:szCs w:val="24"/>
                            </w:rPr>
                            <w:t>) skirti ekonominę piniginę sankciją;</w:t>
                          </w:r>
                        </w:p>
                      </w:sdtContent>
                    </w:sdt>
                    <w:sdt>
                      <w:sdtPr>
                        <w:alias w:val="29 str. 1 d. 2 p."/>
                        <w:tag w:val="part_e07c64d7b4b248a3b621af5470b04c5d"/>
                        <w:lock w:val="sdtLocked"/>
                        <w:richText/>
                      </w:sdtPr>
                      <w:sdtContent>
                        <w:p>
                          <w:pPr>
                            <w:tabs>
                              <w:tab w:val="left" w:pos="709"/>
                            </w:tabs>
                            <w:spacing w:line="360" w:lineRule="auto"/>
                            <w:ind w:firstLine="720"/>
                            <w:jc w:val="both"/>
                            <w:rPr>
                              <w:kern w:val="2"/>
                              <w:szCs w:val="24"/>
                            </w:rPr>
                          </w:pPr>
                          <w:sdt>
                            <w:sdtPr>
                              <w:alias w:val="Numeris"/>
                              <w:tag w:val="nr_e07c64d7b4b248a3b621af5470b04c5d"/>
                              <w:lock w:val="sdtLocked"/>
                              <w:richText/>
                            </w:sdtPr>
                            <w:sdtContent>
                              <w:r>
                                <w:rPr>
                                  <w:kern w:val="2"/>
                                  <w:szCs w:val="24"/>
                                </w:rPr>
                                <w:t>2</w:t>
                              </w:r>
                            </w:sdtContent>
                          </w:sdt>
                          <w:r>
                            <w:rPr>
                              <w:kern w:val="2"/>
                              <w:szCs w:val="24"/>
                            </w:rPr>
                            <w:t>) nutraukti ekonominės piniginės sankcijos skyrimo bylą, jeigu nėra pažeidimų, numatytų šio įstatymo 23 straipsnyje, sudėties;</w:t>
                          </w:r>
                        </w:p>
                      </w:sdtContent>
                    </w:sdt>
                    <w:sdt>
                      <w:sdtPr>
                        <w:alias w:val="29 str. 1 d. 3 p."/>
                        <w:tag w:val="part_0cf16304b0d344dc857ca76646955002"/>
                        <w:lock w:val="sdtLocked"/>
                        <w:richText/>
                      </w:sdtPr>
                      <w:sdtContent>
                        <w:p>
                          <w:pPr>
                            <w:tabs>
                              <w:tab w:val="left" w:pos="709"/>
                            </w:tabs>
                            <w:spacing w:line="360" w:lineRule="auto"/>
                            <w:ind w:firstLine="720"/>
                            <w:jc w:val="both"/>
                            <w:rPr>
                              <w:kern w:val="2"/>
                              <w:szCs w:val="24"/>
                            </w:rPr>
                          </w:pPr>
                          <w:sdt>
                            <w:sdtPr>
                              <w:alias w:val="Numeris"/>
                              <w:tag w:val="nr_0cf16304b0d344dc857ca76646955002"/>
                              <w:lock w:val="sdtLocked"/>
                              <w:richText/>
                            </w:sdtPr>
                            <w:sdtContent>
                              <w:r>
                                <w:rPr>
                                  <w:kern w:val="2"/>
                                  <w:szCs w:val="24"/>
                                </w:rPr>
                                <w:t>3</w:t>
                              </w:r>
                            </w:sdtContent>
                          </w:sdt>
                          <w:r>
                            <w:rPr>
                              <w:kern w:val="2"/>
                              <w:szCs w:val="24"/>
                            </w:rPr>
                            <w:t>) nutraukti bylą suėjus šio įstatymo 23 straipsnyje nustatytiems terminams;</w:t>
                          </w:r>
                        </w:p>
                      </w:sdtContent>
                    </w:sdt>
                    <w:sdt>
                      <w:sdtPr>
                        <w:alias w:val="29 str. 1 d. 4 p."/>
                        <w:tag w:val="part_82db1fa0e6374ef18977f9e824e0f636"/>
                        <w:lock w:val="sdtLocked"/>
                        <w:richText/>
                      </w:sdtPr>
                      <w:sdtContent>
                        <w:p>
                          <w:pPr>
                            <w:tabs>
                              <w:tab w:val="left" w:pos="709"/>
                            </w:tabs>
                            <w:spacing w:line="360" w:lineRule="auto"/>
                            <w:ind w:firstLine="720"/>
                            <w:jc w:val="both"/>
                            <w:rPr>
                              <w:color w:val="000000"/>
                              <w:szCs w:val="24"/>
                            </w:rPr>
                          </w:pPr>
                          <w:sdt>
                            <w:sdtPr>
                              <w:alias w:val="Numeris"/>
                              <w:tag w:val="nr_82db1fa0e6374ef18977f9e824e0f636"/>
                              <w:lock w:val="sdtLocked"/>
                              <w:richText/>
                            </w:sdtPr>
                            <w:sdtContent>
                              <w:r>
                                <w:rPr>
                                  <w:kern w:val="2"/>
                                  <w:szCs w:val="24"/>
                                </w:rPr>
                                <w:t>4</w:t>
                              </w:r>
                            </w:sdtContent>
                          </w:sdt>
                          <w:r>
                            <w:rPr>
                              <w:kern w:val="2"/>
                              <w:szCs w:val="24"/>
                            </w:rPr>
                            <w:t>) ekonominės piniginės sankcijos skyrimo byloje atlikti papildomą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a2e930fa6dd84f93b75f6a376651fe46"/>
                        <w:lock w:val="sdtLocked"/>
                        <w:richText/>
                      </w:sdtPr>
                      <w:sdtContent>
                        <w:p>
                          <w:pPr>
                            <w:tabs>
                              <w:tab w:val="left" w:pos="709"/>
                            </w:tabs>
                            <w:spacing w:line="360" w:lineRule="auto"/>
                            <w:ind w:firstLine="720"/>
                            <w:jc w:val="both"/>
                            <w:rPr>
                              <w:color w:val="000000"/>
                              <w:szCs w:val="24"/>
                              <w:shd w:val="clear" w:color="auto" w:fill="FFFFFF"/>
                              <w:lang w:eastAsia="ar-SA"/>
                            </w:rPr>
                          </w:pPr>
                          <w:sdt>
                            <w:sdtPr>
                              <w:alias w:val="Numeris"/>
                              <w:tag w:val="nr_a2e930fa6dd84f93b75f6a376651fe46"/>
                              <w:lock w:val="sdtLocked"/>
                              <w:richText/>
                            </w:sdtPr>
                            <w:sdtContent>
                              <w:r>
                                <w:rPr>
                                  <w:kern w:val="2"/>
                                  <w:szCs w:val="24"/>
                                </w:rPr>
                                <w:t>2</w:t>
                              </w:r>
                            </w:sdtContent>
                          </w:sdt>
                          <w:r>
                            <w:rPr>
                              <w:kern w:val="2"/>
                              <w:szCs w:val="24"/>
                            </w:rPr>
                            <w:t>) bylos dėl ekonominės piniginės sankcijos skyrimo nagrinėjimo vieta, data,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3cf5201612cd4ff391603e2a87cc5914"/>
                        <w:lock w:val="sdtLocked"/>
                        <w:richText/>
                      </w:sdtPr>
                      <w:sdtContent>
                        <w:p>
                          <w:pPr>
                            <w:tabs>
                              <w:tab w:val="left" w:pos="709"/>
                            </w:tabs>
                            <w:spacing w:line="360" w:lineRule="auto"/>
                            <w:ind w:firstLine="709"/>
                            <w:jc w:val="both"/>
                            <w:rPr>
                              <w:kern w:val="2"/>
                              <w:szCs w:val="24"/>
                            </w:rPr>
                          </w:pPr>
                          <w:sdt>
                            <w:sdtPr>
                              <w:alias w:val="Numeris"/>
                              <w:tag w:val="nr_3cf5201612cd4ff391603e2a87cc5914"/>
                              <w:lock w:val="sdtLocked"/>
                              <w:richText/>
                            </w:sdtPr>
                            <w:sdtContent>
                              <w:r>
                                <w:rPr>
                                  <w:kern w:val="2"/>
                                  <w:szCs w:val="24"/>
                                </w:rPr>
                                <w:t>8</w:t>
                              </w:r>
                            </w:sdtContent>
                          </w:sdt>
                          <w:r>
                            <w:rPr>
                              <w:kern w:val="2"/>
                              <w:szCs w:val="24"/>
                            </w:rPr>
                            <w:t>) aplinkos apsaugos valstybinės kontrolės pareigūno priimtas nutarimas (skiriamos ekonominės piniginės sankcijos dydis, jeigu ji skiriama), nutarimo apskundimo terminai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99a6cc40c95f42a4b84aee1bcaca6ecd"/>
                <w:lock w:val="sdtLocked"/>
                <w:richText/>
              </w:sdtPr>
              <w:sdtContent>
                <w:p>
                  <w:pPr>
                    <w:tabs>
                      <w:tab w:val="left" w:pos="709"/>
                    </w:tabs>
                    <w:spacing w:line="360" w:lineRule="auto"/>
                    <w:ind w:left="2268" w:hanging="1548"/>
                    <w:jc w:val="both"/>
                    <w:rPr>
                      <w:b/>
                      <w:kern w:val="2"/>
                      <w:szCs w:val="24"/>
                    </w:rPr>
                  </w:pPr>
                  <w:sdt>
                    <w:sdtPr>
                      <w:alias w:val="Numeris"/>
                      <w:tag w:val="nr_99a6cc40c95f42a4b84aee1bcaca6ecd"/>
                      <w:lock w:val="sdtLocked"/>
                      <w:richText/>
                    </w:sdtPr>
                    <w:sdtContent>
                      <w:r>
                        <w:rPr>
                          <w:b/>
                          <w:kern w:val="2"/>
                          <w:szCs w:val="24"/>
                        </w:rPr>
                        <w:t>30</w:t>
                      </w:r>
                    </w:sdtContent>
                  </w:sdt>
                  <w:r>
                    <w:rPr>
                      <w:b/>
                      <w:kern w:val="2"/>
                      <w:szCs w:val="24"/>
                    </w:rPr>
                    <w:t xml:space="preserve"> straipsnis. </w:t>
                  </w:r>
                  <w:sdt>
                    <w:sdtPr>
                      <w:alias w:val="Pavadinimas"/>
                      <w:tag w:val="title_99a6cc40c95f42a4b84aee1bcaca6ecd"/>
                      <w:lock w:val="sdtLocked"/>
                      <w:richText/>
                    </w:sdtPr>
                    <w:sdtContent>
                      <w:r>
                        <w:rPr>
                          <w:b/>
                          <w:kern w:val="2"/>
                          <w:szCs w:val="24"/>
                        </w:rPr>
                        <w:t>Papildomo tyrimo atlikimas byloje dėl ekonominės piniginės sankcijos skyrimo</w:t>
                      </w:r>
                    </w:sdtContent>
                  </w:sdt>
                </w:p>
                <w:sdt>
                  <w:sdtPr>
                    <w:alias w:val="30 str. 1 d."/>
                    <w:tag w:val="part_1907b37c88b5499490dd42c3c9ffd073"/>
                    <w:lock w:val="sdtLocked"/>
                    <w:richText/>
                  </w:sdtPr>
                  <w:sdtContent>
                    <w:p>
                      <w:pPr>
                        <w:spacing w:line="360" w:lineRule="auto"/>
                        <w:ind w:firstLine="720"/>
                        <w:jc w:val="both"/>
                        <w:rPr>
                          <w:szCs w:val="24"/>
                          <w:lang w:eastAsia="lt-LT"/>
                        </w:rPr>
                      </w:pPr>
                      <w:sdt>
                        <w:sdtPr>
                          <w:alias w:val="Numeris"/>
                          <w:tag w:val="nr_1907b37c88b5499490dd42c3c9ffd073"/>
                          <w:lock w:val="sdtLocked"/>
                          <w:richText/>
                        </w:sdtPr>
                        <w:sdtContent>
                          <w:r>
                            <w:rPr>
                              <w:szCs w:val="24"/>
                              <w:lang w:eastAsia="lt-LT"/>
                            </w:rPr>
                            <w:t>1</w:t>
                          </w:r>
                        </w:sdtContent>
                      </w:sdt>
                      <w:r>
                        <w:rPr>
                          <w:szCs w:val="24"/>
                          <w:lang w:eastAsia="lt-LT"/>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5dd34ebb57f14b7d8c0c85a74bac1670"/>
                    <w:lock w:val="sdtLocked"/>
                    <w:richText/>
                  </w:sdtPr>
                  <w:sdtContent>
                    <w:p>
                      <w:pPr>
                        <w:spacing w:line="360" w:lineRule="auto"/>
                        <w:ind w:firstLine="720"/>
                        <w:jc w:val="both"/>
                        <w:rPr>
                          <w:szCs w:val="24"/>
                          <w:lang w:eastAsia="lt-LT"/>
                        </w:rPr>
                      </w:pPr>
                      <w:sdt>
                        <w:sdtPr>
                          <w:alias w:val="Numeris"/>
                          <w:tag w:val="nr_5dd34ebb57f14b7d8c0c85a74bac1670"/>
                          <w:lock w:val="sdtLocked"/>
                          <w:richText/>
                        </w:sdtPr>
                        <w:sdtContent>
                          <w:r>
                            <w:rPr>
                              <w:szCs w:val="24"/>
                              <w:lang w:eastAsia="lt-LT"/>
                            </w:rPr>
                            <w:t>2</w:t>
                          </w:r>
                        </w:sdtContent>
                      </w:sdt>
                      <w:r>
                        <w:rPr>
                          <w:szCs w:val="24"/>
                          <w:lang w:eastAsia="lt-LT"/>
                        </w:rPr>
                        <w:t>. Atlikus papildomą tyrimą, ekonominės piniginės sankcijos skyrimo byla nagrinėjama šio įstatymo 25–29 straipsniuose nustatyta tvarka</w:t>
                      </w:r>
                      <w:r>
                        <w:rPr>
                          <w:kern w:val="2"/>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
              <w:sdtPr>
                <w:alias w:val="31 str."/>
                <w:tag w:val="part_86dbdccd14f145a793361fb9327ce79f"/>
                <w:lock w:val="sdtLocked"/>
                <w:richText/>
              </w:sdtPr>
              <w:sdtContent>
                <w:p>
                  <w:pPr>
                    <w:tabs>
                      <w:tab w:val="left" w:pos="709"/>
                    </w:tabs>
                    <w:spacing w:line="360" w:lineRule="auto"/>
                    <w:ind w:firstLine="720"/>
                    <w:jc w:val="both"/>
                    <w:rPr>
                      <w:kern w:val="2"/>
                      <w:szCs w:val="24"/>
                    </w:rPr>
                  </w:pPr>
                  <w:sdt>
                    <w:sdtPr>
                      <w:alias w:val="Numeris"/>
                      <w:tag w:val="nr_86dbdccd14f145a793361fb9327ce79f"/>
                      <w:lock w:val="sdtLocked"/>
                      <w:richText/>
                    </w:sdtPr>
                    <w:sdtContent>
                      <w:r>
                        <w:rPr>
                          <w:b/>
                          <w:kern w:val="2"/>
                          <w:szCs w:val="24"/>
                        </w:rPr>
                        <w:t>31</w:t>
                      </w:r>
                    </w:sdtContent>
                  </w:sdt>
                  <w:r>
                    <w:rPr>
                      <w:b/>
                      <w:kern w:val="2"/>
                      <w:szCs w:val="24"/>
                    </w:rPr>
                    <w:t xml:space="preserve"> straipsnis. </w:t>
                  </w:r>
                  <w:sdt>
                    <w:sdtPr>
                      <w:alias w:val="Pavadinimas"/>
                      <w:tag w:val="title_86dbdccd14f145a793361fb9327ce79f"/>
                      <w:lock w:val="sdtLocked"/>
                      <w:richText/>
                    </w:sdtPr>
                    <w:sdtContent>
                      <w:r>
                        <w:rPr>
                          <w:b/>
                          <w:kern w:val="2"/>
                          <w:szCs w:val="24"/>
                        </w:rPr>
                        <w:t>Ekonominių piniginių sankcijų sumokėjimas ir išieškojimas</w:t>
                      </w:r>
                    </w:sdtContent>
                  </w:sdt>
                </w:p>
                <w:sdt>
                  <w:sdtPr>
                    <w:alias w:val="31 str. 1 d."/>
                    <w:tag w:val="part_406752cfe9ef46b1898bf71296b5e2ce"/>
                    <w:lock w:val="sdtLocked"/>
                    <w:richText/>
                  </w:sdtPr>
                  <w:sdtContent>
                    <w:p>
                      <w:pPr>
                        <w:tabs>
                          <w:tab w:val="left" w:pos="709"/>
                        </w:tabs>
                        <w:spacing w:line="360" w:lineRule="auto"/>
                        <w:ind w:firstLine="720"/>
                        <w:jc w:val="both"/>
                        <w:rPr>
                          <w:kern w:val="2"/>
                          <w:szCs w:val="24"/>
                        </w:rPr>
                      </w:pPr>
                      <w:sdt>
                        <w:sdtPr>
                          <w:alias w:val="Numeris"/>
                          <w:tag w:val="nr_406752cfe9ef46b1898bf71296b5e2ce"/>
                          <w:lock w:val="sdtLocked"/>
                          <w:richText/>
                        </w:sdtPr>
                        <w:sdtContent>
                          <w:r>
                            <w:rPr>
                              <w:kern w:val="2"/>
                              <w:szCs w:val="24"/>
                            </w:rPr>
                            <w:t>1</w:t>
                          </w:r>
                        </w:sdtContent>
                      </w:sdt>
                      <w:r>
                        <w:rPr>
                          <w:kern w:val="2"/>
                          <w:szCs w:val="24"/>
                        </w:rPr>
                        <w:t>. Asmenys paskirtas baudas sumoka į šio įstatymo 14 straipsnio 1 dalyje nurodytą valstybės iždo sąskaitą ne vėliau kaip per 3 mėnesius nuo nutarimo skirti ekonominę piniginę sankciją įsigaliojimo dienos.</w:t>
                      </w:r>
                    </w:p>
                  </w:sdtContent>
                </w:sdt>
                <w:sdt>
                  <w:sdtPr>
                    <w:alias w:val="31 str. 2 d."/>
                    <w:tag w:val="part_f82e811f5aa5464e90dca7ccb2cd1dd9"/>
                    <w:lock w:val="sdtLocked"/>
                    <w:richText/>
                  </w:sdtPr>
                  <w:sdtContent>
                    <w:p>
                      <w:pPr>
                        <w:tabs>
                          <w:tab w:val="left" w:pos="709"/>
                        </w:tabs>
                        <w:spacing w:line="360" w:lineRule="auto"/>
                        <w:ind w:firstLine="720"/>
                        <w:jc w:val="both"/>
                        <w:rPr>
                          <w:kern w:val="2"/>
                          <w:szCs w:val="24"/>
                        </w:rPr>
                      </w:pPr>
                      <w:sdt>
                        <w:sdtPr>
                          <w:alias w:val="Numeris"/>
                          <w:tag w:val="nr_f82e811f5aa5464e90dca7ccb2cd1dd9"/>
                          <w:lock w:val="sdtLocked"/>
                          <w:richText/>
                        </w:sdtPr>
                        <w:sdtContent>
                          <w:r>
                            <w:rPr>
                              <w:kern w:val="2"/>
                              <w:szCs w:val="24"/>
                            </w:rPr>
                            <w:t>2</w:t>
                          </w:r>
                        </w:sdtContent>
                      </w:sdt>
                      <w:r>
                        <w:rPr>
                          <w:kern w:val="2"/>
                          <w:szCs w:val="24"/>
                        </w:rPr>
                        <w:t xml:space="preserve">. </w:t>
                      </w:r>
                      <w:r>
                        <w:rPr>
                          <w:szCs w:val="24"/>
                          <w:lang w:eastAsia="lt-LT"/>
                        </w:rPr>
                        <w:t xml:space="preserve">Nutarimas skirti ekonominę piniginę sankciją </w:t>
                      </w:r>
                      <w:r>
                        <w:rPr>
                          <w:bCs/>
                          <w:szCs w:val="24"/>
                          <w:lang w:eastAsia="lt-LT"/>
                        </w:rPr>
                        <w:t>yra vykdomasis dokumentas</w:t>
                      </w:r>
                      <w:r>
                        <w:rPr>
                          <w:szCs w:val="24"/>
                          <w:lang w:eastAsia="lt-LT"/>
                        </w:rPr>
                        <w:t>. Jeigu bauda nesumokama per šio straipsnio 1 dalyje nustatytą terminą,</w:t>
                      </w:r>
                      <w:r>
                        <w:rPr>
                          <w:bCs/>
                          <w:szCs w:val="24"/>
                          <w:lang w:eastAsia="lt-LT"/>
                        </w:rPr>
                        <w:t xml:space="preserve"> nutarimas skirti ekonominę piniginę sankciją</w:t>
                      </w:r>
                      <w:r>
                        <w:rPr>
                          <w:szCs w:val="24"/>
                          <w:lang w:eastAsia="lt-LT"/>
                        </w:rPr>
                        <w:t xml:space="preserve"> </w:t>
                      </w:r>
                      <w:r>
                        <w:rPr>
                          <w:bCs/>
                          <w:szCs w:val="24"/>
                          <w:lang w:eastAsia="lt-LT"/>
                        </w:rPr>
                        <w:t>vykdomas Lietuvos Respublikos mokesčių administravimo įstatyme ir</w:t>
                      </w:r>
                      <w:r>
                        <w:rPr>
                          <w:szCs w:val="24"/>
                          <w:lang w:eastAsia="lt-LT"/>
                        </w:rPr>
                        <w:t xml:space="preserve"> Lietuvos Respublikos civilinio proceso </w:t>
                      </w:r>
                      <w:r>
                        <w:rPr>
                          <w:bCs/>
                          <w:szCs w:val="24"/>
                          <w:lang w:eastAsia="lt-LT"/>
                        </w:rPr>
                        <w:t>kodekse</w:t>
                      </w:r>
                      <w:r>
                        <w:rPr>
                          <w:szCs w:val="24"/>
                          <w:lang w:eastAsia="lt-LT"/>
                        </w:rPr>
                        <w:t xml:space="preserve"> nustatyta tvarka.</w:t>
                      </w:r>
                    </w:p>
                  </w:sdtContent>
                </w:sdt>
                <w:sdt>
                  <w:sdtPr>
                    <w:alias w:val="31 str. 3 d."/>
                    <w:tag w:val="part_771ce20b4f68440a99d084d78a4c081e"/>
                    <w:lock w:val="sdtLocked"/>
                    <w:richText/>
                  </w:sdtPr>
                  <w:sdtContent>
                    <w:p>
                      <w:pPr>
                        <w:tabs>
                          <w:tab w:val="left" w:pos="709"/>
                        </w:tabs>
                        <w:spacing w:line="360" w:lineRule="auto"/>
                        <w:ind w:firstLine="720"/>
                        <w:jc w:val="both"/>
                        <w:rPr>
                          <w:kern w:val="2"/>
                          <w:szCs w:val="24"/>
                        </w:rPr>
                      </w:pPr>
                      <w:sdt>
                        <w:sdtPr>
                          <w:alias w:val="Numeris"/>
                          <w:tag w:val="nr_771ce20b4f68440a99d084d78a4c081e"/>
                          <w:lock w:val="sdtLocked"/>
                          <w:richText/>
                        </w:sdtPr>
                        <w:sdtContent>
                          <w:r>
                            <w:rPr>
                              <w:kern w:val="2"/>
                              <w:szCs w:val="24"/>
                            </w:rPr>
                            <w:t>3</w:t>
                          </w:r>
                        </w:sdtContent>
                      </w:sdt>
                      <w:r>
                        <w:rPr>
                          <w:kern w:val="2"/>
                          <w:szCs w:val="24"/>
                        </w:rPr>
                        <w:t>. Asmenys, kuriems paskirta ekonominė piniginė sankcija už šio įstatymo 23 straipsnio 3 punkte nurodytas veikas, neatleidžiami nuo įsipareigojimo atsisakyti apyvartinių taršos leidimų, atitinkančių tą perteklinį išmetamų ŠESD kiekį, kuris susidarytų, jeigu būtų atsisakoma kitų kalendorinių metų apyvartinių taršos leidimų.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40fe2503311f180c9c618618421ed">
                    <w:r w:rsidRPr="00532B9F">
                      <w:rPr>
                        <w:rFonts w:ascii="Times New Roman" w:eastAsia="MS Mincho" w:hAnsi="Times New Roman"/>
                        <w:sz w:val="20"/>
                        <w:i/>
                        <w:iCs/>
                        <w:color w:val="0000FF" w:themeColor="hyperlink"/>
                        <w:u w:val="single"/>
                      </w:rPr>
                      <w:t>XV-919</w:t>
                    </w:r>
                  </w:fldSimple>
                  <w:r>
                    <w:rPr>
                      <w:rFonts w:ascii="Times New Roman" w:eastAsia="MS Mincho" w:hAnsi="Times New Roman"/>
                      <w:sz w:val="20"/>
                      <w:i/>
                      <w:iCs/>
                    </w:rPr>
                    <w:t>,
2026-05-12,
paskelbta TAR 2026-05-15, i. k. 2026-08253            </w:t>
                  </w:r>
                </w:p>
                <w:p/>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fdd1a2cb762949c3962491c9753e5072"/>
        <w:lock w:val="sdtLocked"/>
        <w:richText/>
      </w:sdtPr>
      <w:sdtContent>
        <w:p>
          <w:pPr>
            <w:ind w:left="567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1296"/>
              <w:titlePg/>
            </w:sectPr>
          </w:pPr>
        </w:p>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fdd1a2cb762949c3962491c9753e5072"/>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fdd1a2cb762949c3962491c9753e5072"/>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a38930845a4d4e65891860983650693d"/>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38930845a4d4e65891860983650693d"/>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nurodytose Europos Komisijos įgyvendinamajame akte dėl Tarptautinės civilinės aviacijos organizacijos pasaulinę rinkos priemonę (CORSIA) taikančių valstybių sąrašo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nurodytas Komisijos įgyvendinamajame akte, iš tų valstybių, tarp jų ir skrydžiai tarp Šveicarijos Konfederacijos arba Jungtinės Didžiosios Britanijos ir Šiaurės Airijos Karalystės ir valstybių, nurodytų Komisijos įgyvendinamajame akte, ir (kompensavimo reikalavimų taikant Tarptautinės civilinės aviacijos organizacijos pasaulinę rinkos priemonę (CORSIA) tikslais) skrydžiai į valstybes, nurodytas Komisijos įgyvendinamajame akte, iš tų valstybių ir tarp jų, taip pat skrydžiai tarp Šveicarijos Konfederacijos arba Jungtinės Didžiosios Britanijos ir Šiaurės Airijos Karalystės ir valstybių, nurodytų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0"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1"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2" w:tgtFrame="_blank" w:history="1">
                <w:r>
                  <w:rPr>
                    <w:color w:val="0000FF" w:themeColor="hyperlink"/>
                    <w:szCs w:val="24"/>
                    <w:u w:val="single"/>
                  </w:rPr>
                  <w:t>(ES) Nr. 421/2014</w:t>
                </w:r>
              </w:hyperlink>
              <w:r>
                <w:rPr>
                  <w:color w:val="000000"/>
                  <w:szCs w:val="24"/>
                </w:rPr>
                <w:t xml:space="preserve">, kuriuo iš dalies keičiama Direktyva </w:t>
              </w:r>
              <w:hyperlink r:id="rId33"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c2de5ba6e15940c7bc109fcea54e303b"/>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c2de5ba6e15940c7bc109fcea54e303b"/>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c2de5ba6e15940c7bc109fcea54e303b"/>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34"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35"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36"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37"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38"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39"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0" w:tgtFrame="_blank" w:history="1">
                <w:r>
                  <w:rPr>
                    <w:rFonts w:eastAsia="Arial"/>
                    <w:color w:val="0000FF" w:themeColor="hyperlink"/>
                    <w:szCs w:val="24"/>
                    <w:u w:val="single"/>
                  </w:rPr>
                  <w:t>Nr. 280/2004/EB</w:t>
                </w:r>
              </w:hyperlink>
              <w:r>
                <w:rPr>
                  <w:rFonts w:eastAsia="Arial"/>
                  <w:color w:val="000000"/>
                  <w:szCs w:val="24"/>
                </w:rPr>
                <w:t xml:space="preserve"> ir </w:t>
              </w:r>
              <w:hyperlink r:id="rId41"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2" w:tgtFrame="_blank" w:history="1">
                <w:r>
                  <w:rPr>
                    <w:rFonts w:eastAsia="Arial"/>
                    <w:color w:val="0000FF" w:themeColor="hyperlink"/>
                    <w:szCs w:val="24"/>
                    <w:u w:val="single"/>
                  </w:rPr>
                  <w:t>(ES) Nr. 920/2010</w:t>
                </w:r>
              </w:hyperlink>
              <w:r>
                <w:rPr>
                  <w:rFonts w:eastAsia="Arial"/>
                  <w:color w:val="000000"/>
                  <w:szCs w:val="24"/>
                </w:rPr>
                <w:t xml:space="preserve"> ir </w:t>
              </w:r>
              <w:hyperlink r:id="rId43"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44"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45"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46"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47"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48"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49"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0" w:tgtFrame="_blank" w:history="1">
                <w:r>
                  <w:rPr>
                    <w:color w:val="0000FF" w:themeColor="hyperlink"/>
                    <w:szCs w:val="24"/>
                    <w:u w:val="single"/>
                  </w:rPr>
                  <w:t>(ES) 2023/852</w:t>
                </w:r>
              </w:hyperlink>
              <w:r>
                <w:rPr>
                  <w:color w:val="000000"/>
                  <w:szCs w:val="24"/>
                </w:rPr>
                <w:t xml:space="preserve">. </w:t>
              </w:r>
            </w:p>
          </w:sdtContent>
        </w:sdt>
        <w:sdt>
          <w:sdtPr>
            <w:alias w:val="3 pr. 5 p."/>
            <w:tag w:val="part_7b2a7d1af9754214a3cbd21f23f51fd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1" w:tgtFrame="_blank" w:history="1">
                <w:r>
                  <w:rPr>
                    <w:color w:val="0000FF" w:themeColor="hyperlink"/>
                    <w:szCs w:val="24"/>
                    <w:u w:val="single"/>
                  </w:rPr>
                  <w:t>(ES) 2017/2392</w:t>
                </w:r>
              </w:hyperlink>
              <w:r>
                <w:rPr>
                  <w:color w:val="000000"/>
                  <w:szCs w:val="24"/>
                </w:rPr>
                <w:t xml:space="preserve">, kuriuo iš dalies keičiama Direktyva </w:t>
              </w:r>
              <w:hyperlink r:id="rId52"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53"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54" w:tgtFrame="_blank" w:history="1">
                <w:r>
                  <w:rPr>
                    <w:color w:val="0000FF" w:themeColor="hyperlink"/>
                    <w:szCs w:val="24"/>
                    <w:u w:val="single"/>
                  </w:rPr>
                  <w:t>(ES) Nr. 525/2013</w:t>
                </w:r>
              </w:hyperlink>
              <w:r>
                <w:rPr>
                  <w:color w:val="000000"/>
                  <w:szCs w:val="24"/>
                </w:rPr>
                <w:t xml:space="preserve"> ir Sprendimas </w:t>
              </w:r>
              <w:hyperlink r:id="rId55"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56"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57"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58"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59"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0"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1" w:tgtFrame="_blank" w:history="1">
                <w:r>
                  <w:rPr>
                    <w:color w:val="0000FF" w:themeColor="hyperlink"/>
                    <w:szCs w:val="24"/>
                    <w:u w:val="single"/>
                  </w:rPr>
                  <w:t>(EB) Nr. 663/2009</w:t>
                </w:r>
              </w:hyperlink>
              <w:r>
                <w:rPr>
                  <w:color w:val="000000"/>
                  <w:szCs w:val="24"/>
                </w:rPr>
                <w:t xml:space="preserve"> ir </w:t>
              </w:r>
              <w:hyperlink r:id="rId62" w:tgtFrame="_blank" w:history="1">
                <w:r>
                  <w:rPr>
                    <w:color w:val="0000FF" w:themeColor="hyperlink"/>
                    <w:szCs w:val="24"/>
                    <w:u w:val="single"/>
                  </w:rPr>
                  <w:t>(EB) Nr. 715/2009</w:t>
                </w:r>
              </w:hyperlink>
              <w:r>
                <w:rPr>
                  <w:color w:val="000000"/>
                  <w:szCs w:val="24"/>
                </w:rPr>
                <w:t xml:space="preserve">, Europos Parlamento ir Tarybos direktyvos </w:t>
              </w:r>
              <w:hyperlink r:id="rId63" w:tgtFrame="_blank" w:history="1">
                <w:r>
                  <w:rPr>
                    <w:color w:val="0000FF" w:themeColor="hyperlink"/>
                    <w:szCs w:val="24"/>
                    <w:u w:val="single"/>
                  </w:rPr>
                  <w:t>94/22/EB</w:t>
                </w:r>
              </w:hyperlink>
              <w:r>
                <w:rPr>
                  <w:color w:val="000000"/>
                  <w:szCs w:val="24"/>
                </w:rPr>
                <w:t xml:space="preserve">, </w:t>
              </w:r>
              <w:hyperlink r:id="rId64" w:tgtFrame="_blank" w:history="1">
                <w:r>
                  <w:rPr>
                    <w:color w:val="0000FF" w:themeColor="hyperlink"/>
                    <w:szCs w:val="24"/>
                    <w:u w:val="single"/>
                  </w:rPr>
                  <w:t>98/70/EB</w:t>
                </w:r>
              </w:hyperlink>
              <w:r>
                <w:rPr>
                  <w:color w:val="000000"/>
                  <w:szCs w:val="24"/>
                </w:rPr>
                <w:t xml:space="preserve">, </w:t>
              </w:r>
              <w:hyperlink r:id="rId65" w:tgtFrame="_blank" w:history="1">
                <w:r>
                  <w:rPr>
                    <w:color w:val="0000FF" w:themeColor="hyperlink"/>
                    <w:szCs w:val="24"/>
                    <w:u w:val="single"/>
                  </w:rPr>
                  <w:t>2009/31/EB</w:t>
                </w:r>
              </w:hyperlink>
              <w:r>
                <w:rPr>
                  <w:color w:val="000000"/>
                  <w:szCs w:val="24"/>
                </w:rPr>
                <w:t xml:space="preserve">, </w:t>
              </w:r>
              <w:hyperlink r:id="rId66" w:tgtFrame="_blank" w:history="1">
                <w:r>
                  <w:rPr>
                    <w:color w:val="0000FF" w:themeColor="hyperlink"/>
                    <w:szCs w:val="24"/>
                    <w:u w:val="single"/>
                  </w:rPr>
                  <w:t>2009/73/EB</w:t>
                </w:r>
              </w:hyperlink>
              <w:r>
                <w:rPr>
                  <w:color w:val="000000"/>
                  <w:szCs w:val="24"/>
                </w:rPr>
                <w:t xml:space="preserve">, </w:t>
              </w:r>
              <w:hyperlink r:id="rId67" w:tgtFrame="_blank" w:history="1">
                <w:r>
                  <w:rPr>
                    <w:color w:val="0000FF" w:themeColor="hyperlink"/>
                    <w:szCs w:val="24"/>
                    <w:u w:val="single"/>
                  </w:rPr>
                  <w:t>2010/31/ES</w:t>
                </w:r>
              </w:hyperlink>
              <w:r>
                <w:rPr>
                  <w:color w:val="000000"/>
                  <w:szCs w:val="24"/>
                </w:rPr>
                <w:t xml:space="preserve">, </w:t>
              </w:r>
              <w:hyperlink r:id="rId68" w:tgtFrame="_blank" w:history="1">
                <w:r>
                  <w:rPr>
                    <w:color w:val="0000FF" w:themeColor="hyperlink"/>
                    <w:szCs w:val="24"/>
                    <w:u w:val="single"/>
                  </w:rPr>
                  <w:t>2012/27/ES</w:t>
                </w:r>
              </w:hyperlink>
              <w:r>
                <w:rPr>
                  <w:color w:val="000000"/>
                  <w:szCs w:val="24"/>
                </w:rPr>
                <w:t xml:space="preserve"> ir </w:t>
              </w:r>
              <w:hyperlink r:id="rId69" w:tgtFrame="_blank" w:history="1">
                <w:r>
                  <w:rPr>
                    <w:color w:val="0000FF" w:themeColor="hyperlink"/>
                    <w:szCs w:val="24"/>
                    <w:u w:val="single"/>
                  </w:rPr>
                  <w:t>2013/30/ES</w:t>
                </w:r>
              </w:hyperlink>
              <w:r>
                <w:rPr>
                  <w:color w:val="000000"/>
                  <w:szCs w:val="24"/>
                </w:rPr>
                <w:t xml:space="preserve">, Tarybos direktyvos </w:t>
              </w:r>
              <w:hyperlink r:id="rId70" w:tgtFrame="_blank" w:history="1">
                <w:r>
                  <w:rPr>
                    <w:color w:val="0000FF" w:themeColor="hyperlink"/>
                    <w:szCs w:val="24"/>
                    <w:u w:val="single"/>
                  </w:rPr>
                  <w:t>2009/119/EB</w:t>
                </w:r>
              </w:hyperlink>
              <w:r>
                <w:rPr>
                  <w:color w:val="000000"/>
                  <w:szCs w:val="24"/>
                </w:rPr>
                <w:t xml:space="preserve"> ir </w:t>
              </w:r>
              <w:hyperlink r:id="rId71"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2"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73"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74"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75"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76"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77"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78" w:tgtFrame="_blank" w:history="1">
                <w:r>
                  <w:rPr>
                    <w:color w:val="0000FF" w:themeColor="hyperlink"/>
                    <w:szCs w:val="24"/>
                    <w:u w:val="single"/>
                  </w:rPr>
                  <w:t>2003/87/EB</w:t>
                </w:r>
              </w:hyperlink>
              <w:r>
                <w:rPr>
                  <w:color w:val="000000"/>
                  <w:szCs w:val="24"/>
                </w:rPr>
                <w:t xml:space="preserve">, kuriuo iš dalies keičiamas Komisijos reglamentas </w:t>
              </w:r>
              <w:hyperlink r:id="rId79"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0"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1"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2"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83"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84"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85"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86"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87"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88"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89"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0"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1" w:tgtFrame="_blank" w:history="1">
                <w:r>
                  <w:rPr>
                    <w:color w:val="0000FF" w:themeColor="hyperlink"/>
                    <w:szCs w:val="24"/>
                    <w:u w:val="single"/>
                  </w:rPr>
                  <w:t>(EB) Nr. 401/2009</w:t>
                </w:r>
              </w:hyperlink>
              <w:r>
                <w:rPr>
                  <w:color w:val="000000"/>
                  <w:szCs w:val="24"/>
                </w:rPr>
                <w:t xml:space="preserve"> ir </w:t>
              </w:r>
              <w:hyperlink r:id="rId92"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93"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94"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95"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96"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97"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98"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99"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0" w:tgtFrame="_blank" w:history="1">
                <w:r>
                  <w:rPr>
                    <w:color w:val="0000FF" w:themeColor="hyperlink"/>
                    <w:szCs w:val="24"/>
                    <w:u w:val="single"/>
                  </w:rPr>
                  <w:t>(ES) 2019/1937</w:t>
                </w:r>
              </w:hyperlink>
              <w:r>
                <w:rPr>
                  <w:color w:val="000000"/>
                  <w:szCs w:val="24"/>
                </w:rPr>
                <w:t xml:space="preserve"> ir panaikinamas Reglamentas </w:t>
              </w:r>
              <w:hyperlink r:id="rId101"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2"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03" w:tgtFrame="_blank" w:history="1">
                <w:r>
                  <w:rPr>
                    <w:color w:val="0000FF" w:themeColor="hyperlink"/>
                    <w:szCs w:val="24"/>
                    <w:u w:val="single"/>
                  </w:rPr>
                  <w:t>(EB) Nr. 1005/2009</w:t>
                </w:r>
              </w:hyperlink>
              <w:r>
                <w:rPr>
                  <w:color w:val="000000"/>
                  <w:szCs w:val="24"/>
                </w:rPr>
                <w:t>.</w:t>
              </w:r>
            </w:p>
          </w:sdtContent>
        </w:sdt>
        <w:sdt>
          <w:sdtPr>
            <w:alias w:val="22 p."/>
            <w:tag w:val="part_b53e14dfecd544fa817b49bdd5ecf776"/>
            <w:lock w:val="sdtLocked"/>
            <w:richText/>
          </w:sdtPr>
          <w:sdtContent>
            <w:p>
              <w:pPr>
                <w:tabs>
                  <w:tab w:val="left" w:pos="1134"/>
                </w:tabs>
                <w:suppressAutoHyphens/>
                <w:spacing w:line="360" w:lineRule="auto"/>
                <w:ind w:firstLine="720"/>
                <w:jc w:val="both"/>
                <w:textAlignment w:val="baseline"/>
              </w:pPr>
              <w:sdt>
                <w:sdtPr>
                  <w:alias w:val="Numeris"/>
                  <w:tag w:val="nr_b53e14dfecd544fa817b49bdd5ecf776"/>
                  <w:lock w:val="sdtLocked"/>
                  <w:richText/>
                </w:sdtPr>
                <w:sdtContent>
                  <w:r>
                    <w:rPr>
                      <w:szCs w:val="24"/>
                    </w:rPr>
                    <w:t>22</w:t>
                  </w:r>
                </w:sdtContent>
              </w:sdt>
              <w:r>
                <w:rPr>
                  <w:szCs w:val="24"/>
                </w:rPr>
                <w:t xml:space="preserve">. 2016 m. balandžio 27 d. Europos Parlamento ir Tarybos reglamentas </w:t>
              </w:r>
              <w:hyperlink r:id="rId104"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05" w:tgtFrame="_blank" w:history="1">
                <w:r>
                  <w:rPr>
                    <w:color w:val="0000FF" w:themeColor="hyperlink"/>
                    <w:szCs w:val="24"/>
                    <w:u w:val="single"/>
                  </w:rPr>
                  <w:t>95/46/EB</w:t>
                </w:r>
              </w:hyperlink>
              <w:r>
                <w:rPr>
                  <w:szCs w:val="24"/>
                </w:rPr>
                <w:t xml:space="preserve">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3 p."/>
            <w:tag w:val="part_0140def54b2d48a8bc8ef1024490f19b"/>
            <w:lock w:val="sdtLocked"/>
            <w:richText/>
          </w:sdtPr>
          <w:sdtContent>
            <w:p>
              <w:pPr>
                <w:tabs>
                  <w:tab w:val="left" w:pos="1134"/>
                </w:tabs>
                <w:suppressAutoHyphens/>
                <w:spacing w:line="360" w:lineRule="auto"/>
                <w:ind w:firstLine="720"/>
                <w:jc w:val="both"/>
                <w:textAlignment w:val="baseline"/>
              </w:pPr>
              <w:sdt>
                <w:sdtPr>
                  <w:alias w:val="Numeris"/>
                  <w:tag w:val="nr_0140def54b2d48a8bc8ef1024490f19b"/>
                  <w:lock w:val="sdtLocked"/>
                  <w:richText/>
                </w:sdtPr>
                <w:sdtContent>
                  <w:r>
                    <w:rPr>
                      <w:szCs w:val="24"/>
                    </w:rPr>
                    <w:t>23</w:t>
                  </w:r>
                </w:sdtContent>
              </w:sdt>
              <w:r>
                <w:rPr>
                  <w:szCs w:val="24"/>
                </w:rPr>
                <w:t xml:space="preserve">. 2024 m. rugsėjo 6 d. Komisijos įgyvendinimo reglamentas </w:t>
              </w:r>
              <w:hyperlink r:id="rId106" w:tgtFrame="_blank" w:history="1">
                <w:r>
                  <w:rPr>
                    <w:color w:val="0000FF" w:themeColor="hyperlink"/>
                    <w:szCs w:val="24"/>
                    <w:u w:val="single"/>
                  </w:rPr>
                  <w:t>(ES) 2024/2215</w:t>
                </w:r>
              </w:hyperlink>
              <w:r>
                <w:rPr>
                  <w:szCs w:val="24"/>
                </w:rPr>
                <w:t xml:space="preserve">, kuriuo pagal Europos Parlamento ir Tarybos reglamentą </w:t>
              </w:r>
              <w:hyperlink r:id="rId107" w:tgtFrame="_blank" w:history="1">
                <w:r>
                  <w:rPr>
                    <w:color w:val="0000FF" w:themeColor="hyperlink"/>
                    <w:szCs w:val="24"/>
                    <w:u w:val="single"/>
                  </w:rPr>
                  <w:t>(ES) 2024/573</w:t>
                </w:r>
              </w:hyperlink>
              <w:r>
                <w:rPr>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08" w:tgtFrame="_blank" w:history="1">
                <w:r>
                  <w:rPr>
                    <w:color w:val="0000FF" w:themeColor="hyperlink"/>
                    <w:szCs w:val="24"/>
                    <w:u w:val="single"/>
                  </w:rPr>
                  <w:t>(ES) 2015/2067</w:t>
                </w:r>
              </w:hyperlink>
              <w:r>
                <w:rPr>
                  <w:color w:val="0000FF" w:themeColor="hyperlink"/>
                  <w:szCs w:val="24"/>
                  <w:u w:val="single"/>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4 p."/>
            <w:tag w:val="part_93bdafa4365d4a8996b95cb3d4ab5d94"/>
            <w:lock w:val="sdtLocked"/>
            <w:richText/>
          </w:sdtPr>
          <w:sdtContent>
            <w:p>
              <w:pPr>
                <w:tabs>
                  <w:tab w:val="left" w:pos="1134"/>
                </w:tabs>
                <w:suppressAutoHyphens/>
                <w:spacing w:line="360" w:lineRule="auto"/>
                <w:ind w:firstLine="720"/>
                <w:jc w:val="both"/>
                <w:textAlignment w:val="baseline"/>
              </w:pPr>
              <w:sdt>
                <w:sdtPr>
                  <w:alias w:val="Numeris"/>
                  <w:tag w:val="nr_93bdafa4365d4a8996b95cb3d4ab5d94"/>
                  <w:lock w:val="sdtLocked"/>
                  <w:richText/>
                </w:sdtPr>
                <w:sdtContent>
                  <w:r>
                    <w:rPr>
                      <w:szCs w:val="24"/>
                    </w:rPr>
                    <w:t>24</w:t>
                  </w:r>
                </w:sdtContent>
              </w:sdt>
              <w:r>
                <w:rPr>
                  <w:szCs w:val="24"/>
                </w:rPr>
                <w:t xml:space="preserve">. 2025 m. kovo 28 d. Komisijos įgyvendinimo reglamentas </w:t>
              </w:r>
              <w:hyperlink r:id="rId109" w:tgtFrame="_blank" w:history="1">
                <w:r>
                  <w:rPr>
                    <w:color w:val="0000FF" w:themeColor="hyperlink"/>
                    <w:szCs w:val="24"/>
                    <w:u w:val="single"/>
                  </w:rPr>
                  <w:t>(ES) 2025/625</w:t>
                </w:r>
              </w:hyperlink>
              <w:r>
                <w:rPr>
                  <w:szCs w:val="24"/>
                </w:rPr>
                <w:t xml:space="preserve">, kuriuo pagal Europos Parlamento ir Tarybos reglamentą </w:t>
              </w:r>
              <w:hyperlink r:id="rId110"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11" w:tgtFrame="_blank" w:history="1">
                <w:r>
                  <w:rPr>
                    <w:color w:val="0000FF" w:themeColor="hyperlink"/>
                    <w:szCs w:val="24"/>
                    <w:u w:val="single"/>
                  </w:rPr>
                  <w:t>(EB) Nr. 304/2008</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5 p."/>
            <w:tag w:val="part_5eca27ab22af467995e0ef22de3608da"/>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5eca27ab22af467995e0ef22de3608da"/>
                  <w:lock w:val="sdtLocked"/>
                  <w:richText/>
                </w:sdtPr>
                <w:sdtContent>
                  <w:r>
                    <w:rPr>
                      <w:szCs w:val="24"/>
                    </w:rPr>
                    <w:t>25</w:t>
                  </w:r>
                </w:sdtContent>
              </w:sdt>
              <w:r>
                <w:rPr>
                  <w:szCs w:val="24"/>
                </w:rPr>
                <w:t xml:space="preserve">. 2025 m. kovo 28 d. Komisijos įgyvendinimo reglamentas </w:t>
              </w:r>
              <w:hyperlink r:id="rId112" w:tgtFrame="_blank" w:history="1">
                <w:r>
                  <w:rPr>
                    <w:color w:val="0000FF" w:themeColor="hyperlink"/>
                    <w:szCs w:val="24"/>
                    <w:u w:val="single"/>
                  </w:rPr>
                  <w:t>(ES) 2025/627</w:t>
                </w:r>
              </w:hyperlink>
              <w:r>
                <w:rPr>
                  <w:szCs w:val="24"/>
                </w:rPr>
                <w:t xml:space="preserve">, kuriuo pagal Europos Parlamento ir Tarybos reglamentą </w:t>
              </w:r>
              <w:hyperlink r:id="rId113" w:tgtFrame="_blank" w:history="1">
                <w:r>
                  <w:rPr>
                    <w:color w:val="0000FF" w:themeColor="hyperlink"/>
                    <w:szCs w:val="24"/>
                    <w:u w:val="single"/>
                  </w:rPr>
                  <w:t>(ES) 2024/573</w:t>
                </w:r>
              </w:hyperlink>
              <w:r>
                <w:rPr>
                  <w:szCs w:val="24"/>
                </w:rPr>
                <w:t xml:space="preserve"> nustatomi su stacionarių elektros skirstomųjų įrenginių, kuriuose yra fluorintų šiltnamio efektą sukeliančių dujų, montavimu, aptarnavimu arba technine priežiūra, remontu arba eksploatacijos nutraukimu ir fluorintų šiltnamio efektą sukeliančių dujų surinkimu iš stacionarių elektros skirstomųjų įrenginių susiję fizinių asmenų sertifikatų minimalieji reikalavimai ir tokių sertifikatų tarpusavio pripažinimo sąlygos, ir panaikinamas Komisijos įgyvendinimo reglamentas </w:t>
              </w:r>
              <w:hyperlink r:id="rId114" w:tgtFrame="_blank" w:history="1">
                <w:r>
                  <w:rPr>
                    <w:color w:val="0000FF" w:themeColor="hyperlink"/>
                    <w:szCs w:val="24"/>
                    <w:u w:val="single"/>
                  </w:rPr>
                  <w:t>(ES) 2015/2066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b9910d0f811f08918e1adc7c5b1ec">
            <w:r w:rsidRPr="00532B9F">
              <w:rPr>
                <w:rFonts w:ascii="Times New Roman" w:eastAsia="MS Mincho" w:hAnsi="Times New Roman"/>
                <w:sz w:val="20"/>
                <w:iCs/>
                <w:color w:val="0000FF" w:themeColor="hyperlink"/>
                <w:u w:val="single"/>
              </w:rPr>
              <w:t>XV-625</w:t>
            </w:r>
          </w:fldSimple>
          <w:r>
            <w:rPr>
              <w:rFonts w:ascii="Times New Roman" w:eastAsia="MS Mincho" w:hAnsi="Times New Roman"/>
              <w:sz w:val="20"/>
              <w:iCs/>
            </w:rPr>
            <w:t>,
2025-11-27,
paskelbta TAR 2025-12-04, i. k. 2025-20664                </w:t>
          </w:r>
        </w:p>
        <w:p>
          <w:pPr>
            <w:jc w:val="both"/>
            <w:rPr>
              <w:rFonts w:ascii="Times New Roman" w:hAnsi="Times New Roman"/>
            </w:rPr>
          </w:pPr>
          <w:r>
            <w:rPr>
              <w:rFonts w:ascii="Times New Roman" w:hAnsi="Times New Roman"/>
              <w:sz w:val="20"/>
            </w:rPr>
            <w:t>Lietuvos Respublikos klimato kaitos valdymo įstatymo Nr. XI-329 10, 12, 14, 18, 19, 20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040fe2503311f180c9c618618421ed">
            <w:r w:rsidRPr="00532B9F">
              <w:rPr>
                <w:rFonts w:ascii="Times New Roman" w:eastAsia="MS Mincho" w:hAnsi="Times New Roman"/>
                <w:sz w:val="20"/>
                <w:iCs/>
                <w:color w:val="0000FF" w:themeColor="hyperlink"/>
                <w:u w:val="single"/>
              </w:rPr>
              <w:t>XV-919</w:t>
            </w:r>
          </w:fldSimple>
          <w:r>
            <w:rPr>
              <w:rFonts w:ascii="Times New Roman" w:eastAsia="MS Mincho" w:hAnsi="Times New Roman"/>
              <w:sz w:val="20"/>
              <w:iCs/>
            </w:rPr>
            <w:t>,
2026-05-12,
paskelbta TAR 2026-05-15, i. k. 2026-08253                </w:t>
          </w:r>
        </w:p>
        <w:p>
          <w:pPr>
            <w:jc w:val="both"/>
            <w:rPr>
              <w:rFonts w:ascii="Times New Roman" w:hAnsi="Times New Roman"/>
            </w:rPr>
          </w:pPr>
          <w:r>
            <w:rPr>
              <w:rFonts w:ascii="Times New Roman" w:hAnsi="Times New Roman"/>
              <w:sz w:val="20"/>
            </w:rPr>
            <w:t>Lietuvos Respublikos klimato kaitos valdymo įstatymo Nr. XI-329 23, 24, 25, 26, 27, 28, 29, 30 ir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CBB31"/>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37.xml"/>
  <Relationship Id="rId100" Type="http://schemas.openxmlformats.org/officeDocument/2006/relationships/hyperlink" TargetMode="External" Target="http://eur-lex.europa.eu/legal-content/LIT/TXT/?uri=CELEX:32019L1937&amp;locale=lt"/>
  <Relationship Id="rId101" Type="http://schemas.openxmlformats.org/officeDocument/2006/relationships/hyperlink" TargetMode="External" Target="http://eur-lex.europa.eu/legal-content/LIT/TXT/?uri=CELEX:32014R0517&amp;locale=lt"/>
  <Relationship Id="rId102" Type="http://schemas.openxmlformats.org/officeDocument/2006/relationships/hyperlink" TargetMode="External" Target="http://eur-lex.europa.eu/legal-content/LIT/TXT/?uri=CELEX:32024R0590&amp;locale=lt"/>
  <Relationship Id="rId103" Type="http://schemas.openxmlformats.org/officeDocument/2006/relationships/hyperlink" TargetMode="External" Target="http://eur-lex.europa.eu/legal-content/LIT/TXT/?uri=CELEX:32009R1005&amp;locale=lt"/>
  <Relationship Id="rId104" Type="http://schemas.openxmlformats.org/officeDocument/2006/relationships/hyperlink" TargetMode="External" Target="http://eur-lex.europa.eu/legal-content/LIT/TXT/?uri=CELEX:32016R0679&amp;locale=lt"/>
  <Relationship Id="rId105" Type="http://schemas.openxmlformats.org/officeDocument/2006/relationships/hyperlink" TargetMode="External" Target="http://eur-lex.europa.eu/legal-content/LIT/TXT/?uri=CELEX:31995L0046&amp;locale=lt"/>
  <Relationship Id="rId106" Type="http://schemas.openxmlformats.org/officeDocument/2006/relationships/hyperlink" TargetMode="External" Target="http://eur-lex.europa.eu/legal-content/LIT/TXT/?uri=CELEX:32024R2215&amp;locale=lt"/>
  <Relationship Id="rId107" Type="http://schemas.openxmlformats.org/officeDocument/2006/relationships/hyperlink" TargetMode="External" Target="http://eur-lex.europa.eu/legal-content/LIT/TXT/?uri=CELEX:32024R0573&amp;locale=lt"/>
  <Relationship Id="rId108" Type="http://schemas.openxmlformats.org/officeDocument/2006/relationships/hyperlink" TargetMode="External" Target="http://eur-lex.europa.eu/legal-content/LIT/TXT/?uri=CELEX:32015R2067&amp;locale=lt"/>
  <Relationship Id="rId109" Type="http://schemas.openxmlformats.org/officeDocument/2006/relationships/hyperlink" TargetMode="External" Target="http://eur-lex.europa.eu/legal-content/LIT/TXT/?uri=CELEX:32025R0625&amp;locale=lt"/>
  <Relationship Id="rId11" Type="http://schemas.openxmlformats.org/officeDocument/2006/relationships/header" Target="header38.xml"/>
  <Relationship Id="rId110" Type="http://schemas.openxmlformats.org/officeDocument/2006/relationships/hyperlink" TargetMode="External" Target="http://eur-lex.europa.eu/legal-content/LIT/TXT/?uri=CELEX:32024R0573&amp;locale=lt"/>
  <Relationship Id="rId111" Type="http://schemas.openxmlformats.org/officeDocument/2006/relationships/hyperlink" TargetMode="External" Target="http://eur-lex.europa.eu/legal-content/LIT/TXT/?uri=CELEX:32008R0304&amp;locale=lt"/>
  <Relationship Id="rId112" Type="http://schemas.openxmlformats.org/officeDocument/2006/relationships/hyperlink" TargetMode="External" Target="http://eur-lex.europa.eu/legal-content/LIT/TXT/?uri=CELEX:32025R0627&amp;locale=lt"/>
  <Relationship Id="rId113" Type="http://schemas.openxmlformats.org/officeDocument/2006/relationships/hyperlink" TargetMode="External" Target="http://eur-lex.europa.eu/legal-content/LIT/TXT/?uri=CELEX:32024R0573&amp;locale=lt"/>
  <Relationship Id="rId114" Type="http://schemas.openxmlformats.org/officeDocument/2006/relationships/hyperlink" TargetMode="External" Target="http://eur-lex.europa.eu/legal-content/LIT/TXT/?uri=CELEX:32015R2066&amp;locale=lt"/>
  <Relationship Id="rId115" Type="http://schemas.openxmlformats.org/officeDocument/2006/relationships/hyperlink" TargetMode="External" Target="http://eur-lex.europa.eu/legal-content/LIT/TXT/?uri=CELEX:32020D1071&amp;locale=lt"/>
  <Relationship Id="rId116" Type="http://schemas.openxmlformats.org/officeDocument/2006/relationships/hyperlink" TargetMode="External" Target="http://eur-lex.europa.eu/legal-content/LIT/TXT/?uri=CELEX:32009D0450&amp;locale=lt"/>
  <Relationship Id="rId117" Type="http://schemas.openxmlformats.org/officeDocument/2006/relationships/hyperlink" TargetMode="External" Target="http://eur-lex.europa.eu/legal-content/LIT/TXT/?uri=CELEX:32003L0087&amp;locale=lt"/>
  <Relationship Id="rId118" Type="http://schemas.openxmlformats.org/officeDocument/2006/relationships/hyperlink" TargetMode="External" Target="http://eur-lex.europa.eu/legal-content/LIT/TXT/?uri=CELEX:32003L0087&amp;locale=lt"/>
  <Relationship Id="rId119" Type="http://schemas.openxmlformats.org/officeDocument/2006/relationships/customXml" Target="../customXml/item2.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hyperlink" TargetMode="External" Target="http://eur-lex.europa.eu/legal-content/LIT/TXT/?uri=CELEX:32018R0841&amp;locale=lt"/>
  <Relationship Id="rId17" Type="http://schemas.openxmlformats.org/officeDocument/2006/relationships/hyperlink" TargetMode="External" Target="http://eur-lex.europa.eu/legal-content/LIT/TXT/?uri=CELEX:32006R0336&amp;locale=lt"/>
  <Relationship Id="rId18" Type="http://schemas.openxmlformats.org/officeDocument/2006/relationships/hyperlink" TargetMode="External" Target="http://eur-lex.europa.eu/legal-content/LIT/TXT/?uri=CELEX:31995R3051&amp;locale=lt"/>
  <Relationship Id="rId19" Type="http://schemas.openxmlformats.org/officeDocument/2006/relationships/hyperlink" TargetMode="External" Target="http://eur-lex.europa.eu/legal-content/LIT/TXT/?uri=CELEX:32023D2895&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3L0087&amp;locale=lt"/>
  <Relationship Id="rId21" Type="http://schemas.openxmlformats.org/officeDocument/2006/relationships/hyperlink" TargetMode="External" Target="http://eur-lex.europa.eu/legal-content/LIT/TXT/?uri=CELEX:32023D2895&amp;locale=lt"/>
  <Relationship Id="rId22" Type="http://schemas.openxmlformats.org/officeDocument/2006/relationships/hyperlink" TargetMode="External" Target="http://eur-lex.europa.eu/legal-content/LIT/TXT/?uri=CELEX:32018R0842&amp;locale=lt"/>
  <Relationship Id="rId23" Type="http://schemas.openxmlformats.org/officeDocument/2006/relationships/hyperlink" TargetMode="External" Target="http://eur-lex.europa.eu/legal-content/LIT/TXT/?uri=CELEX:32018R0841&amp;locale=lt"/>
  <Relationship Id="rId24" Type="http://schemas.openxmlformats.org/officeDocument/2006/relationships/hyperlink" TargetMode="External" Target="http://eur-lex.europa.eu/legal-content/LIT/TXT/?uri=CELEX:32018R0842&amp;locale=lt"/>
  <Relationship Id="rId25" Type="http://schemas.openxmlformats.org/officeDocument/2006/relationships/hyperlink" TargetMode="External" Target="http://eur-lex.europa.eu/legal-content/LIT/TXT/?uri=CELEX:32018R0841&amp;locale=lt"/>
  <Relationship Id="rId26" Type="http://schemas.openxmlformats.org/officeDocument/2006/relationships/hyperlink" TargetMode="External" Target="http://eur-lex.europa.eu/legal-content/LIT/TXT/?uri=CELEX:32023R0955&amp;locale=lt"/>
  <Relationship Id="rId27" Type="http://schemas.openxmlformats.org/officeDocument/2006/relationships/hyperlink" TargetMode="External" Target="http://eur-lex.europa.eu/legal-content/LIT/TXT/?uri=CELEX:32024R0573&amp;locale=lt"/>
  <Relationship Id="rId28" Type="http://schemas.openxmlformats.org/officeDocument/2006/relationships/hyperlink" TargetMode="External" Target="http://eur-lex.europa.eu/legal-content/LIT/TXT/?uri=CELEX:32024R0573&amp;locale=lt"/>
  <Relationship Id="rId29" Type="http://schemas.openxmlformats.org/officeDocument/2006/relationships/hyperlink" TargetMode="External" Target="http://eur-lex.europa.eu/legal-content/LIT/TXT/?uri=CELEX:32024R0573&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8R1008&amp;locale=lt"/>
  <Relationship Id="rId31" Type="http://schemas.openxmlformats.org/officeDocument/2006/relationships/hyperlink" TargetMode="External" Target="http://eur-lex.europa.eu/legal-content/LIT/TXT/?uri=CELEX:32015R0757&amp;locale=lt"/>
  <Relationship Id="rId32" Type="http://schemas.openxmlformats.org/officeDocument/2006/relationships/hyperlink" TargetMode="External" Target="http://eur-lex.europa.eu/legal-content/LIT/TXT/?uri=CELEX:32014R0421&amp;locale=lt"/>
  <Relationship Id="rId33" Type="http://schemas.openxmlformats.org/officeDocument/2006/relationships/hyperlink" TargetMode="External" Target="http://eur-lex.europa.eu/legal-content/LIT/TXT/?uri=CELEX:32003L0087&amp;locale=lt"/>
  <Relationship Id="rId34" Type="http://schemas.openxmlformats.org/officeDocument/2006/relationships/hyperlink" TargetMode="External" Target="http://eur-lex.europa.eu/legal-content/LIT/TXT/?uri=CELEX:32003L0087&amp;locale=lt"/>
  <Relationship Id="rId35" Type="http://schemas.openxmlformats.org/officeDocument/2006/relationships/hyperlink" TargetMode="External" Target="http://eur-lex.europa.eu/legal-content/LIT/TXT/?uri=CELEX:31996L0061&amp;locale=lt"/>
  <Relationship Id="rId36" Type="http://schemas.openxmlformats.org/officeDocument/2006/relationships/hyperlink" TargetMode="External" Target="http://eur-lex.europa.eu/legal-content/LIT/TXT/?uri=CELEX:32023L0958&amp;locale=lt"/>
  <Relationship Id="rId37" Type="http://schemas.openxmlformats.org/officeDocument/2006/relationships/hyperlink" TargetMode="External" Target="http://eur-lex.europa.eu/legal-content/LIT/TXT/?uri=CELEX:32023L0959&amp;locale=lt"/>
  <Relationship Id="rId38" Type="http://schemas.openxmlformats.org/officeDocument/2006/relationships/hyperlink" TargetMode="External" Target="http://eur-lex.europa.eu/legal-content/LIT/TXT/?uri=CELEX:32013R0389&amp;locale=lt"/>
  <Relationship Id="rId39" Type="http://schemas.openxmlformats.org/officeDocument/2006/relationships/hyperlink" TargetMode="External" Target="http://eur-lex.europa.eu/legal-content/LIT/TXT/?uri=CELEX:32003L0087&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4D0280&amp;locale=lt"/>
  <Relationship Id="rId41" Type="http://schemas.openxmlformats.org/officeDocument/2006/relationships/hyperlink" TargetMode="External" Target="http://eur-lex.europa.eu/legal-content/LIT/TXT/?uri=CELEX:32009D0406&amp;locale=lt"/>
  <Relationship Id="rId42" Type="http://schemas.openxmlformats.org/officeDocument/2006/relationships/hyperlink" TargetMode="External" Target="http://eur-lex.europa.eu/legal-content/LIT/TXT/?uri=CELEX:32010R0920&amp;locale=lt"/>
  <Relationship Id="rId43" Type="http://schemas.openxmlformats.org/officeDocument/2006/relationships/hyperlink" TargetMode="External" Target="http://eur-lex.europa.eu/legal-content/LIT/TXT/?uri=CELEX:32011R1193&amp;locale=lt"/>
  <Relationship Id="rId44" Type="http://schemas.openxmlformats.org/officeDocument/2006/relationships/hyperlink" TargetMode="External" Target="http://eur-lex.europa.eu/legal-content/LIT/TXT/?uri=CELEX:32019R1123&amp;locale=lt"/>
  <Relationship Id="rId45" Type="http://schemas.openxmlformats.org/officeDocument/2006/relationships/hyperlink" TargetMode="External" Target="http://eur-lex.europa.eu/legal-content/LIT/TXT/?uri=CELEX:32015R0757&amp;locale=lt"/>
  <Relationship Id="rId46" Type="http://schemas.openxmlformats.org/officeDocument/2006/relationships/hyperlink" TargetMode="External" Target="http://eur-lex.europa.eu/legal-content/LIT/TXT/?uri=CELEX:32009L0016&amp;locale=lt"/>
  <Relationship Id="rId47" Type="http://schemas.openxmlformats.org/officeDocument/2006/relationships/hyperlink" TargetMode="External" Target="http://eur-lex.europa.eu/legal-content/LIT/TXT/?uri=CELEX:32023R0957&amp;locale=lt"/>
  <Relationship Id="rId48" Type="http://schemas.openxmlformats.org/officeDocument/2006/relationships/hyperlink" TargetMode="External" Target="http://eur-lex.europa.eu/legal-content/LIT/TXT/?uri=CELEX:32015D1814&amp;locale=lt"/>
  <Relationship Id="rId49" Type="http://schemas.openxmlformats.org/officeDocument/2006/relationships/hyperlink" TargetMode="External" Target="http://eur-lex.europa.eu/legal-content/LIT/TXT/?uri=CELEX:32003L0087&amp;locale=lt"/>
  <Relationship Id="rId5" Type="http://schemas.microsoft.com/office/2011/relationships/people" Target="people.xml"/>
  <Relationship Id="rId50" Type="http://schemas.openxmlformats.org/officeDocument/2006/relationships/hyperlink" TargetMode="External" Target="http://eur-lex.europa.eu/legal-content/LIT/TXT/?uri=CELEX:32023D0852&amp;locale=lt"/>
  <Relationship Id="rId51" Type="http://schemas.openxmlformats.org/officeDocument/2006/relationships/hyperlink" TargetMode="External" Target="http://eur-lex.europa.eu/legal-content/LIT/TXT/?uri=CELEX:32017R2392&amp;locale=lt"/>
  <Relationship Id="rId52" Type="http://schemas.openxmlformats.org/officeDocument/2006/relationships/hyperlink" TargetMode="External" Target="http://eur-lex.europa.eu/legal-content/LIT/TXT/?uri=CELEX:32003L0087&amp;locale=lt"/>
  <Relationship Id="rId53" Type="http://schemas.openxmlformats.org/officeDocument/2006/relationships/hyperlink" TargetMode="External" Target="http://eur-lex.europa.eu/legal-content/LIT/TXT/?uri=CELEX:32018R0841&amp;locale=lt"/>
  <Relationship Id="rId54" Type="http://schemas.openxmlformats.org/officeDocument/2006/relationships/hyperlink" TargetMode="External" Target="http://eur-lex.europa.eu/legal-content/LIT/TXT/?uri=CELEX:32013R0525&amp;locale=lt"/>
  <Relationship Id="rId55" Type="http://schemas.openxmlformats.org/officeDocument/2006/relationships/hyperlink" TargetMode="External" Target="http://eur-lex.europa.eu/legal-content/LIT/TXT/?uri=CELEX:32013D0529&amp;locale=lt"/>
  <Relationship Id="rId56" Type="http://schemas.openxmlformats.org/officeDocument/2006/relationships/hyperlink" TargetMode="External" Target="http://eur-lex.europa.eu/legal-content/LIT/TXT/?uri=CELEX:32023R0839&amp;locale=lt"/>
  <Relationship Id="rId57" Type="http://schemas.openxmlformats.org/officeDocument/2006/relationships/hyperlink" TargetMode="External" Target="http://eur-lex.europa.eu/legal-content/LIT/TXT/?uri=CELEX:32018R0842&amp;locale=lt"/>
  <Relationship Id="rId58" Type="http://schemas.openxmlformats.org/officeDocument/2006/relationships/hyperlink" TargetMode="External" Target="http://eur-lex.europa.eu/legal-content/LIT/TXT/?uri=CELEX:32013R0525&amp;locale=lt"/>
  <Relationship Id="rId59" Type="http://schemas.openxmlformats.org/officeDocument/2006/relationships/hyperlink" TargetMode="External" Target="http://eur-lex.europa.eu/legal-content/LIT/TXT/?uri=CELEX:32023R0857&amp;locale=lt"/>
  <Relationship Id="rId6" Type="http://schemas.openxmlformats.org/officeDocument/2006/relationships/settings" Target="settings.xml"/>
  <Relationship Id="rId60" Type="http://schemas.openxmlformats.org/officeDocument/2006/relationships/hyperlink" TargetMode="External" Target="http://eur-lex.europa.eu/legal-content/LIT/TXT/?uri=CELEX:32018R1999&amp;locale=lt"/>
  <Relationship Id="rId61" Type="http://schemas.openxmlformats.org/officeDocument/2006/relationships/hyperlink" TargetMode="External" Target="http://eur-lex.europa.eu/legal-content/LIT/TXT/?uri=CELEX:32009R0663&amp;locale=lt"/>
  <Relationship Id="rId62" Type="http://schemas.openxmlformats.org/officeDocument/2006/relationships/hyperlink" TargetMode="External" Target="http://eur-lex.europa.eu/legal-content/LIT/TXT/?uri=CELEX:32009R0715&amp;locale=lt"/>
  <Relationship Id="rId63" Type="http://schemas.openxmlformats.org/officeDocument/2006/relationships/hyperlink" TargetMode="External" Target="http://eur-lex.europa.eu/legal-content/LIT/TXT/?uri=CELEX:31994L0022&amp;locale=lt"/>
  <Relationship Id="rId64" Type="http://schemas.openxmlformats.org/officeDocument/2006/relationships/hyperlink" TargetMode="External" Target="http://eur-lex.europa.eu/legal-content/LIT/TXT/?uri=CELEX:31998L0070&amp;locale=lt"/>
  <Relationship Id="rId65" Type="http://schemas.openxmlformats.org/officeDocument/2006/relationships/hyperlink" TargetMode="External" Target="http://eur-lex.europa.eu/legal-content/LIT/TXT/?uri=CELEX:32009L0031&amp;locale=lt"/>
  <Relationship Id="rId66" Type="http://schemas.openxmlformats.org/officeDocument/2006/relationships/hyperlink" TargetMode="External" Target="http://eur-lex.europa.eu/legal-content/LIT/TXT/?uri=CELEX:32009L0073&amp;locale=lt"/>
  <Relationship Id="rId67" Type="http://schemas.openxmlformats.org/officeDocument/2006/relationships/hyperlink" TargetMode="External" Target="http://eur-lex.europa.eu/legal-content/LIT/TXT/?uri=CELEX:32010L0031&amp;locale=lt"/>
  <Relationship Id="rId68" Type="http://schemas.openxmlformats.org/officeDocument/2006/relationships/hyperlink" TargetMode="External" Target="http://eur-lex.europa.eu/legal-content/LIT/TXT/?uri=CELEX:32012L0027&amp;locale=lt"/>
  <Relationship Id="rId69" Type="http://schemas.openxmlformats.org/officeDocument/2006/relationships/hyperlink" TargetMode="External" Target="http://eur-lex.europa.eu/legal-content/LIT/TXT/?uri=CELEX:32013L0030&amp;locale=lt"/>
  <Relationship Id="rId7" Type="http://schemas.openxmlformats.org/officeDocument/2006/relationships/styles" Target="styles.xml"/>
  <Relationship Id="rId70" Type="http://schemas.openxmlformats.org/officeDocument/2006/relationships/hyperlink" TargetMode="External" Target="http://eur-lex.europa.eu/legal-content/LIT/TXT/?uri=CELEX:32009L0119&amp;locale=lt"/>
  <Relationship Id="rId71" Type="http://schemas.openxmlformats.org/officeDocument/2006/relationships/hyperlink" TargetMode="External" Target="http://eur-lex.europa.eu/legal-content/LIT/TXT/?uri=CELEX:32015L0652&amp;locale=lt"/>
  <Relationship Id="rId72" Type="http://schemas.openxmlformats.org/officeDocument/2006/relationships/hyperlink" TargetMode="External" Target="http://eur-lex.europa.eu/legal-content/LIT/TXT/?uri=CELEX:32013R0525&amp;locale=lt"/>
  <Relationship Id="rId73" Type="http://schemas.openxmlformats.org/officeDocument/2006/relationships/hyperlink" TargetMode="External" Target="http://eur-lex.europa.eu/legal-content/LIT/TXT/?uri=CELEX:32023L2413&amp;locale=lt"/>
  <Relationship Id="rId74" Type="http://schemas.openxmlformats.org/officeDocument/2006/relationships/hyperlink" TargetMode="External" Target="http://eur-lex.europa.eu/legal-content/LIT/TXT/?uri=CELEX:32018R2067&amp;locale=lt"/>
  <Relationship Id="rId75" Type="http://schemas.openxmlformats.org/officeDocument/2006/relationships/hyperlink" TargetMode="External" Target="http://eur-lex.europa.eu/legal-content/LIT/TXT/?uri=CELEX:32003L0087&amp;locale=lt"/>
  <Relationship Id="rId76" Type="http://schemas.openxmlformats.org/officeDocument/2006/relationships/hyperlink" TargetMode="External" Target="http://eur-lex.europa.eu/legal-content/LIT/TXT/?uri=CELEX:32020R2084&amp;locale=lt"/>
  <Relationship Id="rId77" Type="http://schemas.openxmlformats.org/officeDocument/2006/relationships/hyperlink" TargetMode="External" Target="http://eur-lex.europa.eu/legal-content/LIT/TXT/?uri=CELEX:32018R2066&amp;locale=lt"/>
  <Relationship Id="rId78" Type="http://schemas.openxmlformats.org/officeDocument/2006/relationships/hyperlink" TargetMode="External" Target="http://eur-lex.europa.eu/legal-content/LIT/TXT/?uri=CELEX:32003L0087&amp;locale=lt"/>
  <Relationship Id="rId79" Type="http://schemas.openxmlformats.org/officeDocument/2006/relationships/hyperlink" TargetMode="External" Target="http://eur-lex.europa.eu/legal-content/LIT/TXT/?uri=CELEX:32012R0601&amp;locale=lt"/>
  <Relationship Id="rId8" Type="http://schemas.openxmlformats.org/officeDocument/2006/relationships/theme" Target="theme/theme1.xml"/>
  <Relationship Id="rId80" Type="http://schemas.openxmlformats.org/officeDocument/2006/relationships/hyperlink" TargetMode="External" Target="http://eur-lex.europa.eu/legal-content/LIT/TXT/?uri=CELEX:32023R2122&amp;locale=lt"/>
  <Relationship Id="rId81" Type="http://schemas.openxmlformats.org/officeDocument/2006/relationships/hyperlink" TargetMode="External" Target="http://eur-lex.europa.eu/legal-content/LIT/TXT/?uri=CELEX:32019R0331&amp;locale=lt"/>
  <Relationship Id="rId82" Type="http://schemas.openxmlformats.org/officeDocument/2006/relationships/hyperlink" TargetMode="External" Target="http://eur-lex.europa.eu/legal-content/LIT/TXT/?uri=CELEX:32003L0087&amp;locale=lt"/>
  <Relationship Id="rId83" Type="http://schemas.openxmlformats.org/officeDocument/2006/relationships/hyperlink" TargetMode="External" Target="http://eur-lex.europa.eu/legal-content/LIT/TXT/?uri=CELEX:32020D1071&amp;locale=lt"/>
  <Relationship Id="rId84" Type="http://schemas.openxmlformats.org/officeDocument/2006/relationships/hyperlink" TargetMode="External" Target="http://eur-lex.europa.eu/legal-content/LIT/TXT/?uri=CELEX:32003L0087&amp;locale=lt"/>
  <Relationship Id="rId85" Type="http://schemas.openxmlformats.org/officeDocument/2006/relationships/hyperlink" TargetMode="External" Target="http://eur-lex.europa.eu/legal-content/LIT/TXT/?uri=CELEX:32020R1208&amp;locale=lt"/>
  <Relationship Id="rId86" Type="http://schemas.openxmlformats.org/officeDocument/2006/relationships/hyperlink" TargetMode="External" Target="http://eur-lex.europa.eu/legal-content/LIT/TXT/?uri=CELEX:32018R1999&amp;locale=lt"/>
  <Relationship Id="rId87" Type="http://schemas.openxmlformats.org/officeDocument/2006/relationships/hyperlink" TargetMode="External" Target="http://eur-lex.europa.eu/legal-content/LIT/TXT/?uri=CELEX:32014R0749&amp;locale=lt"/>
  <Relationship Id="rId88" Type="http://schemas.openxmlformats.org/officeDocument/2006/relationships/hyperlink" TargetMode="External" Target="http://eur-lex.europa.eu/legal-content/LIT/TXT/?uri=CELEX:32021R1416&amp;locale=lt"/>
  <Relationship Id="rId89" Type="http://schemas.openxmlformats.org/officeDocument/2006/relationships/hyperlink" TargetMode="External" Target="http://eur-lex.europa.eu/legal-content/LIT/TXT/?uri=CELEX:32003L0087&amp;locale=lt"/>
  <Relationship Id="rId9" Type="http://schemas.openxmlformats.org/officeDocument/2006/relationships/webSettings" Target="webSettings.xml"/>
  <Relationship Id="rId90" Type="http://schemas.openxmlformats.org/officeDocument/2006/relationships/hyperlink" TargetMode="External" Target="http://eur-lex.europa.eu/legal-content/LIT/TXT/?uri=CELEX:32021R1119&amp;locale=lt"/>
  <Relationship Id="rId91" Type="http://schemas.openxmlformats.org/officeDocument/2006/relationships/hyperlink" TargetMode="External" Target="http://eur-lex.europa.eu/legal-content/LIT/TXT/?uri=CELEX:32009R0401&amp;locale=lt"/>
  <Relationship Id="rId92" Type="http://schemas.openxmlformats.org/officeDocument/2006/relationships/hyperlink" TargetMode="External" Target="http://eur-lex.europa.eu/legal-content/LIT/TXT/?uri=CELEX:32018R1999&amp;locale=lt"/>
  <Relationship Id="rId93" Type="http://schemas.openxmlformats.org/officeDocument/2006/relationships/hyperlink" TargetMode="External" Target="http://eur-lex.europa.eu/legal-content/LIT/TXT/?uri=CELEX:32023R0955&amp;locale=lt"/>
  <Relationship Id="rId94" Type="http://schemas.openxmlformats.org/officeDocument/2006/relationships/hyperlink" TargetMode="External" Target="http://eur-lex.europa.eu/legal-content/LIT/TXT/?uri=CELEX:32021R1060&amp;locale=lt"/>
  <Relationship Id="rId95" Type="http://schemas.openxmlformats.org/officeDocument/2006/relationships/hyperlink" TargetMode="External" Target="http://eur-lex.europa.eu/legal-content/LIT/TXT/?uri=CELEX:32023R0956&amp;locale=lt"/>
  <Relationship Id="rId96" Type="http://schemas.openxmlformats.org/officeDocument/2006/relationships/hyperlink" TargetMode="External" Target="http://eur-lex.europa.eu/legal-content/LIT/TXT/?uri=CELEX:32023R2449&amp;locale=lt"/>
  <Relationship Id="rId97" Type="http://schemas.openxmlformats.org/officeDocument/2006/relationships/hyperlink" TargetMode="External" Target="http://eur-lex.europa.eu/legal-content/LIT/TXT/?uri=CELEX:32015R0757&amp;locale=lt"/>
  <Relationship Id="rId98" Type="http://schemas.openxmlformats.org/officeDocument/2006/relationships/hyperlink" TargetMode="External" Target="http://eur-lex.europa.eu/legal-content/LIT/TXT/?uri=CELEX:32016R1927&amp;locale=lt"/>
  <Relationship Id="rId99" Type="http://schemas.openxmlformats.org/officeDocument/2006/relationships/hyperlink" TargetMode="External" Target="http://eur-lex.europa.eu/legal-content/LIT/TXT/?uri=CELEX:32024R0573&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Specialios išimtys orlaivių naudotojams" DocPartId="ceb7effd5940419aa56582b6228f17f1" PartId="b7beaa444b294d84968ba6b95ded54e0">
        <Part Type="strDalis" Nr="1" Abbr="10 str. 1 d." DocPartId="91c0d1183b8345788b5dd1338ddd6835" PartId="b6fe6722e37f43e2b1fb52d1b15f12d2">
          <Part Type="strPunktas" Nr="1" Abbr="10 str. 1 d. 1 p." DocPartId="38a221bac48845ae9ea795ef1773da92" PartId="4b86131465f046c5b44366988908a43f"/>
          <Part Type="strPunktas" Nr="2" Abbr="10 str. 1 d. 2 p." DocPartId="1537befe73a549ce893d00c559f39c7b" PartId="9bdde41a53ef4cde8934889c5f98b73e"/>
          <Part Type="strPunktas" Nr="3" Abbr="10 str. 1 d. 3 p." DocPartId="fd2319bf28724c9e89922f80b4ec6931" PartId="31d95a305b364bd6ad004dc45dfbaa33"/>
        </Part>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5143abc0680147088380b152436e37ba"/>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9c777a01f9d547cfa899c4fd132634ae"/>
          <Part Type="strPunktas" Nr="10" Abbr="10 p." DocPartId="1582166e107245a2911337c7bf130c33" PartId="7b5a4bac71564d818ae0d58d72ad5089"/>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ae41df458b6a49a1a641e57e129e8cca"/>
        <Part Type="strDalis" Nr="7" Abbr="7 d." DocPartId="49302af8734048db8c9b38ff92f8f586" PartId="6f67240cc7164e76bdce6373abdcc981"/>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413a6d67657844499ca8c8fdfe1bae67"/>
        <Part Type="strDalis" Nr="2" Abbr="18 str. 2 d." DocPartId="9db28797d8824af29a07899da67d4453" PartId="6242debc1af249e99c3608998798da96"/>
        <Part Type="strDalis" Nr="3" Abbr="18 str. 3 d." DocPartId="1bd29f4bb9cc473abfd039d0d822c619" PartId="fd5282dfb57743e7b91537ed2e401c1a">
          <Part Type="strPunktas" Nr="1" Abbr="18 str. 3 d. 1 p." DocPartId="f093c6e710444f4fa5fc96f75397549d" PartId="38f88195404f479a90bcb4087b0d43b9"/>
          <Part Type="strPunktas" Nr="2" Abbr="18 str. 3 d. 2 p." DocPartId="6c201b943f4541a4ab5ae60f1d66440d" PartId="0a956b23507b4372a76c3d1777207c1f"/>
          <Part Type="strPunktas" Nr="3" Abbr="18 str. 3 d. 3 p." DocPartId="b196663c6b874717909f22528abf53cb" PartId="62a3953119504116befe8a4de078d9fb"/>
          <Part Type="strPunktas" Nr="4" Abbr="18 str. 3 d. 4 p." DocPartId="fa957f4a95df44f89b690955b6972a6f" PartId="53bfd0a28366489f9fc5f908822dc96c"/>
          <Part Type="strPunktas" Nr="5" Abbr="18 str. 3 d. 5 p." DocPartId="31c63f59ce3a4364997d1d3d4cb8e26d" PartId="086588dbe3314eb7b2ff6e810983392b"/>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f2e3f0fe12114f9185d54a3078222bcd"/>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72006ad3b1724b73a546f6394860b65e"/>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8736ae9a3b73472f9f8895103e8783bb">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f582327b9e154401b079888846abd47d"/>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piniginės sankcijos" DocPartId="0fa2c25fc3dc4456b2251d68867ef611" PartId="3cd327e9c0994434a0d1d2f881a55adc">
        <Part Type="strDalis" Nr="1" Abbr="23 str. 1 d." DocPartId="606397c5a7c44448a412c26e469edcf0" PartId="30bddfb3bdc04fa6b249ab983d55562d">
          <Part Type="strPunktas" Nr="1" Abbr="23 str. 1 d. 1 p." DocPartId="b92a7bf9cb714ab5b552de9373411ceb" PartId="7add8636761d4d4788b96fce1cf1a778"/>
          <Part Type="strPunktas" Nr="2" Abbr="23 str. 1 d. 2 p." DocPartId="fbe8d7c2f58b43afbcd7d5610d32fc15" PartId="572e7693964b49d48a87fca628b6561d"/>
          <Part Type="strPunktas" Nr="3" Abbr="23 str. 1 d. 3 p." DocPartId="c9ea3be2087743fa9c5fce1032acc1c0" PartId="07e0c577e3884790b76fd59d8fd6fbbd"/>
        </Part>
      </Part>
      <Part Type="straipsnis" Nr="24" Abbr="24 str." Title="Ekonomines pinigines sankcijas skiriantys pareigūnai" DocPartId="f6e7fa9f015f4f8eb18fe1ff7df9a7b8" PartId="99716dfe91db45c181037a1468f94d55">
        <Part Type="strDalis" Nr="1" Abbr="24 str. 1 d." DocPartId="237b6510b1394a82801af196d7088851" PartId="03aa81b1c2f24a28897eedb36a80a818"/>
      </Part>
      <Part Type="straipsnis" Nr="25" Abbr="25 str." Title="Bylų dėl ekonominių piniginių sankcijų skyrimo iškėlimo tvarka" DocPartId="aea7613bc4d3499d9dbffd4748029b8b" PartId="aa6541e7e56d4f8cac3358449e74d8a3">
        <Part Type="strDalis" Nr="1" Abbr="25 str. 1 d." DocPartId="f2165aa0a650465ca66339a277d385a3" PartId="2bb41409d1ab459295c707dd34b9b1e7">
          <Part Type="strPunktas" Nr="1" Abbr="25 str. 1 d. 1 p." DocPartId="3733e649cc1a4ccf9ccc320461cc566a" PartId="8a61d7069f394b51a1b775425c23656a"/>
          <Part Type="strPunktas" Nr="2" Abbr="25 str. 1 d. 2 p." DocPartId="c182f400903640f5a3488368db740ecc" PartId="471fdee14818486c839c6cf97b5688a7"/>
          <Part Type="strPunktas" Nr="3" Abbr="25 str. 1 d. 3 p." DocPartId="e1b62c9b4ac0459f9f21d9c247f6413c" PartId="98ca24ff52b3460ca562c31c646ec764"/>
          <Part Type="strPunktas" Nr="4" Abbr="25 str. 1 d. 4 p." DocPartId="26de18cc851b4d69a24d2df83099ae93" PartId="28e09596b23347e9b48f4e96f3d4f248"/>
          <Part Type="strPunktas" Nr="5" Abbr="25 str. 1 d. 5 p." DocPartId="dec8867f173c40acac5e4862c1f32176" PartId="7562877e4c4e42a985c913827c55b395"/>
        </Part>
        <Part Type="strDalis" Nr="2" Abbr="25 str. 2 d." DocPartId="e13563b5bd6843d08bd3ad2b8dc7faf5" PartId="947866c7778e4ad4a37dc580522c8f80"/>
      </Part>
      <Part Type="straipsnis" Nr="26" Abbr="26 str." Title="Ekonominių piniginių sankcijų skyrimo terminai" DocPartId="67981e6c32394bdc99e7d9148d8c0603" PartId="33feb13a5ba344cd99b4ca9b1e584089">
        <Part Type="strDalis" Nr="1" Abbr="26 str. 1 d." DocPartId="26af6e8d60df45a1a9b4c1fb7b1a9cf9" PartId="f34699347b45464b956ff2ec0cf775c4"/>
      </Part>
      <Part Type="straipsnis" Nr="27" Abbr="27 str." Title="Ekonominių piniginių sankcijų skyrimo bylų proceso dalyviai" DocPartId="137998aaa99b456cbbf12f2a962b50ff" PartId="8fcfff850b17463c975a4ee17e3f94ce">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9a35326131224ab885b9f8d433561d72"/>
      </Part>
      <Part Type="straipsnis" Nr="28" Abbr="28 str." Title="Bylos dėl ekonominės piniginės sankcijos skyrimo nagrinėjimas ir ekonominės piniginės sankcijos skyrimo bylos nagrinėjimo atidėjimas" DocPartId="7ec23fbca8b7451b9785d16c7344d6d6" PartId="ba0634cd352f49aa99474bed065b6b05">
        <Part Type="strDalis" Nr="1" Abbr="28 str. 1 d." DocPartId="fa679853bf2c411abf231515082675ea" PartId="4839d8d637f4442cbff4a0c43b4a9833"/>
        <Part Type="strDalis" Nr="2" Abbr="28 str. 2 d." DocPartId="e5f868696f4844d2a3142f486ca2baad" PartId="b05123e26e5648cd86eb9faacd6d1f53"/>
        <Part Type="strDalis" Nr="3" Abbr="28 str. 3 d." DocPartId="5bdc8e3f696d40a89fc92ad9783e5784" PartId="f2cda671128b45a1985840ef82f97f12"/>
        <Part Type="strDalis" Nr="4" Abbr="28 str. 4 d." DocPartId="fbb011abcc0d4e819425efecfe7bd4d8" PartId="84ed3b2012774f6d8d6e79bc6871cfa4"/>
        <Part Type="strDalis" Nr="5" Abbr="28 str. 5 d." DocPartId="f35feba6fd5d4427bb8577cb6ee42ead" PartId="757b0bf75a2b4fb28e8d012d9e77e6b1"/>
      </Part>
      <Part Type="straipsnis" Nr="29" Abbr="29 str." Title="Nutarimai, priimami išnagrinėjus bylą dėl ekonominės piniginės sankcijos skyrimo, ir jų apskundimas" DocPartId="65e81ee090bf4fa6b37c66e8deae12f6" PartId="bc03bad221cd4cad9435f2b4fc21bb30">
        <Part Type="strDalis" Nr="1" Abbr="29 str. 1 d." DocPartId="af6a65574fd94d3bbe53b3fc600d6806" PartId="9ad3783dfbc94b0bac92166403d60816">
          <Part Type="strPunktas" Nr="1" Abbr="29 str. 1 d. 1 p." DocPartId="90deb9f0b21742fbab731e0bbf0c1ea5" PartId="a5500dbfbe2a45bdb75f9a6046ea596c"/>
          <Part Type="strPunktas" Nr="2" Abbr="29 str. 1 d. 2 p." DocPartId="bc193e9f19894a279c1a04f578247a58" PartId="e07c64d7b4b248a3b621af5470b04c5d"/>
          <Part Type="strPunktas" Nr="3" Abbr="29 str. 1 d. 3 p." DocPartId="d4d353d7c9704e329f050dd33c309417" PartId="0cf16304b0d344dc857ca76646955002"/>
          <Part Type="strPunktas" Nr="4" Abbr="29 str. 1 d. 4 p." DocPartId="2d95a38f4d71494e8abe2b8d7d64240f" PartId="82db1fa0e6374ef18977f9e824e0f636"/>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a2e930fa6dd84f93b75f6a376651fe46"/>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3cf5201612cd4ff391603e2a87cc5914"/>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piniginės sankcijos skyrimo" DocPartId="d958381737d04ec8910d02f1e8505d2b" PartId="99a6cc40c95f42a4b84aee1bcaca6ecd">
        <Part Type="strDalis" Nr="1" Abbr="30 str. 1 d." DocPartId="05feaa0b361945e4a923ce8699ecfb45" PartId="1907b37c88b5499490dd42c3c9ffd073"/>
        <Part Type="strDalis" Nr="2" Abbr="30 str. 2 d." DocPartId="e7cb86d04aea45ed92dac81a4fad1174" PartId="5dd34ebb57f14b7d8c0c85a74bac1670"/>
      </Part>
      <Part Type="straipsnis" Nr="31" Abbr="31 str." Title="Ekonominių piniginių sankcijų sumokėjimas ir išieškojimas" DocPartId="7f6538cc70d24dab959005b09d105ac7" PartId="86dbdccd14f145a793361fb9327ce79f">
        <Part Type="strDalis" Nr="1" Abbr="31 str. 1 d." DocPartId="91f135363e6b46bcac28809db7ec3e4f" PartId="406752cfe9ef46b1898bf71296b5e2ce"/>
        <Part Type="strDalis" Nr="2" Abbr="31 str. 2 d." DocPartId="43724593d93f4be89f75b671fa7695c8" PartId="f82e811f5aa5464e90dca7ccb2cd1dd9"/>
        <Part Type="strDalis" Nr="3" Abbr="31 str. 3 d." DocPartId="d6fd685f91734ff3910832a9ae8f231a" PartId="771ce20b4f68440a99d084d78a4c081e"/>
      </Part>
    </Part>
    <Part Type="signatura" DocPartId="3bd591e360294db9be98e5d84a62a044" PartId="1758a4119daa4bb7b61f7696494a0a39"/>
  </Part>
  <Part Type="priedas" Nr="1" Abbr="1 pr." Title="VEIKLOS RŪŠIŲ SĄRAŠAS IR JO TAIKYMO TAISYKLĖS" DocPartId="eda1720292db4c8d8369a86503682dbc" PartId="fdd1a2cb762949c3962491c9753e5072">
    <Part Type="punktas" Nr="1" Abbr="1 pr. 1 p." DocPartId="f158dd2288804121a39bc75135ea397b" PartId="a38930845a4d4e65891860983650693d"/>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c2de5ba6e15940c7bc109fcea54e303b">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7b2a7d1af9754214a3cbd21f23f51fd0"/>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unktas" Nr="22" Abbr="22 p." DocPartId="40556b2fd8364ab5a9d4a05bd6edbba7" PartId="b53e14dfecd544fa817b49bdd5ecf776"/>
    <Part Type="punktas" Nr="23" Abbr="23 p." DocPartId="e705598086834701917b3595e7c61cbb" PartId="0140def54b2d48a8bc8ef1024490f19b"/>
    <Part Type="punktas" Nr="24" Abbr="24 p." DocPartId="96d92a5ebdf444f0bf8dd42962db0a09" PartId="93bdafa4365d4a8996b95cb3d4ab5d94"/>
    <Part Type="punktas" Nr="25" Abbr="25 p." DocPartId="7a6cf9db428c414cbc41de39f322f48c" PartId="5eca27ab22af467995e0ef22de3608da"/>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98BE18-910A-4D85-9257-713D0178F11F}">
  <ds:schemaRefs>
    <ds:schemaRef ds:uri="http://schemas.openxmlformats.org/officeDocument/2006/bibliography"/>
  </ds:schemaRefs>
</ds:datastoreItem>
</file>

<file path=customXml/itemProps2.xml><?xml version="1.0" encoding="utf-8"?>
<ds:datastoreItem xmlns:ds="http://schemas.openxmlformats.org/officeDocument/2006/customXml" ds:itemID="{010055E6-51C4-4E30-A476-204DD107F3D4}">
  <ds:schemaRefs>
    <ds:schemaRef ds:uri="http://lrs.lt/TAIS/DocParts"/>
  </ds:schemaRefs>
</ds:datastoreItem>
</file>

<file path=customXml/itemProps3.xml><?xml version="1.0" encoding="utf-8"?>
<ds:datastoreItem xmlns:ds="http://schemas.openxmlformats.org/officeDocument/2006/customXml" ds:itemID="{211D4300-0372-47C2-BD47-FA8C401F6A46}">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TotalTime>
  <Pages>44</Pages>
  <Words>77070</Words>
  <Characters>43930</Characters>
  <Application>Microsoft Office Word</Application>
  <DocSecurity>0</DocSecurity>
  <Lines>366</Lines>
  <Paragraphs>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120759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DINDIENĖ Laura</lastModifiedBy>
  <lastPrinted>2009-07-10T11:30:00Z</lastPrinted>
  <dcterms:modified xsi:type="dcterms:W3CDTF">2026-05-19T13:13:00Z</dcterms:modified>
  <revision>33</revision>
</coreProperties>
</file>