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2018-07-01 iki 2018-07-05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83e63de528954e04b431b5eeeb72a175"/>
                    <w:lock w:val="sdtLocked"/>
                    <w:richText/>
                  </w:sdtPr>
                  <w:sdtContent>
                    <w:p>
                      <w:pPr>
                        <w:tabs>
                          <w:tab w:val="left" w:pos="10095"/>
                        </w:tabs>
                        <w:suppressAutoHyphens/>
                        <w:spacing w:line="360" w:lineRule="auto"/>
                        <w:ind w:firstLine="720"/>
                        <w:jc w:val="both"/>
                        <w:rPr>
                          <w:szCs w:val="24"/>
                          <w:lang w:eastAsia="ar-SA"/>
                        </w:rPr>
                      </w:pPr>
                      <w:sdt>
                        <w:sdtPr>
                          <w:alias w:val="Numeris"/>
                          <w:tag w:val="nr_83e63de528954e04b431b5eeeb72a175"/>
                          <w:lock w:val="sdtLocked"/>
                          <w:richText/>
                        </w:sdtPr>
                        <w:sdtContent>
                          <w:r>
                            <w:rPr>
                              <w:bCs/>
                              <w:szCs w:val="24"/>
                            </w:rPr>
                            <w:t>7</w:t>
                          </w:r>
                        </w:sdtContent>
                      </w:sdt>
                      <w:r>
                        <w:rPr>
                          <w:bCs/>
                          <w:szCs w:val="24"/>
                        </w:rPr>
                        <w:t xml:space="preserve">. </w:t>
                      </w:r>
                      <w:r>
                        <w:rPr>
                          <w:b/>
                          <w:szCs w:val="24"/>
                          <w:lang w:eastAsia="ar-SA"/>
                        </w:rPr>
                        <w:t>Naujas</w:t>
                      </w:r>
                      <w:r>
                        <w:rPr>
                          <w:szCs w:val="24"/>
                          <w:lang w:eastAsia="ar-SA"/>
                        </w:rPr>
                        <w:t xml:space="preserve"> </w:t>
                      </w:r>
                      <w:r>
                        <w:rPr>
                          <w:b/>
                          <w:bCs/>
                          <w:szCs w:val="24"/>
                          <w:lang w:eastAsia="ar-SA"/>
                        </w:rPr>
                        <w:t>šiltnamio efektą sukeliančias dujas išmetantis įrenginys</w:t>
                      </w:r>
                      <w:r>
                        <w:rPr>
                          <w:szCs w:val="24"/>
                          <w:lang w:eastAsia="ar-SA"/>
                        </w:rPr>
                        <w:t xml:space="preserve"> (toliau </w:t>
                      </w:r>
                      <w:r>
                        <w:rPr>
                          <w:bCs/>
                          <w:szCs w:val="24"/>
                          <w:lang w:eastAsia="ar-SA"/>
                        </w:rPr>
                        <w:t xml:space="preserve">– </w:t>
                      </w:r>
                      <w:r>
                        <w:rPr>
                          <w:b/>
                          <w:szCs w:val="24"/>
                          <w:lang w:eastAsia="ar-SA"/>
                        </w:rPr>
                        <w:t>naujas įrenginys</w:t>
                      </w:r>
                      <w:r>
                        <w:rPr>
                          <w:szCs w:val="24"/>
                          <w:lang w:eastAsia="ar-SA"/>
                        </w:rPr>
                        <w:t xml:space="preserve">) – įrenginys, kurį eksploatuojantis veiklos vykdytojas: </w:t>
                      </w:r>
                    </w:p>
                    <w:sdt>
                      <w:sdtPr>
                        <w:alias w:val="2 str. 7 d. 1 p."/>
                        <w:tag w:val="part_d561bf9e30644be6b42f349fed6ce7f6"/>
                        <w:lock w:val="sdtLocked"/>
                        <w:richText/>
                      </w:sdtPr>
                      <w:sdtContent>
                        <w:p>
                          <w:pPr>
                            <w:suppressAutoHyphens/>
                            <w:spacing w:line="360" w:lineRule="auto"/>
                            <w:ind w:firstLine="720"/>
                            <w:jc w:val="both"/>
                            <w:textAlignment w:val="center"/>
                            <w:rPr>
                              <w:szCs w:val="24"/>
                              <w:lang w:eastAsia="lt-LT"/>
                            </w:rPr>
                          </w:pPr>
                          <w:sdt>
                            <w:sdtPr>
                              <w:alias w:val="Numeris"/>
                              <w:tag w:val="nr_d561bf9e30644be6b42f349fed6ce7f6"/>
                              <w:lock w:val="sdtLocked"/>
                              <w:richText/>
                            </w:sdtPr>
                            <w:sdtContent>
                              <w:r>
                                <w:rPr>
                                  <w:szCs w:val="24"/>
                                  <w:lang w:eastAsia="lt-LT"/>
                                </w:rPr>
                                <w:t>1</w:t>
                              </w:r>
                            </w:sdtContent>
                          </w:sdt>
                          <w:r>
                            <w:rPr>
                              <w:szCs w:val="24"/>
                              <w:lang w:eastAsia="lt-LT"/>
                            </w:rPr>
                            <w:t>) vykdo vieną arba daugiau veiklų pagal šio įstatymo 1 priede nurodytą veiklos rūšių sąrašą ir turi jam po 2011 m. birželio 30 d. pirmą kartą išduotą leidimą išmesti šiltnamio efektą sukeliančias dujas;</w:t>
                          </w:r>
                        </w:p>
                      </w:sdtContent>
                    </w:sdt>
                    <w:sdt>
                      <w:sdtPr>
                        <w:alias w:val="2 str. 7 d. 2 p."/>
                        <w:tag w:val="part_b23e6f3b29cc48c7a6af1615947c3372"/>
                        <w:lock w:val="sdtLocked"/>
                        <w:richText/>
                      </w:sdtPr>
                      <w:sdtContent>
                        <w:p>
                          <w:pPr>
                            <w:suppressAutoHyphens/>
                            <w:spacing w:line="360" w:lineRule="auto"/>
                            <w:ind w:firstLine="720"/>
                            <w:jc w:val="both"/>
                            <w:textAlignment w:val="center"/>
                            <w:rPr>
                              <w:szCs w:val="24"/>
                              <w:lang w:eastAsia="lt-LT"/>
                            </w:rPr>
                          </w:pPr>
                          <w:sdt>
                            <w:sdtPr>
                              <w:alias w:val="Numeris"/>
                              <w:tag w:val="nr_b23e6f3b29cc48c7a6af1615947c3372"/>
                              <w:lock w:val="sdtLocked"/>
                              <w:richText/>
                            </w:sdtPr>
                            <w:sdtContent>
                              <w:r>
                                <w:rPr>
                                  <w:szCs w:val="24"/>
                                  <w:lang w:eastAsia="lt-LT"/>
                                </w:rPr>
                                <w:t>2</w:t>
                              </w:r>
                            </w:sdtContent>
                          </w:sdt>
                          <w:r>
                            <w:rPr>
                              <w:szCs w:val="24"/>
                              <w:lang w:eastAsia="lt-LT"/>
                            </w:rPr>
                            <w:t>) vykdo veiklą, kuri nepatenka į šio įstatymo 1 priede nurodytų veiklos rūšių sąrašą arba neapima šio įstatymo 1 priede nurodytų veiklos rūšių ir išmetamų šiltnamio efektą sukeliančių dujų, tačiau ši veikla ir (arba) šiltnamio efektą sukeliančios dujos, gavus Europos Komisijos patvirtinimą, Lietuvos Respublikos vienašališkai yra įtrauktos į Europos Sąjungos šiltnamio efektą sukeliančių dujų apyvartinių taršos leidimų prekybos sistemą;</w:t>
                          </w:r>
                        </w:p>
                      </w:sdtContent>
                    </w:sdt>
                    <w:sdt>
                      <w:sdtPr>
                        <w:alias w:val="2 str. 7 d. 3 p."/>
                        <w:tag w:val="part_1a7656c5a47047d4bb24c0f2e9f48562"/>
                        <w:lock w:val="sdtLocked"/>
                        <w:richText/>
                      </w:sdtPr>
                      <w:sdtContent>
                        <w:p>
                          <w:pPr>
                            <w:suppressAutoHyphens/>
                            <w:spacing w:line="360" w:lineRule="auto"/>
                            <w:ind w:firstLine="720"/>
                            <w:jc w:val="both"/>
                            <w:textAlignment w:val="center"/>
                          </w:pPr>
                          <w:sdt>
                            <w:sdtPr>
                              <w:alias w:val="Numeris"/>
                              <w:tag w:val="nr_1a7656c5a47047d4bb24c0f2e9f48562"/>
                              <w:lock w:val="sdtLocked"/>
                              <w:richText/>
                            </w:sdtPr>
                            <w:sdtContent>
                              <w:r>
                                <w:rPr>
                                  <w:szCs w:val="24"/>
                                  <w:lang w:eastAsia="lt-LT"/>
                                </w:rPr>
                                <w:t>3</w:t>
                              </w:r>
                            </w:sdtContent>
                          </w:sdt>
                          <w:r>
                            <w:rPr>
                              <w:szCs w:val="24"/>
                              <w:lang w:eastAsia="lt-LT"/>
                            </w:rPr>
                            <w:t>) vykdo vieną arba daugiau veiklų pagal šio įstatymo 1 priede nurodytą veiklos rūšių sąrašą arba veiklą, kuri nepatenka į šio įstatymo 1 priede nurodytų veiklos rūšių sąrašą arba neapima šio įstatymo 1 priede nurodytų veiklos rūšių ir išmetamų šiltnamio efektą sukeliančių dujų, tačiau ši veikla (veiklos) ir (arba) šiltnamio efektą sukeliančios dujos, gavus Europos Komisijos patvirtinimą, Lietuvos Respublikos vienašališkai yra įtrauktos į Europos Sąjungos šiltnamio efektą sukeliančių dujų apyvartinių taršos leidimų prekybos sistemą, ir įrenginio pajėgumai buvo labai išplėsti po 2011 m. birželio 30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bc63c91d685449aab584d0a6683c244e"/>
                    <w:lock w:val="sdtLocked"/>
                    <w:richText/>
                  </w:sdtPr>
                  <w:sdtContent>
                    <w:p>
                      <w:pPr>
                        <w:spacing w:line="360" w:lineRule="auto"/>
                        <w:ind w:firstLine="720"/>
                        <w:jc w:val="both"/>
                      </w:pPr>
                      <w:sdt>
                        <w:sdtPr>
                          <w:alias w:val="Numeris"/>
                          <w:tag w:val="nr_bc63c91d685449aab584d0a6683c244e"/>
                          <w:lock w:val="sdtLocked"/>
                          <w:richText/>
                        </w:sdtPr>
                        <w:sdtContent>
                          <w:r>
                            <w:t>3</w:t>
                          </w:r>
                        </w:sdtContent>
                      </w:sdt>
                      <w:r>
                        <w:t>. Nustatytosios normos vienetams įsigyti naudojamos šio straipsnio 2 dalyje nurodytoje Klimato kaitos specialiojoje programoje sukauptos lėšos ir (ar) valstybės biudžeto lėšos.</w:t>
                      </w:r>
                    </w:p>
                  </w:sdtContent>
                </w:sdt>
                <w:sdt>
                  <w:sdtPr>
                    <w:alias w:val="4 d."/>
                    <w:tag w:val="part_cd478b6d341b474e9184d85954cde90a"/>
                    <w:lock w:val="sdtLocked"/>
                    <w:richText/>
                  </w:sdtPr>
                  <w:sdtContent>
                    <w:p>
                      <w:pPr>
                        <w:widowControl w:val="0"/>
                        <w:suppressAutoHyphens/>
                        <w:spacing w:line="360" w:lineRule="auto"/>
                        <w:ind w:firstLine="720"/>
                        <w:jc w:val="both"/>
                      </w:pPr>
                      <w:sdt>
                        <w:sdtPr>
                          <w:alias w:val="Numeris"/>
                          <w:tag w:val="nr_cd478b6d341b474e9184d85954cde90a"/>
                          <w:lock w:val="sdtLocked"/>
                          <w:richText/>
                        </w:sdtPr>
                        <w:sdtContent>
                          <w:r>
                            <w:rPr>
                              <w:color w:val="000000"/>
                            </w:rPr>
                            <w:t>4</w:t>
                          </w:r>
                        </w:sdtContent>
                      </w:sdt>
                      <w:r>
                        <w:rPr>
                          <w:color w:val="000000"/>
                        </w:rPr>
                        <w:t>.</w:t>
                      </w:r>
                      <w:r>
                        <w:rPr>
                          <w:color w:val="000000"/>
                          <w:vertAlign w:val="superscript"/>
                        </w:rPr>
                        <w:t xml:space="preserve"> </w:t>
                      </w:r>
                      <w:r>
                        <w:rPr>
                          <w:color w:val="000000"/>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specialiosios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rPr>
                        <w:t xml:space="preserve"> </w:t>
                      </w:r>
                      <w:r>
                        <w:rPr>
                          <w:color w:val="000000"/>
                        </w:rPr>
                        <w:t>palankiausią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5 d."/>
                    <w:tag w:val="part_39bb81823e7546f1b07371ac294a373a"/>
                    <w:lock w:val="sdtLocked"/>
                    <w:richText/>
                  </w:sdtPr>
                  <w:sdtContent>
                    <w:p>
                      <w:pPr>
                        <w:widowControl w:val="0"/>
                        <w:suppressAutoHyphens/>
                        <w:spacing w:line="360" w:lineRule="auto"/>
                        <w:ind w:firstLine="720"/>
                        <w:jc w:val="both"/>
                      </w:pPr>
                      <w:sdt>
                        <w:sdtPr>
                          <w:alias w:val="Numeris"/>
                          <w:tag w:val="nr_39bb81823e7546f1b07371ac294a373a"/>
                          <w:lock w:val="sdtLocked"/>
                          <w:richText/>
                        </w:sdtPr>
                        <w:sdtContent>
                          <w:r>
                            <w:rPr>
                              <w:color w:val="000000"/>
                            </w:rPr>
                            <w:t>5</w:t>
                          </w:r>
                        </w:sdtContent>
                      </w:sdt>
                      <w:r>
                        <w:rPr>
                          <w:color w:val="000000"/>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
              <w:sdtPr>
                <w:alias w:val="10 str."/>
                <w:tag w:val="part_9c1a91c8c9ef4558bde333a371153a95"/>
                <w:lock w:val="sdtLocked"/>
                <w:richText/>
              </w:sdtPr>
              <w:sdtContent>
                <w:p>
                  <w:pPr>
                    <w:spacing w:line="360" w:lineRule="auto"/>
                    <w:ind w:left="2127" w:hanging="1418"/>
                    <w:jc w:val="both"/>
                    <w:rPr>
                      <w:b/>
                    </w:rPr>
                  </w:pPr>
                  <w:sdt>
                    <w:sdtPr>
                      <w:alias w:val="Numeris"/>
                      <w:tag w:val="nr_9c1a91c8c9ef4558bde333a371153a95"/>
                      <w:lock w:val="sdtLocked"/>
                      <w:richText/>
                    </w:sdtPr>
                    <w:sdtContent>
                      <w:r>
                        <w:rPr>
                          <w:b/>
                        </w:rPr>
                        <w:t>10</w:t>
                      </w:r>
                    </w:sdtContent>
                  </w:sdt>
                  <w:r>
                    <w:rPr>
                      <w:b/>
                    </w:rPr>
                    <w:t xml:space="preserve"> straipsnis. </w:t>
                  </w:r>
                  <w:sdt>
                    <w:sdtPr>
                      <w:alias w:val="Pavadinimas"/>
                      <w:tag w:val="title_9c1a91c8c9ef4558bde333a371153a95"/>
                      <w:lock w:val="sdtLocked"/>
                      <w:richText/>
                    </w:sdtPr>
                    <w:sdtContent>
                      <w:r>
                        <w:rPr>
                          <w:b/>
                        </w:rPr>
                        <w:t xml:space="preserve">Klimato kaitos specialioji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10 str. 3 d. 8 p."/>
                        <w:tag w:val="part_2c6d41d5c5764b48aaa63f4273833e5c"/>
                        <w:lock w:val="sdtLocked"/>
                        <w:richText/>
                      </w:sdtPr>
                      <w:sdtContent>
                        <w:p>
                          <w:pPr>
                            <w:widowControl w:val="0"/>
                            <w:spacing w:line="360" w:lineRule="auto"/>
                            <w:ind w:firstLine="709"/>
                            <w:jc w:val="both"/>
                          </w:pPr>
                          <w:sdt>
                            <w:sdtPr>
                              <w:alias w:val="Numeris"/>
                              <w:tag w:val="nr_2c6d41d5c5764b48aaa63f4273833e5c"/>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fdab50d41311e7910a89ac20768b0f">
                    <w:r w:rsidRPr="00532B9F">
                      <w:rPr>
                        <w:rFonts w:ascii="Times New Roman" w:eastAsia="MS Mincho" w:hAnsi="Times New Roman"/>
                        <w:sz w:val="20"/>
                        <w:i/>
                        <w:iCs/>
                        <w:color w:val="0000FF" w:themeColor="hyperlink"/>
                        <w:u w:val="single"/>
                      </w:rPr>
                      <w:t>XIII-775</w:t>
                    </w:r>
                  </w:fldSimple>
                  <w:r>
                    <w:rPr>
                      <w:rFonts w:ascii="Times New Roman" w:eastAsia="MS Mincho" w:hAnsi="Times New Roman"/>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814756cdd1614c2a828618cb5c1bc6a6"/>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8cfda02ea7754bed90ace9d878a0a28a"/>
            <w:lock w:val="sdtLocked"/>
            <w:richText/>
          </w:sdtPr>
          <w:sdtContent>
            <w:p>
              <w:pPr>
                <w:spacing w:line="360" w:lineRule="auto"/>
                <w:ind w:firstLine="720"/>
                <w:jc w:val="both"/>
              </w:pPr>
              <w:sdt>
                <w:sdtPr>
                  <w:alias w:val="Numeris"/>
                  <w:tag w:val="nr_8cfda02ea7754bed90ace9d878a0a28a"/>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lang w:eastAsia="ar-SA"/>
                      </w:rPr>
                      <w:t>nuo 2013 m. sausio 1 d. iki 2020 m. gruodžio 31 d. – skrydžiai, kurie, jei nebūtų taikomas šis punktas, būtų priskiriami šiai veiklos rūšiai ir kuriuos atlieka nekomercinės oro transporto priemonės naudotojas, vykdantis skrydžius, kurių bendras metinis išmetamųjų teršalų kiekis yra mažesnis negu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b8978e86d21b4bf9a00429f9dc549134"/>
            <w:lock w:val="sdtLocked"/>
            <w:richText/>
          </w:sdtPr>
          <w:sdtContent>
            <w:p>
              <w:pPr>
                <w:shd w:val="clear" w:color="auto" w:fill="FFFFFF"/>
                <w:spacing w:line="360" w:lineRule="auto"/>
                <w:ind w:firstLine="720"/>
                <w:jc w:val="both"/>
              </w:pPr>
              <w:sdt>
                <w:sdtPr>
                  <w:alias w:val="Numeris"/>
                  <w:tag w:val="nr_b8978e86d21b4bf9a00429f9dc549134"/>
                  <w:lock w:val="sdtLocked"/>
                  <w:richText/>
                </w:sdtPr>
                <w:sdtContent>
                  <w:r>
                    <w:t>1</w:t>
                  </w:r>
                </w:sdtContent>
              </w:sdt>
              <w:r>
                <w:t xml:space="preserve">. 2003 m. spalio 13 d. Europos Parlamento ir Tarybos direktyva 2003/87/EB, nustatanti šiltnamio efektą sukeliančių dujų emisijos leidimų sistemą Bendrijoje ir iš dalies keičianti Tarybos direktyvą 96/61/EB (OL 2004 m. </w:t>
              </w:r>
              <w:r>
                <w:rPr>
                  <w:i/>
                </w:rPr>
                <w:t xml:space="preserve">specialus leidimas </w:t>
              </w:r>
              <w:r>
                <w:t>15 skyrius, 7 tomas, p. 631), su paskutiniais pakeitimais, padarytais 2009 m. balandžio 23 d. Europos Parlamento ir Tarybos direktyva 2009/29/EB (OL 2009 L 140, p. 63).</w:t>
              </w:r>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7 p."/>
            <w:tag w:val="part_60417fcf599e4673a272f061d1c78717"/>
            <w:lock w:val="sdtLocked"/>
            <w:richText/>
          </w:sdtPr>
          <w:sdtContent>
            <w:p>
              <w:pPr>
                <w:suppressAutoHyphens/>
                <w:spacing w:line="360" w:lineRule="auto"/>
                <w:ind w:firstLine="720"/>
                <w:jc w:val="both"/>
              </w:pPr>
              <w:sdt>
                <w:sdtPr>
                  <w:alias w:val="Numeris"/>
                  <w:tag w:val="nr_60417fcf599e4673a272f061d1c78717"/>
                  <w:lock w:val="sdtLocked"/>
                  <w:richText/>
                </w:sdtPr>
                <w:sdtContent>
                  <w:r>
                    <w:rPr>
                      <w:szCs w:val="24"/>
                      <w:lang w:eastAsia="ar-SA"/>
                    </w:rPr>
                    <w:t>7</w:t>
                  </w:r>
                </w:sdtContent>
              </w:sdt>
              <w:r>
                <w:rPr>
                  <w:szCs w:val="24"/>
                  <w:lang w:eastAsia="ar-SA"/>
                </w:rPr>
                <w:t xml:space="preserve">. 2014 m. balandžio 16 d. Europos Parlamento ir Tarybos reglamentas (ES) </w:t>
                <w:br/>
                <w:t>Nr. 421/2014, kuriuo iš dalies keičiama Direktyva 2003/87/EB, nustatanti šiltnamio efektą sukeliančių dujų emisijos leidimų sistemą Bendrijoje, siekiant iki 2020 m. įgyvendinti tarptautinį susitarimą, kuriuo tarptautinės aviacijos išmetamiesiems teršalams nustatoma viena pasaulinė rinkos priemonė (OL 2014 L 129,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226F62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83e63de528954e04b431b5eeeb72a175">
          <Part Type="strPunktas" Nr="1" Abbr="2 str. 7 d. 1 p." DocPartId="e9d07f6a09c746bcafa5d02af45c7d7b" PartId="d561bf9e30644be6b42f349fed6ce7f6"/>
          <Part Type="strPunktas" Nr="2" Abbr="2 str. 7 d. 2 p." DocPartId="ca103665b4c24befb4ae896e87c7ca1f" PartId="b23e6f3b29cc48c7a6af1615947c3372"/>
          <Part Type="strPunktas" Nr="3" Abbr="2 str. 7 d. 3 p." DocPartId="516a2e22400748e2aab6497e2966b2e2" PartId="1a7656c5a47047d4bb24c0f2e9f48562"/>
        </Part>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bc63c91d685449aab584d0a6683c244e"/>
        <Part Type="strDalis" Nr="4" Abbr="4 d." DocPartId="4acc29b3b7c14a99a29861e48278aa30" PartId="cd478b6d341b474e9184d85954cde90a"/>
        <Part Type="strDalis" Nr="5" Abbr="5 d." DocPartId="2f2c1d501f874d829569e1886617e805" PartId="39bb81823e7546f1b07371ac294a373a"/>
      </Part>
      <Part Type="straipsnis" Nr="10" Abbr="10 str." Title="„10 straipsnis. Klimato kaitos specialioji programa ir pagal nustatytosios normos vienetų įsigijimo ir perleidimo sandorius gauto turto perdavimas“." DocPartId="81c02b77a4aa4168919ad58399c317c8" PartId="9c1a91c8c9ef4558bde333a371153a95">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10 str. 3 d. 8 p." DocPartId="1ff6df0ee50f425c94989e370ef308a5" PartId="2c6d41d5c5764b48aaa63f4273833e5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814756cdd1614c2a828618cb5c1bc6a6"/>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8cfda02ea7754bed90ace9d878a0a28a"/>
  </Part>
  <Part Type="priedas" Nr="2" Abbr="2 pr." Title="ĮGYVENDINAMI EUROPOS SĄJUNGOS TEISĖS AKTAI" DocPartId="18b110b149404d07aec7adfc2ea303f4" PartId="652338b8c9f440ea828559478dd9d7ad">
    <Part Type="punktas" Nr="1" Abbr="2 pr. 1 p." DocPartId="9b84042944b945b6bf4140783f69fe48" PartId="b8978e86d21b4bf9a00429f9dc54913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7 p." DocPartId="fc8a60936f734caf90c3d63e554a43b6" PartId="60417fcf599e4673a272f061d1c7871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C6C9F3-EEBD-43FC-9E18-3320EF3FCEA1}">
  <ds:schemaRefs>
    <ds:schemaRef ds:uri="http://lrs.lt/TAIS/DocParts"/>
  </ds:schemaRefs>
</ds:datastoreItem>
</file>

<file path=customXml/itemProps3.xml><?xml version="1.0" encoding="utf-8"?>
<ds:datastoreItem xmlns:ds="http://schemas.openxmlformats.org/officeDocument/2006/customXml" ds:itemID="{0D6D3B80-D984-4881-B3C4-E230674406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28</Pages>
  <Words>38381</Words>
  <Characters>21878</Characters>
  <Application>Microsoft Office Word</Application>
  <DocSecurity>0</DocSecurity>
  <Lines>182</Lines>
  <Paragraphs>120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60139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2017-12-11T13:23:00Z</dcterms:modified>
  <revision>14</revision>
</coreProperties>
</file>