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2dcab80959c49a5826b566980dab8ca"/>
        <w:lock w:val="sdtLocked"/>
        <w:richText/>
      </w:sdtPr>
      <w:sdtContent>
        <w:p>
          <w:pPr>
            <w:jc w:val="both"/>
            <w:rPr>
              <w:rFonts w:ascii="Times New Roman" w:hAnsi="Times New Roman"/>
            </w:rPr>
          </w:pPr>
          <w:r>
            <w:rPr>
              <w:rFonts w:ascii="Times New Roman" w:hAnsi="Times New Roman"/>
              <w:b/>
              <w:i/>
            </w:rPr>
            <w:t>Suvestinė redakcija nuo 2025-04-01 iki 2025-07-14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1"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2"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3" w:tgtFrame="_blank" w:history="1">
                        <w:r>
                          <w:rPr>
                            <w:bCs/>
                            <w:color w:val="0000FF" w:themeColor="hyperlink"/>
                            <w:szCs w:val="24"/>
                            <w:u w:val="single"/>
                          </w:rPr>
                          <w:t>(EB) Nr. 1071/2009</w:t>
                        </w:r>
                      </w:hyperlink>
                      <w:r>
                        <w:rPr>
                          <w:bCs/>
                          <w:szCs w:val="24"/>
                        </w:rPr>
                        <w:t xml:space="preserve">, Reglamentu </w:t>
                      </w:r>
                      <w:hyperlink r:id="rId14" w:tgtFrame="_blank" w:history="1">
                        <w:r>
                          <w:rPr>
                            <w:bCs/>
                            <w:color w:val="0000FF" w:themeColor="hyperlink"/>
                            <w:szCs w:val="24"/>
                            <w:u w:val="single"/>
                          </w:rPr>
                          <w:t>(EB) Nr. 1072/2009</w:t>
                        </w:r>
                      </w:hyperlink>
                      <w:r>
                        <w:rPr>
                          <w:bCs/>
                          <w:szCs w:val="24"/>
                        </w:rPr>
                        <w:t xml:space="preserve"> ir Reglamentu </w:t>
                      </w:r>
                      <w:hyperlink r:id="rId15"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6"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7"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8"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9"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0"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1"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36"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00b0ab9101af4cd6b73f3ba5b78bb7bd"/>
                    <w:lock w:val="sdtLocked"/>
                    <w:richText/>
                  </w:sdtPr>
                  <w:sdtContent>
                    <w:p>
                      <w:pPr>
                        <w:widowControl w:val="0"/>
                        <w:ind w:firstLine="720"/>
                        <w:jc w:val="both"/>
                        <w:rPr>
                          <w:szCs w:val="24"/>
                        </w:rPr>
                      </w:pPr>
                      <w:sdt>
                        <w:sdtPr>
                          <w:alias w:val="Numeris"/>
                          <w:tag w:val="nr_00b0ab9101af4cd6b73f3ba5b78bb7bd"/>
                          <w:lock w:val="sdtLocked"/>
                          <w:richText/>
                        </w:sdtPr>
                        <w:sdtContent>
                          <w:r>
                            <w:rPr>
                              <w:szCs w:val="24"/>
                            </w:rPr>
                            <w:t>3</w:t>
                          </w:r>
                        </w:sdtContent>
                      </w:sdt>
                      <w:r>
                        <w:rPr>
                          <w:szCs w:val="24"/>
                        </w:rPr>
                        <w:t>. Leidimus išduoda, leidimų galiojimą sustabdo, leidimų galiojimo sustabdymą ar leidimų galiojimą panaikina Transporto saugos administracija šio kodekso ir susisiekimo ministro nustatyta tvarka. Savivaldybių institucijų arba jų įgaliotų įstaigų priežiūros tarnybos dėl šio straipsnio 10 dalies 3 punkto ir šio straipsnio 12 dalies 4 ir 5 punktų pažeidimų</w:t>
                      </w:r>
                      <w:r>
                        <w:rPr>
                          <w:szCs w:val="24"/>
                          <w:shd w:val="clear" w:color="auto" w:fill="FFFFFF"/>
                        </w:rPr>
                        <w:t xml:space="preserve"> per 5 darbo dienas</w:t>
                      </w:r>
                      <w:r>
                        <w:rPr>
                          <w:szCs w:val="24"/>
                        </w:rPr>
                        <w:t xml:space="preserve"> nuo pažeidimo nustatymo dienos privalo pateikti informaciją Transporto saugos administracijai.</w:t>
                      </w:r>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6f5754c9f5854059bbd6c829f6716dea"/>
                    <w:lock w:val="sdtLocked"/>
                    <w:richText/>
                  </w:sdtPr>
                  <w:sdtContent>
                    <w:p>
                      <w:pPr>
                        <w:widowControl w:val="0"/>
                        <w:tabs>
                          <w:tab w:val="left" w:pos="1134"/>
                        </w:tabs>
                        <w:ind w:firstLine="720"/>
                        <w:jc w:val="both"/>
                        <w:rPr>
                          <w:szCs w:val="24"/>
                        </w:rPr>
                      </w:pPr>
                      <w:sdt>
                        <w:sdtPr>
                          <w:alias w:val="Numeris"/>
                          <w:tag w:val="nr_6f5754c9f5854059bbd6c829f6716dea"/>
                          <w:lock w:val="sdtLocked"/>
                          <w:richText/>
                        </w:sdtPr>
                        <w:sdtContent>
                          <w:r>
                            <w:rPr>
                              <w:szCs w:val="24"/>
                            </w:rPr>
                            <w:t>5</w:t>
                          </w:r>
                        </w:sdtContent>
                      </w:sdt>
                      <w:r>
                        <w:rPr>
                          <w:szCs w:val="24"/>
                        </w:rPr>
                        <w:t>. Leidimai išduodami arba motyvuotai atsisakoma juos išduoti ne vėliau kaip per 5</w:t>
                      </w:r>
                      <w:r>
                        <w:rPr>
                          <w:b/>
                          <w:bCs/>
                          <w:szCs w:val="24"/>
                        </w:rPr>
                        <w:t> </w:t>
                      </w:r>
                      <w:r>
                        <w:rPr>
                          <w:szCs w:val="24"/>
                        </w:rPr>
                        <w:t xml:space="preserve">darbo dienas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642bb330886748f68db32cdf6a406d5d"/>
                    <w:lock w:val="sdtLocked"/>
                    <w:richText/>
                  </w:sdtPr>
                  <w:sdtContent>
                    <w:p>
                      <w:pPr>
                        <w:widowControl w:val="0"/>
                        <w:tabs>
                          <w:tab w:val="left" w:pos="993"/>
                        </w:tabs>
                        <w:ind w:firstLine="720"/>
                        <w:jc w:val="both"/>
                        <w:rPr>
                          <w:szCs w:val="24"/>
                        </w:rPr>
                      </w:pPr>
                      <w:sdt>
                        <w:sdtPr>
                          <w:alias w:val="Numeris"/>
                          <w:tag w:val="nr_642bb330886748f68db32cdf6a406d5d"/>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ae1aa684dc2b493599fd7956faf514b0"/>
                    <w:lock w:val="sdtLocked"/>
                    <w:richText/>
                  </w:sdtPr>
                  <w:sdtContent>
                    <w:p>
                      <w:pPr>
                        <w:widowControl w:val="0"/>
                        <w:ind w:firstLine="720"/>
                        <w:jc w:val="both"/>
                        <w:rPr>
                          <w:szCs w:val="24"/>
                        </w:rPr>
                      </w:pPr>
                      <w:sdt>
                        <w:sdtPr>
                          <w:alias w:val="Numeris"/>
                          <w:tag w:val="nr_ae1aa684dc2b493599fd7956faf514b0"/>
                          <w:lock w:val="sdtLocked"/>
                          <w:richText/>
                        </w:sdt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10-1 str. 2 d. 1 p."/>
                        <w:tag w:val="part_b6d8bde382cd449db2a84b14b3c1a1ca"/>
                        <w:lock w:val="sdtLocked"/>
                        <w:richText/>
                      </w:sdtPr>
                      <w:sdtContent>
                        <w:p>
                          <w:pPr>
                            <w:widowControl w:val="0"/>
                            <w:ind w:firstLine="720"/>
                            <w:jc w:val="both"/>
                            <w:rPr>
                              <w:b/>
                              <w:bCs/>
                              <w:szCs w:val="24"/>
                              <w:shd w:val="clear" w:color="auto" w:fill="FFFFFF"/>
                            </w:rPr>
                          </w:pPr>
                          <w:sdt>
                            <w:sdtPr>
                              <w:alias w:val="Numeris"/>
                              <w:tag w:val="nr_b6d8bde382cd449db2a84b14b3c1a1ca"/>
                              <w:lock w:val="sdtLocked"/>
                              <w:richText/>
                            </w:sdt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10-1 str. 2 d. 2 p."/>
                        <w:tag w:val="part_03e2e9741f5b481683f33fa524dd7b7a"/>
                        <w:lock w:val="sdtLocked"/>
                        <w:richText/>
                      </w:sdtPr>
                      <w:sdtContent>
                        <w:p>
                          <w:pPr>
                            <w:widowControl w:val="0"/>
                            <w:ind w:firstLine="720"/>
                            <w:jc w:val="both"/>
                            <w:rPr>
                              <w:szCs w:val="24"/>
                              <w:shd w:val="clear" w:color="auto" w:fill="FFFFFF"/>
                            </w:rPr>
                          </w:pPr>
                          <w:sdt>
                            <w:sdtPr>
                              <w:alias w:val="Numeris"/>
                              <w:tag w:val="nr_03e2e9741f5b481683f33fa524dd7b7a"/>
                              <w:lock w:val="sdtLocked"/>
                              <w:richText/>
                            </w:sdtPr>
                            <w:sdtContent>
                              <w:r>
                                <w:rPr>
                                  <w:szCs w:val="24"/>
                                  <w:shd w:val="clear" w:color="auto" w:fill="FFFFFF"/>
                                </w:rPr>
                                <w:t>2</w:t>
                              </w:r>
                            </w:sdtContent>
                          </w:sdt>
                          <w:r>
                            <w:rPr>
                              <w:szCs w:val="24"/>
                              <w:shd w:val="clear" w:color="auto" w:fill="FFFFFF"/>
                            </w:rPr>
                            <w:t xml:space="preserve">) dvišalę krovinių vežimo operaciją </w:t>
                          </w:r>
                          <w:r>
                            <w:rPr>
                              <w:szCs w:val="24"/>
                            </w:rPr>
                            <w:t xml:space="preserve">kelių transporto priemone, kurioje sumontuotas išmanusis tachografas,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krovinių vežimo operacijos, kuri buvo pradėta vykdyti iš įsisteigimo Europos Sąjungos valstybės narės ir per kurią nebuvo atlikta pakrovimų ir (arba) iškrovimų, vairuotojas vykdo dvišalę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3 p."/>
                        <w:tag w:val="part_5bd036840f084befa03a59e8f259a298"/>
                        <w:lock w:val="sdtLocked"/>
                        <w:richText/>
                      </w:sdtPr>
                      <w:sdtContent>
                        <w:p>
                          <w:pPr>
                            <w:widowControl w:val="0"/>
                            <w:ind w:firstLine="720"/>
                            <w:jc w:val="both"/>
                            <w:rPr>
                              <w:szCs w:val="24"/>
                            </w:rPr>
                          </w:pPr>
                          <w:sdt>
                            <w:sdtPr>
                              <w:alias w:val="Numeris"/>
                              <w:tag w:val="nr_5bd036840f084befa03a59e8f259a298"/>
                              <w:lock w:val="sdtLocked"/>
                              <w:richText/>
                            </w:sdtPr>
                            <w:sdtContent>
                              <w:r>
                                <w:rPr>
                                  <w:szCs w:val="24"/>
                                </w:rPr>
                                <w:t>3</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Europos Sąjungos valstybėje narėje arba įlaipina ir išlaipina keleivius įsisteigimo Europos Sąjungos valstybėje narėje, kad būtų galima vykdyti vietinio pobūdžio ekskursijas Lietuvos Respublikos teritorijoje arba trečiojoje šalyje;</w:t>
                          </w:r>
                        </w:p>
                      </w:sdtContent>
                    </w:sdt>
                    <w:sdt>
                      <w:sdtPr>
                        <w:alias w:val="10-1 str. 2 d. 4 p."/>
                        <w:tag w:val="part_5855d0c8be904c66b42f3bc4ea1661d8"/>
                        <w:lock w:val="sdtLocked"/>
                        <w:richText/>
                      </w:sdtPr>
                      <w:sdtContent>
                        <w:p>
                          <w:pPr>
                            <w:widowControl w:val="0"/>
                            <w:ind w:firstLine="720"/>
                            <w:jc w:val="both"/>
                            <w:rPr>
                              <w:szCs w:val="24"/>
                            </w:rPr>
                          </w:pPr>
                          <w:sdt>
                            <w:sdtPr>
                              <w:alias w:val="Numeris"/>
                              <w:tag w:val="nr_5855d0c8be904c66b42f3bc4ea1661d8"/>
                              <w:lock w:val="sdtLocked"/>
                              <w:richText/>
                            </w:sdtPr>
                            <w:sdtContent>
                              <w:r>
                                <w:rPr>
                                  <w:szCs w:val="24"/>
                                </w:rPr>
                                <w:t>4</w:t>
                              </w:r>
                            </w:sdtContent>
                          </w:sdt>
                          <w:r>
                            <w:rPr>
                              <w:szCs w:val="24"/>
                            </w:rPr>
                            <w:t>) dvišalę keleivių vežimo operaciją kelių transporto priemone, kurioje sumontuotas išmanusis tachografas, kurios metu gali vieną kartą įlaipinti keleivius ir (arba) vieną kartą išlaipinti keleivius Europos Sąjungos valstybėse narėse arba trečiosiose šalyse, kurias jis kerta, laikantis sąlygos, kad jis nevykdė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10-1 str. 2 d. 5 p."/>
                        <w:tag w:val="part_1e36e54d05684216bc9669ee46dce9f5"/>
                        <w:lock w:val="sdtLocked"/>
                        <w:richText/>
                      </w:sdtPr>
                      <w:sdtContent>
                        <w:p>
                          <w:pPr>
                            <w:widowControl w:val="0"/>
                            <w:ind w:firstLine="720"/>
                            <w:jc w:val="both"/>
                            <w:rPr>
                              <w:szCs w:val="24"/>
                            </w:rPr>
                          </w:pPr>
                          <w:sdt>
                            <w:sdtPr>
                              <w:alias w:val="Numeris"/>
                              <w:tag w:val="nr_1e36e54d05684216bc9669ee46dce9f5"/>
                              <w:lock w:val="sdtLocked"/>
                              <w:richText/>
                            </w:sdtPr>
                            <w:sdtContent>
                              <w:r>
                                <w:rPr>
                                  <w:szCs w:val="24"/>
                                </w:rPr>
                                <w:t>5</w:t>
                              </w:r>
                            </w:sdtContent>
                          </w:sdt>
                          <w:r>
                            <w:rPr>
                              <w:szCs w:val="24"/>
                            </w:rPr>
                            <w:t>) tranzitinę operaciją;</w:t>
                          </w:r>
                        </w:p>
                      </w:sdtContent>
                    </w:sdt>
                    <w:sdt>
                      <w:sdtPr>
                        <w:alias w:val="10-1 str. 2 d. 6 p."/>
                        <w:tag w:val="part_cfc14f232ce246dd9bf828fad8c38660"/>
                        <w:lock w:val="sdtLocked"/>
                        <w:richText/>
                      </w:sdtPr>
                      <w:sdtContent>
                        <w:p>
                          <w:pPr>
                            <w:ind w:firstLine="720"/>
                            <w:jc w:val="both"/>
                            <w:rPr>
                              <w:szCs w:val="24"/>
                            </w:rPr>
                          </w:pPr>
                          <w:sdt>
                            <w:sdtPr>
                              <w:alias w:val="Numeris"/>
                              <w:tag w:val="nr_cfc14f232ce246dd9bf828fad8c38660"/>
                              <w:lock w:val="sdtLocked"/>
                              <w:richText/>
                            </w:sdtPr>
                            <w:sdtContent>
                              <w:r>
                                <w:rPr>
                                  <w:szCs w:val="24"/>
                                </w:rPr>
                                <w:t>6</w:t>
                              </w:r>
                            </w:sdtContent>
                          </w:sdt>
                          <w:r>
                            <w:rPr>
                              <w:szCs w:val="24"/>
                            </w:rPr>
                            <w:t>) kombinuotojo vežimo operacijas, kurių pradžioje ir pabaigoje vykdomos dvišalės krovinių vežimo operacijos.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2"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3"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24"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25"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26"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27"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28"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29"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0"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1"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2"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3"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34"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da53bc11fe8044a89b4a4c37edf31d8e"/>
                    <w:lock w:val="sdtLocked"/>
                    <w:richText/>
                  </w:sdtPr>
                  <w:sdtContent>
                    <w:p>
                      <w:pPr>
                        <w:widowControl w:val="0"/>
                        <w:ind w:firstLine="720"/>
                        <w:jc w:val="both"/>
                        <w:rPr>
                          <w:szCs w:val="24"/>
                        </w:rPr>
                      </w:pPr>
                      <w:sdt>
                        <w:sdtPr>
                          <w:alias w:val="Numeris"/>
                          <w:tag w:val="nr_da53bc11fe8044a89b4a4c37edf31d8e"/>
                          <w:lock w:val="sdtLocked"/>
                          <w:richText/>
                        </w:sdtPr>
                        <w:sdtContent>
                          <w:r>
                            <w:rPr>
                              <w:szCs w:val="24"/>
                            </w:rPr>
                            <w:t>2</w:t>
                          </w:r>
                        </w:sdtContent>
                      </w:sdt>
                      <w:r>
                        <w:rPr>
                          <w:szCs w:val="24"/>
                        </w:rPr>
                        <w:t>. Keleiviai vežami už atlygį lengvaisiais automobiliais pagal užsakymą tik naudojantis keleivių vežimo organizatoriaus paslaugomis pagal elektroninių ryšių priemonėmis vežėjo su keleiviais sudarytas sutartis Lietuvos Respublikos informacinės visuomenės paslaugų įstatymo nustatyta tvarka.</w:t>
                      </w:r>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35"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d29e80896d8543d7a28c39090786a2d1"/>
                        <w:lock w:val="sdtLocked"/>
                        <w:richText/>
                      </w:sdtPr>
                      <w:sdtContent>
                        <w:p>
                          <w:pPr>
                            <w:tabs>
                              <w:tab w:val="left" w:pos="993"/>
                            </w:tabs>
                            <w:ind w:firstLine="720"/>
                            <w:jc w:val="both"/>
                            <w:rPr>
                              <w:szCs w:val="24"/>
                              <w:lang w:eastAsia="lt-LT"/>
                            </w:rPr>
                          </w:pPr>
                          <w:sdt>
                            <w:sdtPr>
                              <w:alias w:val="Numeris"/>
                              <w:tag w:val="nr_d29e80896d8543d7a28c39090786a2d1"/>
                              <w:lock w:val="sdtLocked"/>
                              <w:richText/>
                            </w:sdtPr>
                            <w:sdtContent>
                              <w:r>
                                <w:rPr>
                                  <w:bCs/>
                                  <w:color w:val="000000"/>
                                  <w:szCs w:val="24"/>
                                  <w:lang w:eastAsia="lt-LT"/>
                                </w:rPr>
                                <w:t>3</w:t>
                              </w:r>
                            </w:sdtContent>
                          </w:sdt>
                          <w:r>
                            <w:rPr>
                              <w:bCs/>
                              <w:color w:val="000000"/>
                              <w:szCs w:val="24"/>
                              <w:lang w:eastAsia="lt-LT"/>
                            </w:rPr>
                            <w:t xml:space="preserve">) </w:t>
                          </w:r>
                          <w:r>
                            <w:rPr>
                              <w:szCs w:val="24"/>
                            </w:rPr>
                            <w:t xml:space="preserve">nemokamai vežtis </w:t>
                          </w:r>
                          <w:r>
                            <w:rPr>
                              <w:bCs/>
                              <w:szCs w:val="24"/>
                            </w:rPr>
                            <w:t>vieną ar</w:t>
                          </w:r>
                          <w:r>
                            <w:rPr>
                              <w:szCs w:val="24"/>
                            </w:rPr>
                            <w:t xml:space="preserve"> du </w:t>
                          </w:r>
                          <w:r>
                            <w:rPr>
                              <w:bCs/>
                              <w:szCs w:val="24"/>
                            </w:rPr>
                            <w:t>vaikus iki 7 metų</w:t>
                          </w:r>
                          <w:r>
                            <w:rPr>
                              <w:szCs w:val="24"/>
                            </w:rPr>
                            <w:t xml:space="preserve"> (imtinai), jeigu jie neužima atskiros sėdimosios vietos, reguliariųjų reisų vietinio (miesto ir priemiestinio) susisiekimo maršrutų autobusais ir troleibusais bei tolimojo susisiekimo maršrutų autobusais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29e94ca6b52d4899b1150401f2a044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2025-04-01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a8673d324f244c86beba0fa5de1171dd"/>
        <w:lock w:val="sdtLocked"/>
        <w:richText/>
      </w:sdtPr>
      <w:sdtContent>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a8673d324f244c86beba0fa5de1171dd"/>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3e70bbbaf53d431ebf9188f73f62be0c"/>
            <w:lock w:val="sdtLocked"/>
            <w:richText/>
          </w:sdtPr>
          <w:sdtContent>
            <w:p>
              <w:pPr>
                <w:ind w:firstLine="720"/>
                <w:jc w:val="both"/>
                <w:rPr>
                  <w:szCs w:val="24"/>
                  <w:lang w:eastAsia="lt-LT"/>
                </w:rPr>
              </w:pPr>
              <w:sdt>
                <w:sdtPr>
                  <w:alias w:val="Numeris"/>
                  <w:tag w:val="nr_3e70bbbaf53d431ebf9188f73f62be0c"/>
                  <w:lock w:val="sdtLocked"/>
                  <w:richText/>
                </w:sdtPr>
                <w:sdtContent>
                  <w:r>
                    <w:rPr>
                      <w:szCs w:val="24"/>
                      <w:lang w:eastAsia="lt-LT"/>
                    </w:rPr>
                    <w:t>9</w:t>
                  </w:r>
                </w:sdtContent>
              </w:sdt>
              <w:r>
                <w:rPr>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20d77040411f08e9f87c0d053bf09">
            <w:r w:rsidRPr="00532B9F">
              <w:rPr>
                <w:rFonts w:ascii="Times New Roman" w:eastAsia="MS Mincho" w:hAnsi="Times New Roman"/>
                <w:sz w:val="20"/>
                <w:iCs/>
                <w:color w:val="0000FF" w:themeColor="hyperlink"/>
                <w:u w:val="single"/>
              </w:rPr>
              <w:t>XV-120</w:t>
            </w:r>
          </w:fldSimple>
          <w:r>
            <w:rPr>
              <w:rFonts w:ascii="Times New Roman" w:eastAsia="MS Mincho" w:hAnsi="Times New Roman"/>
              <w:sz w:val="20"/>
              <w:iCs/>
            </w:rPr>
            <w:t>,
2025-03-13,
paskelbta TAR 2025-03-18, i. k. 2025-04414                </w:t>
          </w:r>
        </w:p>
        <w:p>
          <w:pPr>
            <w:jc w:val="both"/>
            <w:rPr>
              <w:rFonts w:ascii="Times New Roman" w:hAnsi="Times New Roman"/>
            </w:rPr>
          </w:pPr>
          <w:r>
            <w:rPr>
              <w:rFonts w:ascii="Times New Roman" w:hAnsi="Times New Roman"/>
              <w:sz w:val="20"/>
            </w:rPr>
            <w:t>Lietuvos Respublikos kelių transporto kodekso 21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D0A0D9A"/>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29.xml"/>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2&amp;locale=lt"/>
  <Relationship Id="rId15" Type="http://schemas.openxmlformats.org/officeDocument/2006/relationships/hyperlink" TargetMode="External" Target="http://eur-lex.europa.eu/legal-content/LIT/TXT/?uri=CELEX:32009R1073&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11R0181&amp;locale=lt"/>
  <Relationship Id="rId23" Type="http://schemas.openxmlformats.org/officeDocument/2006/relationships/hyperlink" TargetMode="External" Target="http://eur-lex.europa.eu/legal-content/LIT/TXT/?uri=CELEX:32007R1370&amp;locale=lt"/>
  <Relationship Id="rId24" Type="http://schemas.openxmlformats.org/officeDocument/2006/relationships/hyperlink" TargetMode="External" Target="http://eur-lex.europa.eu/legal-content/LIT/TXT/?uri=CELEX:32007R1370&amp;locale=lt"/>
  <Relationship Id="rId25" Type="http://schemas.openxmlformats.org/officeDocument/2006/relationships/hyperlink" TargetMode="External" Target="http://eur-lex.europa.eu/legal-content/LIT/TXT/?uri=CELEX:32007R1370&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7R1370&amp;locale=lt"/>
  <Relationship Id="rId28" Type="http://schemas.openxmlformats.org/officeDocument/2006/relationships/hyperlink" TargetMode="External" Target="http://eur-lex.europa.eu/legal-content/LIT/TXT/?uri=CELEX:32007R1370&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3R1059&amp;locale=lt"/>
  <Relationship Id="rId31" Type="http://schemas.openxmlformats.org/officeDocument/2006/relationships/hyperlink" TargetMode="External" Target="http://eur-lex.europa.eu/legal-content/LIT/TXT/?uri=CELEX:32009R1073&amp;locale=lt"/>
  <Relationship Id="rId32" Type="http://schemas.openxmlformats.org/officeDocument/2006/relationships/hyperlink" TargetMode="External" Target="http://eur-lex.europa.eu/legal-content/LIT/TXT/?uri=CELEX:32009R1073&amp;locale=lt"/>
  <Relationship Id="rId33" Type="http://schemas.openxmlformats.org/officeDocument/2006/relationships/hyperlink" TargetMode="External" Target="http://eur-lex.europa.eu/legal-content/LIT/TXT/?uri=CELEX:32009R1073&amp;locale=lt"/>
  <Relationship Id="rId34" Type="http://schemas.openxmlformats.org/officeDocument/2006/relationships/hyperlink" TargetMode="External" Target="http://eur-lex.europa.eu/legal-content/LIT/TXT/?uri=CELEX:32009R1073&amp;locale=lt"/>
  <Relationship Id="rId35" Type="http://schemas.openxmlformats.org/officeDocument/2006/relationships/hyperlink" TargetMode="External" Target="http://eur-lex.europa.eu/legal-content/LIT/TXT/?uri=CELEX:32011R0181&amp;locale=lt"/>
  <Relationship Id="rId36" Type="http://schemas.openxmlformats.org/officeDocument/2006/relationships/hyperlink" TargetMode="External" Target="http://eur-lex.europa.eu/legal-content/LIT/TXT/?uri=CELEX:31280R2022&amp;locale=lt"/>
  <Relationship Id="rId37"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22dcab80959c49a5826b566980dab8ca">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00b0ab9101af4cd6b73f3ba5b78bb7bd"/>
        <Part Type="strDalis" Nr="4" Abbr="8-2 str. 4 d." DocPartId="ca6b53ceaec649188c194a73733f0003" PartId="911bd53e14384b279c7333c372e95947"/>
        <Part Type="strDalis" Nr="5" Abbr="8-2 str. 5 d." DocPartId="6538a74acb024668a75c875291c972aa" PartId="6f5754c9f5854059bbd6c829f6716dea"/>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642bb330886748f68db32cdf6a406d5d"/>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ae1aa684dc2b493599fd7956faf514b0">
          <Part Type="strPunktas" Nr="1" Abbr="10-1 str. 2 d. 1 p." DocPartId="55df0bc5b3e34432bffc4fd087ee5b44" PartId="b6d8bde382cd449db2a84b14b3c1a1ca"/>
          <Part Type="strPunktas" Nr="2" Abbr="10-1 str. 2 d. 2 p." DocPartId="5925036d37a84c7b8742939ad2cd881e" PartId="03e2e9741f5b481683f33fa524dd7b7a"/>
          <Part Type="strPunktas" Nr="3" Abbr="10-1 str. 2 d. 3 p." DocPartId="ab7cac1e031842e588011b729582e0bb" PartId="5bd036840f084befa03a59e8f259a298"/>
          <Part Type="strPunktas" Nr="4" Abbr="10-1 str. 2 d. 4 p." DocPartId="b7fa46cbdc224e4d871a8f79bf65c32c" PartId="5855d0c8be904c66b42f3bc4ea1661d8"/>
          <Part Type="strPunktas" Nr="5" Abbr="10-1 str. 2 d. 5 p." DocPartId="74cf5aac25e544e49b2b89d2fe8bbd7e" PartId="1e36e54d05684216bc9669ee46dce9f5"/>
          <Part Type="strPunktas" Nr="6" Abbr="10-1 str. 2 d. 6 p." DocPartId="e3850935c1f847de88f5c63c857c7814" PartId="cfc14f232ce246dd9bf828fad8c38660"/>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da53bc11fe8044a89b4a4c37edf31d8e"/>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d29e80896d8543d7a28c39090786a2d1"/>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29e94ca6b52d4899b1150401f2a0445e"/>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a8673d324f244c86beba0fa5de1171dd">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3e70bbbaf53d431ebf9188f73f62be0c"/>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565E33B-8D81-4D46-80D5-DF03C80EB86F}">
  <ds:schemaRefs>
    <ds:schemaRef ds:uri="http://lrs.lt/TAIS/DocParts"/>
  </ds:schemaRefs>
</ds:datastoreItem>
</file>

<file path=customXml/itemProps3.xml><?xml version="1.0" encoding="utf-8"?>
<ds:datastoreItem xmlns:ds="http://schemas.openxmlformats.org/officeDocument/2006/customXml" ds:itemID="{1D6C3714-D386-4485-93A8-CFF49A6A150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118</TotalTime>
  <Pages>42</Pages>
  <Words>105982</Words>
  <Characters>60411</Characters>
  <Application>Microsoft Office Word</Application>
  <DocSecurity>0</DocSecurity>
  <Lines>503</Lines>
  <Paragraphs>332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166061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ŠAULYTĖ SKAIRIENĖ Dalia</lastModifiedBy>
  <dcterms:modified xsi:type="dcterms:W3CDTF">2025-03-20T08:16:00Z</dcterms:modified>
  <revision>58</revision>
</coreProperties>
</file>