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68b79e30324e988eca3b67349f3109"/>
        <w:lock w:val="sdtLocked"/>
        <w:richText/>
      </w:sdtPr>
      <w:sdtContent>
        <w:p>
          <w:pPr>
            <w:jc w:val="both"/>
            <w:rPr>
              <w:rFonts w:ascii="Times New Roman" w:hAnsi="Times New Roman"/>
            </w:rPr>
          </w:pPr>
          <w:r>
            <w:rPr>
              <w:rFonts w:ascii="Times New Roman" w:hAnsi="Times New Roman"/>
              <w:b/>
              <w:i/>
            </w:rPr>
            <w:t>Suvestinė redakcija nuo 2025-12-24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8"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937ef381a5424056839642b46e2382d1"/>
                        <w:lock w:val="sdtLocked"/>
                        <w:richText/>
                      </w:sdtPr>
                      <w:sdtContent>
                        <w:p>
                          <w:pPr>
                            <w:ind w:firstLine="720"/>
                            <w:jc w:val="both"/>
                            <w:rPr>
                              <w:szCs w:val="24"/>
                            </w:rPr>
                          </w:pPr>
                          <w:sdt>
                            <w:sdtPr>
                              <w:alias w:val="Numeris"/>
                              <w:tag w:val="nr_937ef381a5424056839642b46e2382d1"/>
                              <w:lock w:val="sdtLocked"/>
                              <w:richText/>
                            </w:sdtPr>
                            <w:sdtContent>
                              <w:r>
                                <w:rPr>
                                  <w:szCs w:val="24"/>
                                </w:rPr>
                                <w:t>1</w:t>
                              </w:r>
                            </w:sdtContent>
                          </w:sdt>
                          <w:r>
                            <w:rPr>
                              <w:szCs w:val="24"/>
                            </w:rPr>
                            <w:t>) įvairiarūšio vežimo operacijos</w:t>
                          </w:r>
                          <w:r>
                            <w:rPr>
                              <w:bCs/>
                              <w:szCs w:val="24"/>
                            </w:rPr>
                            <w:t>:</w:t>
                          </w:r>
                          <w:r>
                            <w:rPr>
                              <w:szCs w:val="24"/>
                            </w:rPr>
                            <w:t xml:space="preserve"> </w:t>
                          </w:r>
                        </w:p>
                        <w:sdt>
                          <w:sdtPr>
                            <w:alias w:val="9 str. 3 d. 1 p. a pp."/>
                            <w:tag w:val="part_10a657ded60a47398b72a3998d13523c"/>
                            <w:lock w:val="sdtLocked"/>
                            <w:richText/>
                          </w:sdtPr>
                          <w:sdtContent>
                            <w:p>
                              <w:pPr>
                                <w:ind w:firstLine="720"/>
                                <w:jc w:val="both"/>
                                <w:rPr>
                                  <w:bCs/>
                                  <w:szCs w:val="24"/>
                                </w:rPr>
                              </w:pPr>
                              <w:sdt>
                                <w:sdtPr>
                                  <w:alias w:val="Numeris"/>
                                  <w:tag w:val="nr_10a657ded60a47398b72a3998d13523c"/>
                                  <w:lock w:val="sdtLocked"/>
                                  <w:richText/>
                                </w:sdtPr>
                                <w:sdtContent>
                                  <w:r>
                                    <w:rPr>
                                      <w:bCs/>
                                      <w:szCs w:val="24"/>
                                    </w:rPr>
                                    <w:t>a</w:t>
                                  </w:r>
                                </w:sdtContent>
                              </w:sdt>
                              <w:r>
                                <w:rPr>
                                  <w:bCs/>
                                  <w:szCs w:val="24"/>
                                </w:rPr>
                                <w:t>)</w:t>
                              </w:r>
                              <w:r>
                                <w:rPr>
                                  <w:szCs w:val="24"/>
                                </w:rPr>
                                <w:t xml:space="preserve"> </w:t>
                              </w:r>
                              <w:r>
                                <w:rPr>
                                  <w:bCs/>
                                  <w:szCs w:val="24"/>
                                </w:rPr>
                                <w:t>Lietuvos Respublikos transporto veiklos pagrindų įstatymo 12 straipsnio 1 dalyje apibrėžtos kombinuotojo vežimo operacijos, kurias vykdant vežamas vienas arba keli konteineriai arba keičiamos talpyklos, kurių bendras didžiausias ilgis neviršija 13,716 m (45 pėdų), arba</w:t>
                              </w:r>
                            </w:p>
                          </w:sdtContent>
                        </w:sdt>
                        <w:sdt>
                          <w:sdtPr>
                            <w:alias w:val="9 str. 3 d. 1 p. b pp."/>
                            <w:tag w:val="part_9d6752aa1af3487a801818ddf9a3aeaa"/>
                            <w:lock w:val="sdtLocked"/>
                            <w:richText/>
                          </w:sdtPr>
                          <w:sdtContent>
                            <w:p>
                              <w:pPr>
                                <w:ind w:firstLine="720"/>
                                <w:jc w:val="both"/>
                                <w:rPr>
                                  <w:szCs w:val="24"/>
                                </w:rPr>
                              </w:pPr>
                              <w:sdt>
                                <w:sdtPr>
                                  <w:alias w:val="Numeris"/>
                                  <w:tag w:val="nr_9d6752aa1af3487a801818ddf9a3aeaa"/>
                                  <w:lock w:val="sdtLocked"/>
                                  <w:richText/>
                                </w:sdtPr>
                                <w:sdtContent>
                                  <w:r>
                                    <w:rPr>
                                      <w:bCs/>
                                      <w:szCs w:val="24"/>
                                    </w:rPr>
                                    <w:t>b</w:t>
                                  </w:r>
                                </w:sdtContent>
                              </w:sdt>
                              <w:r>
                                <w:rPr>
                                  <w:bCs/>
                                  <w:szCs w:val="24"/>
                                </w:rPr>
                                <w:t>) vežimo operacijos, kurias vykdant vežamas vienas ar keli konteineriai arba keičiamos talpyklos, kurių bendras didžiausias ilgis neviršija 13,716 m (45 pėdų), ir kurioms vykdyti naudojamas vandens transportas, su sąlyga, kad keliu (-iais) vykdomos pradinės arba paskutinės maršruto dalies atstumas Europos Sąjungos teritorijoje neviršija 150 km; šiame papunktyje nurodytas 150 km atstumas gali būti viršytas, kad būtų pasiektas artimiausias numatytą paslaugą teikiantis tinkamas transporto terminalas, tais atvejais, kai naudojamos šios transporto priemonės: dviašės motorinės transporto priemonės su triašėmis puspriekabėmis arba triašės motorinės transporto priemonės su dviašėmis ar triašėmis puspriekabėmis; arba susisiekimo ministro nustatytais atvejais triašės motorinės transporto priemonės su dviašėmis arba triašėmis puspriekabėmis, vežančios vieną ar daugiau konteinerių arba keičiamų talpyklų, kurių bendras didžiausias ilgis ne didesnis kaip 13,716 m (45 pėdos), arba dviašės motorinės transporto priemonės su triašėmis puspriekabėmis, vežančios vieną ar daugiau konteinerių arba keičiamų talpyklų, kurių bendras didžiausias ilgis ne didesnis kaip 13,716 m (45 pėdos); artimiausias įvairiarūšio vežimo operacijoms vykdyti tinkamą paslaugą teikiantis transporto terminalas gali būti kitoje Europos Sąjungos valstybėje narėje nei Europos Sąjungos valstybė narė, kurioje krovinys buvo pakrautas arba iškrautas;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d29e80896d8543d7a28c39090786a2d1"/>
                        <w:lock w:val="sdtLocked"/>
                        <w:richText/>
                      </w:sdtPr>
                      <w:sdtContent>
                        <w:p>
                          <w:pPr>
                            <w:tabs>
                              <w:tab w:val="left" w:pos="993"/>
                            </w:tabs>
                            <w:ind w:firstLine="720"/>
                            <w:jc w:val="both"/>
                            <w:rPr>
                              <w:szCs w:val="24"/>
                              <w:lang w:eastAsia="lt-LT"/>
                            </w:rPr>
                          </w:pPr>
                          <w:sdt>
                            <w:sdtPr>
                              <w:alias w:val="Numeris"/>
                              <w:tag w:val="nr_d29e80896d8543d7a28c39090786a2d1"/>
                              <w:lock w:val="sdtLocked"/>
                              <w:richText/>
                            </w:sdtPr>
                            <w:sdtContent>
                              <w:r>
                                <w:rPr>
                                  <w:bCs/>
                                  <w:color w:val="000000"/>
                                  <w:szCs w:val="24"/>
                                  <w:lang w:eastAsia="lt-LT"/>
                                </w:rPr>
                                <w:t>3</w:t>
                              </w:r>
                            </w:sdtContent>
                          </w:sdt>
                          <w:r>
                            <w:rPr>
                              <w:bCs/>
                              <w:color w:val="000000"/>
                              <w:szCs w:val="24"/>
                              <w:lang w:eastAsia="lt-LT"/>
                            </w:rPr>
                            <w:t xml:space="preserve">) </w:t>
                          </w:r>
                          <w:r>
                            <w:rPr>
                              <w:szCs w:val="24"/>
                            </w:rPr>
                            <w:t xml:space="preserve">nemokamai vežtis </w:t>
                          </w:r>
                          <w:r>
                            <w:rPr>
                              <w:bCs/>
                              <w:szCs w:val="24"/>
                            </w:rPr>
                            <w:t>vieną ar</w:t>
                          </w:r>
                          <w:r>
                            <w:rPr>
                              <w:szCs w:val="24"/>
                            </w:rPr>
                            <w:t xml:space="preserve"> du </w:t>
                          </w:r>
                          <w:r>
                            <w:rPr>
                              <w:bCs/>
                              <w:szCs w:val="24"/>
                            </w:rPr>
                            <w:t>vaikus iki 7 metų</w:t>
                          </w:r>
                          <w:r>
                            <w:rPr>
                              <w:szCs w:val="24"/>
                            </w:rPr>
                            <w:t xml:space="preserve"> (imtinai), jeigu jie neužima atskiros sėdimosios vietos, reguliariųjų reisų vietinio (miesto ir priemiestinio) susisiekimo maršrutų autobusais ir troleibusais bei tolimojo susisiekimo maršrutų autobusais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29e94ca6b52d4899b1150401f2a044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2025-04-01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17d674c55b34e06927d20dd7f760286"/>
        <w:lock w:val="sdtLocked"/>
        <w:richText/>
      </w:sdtPr>
      <w:sdtContent>
        <w:p>
          <w:pPr>
            <w:ind w:firstLine="6237"/>
            <w:jc w:val="both"/>
            <w:textAlignment w:val="baseline"/>
            <w:sectPr>
              <w:pgSz w:w="11906" w:h="16838" w:code="9"/>
              <w:pgMar w:top="1134" w:right="851" w:bottom="1134" w:left="1701" w:header="567" w:footer="567" w:gutter="0"/>
              <w:pgNumType w:start="1"/>
              <w:cols w:space="1296"/>
              <w:titlePg/>
              <w:docGrid w:linePitch="360"/>
            </w:sectPr>
          </w:pPr>
        </w:p>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317d674c55b34e06927d20dd7f760286"/>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acd7d94e5336421b9494af10c1cc391a"/>
            <w:lock w:val="sdtLocked"/>
            <w:richText/>
          </w:sdtPr>
          <w:sdtContent>
            <w:p>
              <w:pPr>
                <w:ind w:firstLine="720"/>
                <w:jc w:val="both"/>
                <w:rPr>
                  <w:szCs w:val="24"/>
                  <w:lang w:eastAsia="lt-LT"/>
                </w:rPr>
              </w:pPr>
              <w:sdt>
                <w:sdtPr>
                  <w:alias w:val="Numeris"/>
                  <w:tag w:val="nr_acd7d94e5336421b9494af10c1cc391a"/>
                  <w:lock w:val="sdtLocked"/>
                  <w:richText/>
                </w:sdtPr>
                <w:sdtContent>
                  <w:r>
                    <w:rPr>
                      <w:szCs w:val="24"/>
                    </w:rPr>
                    <w:t>9</w:t>
                  </w:r>
                </w:sdtContent>
              </w:sdt>
              <w:r>
                <w:rPr>
                  <w:szCs w:val="24"/>
                </w:rPr>
                <w:t xml:space="preserve">. </w:t>
              </w:r>
              <w:r>
                <w:rPr>
                  <w:bCs/>
                  <w:szCs w:val="24"/>
                </w:rPr>
                <w:t xml:space="preserve">1996 m. liepos 25 d. Tarybos direktyva </w:t>
              </w:r>
              <w:hyperlink r:id="rId36"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Reglamentu </w:t>
              </w:r>
              <w:hyperlink r:id="rId37" w:tgtFrame="_blank" w:history="1">
                <w:r>
                  <w:rPr>
                    <w:bCs/>
                    <w:color w:val="0000FF" w:themeColor="hyperlink"/>
                    <w:szCs w:val="24"/>
                    <w:u w:val="single"/>
                  </w:rPr>
                  <w:t>(ES) 2019/1242</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20d77040411f08e9f87c0d053bf09">
            <w:r w:rsidRPr="00532B9F">
              <w:rPr>
                <w:rFonts w:ascii="Times New Roman" w:eastAsia="MS Mincho" w:hAnsi="Times New Roman"/>
                <w:sz w:val="20"/>
                <w:iCs/>
                <w:color w:val="0000FF" w:themeColor="hyperlink"/>
                <w:u w:val="single"/>
              </w:rPr>
              <w:t>XV-120</w:t>
            </w:r>
          </w:fldSimple>
          <w:r>
            <w:rPr>
              <w:rFonts w:ascii="Times New Roman" w:eastAsia="MS Mincho" w:hAnsi="Times New Roman"/>
              <w:sz w:val="20"/>
              <w:iCs/>
            </w:rPr>
            <w:t>,
2025-03-13,
paskelbta TAR 2025-03-18, i. k. 2025-04414                </w:t>
          </w:r>
        </w:p>
        <w:p>
          <w:pPr>
            <w:jc w:val="both"/>
            <w:rPr>
              <w:rFonts w:ascii="Times New Roman" w:hAnsi="Times New Roman"/>
            </w:rPr>
          </w:pPr>
          <w:r>
            <w:rPr>
              <w:rFonts w:ascii="Times New Roman" w:hAnsi="Times New Roman"/>
              <w:sz w:val="20"/>
            </w:rPr>
            <w:t>Lietuvos Respublikos kelių transporto kodekso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6d92124da511f0b070ee7f1ceefc75">
            <w:r w:rsidRPr="00532B9F">
              <w:rPr>
                <w:rFonts w:ascii="Times New Roman" w:eastAsia="MS Mincho" w:hAnsi="Times New Roman"/>
                <w:sz w:val="20"/>
                <w:iCs/>
                <w:color w:val="0000FF" w:themeColor="hyperlink"/>
                <w:u w:val="single"/>
              </w:rPr>
              <w:t>XV-289</w:t>
            </w:r>
          </w:fldSimple>
          <w:r>
            <w:rPr>
              <w:rFonts w:ascii="Times New Roman" w:eastAsia="MS Mincho" w:hAnsi="Times New Roman"/>
              <w:sz w:val="20"/>
              <w:iCs/>
            </w:rPr>
            <w:t>,
2025-06-17,
paskelbta TAR 2025-06-20, i. k. 2025-11226                </w:t>
          </w:r>
        </w:p>
        <w:p>
          <w:pPr>
            <w:jc w:val="both"/>
            <w:rPr>
              <w:rFonts w:ascii="Times New Roman" w:hAnsi="Times New Roman"/>
            </w:rPr>
          </w:pPr>
          <w:r>
            <w:rPr>
              <w:rFonts w:ascii="Times New Roman" w:hAnsi="Times New Roman"/>
              <w:sz w:val="20"/>
            </w:rPr>
            <w:t>Lietuvos Respublikos kelių transporto kodekso 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3c5090dfd911f08918e1adc7c5b1ec">
            <w:r w:rsidRPr="00532B9F">
              <w:rPr>
                <w:rFonts w:ascii="Times New Roman" w:eastAsia="MS Mincho" w:hAnsi="Times New Roman"/>
                <w:sz w:val="20"/>
                <w:iCs/>
                <w:color w:val="0000FF" w:themeColor="hyperlink"/>
                <w:u w:val="single"/>
              </w:rPr>
              <w:t>XV-659</w:t>
            </w:r>
          </w:fldSimple>
          <w:r>
            <w:rPr>
              <w:rFonts w:ascii="Times New Roman" w:eastAsia="MS Mincho" w:hAnsi="Times New Roman"/>
              <w:sz w:val="20"/>
              <w:iCs/>
            </w:rPr>
            <w:t>,
2025-12-11,
paskelbta TAR 2025-12-23, i. k. 2025-22530                </w:t>
          </w:r>
        </w:p>
        <w:p>
          <w:pPr>
            <w:jc w:val="both"/>
            <w:rPr>
              <w:rFonts w:ascii="Times New Roman" w:hAnsi="Times New Roman"/>
            </w:rPr>
          </w:pPr>
          <w:r>
            <w:rPr>
              <w:rFonts w:ascii="Times New Roman" w:hAnsi="Times New Roman"/>
              <w:sz w:val="20"/>
            </w:rPr>
            <w:t>Lietuvos Respublikos kelių transporto kodekso 8-1, 11, 16, 17-1, 18, 18-2 straipsnių pakeitimo ir Kodekso papildymo 18-2 straipsniu įstatymo Nr. XIV-1827 pavadinimo, 8 straipsnio pakeitimo ir 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31.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996L0053&amp;locale=lt"/>
  <Relationship Id="rId37" Type="http://schemas.openxmlformats.org/officeDocument/2006/relationships/hyperlink" TargetMode="External" Target="http://eur-lex.europa.eu/legal-content/LIT/TXT/?uri=CELEX:32019R1242&amp;locale=lt"/>
  <Relationship Id="rId38" Type="http://schemas.openxmlformats.org/officeDocument/2006/relationships/hyperlink" TargetMode="External" Target="http://eur-lex.europa.eu/legal-content/LIT/TXT/?uri=CELEX:31280R2022&amp;locale=lt"/>
  <Relationship Id="rId39"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c268b79e30324e988eca3b67349f3109">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937ef381a5424056839642b46e2382d1">
            <Part Type="strPapunktis" Nr="a" Abbr="9 str. 3 d. 1 p. a pp." DocPartId="0cc40b8481534b42b27a764a1b1f64ac" PartId="10a657ded60a47398b72a3998d13523c"/>
            <Part Type="strPapunktis" Nr="b" Abbr="9 str. 3 d. 1 p. b pp." DocPartId="1f081e3b58354363a33efcba57334950" PartId="9d6752aa1af3487a801818ddf9a3aeaa"/>
          </Part>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d29e80896d8543d7a28c39090786a2d1"/>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29e94ca6b52d4899b1150401f2a0445e"/>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17d674c55b34e06927d20dd7f760286">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acd7d94e5336421b9494af10c1cc391a"/>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BAA1E3-5B34-4D3E-85AC-6E09440121BB}">
  <ds:schemaRefs>
    <ds:schemaRef ds:uri="http://lrs.lt/TAIS/DocParts"/>
  </ds:schemaRefs>
</ds:datastoreItem>
</file>

<file path=customXml/itemProps3.xml><?xml version="1.0" encoding="utf-8"?>
<ds:datastoreItem xmlns:ds="http://schemas.openxmlformats.org/officeDocument/2006/customXml" ds:itemID="{8D3F2AA1-0559-42D5-8685-BF7527D189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120</TotalTime>
  <Pages>42</Pages>
  <Words>106245</Words>
  <Characters>60561</Characters>
  <Application>Microsoft Office Word</Application>
  <DocSecurity>0</DocSecurity>
  <Lines>504</Lines>
  <Paragraphs>332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166474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GRINKEVIČIŪTĖ Agnė</lastModifiedBy>
  <dcterms:modified xsi:type="dcterms:W3CDTF">2026-01-05T12:01:00Z</dcterms:modified>
  <revision>60</revision>
</coreProperties>
</file>