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2021-01-01 iki 2022-11-30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ea81a43f0dcd42d98d121576917b379b"/>
                        <w:lock w:val="sdtLocked"/>
                        <w:richText/>
                      </w:sdtPr>
                      <w:sdtContent>
                        <w:p>
                          <w:pPr>
                            <w:widowControl w:val="0"/>
                            <w:suppressAutoHyphens/>
                            <w:ind w:firstLine="720"/>
                            <w:jc w:val="both"/>
                            <w:rPr>
                              <w:szCs w:val="24"/>
                            </w:rPr>
                          </w:pPr>
                          <w:sdt>
                            <w:sdtPr>
                              <w:alias w:val="Numeris"/>
                              <w:tag w:val="nr_ea81a43f0dcd42d98d121576917b379b"/>
                              <w:lock w:val="sdtLocked"/>
                              <w:richText/>
                            </w:sdtPr>
                            <w:sdtContent>
                              <w:r>
                                <w:rPr>
                                  <w:szCs w:val="24"/>
                                </w:rPr>
                                <w:t>10</w:t>
                              </w:r>
                            </w:sdtContent>
                          </w:sdt>
                          <w:r>
                            <w:rPr>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087500378aac41fdbcd182dfdf99dd64"/>
                        <w:lock w:val="sdtLocked"/>
                        <w:richText/>
                      </w:sdtPr>
                      <w:sdtContent>
                        <w:p>
                          <w:pPr>
                            <w:widowControl w:val="0"/>
                            <w:suppressAutoHyphens/>
                            <w:ind w:firstLine="720"/>
                            <w:jc w:val="both"/>
                            <w:rPr>
                              <w:color w:val="000000"/>
                              <w:szCs w:val="24"/>
                            </w:rPr>
                          </w:pPr>
                          <w:sdt>
                            <w:sdtPr>
                              <w:alias w:val="Numeris"/>
                              <w:tag w:val="nr_087500378aac41fdbcd182dfdf99dd64"/>
                              <w:lock w:val="sdtLocked"/>
                              <w:richText/>
                            </w:sdtPr>
                            <w:sdtContent>
                              <w:r>
                                <w:rPr>
                                  <w:color w:val="000000"/>
                                  <w:szCs w:val="24"/>
                                </w:rPr>
                                <w:t>5</w:t>
                              </w:r>
                            </w:sdtContent>
                          </w:sdt>
                          <w:r>
                            <w:rPr>
                              <w:color w:val="000000"/>
                              <w:szCs w:val="24"/>
                            </w:rPr>
                            <w:t>) atlieka kitas šiame įstatyme ir kituose teisės aktuose nustatytas mobilizacijos ir priimančiosios šalies paramos funkcijas.</w:t>
                          </w:r>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98afd5c53f39497897e6ae9fac688d60"/>
                        <w:lock w:val="sdtLocked"/>
                        <w:richText/>
                      </w:sdtPr>
                      <w:sdtContent>
                        <w:p>
                          <w:pPr>
                            <w:widowControl w:val="0"/>
                            <w:suppressAutoHyphens/>
                            <w:ind w:firstLine="720"/>
                            <w:jc w:val="both"/>
                            <w:rPr>
                              <w:color w:val="000000"/>
                              <w:szCs w:val="24"/>
                            </w:rPr>
                          </w:pPr>
                          <w:sdt>
                            <w:sdtPr>
                              <w:alias w:val="Numeris"/>
                              <w:tag w:val="nr_98afd5c53f39497897e6ae9fac688d60"/>
                              <w:lock w:val="sdtLocked"/>
                              <w:richText/>
                            </w:sdtPr>
                            <w:sdtContent>
                              <w:r>
                                <w:rPr>
                                  <w:color w:val="000000"/>
                                  <w:szCs w:val="24"/>
                                </w:rPr>
                                <w:t>7</w:t>
                              </w:r>
                            </w:sdtContent>
                          </w:sdt>
                          <w:r>
                            <w:rPr>
                              <w:color w:val="000000"/>
                              <w:szCs w:val="24"/>
                            </w:rPr>
                            <w:t xml:space="preserve">) </w:t>
                          </w:r>
                          <w:r>
                            <w:rPr>
                              <w:bCs/>
                              <w:color w:val="000000"/>
                              <w:szCs w:val="24"/>
                              <w:lang w:eastAsia="lt-LT"/>
                            </w:rPr>
                            <w:t>dalyvauja konkurso ir atrankos komisijose priimant į pareigas civilinių mobilizacijos institucijų valstybės tarnautojus ir pakaitinius valstybės tarnautojus, kurie pagal institucijos kompetenciją organizuotų, koordinuotų, kontroliuotų šio įstatymo 10 straipsnio 1 dalyje nustatytų funkcijų atlikimą;</w:t>
                          </w:r>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5e7b6428243e42fda312d6990b272bfc"/>
                        <w:lock w:val="sdtLocked"/>
                        <w:richText/>
                      </w:sdtPr>
                      <w:sdtContent>
                        <w:p>
                          <w:pPr>
                            <w:widowControl w:val="0"/>
                            <w:suppressAutoHyphens/>
                            <w:ind w:firstLine="720"/>
                            <w:jc w:val="both"/>
                            <w:rPr>
                              <w:color w:val="000000"/>
                              <w:szCs w:val="24"/>
                            </w:rPr>
                          </w:pPr>
                          <w:sdt>
                            <w:sdtPr>
                              <w:alias w:val="Numeris"/>
                              <w:tag w:val="nr_5e7b6428243e42fda312d6990b272bfc"/>
                              <w:lock w:val="sdtLocked"/>
                              <w:richText/>
                            </w:sdtPr>
                            <w:sdtContent>
                              <w:r>
                                <w:rPr>
                                  <w:color w:val="000000"/>
                                  <w:szCs w:val="24"/>
                                </w:rPr>
                                <w:t>4</w:t>
                              </w:r>
                            </w:sdtContent>
                          </w:sdt>
                          <w:r>
                            <w:rPr>
                              <w:color w:val="000000"/>
                              <w:szCs w:val="24"/>
                            </w:rPr>
                            <w:t>) dalyvauja mobilizaciniuose ir (ar) priimančiosios šalies paramos mokymuose, užtikrina šio įstatymo 18 straipsnio 2 ir 3 dalyse nustatyta tvarka į mokymus įtrauktų mobilizacinio ūkio subjekto darbuotojų dalyvavimą mokymuose;</w:t>
                          </w:r>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9d2b0b0f019143c090fe99961229315e"/>
                <w:lock w:val="sdtLocked"/>
                <w:richText/>
              </w:sdtPr>
              <w:sdtContent>
                <w:p>
                  <w:pPr>
                    <w:keepLines/>
                    <w:widowControl w:val="0"/>
                    <w:suppressAutoHyphens/>
                    <w:ind w:firstLine="720"/>
                    <w:jc w:val="both"/>
                    <w:rPr>
                      <w:b/>
                      <w:bCs/>
                      <w:color w:val="000000"/>
                      <w:szCs w:val="24"/>
                    </w:rPr>
                  </w:pPr>
                  <w:sdt>
                    <w:sdtPr>
                      <w:alias w:val="Numeris"/>
                      <w:tag w:val="nr_9d2b0b0f019143c090fe99961229315e"/>
                      <w:lock w:val="sdtLocked"/>
                      <w:richText/>
                    </w:sdtPr>
                    <w:sdtContent>
                      <w:r>
                        <w:rPr>
                          <w:b/>
                          <w:bCs/>
                          <w:color w:val="000000"/>
                          <w:szCs w:val="24"/>
                        </w:rPr>
                        <w:t>18</w:t>
                      </w:r>
                    </w:sdtContent>
                  </w:sdt>
                  <w:r>
                    <w:rPr>
                      <w:b/>
                      <w:bCs/>
                      <w:color w:val="000000"/>
                      <w:szCs w:val="24"/>
                    </w:rPr>
                    <w:t xml:space="preserve"> straipsnis. </w:t>
                  </w:r>
                  <w:sdt>
                    <w:sdtPr>
                      <w:alias w:val="Pavadinimas"/>
                      <w:tag w:val="title_9d2b0b0f019143c090fe99961229315e"/>
                      <w:lock w:val="sdtLocked"/>
                      <w:richText/>
                    </w:sdtPr>
                    <w:sdtContent>
                      <w:r>
                        <w:rPr>
                          <w:b/>
                          <w:bCs/>
                          <w:color w:val="000000"/>
                          <w:szCs w:val="24"/>
                        </w:rPr>
                        <w:t>Mobilizaciniai ir priimančiosios šalies paramos mokymai</w:t>
                      </w:r>
                    </w:sdtContent>
                  </w:sdt>
                </w:p>
                <w:sdt>
                  <w:sdtPr>
                    <w:alias w:val="18 str. 1 d."/>
                    <w:tag w:val="part_8bc4ee29ac2c4f3fb3dc5374591315ce"/>
                    <w:lock w:val="sdtLocked"/>
                    <w:richText/>
                  </w:sdtPr>
                  <w:sdtContent>
                    <w:p>
                      <w:pPr>
                        <w:widowControl w:val="0"/>
                        <w:suppressAutoHyphens/>
                        <w:ind w:firstLine="720"/>
                        <w:jc w:val="both"/>
                        <w:rPr>
                          <w:color w:val="000000"/>
                          <w:szCs w:val="24"/>
                        </w:rPr>
                      </w:pPr>
                      <w:sdt>
                        <w:sdtPr>
                          <w:alias w:val="Numeris"/>
                          <w:tag w:val="nr_8bc4ee29ac2c4f3fb3dc5374591315ce"/>
                          <w:lock w:val="sdtLocked"/>
                          <w:richText/>
                        </w:sdtPr>
                        <w:sdtContent>
                          <w:r>
                            <w:rPr>
                              <w:color w:val="000000"/>
                              <w:szCs w:val="24"/>
                            </w:rPr>
                            <w:t>1</w:t>
                          </w:r>
                        </w:sdtContent>
                      </w:sdt>
                      <w:r>
                        <w:rPr>
                          <w:color w:val="000000"/>
                          <w:szCs w:val="24"/>
                        </w:rPr>
                        <w:t xml:space="preserve">. Mobilizacinių ir priimančiosios šalies paramos mokymų organizavimo, planavimo ir vykdymo tvarką šio įstatymo 14 straipsnio 2 dalyje nurodytiems į civilinio mobilizacinio personalo rezervą įrašytiems asmenims nustato, mokymų programas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179cb149bd334a2a842b474a729843de"/>
                    <w:lock w:val="sdtLocked"/>
                    <w:richText/>
                  </w:sdtPr>
                  <w:sdtContent>
                    <w:p>
                      <w:pPr>
                        <w:widowControl w:val="0"/>
                        <w:suppressAutoHyphens/>
                        <w:ind w:firstLine="720"/>
                        <w:jc w:val="both"/>
                        <w:rPr>
                          <w:color w:val="000000"/>
                          <w:szCs w:val="24"/>
                        </w:rPr>
                      </w:pPr>
                      <w:sdt>
                        <w:sdtPr>
                          <w:alias w:val="Numeris"/>
                          <w:tag w:val="nr_179cb149bd334a2a842b474a729843de"/>
                          <w:lock w:val="sdtLocked"/>
                          <w:richText/>
                        </w:sdtPr>
                        <w:sdtContent>
                          <w:r>
                            <w:rPr>
                              <w:color w:val="000000"/>
                              <w:szCs w:val="24"/>
                            </w:rPr>
                            <w:t>2</w:t>
                          </w:r>
                        </w:sdtContent>
                      </w:sdt>
                      <w:r>
                        <w:rPr>
                          <w:color w:val="000000"/>
                          <w:szCs w:val="24"/>
                        </w:rPr>
                        <w:t>. Mobilizacinius ir priimančiosios šalies paramos mokymus šio įstatymo 14 straipsnio 2 dalyje nurodytiems į civilinio mobilizacinio personalo rezervą įrašytiems asmenims organizuoja ir vykdo Institucija, dalyvaujanti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3 d."/>
                    <w:tag w:val="part_fb32d6ca2ef8423eaa732618a15a8eac"/>
                    <w:lock w:val="sdtLocked"/>
                    <w:richText/>
                  </w:sdtPr>
                  <w:sdtContent>
                    <w:p>
                      <w:pPr>
                        <w:widowControl w:val="0"/>
                        <w:suppressAutoHyphens/>
                        <w:ind w:firstLine="720"/>
                        <w:jc w:val="both"/>
                        <w:rPr>
                          <w:color w:val="000000"/>
                          <w:szCs w:val="24"/>
                        </w:rPr>
                      </w:pPr>
                      <w:sdt>
                        <w:sdtPr>
                          <w:alias w:val="Numeris"/>
                          <w:tag w:val="nr_fb32d6ca2ef8423eaa732618a15a8eac"/>
                          <w:lock w:val="sdtLocked"/>
                          <w:richText/>
                        </w:sdtPr>
                        <w:sdtContent>
                          <w:r>
                            <w:rPr>
                              <w:color w:val="000000"/>
                              <w:szCs w:val="24"/>
                            </w:rPr>
                            <w:t>3</w:t>
                          </w:r>
                        </w:sdtContent>
                      </w:sdt>
                      <w:r>
                        <w:rPr>
                          <w:color w:val="000000"/>
                          <w:szCs w:val="24"/>
                        </w:rPr>
                        <w:t>. Priimančiosios šalies paramos mokymų, kuriuose dalyvauja profesinės karo tarnybos, savanoriškos nenuolatinės karo tarnybos kariai ir aktyviojo kariuomenės personalo rezervo kariai kartu su šio įstatymo 14 straipsnio 2 dalyje nurodytais į civilinio mobilizacinio personalo rezervą įrašytais asmenimis, tvarką nustato krašto apsaugos ministras. Priimančiosios šalies paramos mokymus šioje dalyje nurodytiems asmenims organizuoja ir vykdo Lietuvos kariuomenė kartu su Institucija, dalyvaujančia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4 d."/>
                    <w:tag w:val="part_917003340750447b9e1369b0a127f43a"/>
                    <w:lock w:val="sdtLocked"/>
                    <w:richText/>
                  </w:sdtPr>
                  <w:sdtContent>
                    <w:p>
                      <w:pPr>
                        <w:widowControl w:val="0"/>
                        <w:suppressAutoHyphens/>
                        <w:ind w:firstLine="720"/>
                        <w:jc w:val="both"/>
                        <w:rPr>
                          <w:strike/>
                          <w:color w:val="000000"/>
                          <w:szCs w:val="24"/>
                        </w:rPr>
                      </w:pPr>
                      <w:sdt>
                        <w:sdtPr>
                          <w:alias w:val="Numeris"/>
                          <w:tag w:val="nr_917003340750447b9e1369b0a127f43a"/>
                          <w:lock w:val="sdtLocked"/>
                          <w:richText/>
                        </w:sdtPr>
                        <w:sdtContent>
                          <w:r>
                            <w:rPr>
                              <w:color w:val="000000"/>
                              <w:szCs w:val="24"/>
                            </w:rPr>
                            <w:t>4</w:t>
                          </w:r>
                        </w:sdtContent>
                      </w:sdt>
                      <w:r>
                        <w:rPr>
                          <w:color w:val="000000"/>
                          <w:szCs w:val="24"/>
                        </w:rPr>
                        <w:t>. Priimančiosios šalies paramos mokymų organizavimo, planavimo ir vykdymo profesinės karo tarnybos, savanoriškos nenuolatinės karo tarnybos kariams ir aktyviojo kariuomenės personalo rezervo kariams tvarką nustato, mokymo programas ir mokymo planus tvirtina Lietuvos kariuomenės vadas. Priimančiosios šalies paramos mokymus šioje dalyje nurodytiems asmenims organizuoja ir vykdo Lietuvos kariuomenė.</w:t>
                      </w:r>
                    </w:p>
                  </w:sdtContent>
                </w:sdt>
                <w:sdt>
                  <w:sdtPr>
                    <w:alias w:val="18 str. 5 d."/>
                    <w:tag w:val="part_98642099489b4fa8855ac94d52f9a4e7"/>
                    <w:lock w:val="sdtLocked"/>
                    <w:richText/>
                  </w:sdtPr>
                  <w:sdtContent>
                    <w:p>
                      <w:pPr>
                        <w:widowControl w:val="0"/>
                        <w:suppressAutoHyphens/>
                        <w:ind w:firstLine="720"/>
                        <w:jc w:val="both"/>
                        <w:rPr>
                          <w:color w:val="000000"/>
                          <w:szCs w:val="24"/>
                        </w:rPr>
                      </w:pPr>
                      <w:sdt>
                        <w:sdtPr>
                          <w:alias w:val="Numeris"/>
                          <w:tag w:val="nr_98642099489b4fa8855ac94d52f9a4e7"/>
                          <w:lock w:val="sdtLocked"/>
                          <w:richText/>
                        </w:sdtPr>
                        <w:sdtContent>
                          <w:r>
                            <w:rPr>
                              <w:color w:val="000000"/>
                              <w:szCs w:val="24"/>
                            </w:rPr>
                            <w:t>5</w:t>
                          </w:r>
                        </w:sdtContent>
                      </w:sdt>
                      <w:r>
                        <w:rPr>
                          <w:color w:val="000000"/>
                          <w:szCs w:val="24"/>
                        </w:rPr>
                        <w:t>. Mobilizacijos sistemos subjektų vadovai užtikrina, kad mobilizaciniuose ir priimančiosios šalies paramos mokymuose dalyvautų į mokymų planus įtraukti jiems pavaldūs asmenys.</w:t>
                      </w:r>
                    </w:p>
                    <w:p>
                      <w:pPr>
                        <w:jc w:val="center"/>
                      </w:pPr>
                    </w:p>
                    <w:p>
                      <w:pPr>
                        <w:jc w:val="center"/>
                      </w:pPr>
                    </w:p>
                    <w:p>
                      <w:pPr>
                        <w:jc w:val="center"/>
                      </w:pPr>
                    </w:p>
                    <w:p>
                      <w:pPr>
                        <w:jc w:val="center"/>
                      </w:pPr>
                    </w:p>
                  </w:sdtContent>
                </w:sdt>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b1c51f28fbbe4d8083c5ce5815c45dd8"/>
                        <w:lock w:val="sdtLocked"/>
                        <w:richText/>
                      </w:sdtPr>
                      <w:sdtContent>
                        <w:p>
                          <w:pPr>
                            <w:widowControl w:val="0"/>
                            <w:suppressAutoHyphens/>
                            <w:ind w:firstLine="720"/>
                            <w:jc w:val="both"/>
                            <w:rPr>
                              <w:color w:val="000000"/>
                              <w:szCs w:val="24"/>
                            </w:rPr>
                          </w:pPr>
                          <w:sdt>
                            <w:sdtPr>
                              <w:alias w:val="Numeris"/>
                              <w:tag w:val="nr_b1c51f28fbbe4d8083c5ce5815c45dd8"/>
                              <w:lock w:val="sdtLocked"/>
                              <w:richText/>
                            </w:sdtPr>
                            <w:sdtContent>
                              <w:r>
                                <w:rPr>
                                  <w:color w:val="000000"/>
                                  <w:szCs w:val="24"/>
                                </w:rPr>
                                <w:t>4</w:t>
                              </w:r>
                            </w:sdtContent>
                          </w:sdt>
                          <w:r>
                            <w:rPr>
                              <w:color w:val="000000"/>
                              <w:szCs w:val="24"/>
                            </w:rPr>
                            <w:t>) sustabdomas atleidimas iš profesinės karo tarnybos, savanoriškos nenuolatinės karo tarnybos, tarnybos aktyviajame kariuomenės personalo rezerve, išskyrus Karo prievolės įstatyme nustatytus paleidimo iš tarnybos paskelbus mobilizaciją atvejus;</w:t>
                          </w:r>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e04942ee64a24ec1a67f44c8b7eafbf0"/>
                    <w:lock w:val="sdtLocked"/>
                    <w:richText/>
                  </w:sdtPr>
                  <w:sdtContent>
                    <w:p>
                      <w:pPr>
                        <w:widowControl w:val="0"/>
                        <w:suppressAutoHyphens/>
                        <w:ind w:firstLine="720"/>
                        <w:jc w:val="both"/>
                        <w:rPr>
                          <w:color w:val="000000"/>
                          <w:szCs w:val="24"/>
                        </w:rPr>
                      </w:pPr>
                      <w:sdt>
                        <w:sdtPr>
                          <w:alias w:val="Numeris"/>
                          <w:tag w:val="nr_e04942ee64a24ec1a67f44c8b7eafbf0"/>
                          <w:lock w:val="sdtLocked"/>
                          <w:richText/>
                        </w:sdtPr>
                        <w:sdtContent>
                          <w:r>
                            <w:rPr>
                              <w:color w:val="000000"/>
                              <w:szCs w:val="24"/>
                            </w:rPr>
                            <w:t>3</w:t>
                          </w:r>
                        </w:sdtContent>
                      </w:sdt>
                      <w:r>
                        <w:rPr>
                          <w:color w:val="000000"/>
                          <w:szCs w:val="24"/>
                        </w:rPr>
                        <w:t xml:space="preserve">. Mobilizacijos sistemos finansavimo šaltinių lėšų apskaita tvarkoma vadovaujantis Lietuvos Respublikos buhalterinės apskaitos įstatymu, Biudžeto sandaros įstatymu, Lietuvos Respublikos valstybės iždo įstatymu ir kitais finansavimo šaltinių lėšų apskaitą reglamentuojančiais teisės aktais. </w:t>
                      </w:r>
                    </w:p>
                  </w:sdtContent>
                </w:sdt>
                <w:sdt>
                  <w:sdtPr>
                    <w:alias w:val="26 str. 4 d."/>
                    <w:tag w:val="part_08cfab98a1834266bd5d465c7b32e6d6"/>
                    <w:lock w:val="sdtLocked"/>
                    <w:richText/>
                  </w:sdtPr>
                  <w:sdtContent>
                    <w:p>
                      <w:pPr>
                        <w:widowControl w:val="0"/>
                        <w:suppressAutoHyphens/>
                        <w:ind w:firstLine="720"/>
                        <w:jc w:val="both"/>
                        <w:rPr>
                          <w:color w:val="000000"/>
                          <w:szCs w:val="24"/>
                        </w:rPr>
                      </w:pPr>
                      <w:sdt>
                        <w:sdtPr>
                          <w:alias w:val="Numeris"/>
                          <w:tag w:val="nr_08cfab98a1834266bd5d465c7b32e6d6"/>
                          <w:lock w:val="sdtLocked"/>
                          <w:richText/>
                        </w:sdtPr>
                        <w:sdtContent>
                          <w:r>
                            <w:rPr>
                              <w:color w:val="000000"/>
                              <w:szCs w:val="24"/>
                            </w:rPr>
                            <w:t>4</w:t>
                          </w:r>
                        </w:sdtContent>
                      </w:sdt>
                      <w:r>
                        <w:rPr>
                          <w:color w:val="000000"/>
                          <w:szCs w:val="24"/>
                        </w:rPr>
                        <w:t>. Civilinei mobilizacijos institucijai pavaldžių subjektų veikla, vykdant šiame įstatyme nustatytus mobilizacijos sistemos ir priimančiosios šalies paramos teikimo uždavinius, finansuojama iš civilinei mobilizacijos institucijai skiriamų valstybės biudžeto asignavimų ar šiame įstatyme nustatytais atvejais panaudojant valstybės rezervą.</w:t>
                      </w:r>
                    </w:p>
                    <w:p>
                      <w:pPr>
                        <w:widowControl w:val="0"/>
                        <w:suppressAutoHyphens/>
                        <w:ind w:firstLine="720"/>
                        <w:jc w:val="both"/>
                      </w:pPr>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DD4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43ac60d2a9934cef9239f2f5c4e69999" PartId="ea81a43f0dcd42d98d121576917b379b"/>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0478959b7b574943aeacba79d95dcd7a" PartId="087500378aac41fdbcd182dfdf99dd6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98afd5c53f39497897e6ae9fac688d60"/>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5e7b6428243e42fda312d6990b272bfc"/>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ir priimančiosios šalies paramos mokymai" DocPartId="3b03ef614bcc49baa826ac9981931304" PartId="9d2b0b0f019143c090fe99961229315e">
        <Part Type="strDalis" Nr="1" Abbr="18 str. 1 d." DocPartId="743f2852b6c24749a691607566e88c77" PartId="8bc4ee29ac2c4f3fb3dc5374591315ce"/>
        <Part Type="strDalis" Nr="2" Abbr="18 str. 2 d." DocPartId="f54772ec858d4d12b82ede68ce362d42" PartId="179cb149bd334a2a842b474a729843de"/>
        <Part Type="strDalis" Nr="3" Abbr="18 str. 3 d." DocPartId="20f6379bfcb94c73a9dce9872dbf0a18" PartId="fb32d6ca2ef8423eaa732618a15a8eac"/>
        <Part Type="strDalis" Nr="4" Abbr="18 str. 4 d." DocPartId="d3de934085de4da985bd661afa90fc51" PartId="917003340750447b9e1369b0a127f43a"/>
        <Part Type="strDalis" Nr="5" Abbr="18 str. 5 d." DocPartId="cb8361feefae489fa70b35f815c4d57e" PartId="98642099489b4fa8855ac94d52f9a4e7"/>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b1c51f28fbbe4d8083c5ce5815c45dd8"/>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e04942ee64a24ec1a67f44c8b7eafbf0"/>
        <Part Type="strDalis" Nr="4" Abbr="26 str. 4 d." DocPartId="e1468a164f0e414aadf174451d10d8f8" PartId="08cfab98a1834266bd5d465c7b32e6d6"/>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E9AD06C-3680-4208-B48A-FFA70124A743}">
  <ds:schemaRefs>
    <ds:schemaRef ds:uri="http://lrs.lt/TAIS/DocParts"/>
  </ds:schemaRefs>
</ds:datastoreItem>
</file>

<file path=customXml/itemProps3.xml><?xml version="1.0" encoding="utf-8"?>
<ds:datastoreItem xmlns:ds="http://schemas.openxmlformats.org/officeDocument/2006/customXml" ds:itemID="{00B15EF0-7A10-4C24-B2C2-3FDA9CAC73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29</Pages>
  <Words>66114</Words>
  <Characters>37685</Characters>
  <Application>Microsoft Office Word</Application>
  <DocSecurity>0</DocSecurity>
  <Lines>314</Lines>
  <Paragraphs>207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103592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JŪRĖNIENĖ Jolanta</lastModifiedBy>
  <dcterms:modified xsi:type="dcterms:W3CDTF">2020-07-28T11:54:00Z</dcterms:modified>
  <revision>19</revision>
</coreProperties>
</file>