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Arial" w:hAnsi="Arial"/>
            </w:rPr>
          </w:pPr>
          <w:r>
            <w:rPr>
              <w:rFonts w:ascii="Arial" w:hAnsi="Arial"/>
              <w:b/>
              <w:i/>
            </w:rPr>
            <w:t>Suvestinė redakcija nuo 2024-09-01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1996, Nr. </w:t>
          </w:r>
          <w:fldSimple w:instr="HYPERLINK https://www.e-tar.lt/portal/legalAct.html?documentId=TAR.3CD1008B88A9">
            <w:r w:rsidRPr="00532B9F">
              <w:rPr>
                <w:rFonts w:ascii="Arial" w:eastAsia="MS Mincho" w:hAnsi="Arial"/>
                <w:sz w:val="20"/>
                <w:i/>
                <w:iCs/>
                <w:color w:val="0000FF" w:themeColor="hyperlink"/>
                <w:u w:val="single"/>
              </w:rPr>
              <w:t>116-2695</w:t>
            </w:r>
          </w:fldSimple>
          <w:r>
            <w:rPr>
              <w:rFonts w:ascii="Arial" w:eastAsia="MS Mincho" w:hAnsi="Arial"/>
              <w:sz w:val="20"/>
              <w:i/>
              <w:iCs/>
            </w:rPr>
            <w:t>, i. k. 0961010ISTA00I-1623</w:t>
          </w:r>
        </w:p>
        <w:p>
          <w:pPr>
            <w:jc w:val="both"/>
            <w:rPr>
              <w:rFonts w:ascii="Arial" w:hAnsi="Arial"/>
              <w:sz w:val="20"/>
            </w:rPr>
          </w:pPr>
        </w:p>
        <w:p>
          <w:pPr>
            <w:rPr>
              <w:rFonts w:ascii="Arial" w:hAnsi="Arial"/>
              <w:sz w:val="20"/>
              <w:b/>
              <w:i/>
            </w:rPr>
          </w:pPr>
          <w:r>
            <w:rPr>
              <w:rFonts w:ascii="Arial" w:hAnsi="Arial"/>
              <w:sz w:val="20"/>
              <w:b/>
              <w:i/>
            </w:rPr>
            <w:t>Nauja redakcija nuo 2021-01-01:</w:t>
          </w:r>
        </w:p>
        <w:p>
          <w:pPr>
            <w:rPr>
              <w:rFonts w:ascii="Arial" w:hAnsi="Arial"/>
              <w:sz w:val="20"/>
              <w:i/>
            </w:rPr>
          </w:pPr>
          <w:r>
            <w:rPr>
              <w:rFonts w:ascii="Arial" w:hAnsi="Arial"/>
              <w:sz w:val="20"/>
              <w:i/>
            </w:rPr>
            <w:t xml:space="preserve">Nr. </w:t>
          </w:r>
          <w:fldSimple w:instr="HYPERLINK https://www.e-tar.lt/portal/legalAct.html?documentId=3f947ec0c75711ea997c9ee767e856b4">
            <w:r w:rsidRPr="00532B9F">
              <w:rPr>
                <w:rFonts w:ascii="Arial" w:eastAsia="MS Mincho" w:hAnsi="Arial"/>
                <w:sz w:val="20"/>
                <w:i/>
                <w:iCs/>
                <w:color w:val="0000FF" w:themeColor="hyperlink"/>
                <w:u w:val="single"/>
              </w:rPr>
              <w:t>XIII-3228</w:t>
            </w:r>
          </w:fldSimple>
          <w:r>
            <w:rPr>
              <w:rFonts w:ascii="Arial" w:eastAsia="MS Mincho" w:hAnsi="Arial"/>
              <w:sz w:val="20"/>
              <w:i/>
              <w:iCs/>
            </w:rPr>
            <w:t>,
2020-06-30,
paskelbta TAR 2020-07-16, i. k. 2020-15862                </w:t>
          </w:r>
        </w:p>
        <w:p>
          <w:pPr>
            <w:rPr>
              <w:rFonts w:ascii="Arial" w:hAnsi="Arial"/>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399d27bcd9d9410d94271317818eb024"/>
                    <w:lock w:val="sdtLocked"/>
                    <w:richText/>
                  </w:sdtPr>
                  <w:sdtContent>
                    <w:p>
                      <w:pPr>
                        <w:widowControl w:val="0"/>
                        <w:suppressAutoHyphens/>
                        <w:ind w:firstLine="720"/>
                        <w:jc w:val="both"/>
                        <w:rPr>
                          <w:color w:val="000000"/>
                          <w:szCs w:val="24"/>
                        </w:rPr>
                      </w:pPr>
                      <w:sdt>
                        <w:sdtPr>
                          <w:alias w:val="Numeris"/>
                          <w:tag w:val="nr_399d27bcd9d9410d94271317818eb024"/>
                          <w:lock w:val="sdtLocked"/>
                          <w:richText/>
                        </w:sdtPr>
                        <w:sdtContent>
                          <w:r>
                            <w:rPr>
                              <w:color w:val="000000"/>
                              <w:szCs w:val="24"/>
                            </w:rPr>
                            <w:t>3</w:t>
                          </w:r>
                        </w:sdtContent>
                      </w:sdt>
                      <w:r>
                        <w:rPr>
                          <w:color w:val="000000"/>
                          <w:szCs w:val="24"/>
                        </w:rPr>
                        <w:t xml:space="preserve">. </w:t>
                      </w:r>
                      <w:r>
                        <w:rPr>
                          <w:b/>
                          <w:bCs/>
                          <w:color w:val="000000"/>
                          <w:szCs w:val="24"/>
                        </w:rPr>
                        <w:t>Civilinė mobilizacijos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ir Lietuvos kariuomenę, kuriai yra paskirta valstybinė mobilizacinė ir (ar) priimančiosios šalies paramos teikimo užduotis.</w:t>
                      </w:r>
                    </w:p>
                  </w:sdtContent>
                </w:sdt>
                <w:sdt>
                  <w:sdtPr>
                    <w:alias w:val="2 str. 4 d."/>
                    <w:tag w:val="part_f8c30d6a07ac4b01bc1c8d632865d3e5"/>
                    <w:lock w:val="sdtLocked"/>
                    <w:richText/>
                  </w:sdtPr>
                  <w:sdtContent>
                    <w:p>
                      <w:pPr>
                        <w:ind w:firstLine="720"/>
                        <w:jc w:val="both"/>
                        <w:rPr>
                          <w:color w:val="000000"/>
                          <w:szCs w:val="24"/>
                        </w:rPr>
                      </w:pPr>
                      <w:sdt>
                        <w:sdtPr>
                          <w:alias w:val="Numeris"/>
                          <w:tag w:val="nr_f8c30d6a07ac4b01bc1c8d632865d3e5"/>
                          <w:lock w:val="sdtLocked"/>
                          <w:richText/>
                        </w:sdt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 kuriame civilinė mobilizacijos institucija įgyvendina valstybės ar savivaldybės, kaip juridinio asmens savininkės, teises ir pareigas arba valstybės ar savivaldybės, kaip juridinio asmens dalyvės, turinčios daugiau kaip pusę šio juridinio asmens dalyvių balsavimo teisių, teises ir pareigas.</w:t>
                      </w:r>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5bd88fe772fa4c8d96085a3165e5fd1d"/>
                    <w:lock w:val="sdtLocked"/>
                    <w:richText/>
                  </w:sdtPr>
                  <w:sdtContent>
                    <w:p>
                      <w:pPr>
                        <w:widowControl w:val="0"/>
                        <w:suppressAutoHyphens/>
                        <w:ind w:firstLine="720"/>
                        <w:jc w:val="both"/>
                        <w:rPr>
                          <w:color w:val="000000"/>
                          <w:szCs w:val="24"/>
                        </w:rPr>
                      </w:pPr>
                      <w:sdt>
                        <w:sdtPr>
                          <w:alias w:val="Numeris"/>
                          <w:tag w:val="nr_5bd88fe772fa4c8d96085a3165e5fd1d"/>
                          <w:lock w:val="sdtLocked"/>
                          <w:richText/>
                        </w:sdtPr>
                        <w:sdtContent>
                          <w:r>
                            <w:rPr>
                              <w:color w:val="000000"/>
                              <w:szCs w:val="24"/>
                            </w:rPr>
                            <w:t>20</w:t>
                          </w:r>
                        </w:sdtContent>
                      </w:sdt>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2911890206d54393b8b6364f3ffe1016"/>
                    <w:lock w:val="sdtLocked"/>
                    <w:richText/>
                  </w:sdtPr>
                  <w:sdtContent>
                    <w:p>
                      <w:pPr>
                        <w:widowControl w:val="0"/>
                        <w:suppressAutoHyphens/>
                        <w:ind w:firstLine="720"/>
                        <w:jc w:val="both"/>
                        <w:rPr>
                          <w:b/>
                          <w:bCs/>
                          <w:color w:val="000000"/>
                          <w:szCs w:val="24"/>
                        </w:rPr>
                      </w:pPr>
                      <w:sdt>
                        <w:sdtPr>
                          <w:alias w:val="Numeris"/>
                          <w:tag w:val="nr_2911890206d54393b8b6364f3ffe1016"/>
                          <w:lock w:val="sdtLocked"/>
                          <w:richText/>
                        </w:sdtPr>
                        <w:sdtContent>
                          <w:r>
                            <w:rPr>
                              <w:color w:val="000000"/>
                              <w:szCs w:val="24"/>
                            </w:rPr>
                            <w:t>27</w:t>
                          </w:r>
                        </w:sdtContent>
                      </w:sdt>
                      <w:r>
                        <w:rPr>
                          <w:color w:val="000000"/>
                          <w:szCs w:val="24"/>
                        </w:rPr>
                        <w:t>. Kitos šiame įstatyme vartojamos sąvokos suprantamos taip, kaip jos apibrėžtos Lietuvos Respublikos krašto apsaugos sistemos organizavimo ir karo tarnybos įstatyme, Lietuvos Respublikos karo prievolės įstatyme, Lietuvos Respublikos karo padėties įstatyme, Lietuvos Respublikos viešojo administravimo įstatyme, Lietuvos Respublikos valstybės rezervo įstatyme, Lietuvos Respublikos biudžeto sandaros įstatyme, Lietuvos Respublikos civilinės saugos įstatyme.</w:t>
                      </w:r>
                    </w:p>
                    <w:p>
                      <w:pPr>
                        <w:ind w:firstLine="720"/>
                        <w:jc w:val="both"/>
                        <w:rPr>
                          <w:szCs w:val="24"/>
                        </w:rPr>
                      </w:pPr>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90d7480f64011ed9978886e85107ab2">
                            <w:r w:rsidRPr="00532B9F">
                              <w:rPr>
                                <w:rFonts w:ascii="Arial" w:eastAsia="MS Mincho" w:hAnsi="Arial"/>
                                <w:sz w:val="20"/>
                                <w:i/>
                                <w:iCs/>
                                <w:color w:val="0000FF" w:themeColor="hyperlink"/>
                                <w:u w:val="single"/>
                              </w:rPr>
                              <w:t>XIV-1931</w:t>
                            </w:r>
                          </w:fldSimple>
                          <w:r>
                            <w:rPr>
                              <w:rFonts w:ascii="Arial" w:eastAsia="MS Mincho" w:hAnsi="Arial"/>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f8ba7406fca11edbc04912defe897d1">
                            <w:r w:rsidRPr="00532B9F">
                              <w:rPr>
                                <w:rFonts w:ascii="Arial" w:eastAsia="MS Mincho" w:hAnsi="Arial"/>
                                <w:sz w:val="20"/>
                                <w:i/>
                                <w:iCs/>
                                <w:color w:val="0000FF" w:themeColor="hyperlink"/>
                                <w:u w:val="single"/>
                              </w:rPr>
                              <w:t>XIV-1537</w:t>
                            </w:r>
                          </w:fldSimple>
                          <w:r>
                            <w:rPr>
                              <w:rFonts w:ascii="Arial" w:eastAsia="MS Mincho" w:hAnsi="Arial"/>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e1e23bd2a2254225becfa92c8e19a6e3"/>
                        <w:lock w:val="sdtLocked"/>
                        <w:richText/>
                      </w:sdtPr>
                      <w:sdtContent>
                        <w:p>
                          <w:pPr>
                            <w:suppressAutoHyphens/>
                            <w:ind w:firstLine="720"/>
                            <w:jc w:val="both"/>
                            <w:textAlignment w:val="baseline"/>
                            <w:rPr>
                              <w:color w:val="000000"/>
                              <w:szCs w:val="24"/>
                            </w:rPr>
                          </w:pPr>
                          <w:sdt>
                            <w:sdtPr>
                              <w:alias w:val="Numeris"/>
                              <w:tag w:val="nr_e1e23bd2a2254225becfa92c8e19a6e3"/>
                              <w:lock w:val="sdtLocked"/>
                              <w:richText/>
                            </w:sdtPr>
                            <w:sdtContent>
                              <w:r>
                                <w:t>7</w:t>
                              </w:r>
                            </w:sdtContent>
                          </w:sdt>
                          <w:r>
                            <w:t>) dalyvauja konkurso komisijos darbe priimant į pareigas civilinių mobilizacijos institucijų valstybės tarnautojus, kurie pagal institucijos kompetenciją organizuotų, koordinuotų, kontroliuotų šio įstatymo 10 straipsnio 1 dalyje nustatytų funkcijų atlikimą;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fe9e6006c711ee9978886e85107ab2">
                            <w:r w:rsidRPr="00532B9F">
                              <w:rPr>
                                <w:rFonts w:ascii="Arial" w:eastAsia="MS Mincho" w:hAnsi="Arial"/>
                                <w:sz w:val="20"/>
                                <w:i/>
                                <w:iCs/>
                                <w:color w:val="0000FF" w:themeColor="hyperlink"/>
                                <w:u w:val="single"/>
                              </w:rPr>
                              <w:t>XIV-2010</w:t>
                            </w:r>
                          </w:fldSimple>
                          <w:r>
                            <w:rPr>
                              <w:rFonts w:ascii="Arial" w:eastAsia="MS Mincho" w:hAnsi="Arial"/>
                              <w:sz w:val="20"/>
                              <w:i/>
                              <w:iCs/>
                            </w:rPr>
                            <w:t>,
2023-05-25,
paskelbta TAR 2023-06-09, i. k. 2023-11588            </w:t>
                          </w:r>
                        </w:p>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304af736f9b34a27a241e80203b5b02a"/>
                        <w:lock w:val="sdtLocked"/>
                        <w:richText/>
                      </w:sdtPr>
                      <w:sdtContent>
                        <w:p>
                          <w:pPr>
                            <w:widowControl w:val="0"/>
                            <w:suppressAutoHyphens/>
                            <w:ind w:firstLine="720"/>
                            <w:jc w:val="both"/>
                            <w:rPr>
                              <w:color w:val="000000"/>
                              <w:szCs w:val="24"/>
                            </w:rPr>
                          </w:pPr>
                          <w:sdt>
                            <w:sdtPr>
                              <w:alias w:val="Numeris"/>
                              <w:tag w:val="nr_304af736f9b34a27a241e80203b5b02a"/>
                              <w:lock w:val="sdtLocked"/>
                              <w:richText/>
                            </w:sdt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pasirengimas vykdyti šiame plane numatytus veiksmus ir priemones;</w:t>
                          </w:r>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02e5f221bd174c80bf9472666313eeab"/>
                        <w:lock w:val="sdtLocked"/>
                        <w:richText/>
                      </w:sdtPr>
                      <w:sdtContent>
                        <w:p>
                          <w:pPr>
                            <w:widowControl w:val="0"/>
                            <w:suppressAutoHyphens/>
                            <w:ind w:firstLine="720"/>
                            <w:jc w:val="both"/>
                            <w:rPr>
                              <w:color w:val="000000"/>
                              <w:szCs w:val="24"/>
                            </w:rPr>
                          </w:pPr>
                          <w:sdt>
                            <w:sdtPr>
                              <w:alias w:val="Numeris"/>
                              <w:tag w:val="nr_02e5f221bd174c80bf9472666313eeab"/>
                              <w:lock w:val="sdtLocked"/>
                              <w:richText/>
                            </w:sdt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265a7fe8989a477981c0485314fa0de1"/>
                        <w:lock w:val="sdtLocked"/>
                        <w:richText/>
                      </w:sdtPr>
                      <w:sdtContent>
                        <w:p>
                          <w:pPr>
                            <w:ind w:firstLine="720"/>
                            <w:jc w:val="both"/>
                            <w:textAlignment w:val="baseline"/>
                            <w:rPr>
                              <w:color w:val="000000"/>
                              <w:szCs w:val="24"/>
                            </w:rPr>
                          </w:pPr>
                          <w:sdt>
                            <w:sdtPr>
                              <w:alias w:val="Numeris"/>
                              <w:tag w:val="nr_265a7fe8989a477981c0485314fa0de1"/>
                              <w:lock w:val="sdtLocked"/>
                              <w:richText/>
                            </w:sdtPr>
                            <w:sdtContent>
                              <w:r>
                                <w:rPr>
                                  <w:szCs w:val="24"/>
                                </w:rPr>
                                <w:t>4</w:t>
                              </w:r>
                            </w:sdtContent>
                          </w:sdt>
                          <w:r>
                            <w:rPr>
                              <w:szCs w:val="24"/>
                            </w:rPr>
                            <w:t>) užtikrina mobilizacinio ūkio subjekto darbuotojų dalyvavimą šio įstatymo 18 straipsnio 2, 3 ir 5 dalyse nurodytuose mokymuose;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ecfac04a4711efbdaea558de59136c">
                            <w:r w:rsidRPr="00532B9F">
                              <w:rPr>
                                <w:rFonts w:ascii="Arial" w:eastAsia="MS Mincho" w:hAnsi="Arial"/>
                                <w:sz w:val="20"/>
                                <w:i/>
                                <w:iCs/>
                                <w:color w:val="0000FF" w:themeColor="hyperlink"/>
                                <w:u w:val="single"/>
                              </w:rPr>
                              <w:t>XIV-2947</w:t>
                            </w:r>
                          </w:fldSimple>
                          <w:r>
                            <w:rPr>
                              <w:rFonts w:ascii="Arial" w:eastAsia="MS Mincho" w:hAnsi="Arial"/>
                              <w:sz w:val="20"/>
                              <w:i/>
                              <w:iCs/>
                            </w:rPr>
                            <w:t>,
2024-07-18,
paskelbta TAR 2024-07-25, i. k. 2024-13612            </w:t>
                          </w:r>
                        </w:p>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4fe7bc4832d54502a280340b3e5f8132"/>
                <w:lock w:val="sdtLocked"/>
                <w:richText/>
              </w:sdtPr>
              <w:sdtContent>
                <w:p>
                  <w:pPr>
                    <w:keepLines/>
                    <w:widowControl w:val="0"/>
                    <w:suppressAutoHyphens/>
                    <w:ind w:firstLine="720"/>
                    <w:jc w:val="both"/>
                    <w:rPr>
                      <w:b/>
                      <w:bCs/>
                      <w:color w:val="000000"/>
                      <w:szCs w:val="24"/>
                    </w:rPr>
                  </w:pPr>
                  <w:sdt>
                    <w:sdtPr>
                      <w:alias w:val="Numeris"/>
                      <w:tag w:val="nr_4fe7bc4832d54502a280340b3e5f8132"/>
                      <w:lock w:val="sdtLocked"/>
                      <w:richText/>
                    </w:sdtPr>
                    <w:sdtContent>
                      <w:r>
                        <w:rPr>
                          <w:b/>
                          <w:bCs/>
                          <w:color w:val="000000"/>
                          <w:szCs w:val="24"/>
                        </w:rPr>
                        <w:t>14</w:t>
                      </w:r>
                    </w:sdtContent>
                  </w:sdt>
                  <w:r>
                    <w:rPr>
                      <w:b/>
                      <w:bCs/>
                      <w:color w:val="000000"/>
                      <w:szCs w:val="24"/>
                    </w:rPr>
                    <w:t xml:space="preserve"> straipsnis. </w:t>
                  </w:r>
                  <w:sdt>
                    <w:sdtPr>
                      <w:alias w:val="Pavadinimas"/>
                      <w:tag w:val="title_4fe7bc4832d54502a280340b3e5f8132"/>
                      <w:lock w:val="sdtLocked"/>
                      <w:richText/>
                    </w:sdtPr>
                    <w:sdtContent>
                      <w:r>
                        <w:rPr>
                          <w:b/>
                          <w:bCs/>
                          <w:color w:val="000000"/>
                          <w:szCs w:val="24"/>
                        </w:rPr>
                        <w:t>Civilinio mobilizacinio personalo rezervas</w:t>
                      </w:r>
                    </w:sdtContent>
                  </w:sdt>
                </w:p>
                <w:sdt>
                  <w:sdtPr>
                    <w:alias w:val="14 str. 1 d."/>
                    <w:tag w:val="part_e8383d6ebbd646dcadc9dd8c0d6ec6d5"/>
                    <w:lock w:val="sdtLocked"/>
                    <w:richText/>
                  </w:sdtPr>
                  <w:sdtContent>
                    <w:p>
                      <w:pPr>
                        <w:widowControl w:val="0"/>
                        <w:suppressAutoHyphens/>
                        <w:ind w:firstLine="720"/>
                        <w:jc w:val="both"/>
                        <w:rPr>
                          <w:color w:val="000000"/>
                          <w:szCs w:val="24"/>
                        </w:rPr>
                      </w:pPr>
                      <w:sdt>
                        <w:sdtPr>
                          <w:alias w:val="Numeris"/>
                          <w:tag w:val="nr_e8383d6ebbd646dcadc9dd8c0d6ec6d5"/>
                          <w:lock w:val="sdtLocked"/>
                          <w:richText/>
                        </w:sdt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92523022478346c99e9af6d52713771b"/>
                    <w:lock w:val="sdtLocked"/>
                    <w:richText/>
                  </w:sdtPr>
                  <w:sdtContent>
                    <w:p>
                      <w:pPr>
                        <w:widowControl w:val="0"/>
                        <w:suppressAutoHyphens/>
                        <w:ind w:firstLine="720"/>
                        <w:jc w:val="both"/>
                        <w:rPr>
                          <w:color w:val="000000"/>
                          <w:szCs w:val="24"/>
                        </w:rPr>
                      </w:pPr>
                      <w:sdt>
                        <w:sdtPr>
                          <w:alias w:val="Numeris"/>
                          <w:tag w:val="nr_92523022478346c99e9af6d52713771b"/>
                          <w:lock w:val="sdtLocked"/>
                          <w:richText/>
                        </w:sdtPr>
                        <w:sdtContent>
                          <w:r>
                            <w:rPr>
                              <w:color w:val="000000"/>
                              <w:szCs w:val="24"/>
                            </w:rPr>
                            <w:t>2</w:t>
                          </w:r>
                        </w:sdtContent>
                      </w:sdt>
                      <w:r>
                        <w:rPr>
                          <w:color w:val="000000"/>
                          <w:szCs w:val="24"/>
                        </w:rPr>
                        <w:t xml:space="preserve">. Į civilinio mobilizacinio personalo rezervą įrašomi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taip pat deleguoti į Valstybės mobilizacijos operacijų centrą ir civilinių mobilizacijos institucijų mobilizacijos valdymo grupes</w:t>
                      </w:r>
                      <w:r>
                        <w:rPr>
                          <w:color w:val="000000"/>
                          <w:szCs w:val="24"/>
                        </w:rPr>
                        <w:t>.</w:t>
                      </w:r>
                    </w:p>
                  </w:sdtContent>
                </w:sdt>
                <w:sdt>
                  <w:sdtPr>
                    <w:alias w:val="14 str. 3 d."/>
                    <w:tag w:val="part_48e812e1fccd466d9b3e3692f110abc6"/>
                    <w:lock w:val="sdtLocked"/>
                    <w:richText/>
                  </w:sdtPr>
                  <w:sdtContent>
                    <w:p>
                      <w:pPr>
                        <w:widowControl w:val="0"/>
                        <w:suppressAutoHyphens/>
                        <w:ind w:firstLine="720"/>
                        <w:jc w:val="both"/>
                        <w:rPr>
                          <w:color w:val="000000"/>
                          <w:szCs w:val="24"/>
                        </w:rPr>
                      </w:pPr>
                      <w:sdt>
                        <w:sdtPr>
                          <w:alias w:val="Numeris"/>
                          <w:tag w:val="nr_48e812e1fccd466d9b3e3692f110abc6"/>
                          <w:lock w:val="sdtLocked"/>
                          <w:richText/>
                        </w:sdt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68dda02200584df2a2cb8d67f70d8724"/>
                    <w:lock w:val="sdtLocked"/>
                    <w:richText/>
                  </w:sdtPr>
                  <w:sdtContent>
                    <w:p>
                      <w:pPr>
                        <w:widowControl w:val="0"/>
                        <w:suppressAutoHyphens/>
                        <w:ind w:firstLine="720"/>
                        <w:jc w:val="both"/>
                        <w:rPr>
                          <w:color w:val="000000"/>
                          <w:szCs w:val="24"/>
                        </w:rPr>
                      </w:pPr>
                      <w:sdt>
                        <w:sdtPr>
                          <w:alias w:val="Numeris"/>
                          <w:tag w:val="nr_68dda02200584df2a2cb8d67f70d8724"/>
                          <w:lock w:val="sdtLocked"/>
                          <w:richText/>
                        </w:sdtPr>
                        <w:sdtContent>
                          <w:r>
                            <w:rPr>
                              <w:color w:val="000000"/>
                              <w:szCs w:val="24"/>
                            </w:rPr>
                            <w:t>4</w:t>
                          </w:r>
                        </w:sdtContent>
                      </w:sdt>
                      <w:r>
                        <w:rPr>
                          <w:color w:val="000000"/>
                          <w:szCs w:val="24"/>
                        </w:rPr>
                        <w:t>. Šio straipsnio 2 dalyje nurodytus asmenis į civilinio mobilizacinio personalo rezervą įrašo ir iš jo išbraukia Institucija, dalyvaujanti formuojant mobilizacijos politiką, gavusi informaciją apie šių asmenų paskyrimą (priėmimą) į šio straipsnio 2 dalyje nurodytas pareigas ar delegavimą į Valstybės mobilizacijos operacijų centrą ar civilinės mobilizacijos institucijos mobilizacijos valdymo grupę.</w:t>
                      </w:r>
                    </w:p>
                  </w:sdtContent>
                </w:sdt>
                <w:sdt>
                  <w:sdtPr>
                    <w:alias w:val="14 str. 5 d."/>
                    <w:tag w:val="part_feebd42c0a954a6683de8f309bad990f"/>
                    <w:lock w:val="sdtLocked"/>
                    <w:richText/>
                  </w:sdtPr>
                  <w:sdtContent>
                    <w:p>
                      <w:pPr>
                        <w:widowControl w:val="0"/>
                        <w:suppressAutoHyphens/>
                        <w:ind w:firstLine="720"/>
                        <w:jc w:val="both"/>
                        <w:rPr>
                          <w:color w:val="000000"/>
                          <w:szCs w:val="24"/>
                        </w:rPr>
                      </w:pPr>
                      <w:sdt>
                        <w:sdtPr>
                          <w:alias w:val="Numeris"/>
                          <w:tag w:val="nr_feebd42c0a954a6683de8f309bad990f"/>
                          <w:lock w:val="sdtLocked"/>
                          <w:richText/>
                        </w:sdt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e05f35e046f491cb5089544ad2934dc"/>
                    <w:lock w:val="sdtLocked"/>
                    <w:richText/>
                  </w:sdtPr>
                  <w:sdtContent>
                    <w:p>
                      <w:pPr>
                        <w:widowControl w:val="0"/>
                        <w:suppressAutoHyphens/>
                        <w:ind w:firstLine="720"/>
                        <w:jc w:val="both"/>
                        <w:rPr>
                          <w:color w:val="000000"/>
                          <w:szCs w:val="24"/>
                        </w:rPr>
                      </w:pPr>
                      <w:sdt>
                        <w:sdtPr>
                          <w:alias w:val="Numeris"/>
                          <w:tag w:val="nr_3e05f35e046f491cb5089544ad2934dc"/>
                          <w:lock w:val="sdtLocked"/>
                          <w:richText/>
                        </w:sdtPr>
                        <w:sdtContent>
                          <w:r>
                            <w:rPr>
                              <w:color w:val="000000"/>
                              <w:szCs w:val="24"/>
                            </w:rPr>
                            <w:t>6</w:t>
                          </w:r>
                        </w:sdtContent>
                      </w:sdt>
                      <w:r>
                        <w:rPr>
                          <w:color w:val="000000"/>
                          <w:szCs w:val="24"/>
                        </w:rPr>
                        <w:t xml:space="preserve">. </w:t>
                      </w:r>
                      <w:r>
                        <w:rPr>
                          <w:szCs w:val="24"/>
                        </w:rPr>
                        <w:t xml:space="preserve">Į civilinio mobilizacinio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bdfccc8dc5834d1594647bdb4f861fe3"/>
                    <w:lock w:val="sdtLocked"/>
                    <w:richText/>
                  </w:sdtPr>
                  <w:sdtContent>
                    <w:p>
                      <w:pPr>
                        <w:widowControl w:val="0"/>
                        <w:suppressAutoHyphens/>
                        <w:ind w:firstLine="720"/>
                        <w:jc w:val="both"/>
                        <w:rPr>
                          <w:color w:val="000000"/>
                          <w:szCs w:val="24"/>
                        </w:rPr>
                      </w:pPr>
                      <w:sdt>
                        <w:sdtPr>
                          <w:alias w:val="Numeris"/>
                          <w:tag w:val="nr_bdfccc8dc5834d1594647bdb4f861fe3"/>
                          <w:lock w:val="sdtLocked"/>
                          <w:richText/>
                        </w:sdt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c302fb5b45324fd4b26be3712ed44af6"/>
                        <w:lock w:val="sdtLocked"/>
                        <w:richText/>
                      </w:sdtPr>
                      <w:sdtContent>
                        <w:p>
                          <w:pPr>
                            <w:widowControl w:val="0"/>
                            <w:suppressAutoHyphens/>
                            <w:ind w:firstLine="720"/>
                            <w:jc w:val="both"/>
                            <w:rPr>
                              <w:color w:val="000000"/>
                              <w:szCs w:val="24"/>
                            </w:rPr>
                          </w:pPr>
                          <w:sdt>
                            <w:sdtPr>
                              <w:alias w:val="Numeris"/>
                              <w:tag w:val="nr_c302fb5b45324fd4b26be3712ed44af6"/>
                              <w:lock w:val="sdtLocked"/>
                              <w:richText/>
                            </w:sdtPr>
                            <w:sdtContent>
                              <w:r>
                                <w:rPr>
                                  <w:color w:val="000000"/>
                                  <w:szCs w:val="24"/>
                                </w:rPr>
                                <w:t>1</w:t>
                              </w:r>
                            </w:sdtContent>
                          </w:sdt>
                          <w:r>
                            <w:rPr>
                              <w:color w:val="000000"/>
                              <w:szCs w:val="24"/>
                            </w:rPr>
                            <w:t>) miršta;</w:t>
                          </w:r>
                        </w:p>
                      </w:sdtContent>
                    </w:sdt>
                    <w:sdt>
                      <w:sdtPr>
                        <w:alias w:val="14 str. 7 d. 2 p."/>
                        <w:tag w:val="part_51fcc548226647e9b9e1cd559badc729"/>
                        <w:lock w:val="sdtLocked"/>
                        <w:richText/>
                      </w:sdtPr>
                      <w:sdtContent>
                        <w:p>
                          <w:pPr>
                            <w:widowControl w:val="0"/>
                            <w:suppressAutoHyphens/>
                            <w:ind w:firstLine="720"/>
                            <w:jc w:val="both"/>
                            <w:rPr>
                              <w:color w:val="000000"/>
                              <w:szCs w:val="24"/>
                            </w:rPr>
                          </w:pPr>
                          <w:sdt>
                            <w:sdtPr>
                              <w:alias w:val="Numeris"/>
                              <w:tag w:val="nr_51fcc548226647e9b9e1cd559badc729"/>
                              <w:lock w:val="sdtLocked"/>
                              <w:richText/>
                            </w:sdtPr>
                            <w:sdtContent>
                              <w:r>
                                <w:rPr>
                                  <w:color w:val="000000"/>
                                  <w:szCs w:val="24"/>
                                </w:rPr>
                                <w:t>2</w:t>
                              </w:r>
                            </w:sdtContent>
                          </w:sdt>
                          <w:r>
                            <w:rPr>
                              <w:color w:val="000000"/>
                              <w:szCs w:val="24"/>
                            </w:rPr>
                            <w:t>) netenka Lietuvos Respublikos pilietybės;</w:t>
                          </w:r>
                        </w:p>
                      </w:sdtContent>
                    </w:sdt>
                    <w:sdt>
                      <w:sdtPr>
                        <w:alias w:val="14 str. 7 d. 3 p."/>
                        <w:tag w:val="part_9d759202cfc8422d842dfc9a2e93e4af"/>
                        <w:lock w:val="sdtLocked"/>
                        <w:richText/>
                      </w:sdtPr>
                      <w:sdtContent>
                        <w:p>
                          <w:pPr>
                            <w:widowControl w:val="0"/>
                            <w:suppressAutoHyphens/>
                            <w:ind w:firstLine="720"/>
                            <w:jc w:val="both"/>
                            <w:rPr>
                              <w:szCs w:val="24"/>
                            </w:rPr>
                          </w:pPr>
                          <w:sdt>
                            <w:sdtPr>
                              <w:alias w:val="Numeris"/>
                              <w:tag w:val="nr_9d759202cfc8422d842dfc9a2e93e4af"/>
                              <w:lock w:val="sdtLocked"/>
                              <w:richText/>
                            </w:sdtPr>
                            <w:sdtContent>
                              <w:r>
                                <w:rPr>
                                  <w:szCs w:val="24"/>
                                </w:rPr>
                                <w:t>3</w:t>
                              </w:r>
                            </w:sdtContent>
                          </w:sdt>
                          <w:r>
                            <w:rPr>
                              <w:szCs w:val="24"/>
                            </w:rPr>
                            <w:t>) priimami į profesinę karo tarnybą;</w:t>
                          </w:r>
                        </w:p>
                      </w:sdtContent>
                    </w:sdt>
                    <w:sdt>
                      <w:sdtPr>
                        <w:alias w:val="14 str. 7 d. 4 p."/>
                        <w:tag w:val="part_f319b034400647f7907dfbe1ce2660a9"/>
                        <w:lock w:val="sdtLocked"/>
                        <w:richText/>
                      </w:sdtPr>
                      <w:sdtContent>
                        <w:p>
                          <w:pPr>
                            <w:widowControl w:val="0"/>
                            <w:suppressAutoHyphens/>
                            <w:ind w:firstLine="720"/>
                            <w:jc w:val="both"/>
                            <w:rPr>
                              <w:color w:val="000000"/>
                              <w:szCs w:val="24"/>
                            </w:rPr>
                          </w:pPr>
                          <w:sdt>
                            <w:sdtPr>
                              <w:alias w:val="Numeris"/>
                              <w:tag w:val="nr_f319b034400647f7907dfbe1ce2660a9"/>
                              <w:lock w:val="sdtLocked"/>
                              <w:richText/>
                            </w:sdt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a5cf48ec7651492a825c5b4854d930c2"/>
                        <w:lock w:val="sdtLocked"/>
                        <w:richText/>
                      </w:sdtPr>
                      <w:sdtContent>
                        <w:p>
                          <w:pPr>
                            <w:widowControl w:val="0"/>
                            <w:suppressAutoHyphens/>
                            <w:ind w:firstLine="720"/>
                            <w:jc w:val="both"/>
                            <w:rPr>
                              <w:color w:val="000000"/>
                              <w:szCs w:val="24"/>
                            </w:rPr>
                          </w:pPr>
                          <w:sdt>
                            <w:sdtPr>
                              <w:alias w:val="Numeris"/>
                              <w:tag w:val="nr_a5cf48ec7651492a825c5b4854d930c2"/>
                              <w:lock w:val="sdtLocked"/>
                              <w:richText/>
                            </w:sdtPr>
                            <w:sdtContent>
                              <w:r>
                                <w:rPr>
                                  <w:color w:val="000000"/>
                                  <w:szCs w:val="24"/>
                                </w:rPr>
                                <w:t>5</w:t>
                              </w:r>
                            </w:sdtContent>
                          </w:sdt>
                          <w:r>
                            <w:rPr>
                              <w:color w:val="000000"/>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8 d."/>
                    <w:tag w:val="part_ec0e38d8ae9e46098d828b3da030e382"/>
                    <w:lock w:val="sdtLocked"/>
                    <w:richText/>
                  </w:sdtPr>
                  <w:sdtContent>
                    <w:p>
                      <w:pPr>
                        <w:widowControl w:val="0"/>
                        <w:suppressAutoHyphens/>
                        <w:ind w:firstLine="720"/>
                        <w:jc w:val="both"/>
                        <w:rPr>
                          <w:color w:val="000000"/>
                          <w:szCs w:val="24"/>
                        </w:rPr>
                      </w:pPr>
                      <w:sdt>
                        <w:sdtPr>
                          <w:alias w:val="Numeris"/>
                          <w:tag w:val="nr_ec0e38d8ae9e46098d828b3da030e382"/>
                          <w:lock w:val="sdtLocked"/>
                          <w:richText/>
                        </w:sdtPr>
                        <w:sdtContent>
                          <w:r>
                            <w:rPr>
                              <w:color w:val="000000"/>
                              <w:szCs w:val="24"/>
                            </w:rPr>
                            <w:t>8</w:t>
                          </w:r>
                        </w:sdtContent>
                      </w:sdt>
                      <w:r>
                        <w:rPr>
                          <w:color w:val="000000"/>
                          <w:szCs w:val="24"/>
                        </w:rPr>
                        <w:t xml:space="preserve">. Šiame įstatyme ir kituose teisės aktuose, reglamentuojančiuose civilinio mobilizacinio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cb47b1a2f4f74e89afa6a8b50d50e105"/>
                        <w:lock w:val="sdtLocked"/>
                        <w:richText/>
                      </w:sdtPr>
                      <w:sdtContent>
                        <w:p>
                          <w:pPr>
                            <w:widowControl w:val="0"/>
                            <w:suppressAutoHyphens/>
                            <w:ind w:firstLine="720"/>
                            <w:jc w:val="both"/>
                            <w:rPr>
                              <w:color w:val="000000"/>
                              <w:szCs w:val="24"/>
                            </w:rPr>
                          </w:pPr>
                          <w:sdt>
                            <w:sdtPr>
                              <w:alias w:val="Numeris"/>
                              <w:tag w:val="nr_cb47b1a2f4f74e89afa6a8b50d50e105"/>
                              <w:lock w:val="sdtLocked"/>
                              <w:richText/>
                            </w:sdtPr>
                            <w:sdtContent>
                              <w:r>
                                <w:rPr>
                                  <w:color w:val="000000"/>
                                  <w:szCs w:val="24"/>
                                </w:rPr>
                                <w:t>1</w:t>
                              </w:r>
                            </w:sdtContent>
                          </w:sdt>
                          <w:r>
                            <w:rPr>
                              <w:color w:val="000000"/>
                              <w:szCs w:val="24"/>
                            </w:rPr>
                            <w:t>) vardas, pavardė;</w:t>
                          </w:r>
                        </w:p>
                      </w:sdtContent>
                    </w:sdt>
                    <w:sdt>
                      <w:sdtPr>
                        <w:alias w:val="14 str. 8 d. 2 p."/>
                        <w:tag w:val="part_3860e16b3bf24cd383225c5c90840277"/>
                        <w:lock w:val="sdtLocked"/>
                        <w:richText/>
                      </w:sdtPr>
                      <w:sdtContent>
                        <w:p>
                          <w:pPr>
                            <w:widowControl w:val="0"/>
                            <w:suppressAutoHyphens/>
                            <w:ind w:firstLine="720"/>
                            <w:jc w:val="both"/>
                            <w:rPr>
                              <w:color w:val="000000"/>
                              <w:szCs w:val="24"/>
                            </w:rPr>
                          </w:pPr>
                          <w:sdt>
                            <w:sdtPr>
                              <w:alias w:val="Numeris"/>
                              <w:tag w:val="nr_3860e16b3bf24cd383225c5c90840277"/>
                              <w:lock w:val="sdtLocked"/>
                              <w:richText/>
                            </w:sdtPr>
                            <w:sdtContent>
                              <w:r>
                                <w:rPr>
                                  <w:color w:val="000000"/>
                                  <w:szCs w:val="24"/>
                                </w:rPr>
                                <w:t>2</w:t>
                              </w:r>
                            </w:sdtContent>
                          </w:sdt>
                          <w:r>
                            <w:rPr>
                              <w:color w:val="000000"/>
                              <w:szCs w:val="24"/>
                            </w:rPr>
                            <w:t>) asmens kodas;</w:t>
                          </w:r>
                        </w:p>
                      </w:sdtContent>
                    </w:sdt>
                    <w:sdt>
                      <w:sdtPr>
                        <w:alias w:val="14 str. 8 d. 3 p."/>
                        <w:tag w:val="part_16ea504711ff4cdc93b034220a5fa855"/>
                        <w:lock w:val="sdtLocked"/>
                        <w:richText/>
                      </w:sdtPr>
                      <w:sdtContent>
                        <w:p>
                          <w:pPr>
                            <w:widowControl w:val="0"/>
                            <w:suppressAutoHyphens/>
                            <w:ind w:firstLine="720"/>
                            <w:jc w:val="both"/>
                            <w:rPr>
                              <w:color w:val="000000"/>
                              <w:szCs w:val="24"/>
                            </w:rPr>
                          </w:pPr>
                          <w:sdt>
                            <w:sdtPr>
                              <w:alias w:val="Numeris"/>
                              <w:tag w:val="nr_16ea504711ff4cdc93b034220a5fa855"/>
                              <w:lock w:val="sdtLocked"/>
                              <w:richText/>
                            </w:sdtPr>
                            <w:sdtContent>
                              <w:r>
                                <w:rPr>
                                  <w:color w:val="000000"/>
                                  <w:szCs w:val="24"/>
                                </w:rPr>
                                <w:t>3</w:t>
                              </w:r>
                            </w:sdtContent>
                          </w:sdt>
                          <w:r>
                            <w:rPr>
                              <w:color w:val="000000"/>
                              <w:szCs w:val="24"/>
                            </w:rPr>
                            <w:t>) darbovietė ir einamos pareigos;</w:t>
                          </w:r>
                        </w:p>
                      </w:sdtContent>
                    </w:sdt>
                    <w:sdt>
                      <w:sdtPr>
                        <w:alias w:val="14 str. 8 d. 4 p."/>
                        <w:tag w:val="part_1afac273b03a419bb0a49491151067f7"/>
                        <w:lock w:val="sdtLocked"/>
                        <w:richText/>
                      </w:sdtPr>
                      <w:sdtContent>
                        <w:p>
                          <w:pPr>
                            <w:widowControl w:val="0"/>
                            <w:suppressAutoHyphens/>
                            <w:ind w:firstLine="720"/>
                            <w:jc w:val="both"/>
                            <w:rPr>
                              <w:color w:val="000000"/>
                              <w:szCs w:val="24"/>
                            </w:rPr>
                          </w:pPr>
                          <w:sdt>
                            <w:sdtPr>
                              <w:alias w:val="Numeris"/>
                              <w:tag w:val="nr_1afac273b03a419bb0a49491151067f7"/>
                              <w:lock w:val="sdtLocked"/>
                              <w:richText/>
                            </w:sdtPr>
                            <w:sdtContent>
                              <w:r>
                                <w:rPr>
                                  <w:color w:val="000000"/>
                                  <w:szCs w:val="24"/>
                                </w:rPr>
                                <w:t>4</w:t>
                              </w:r>
                            </w:sdtContent>
                          </w:sdt>
                          <w:r>
                            <w:rPr>
                              <w:color w:val="000000"/>
                              <w:szCs w:val="24"/>
                            </w:rPr>
                            <w:t>) kontaktinis telefono numeris;</w:t>
                          </w:r>
                        </w:p>
                      </w:sdtContent>
                    </w:sdt>
                    <w:sdt>
                      <w:sdtPr>
                        <w:alias w:val="14 str. 8 d. 5 p."/>
                        <w:tag w:val="part_c76de4e848a847eebbcfb33b3b3795b9"/>
                        <w:lock w:val="sdtLocked"/>
                        <w:richText/>
                      </w:sdtPr>
                      <w:sdtContent>
                        <w:p>
                          <w:pPr>
                            <w:widowControl w:val="0"/>
                            <w:suppressAutoHyphens/>
                            <w:ind w:firstLine="720"/>
                            <w:jc w:val="both"/>
                            <w:rPr>
                              <w:color w:val="000000"/>
                              <w:szCs w:val="24"/>
                            </w:rPr>
                          </w:pPr>
                          <w:sdt>
                            <w:sdtPr>
                              <w:alias w:val="Numeris"/>
                              <w:tag w:val="nr_c76de4e848a847eebbcfb33b3b3795b9"/>
                              <w:lock w:val="sdtLocked"/>
                              <w:richText/>
                            </w:sdtPr>
                            <w:sdtContent>
                              <w:r>
                                <w:rPr>
                                  <w:color w:val="000000"/>
                                  <w:szCs w:val="24"/>
                                </w:rPr>
                                <w:t>5</w:t>
                              </w:r>
                            </w:sdtContent>
                          </w:sdt>
                          <w:r>
                            <w:rPr>
                              <w:color w:val="000000"/>
                              <w:szCs w:val="24"/>
                            </w:rPr>
                            <w:t>) faktinės ir deklaruotos gyvenamosios vietos adresas.</w:t>
                          </w:r>
                        </w:p>
                      </w:sdtContent>
                    </w:sdt>
                  </w:sdtContent>
                </w:sdt>
                <w:sdt>
                  <w:sdtPr>
                    <w:alias w:val="14 str. 9 d."/>
                    <w:tag w:val="part_41e101b5b1b14c87bbb02a5548025bbc"/>
                    <w:lock w:val="sdtLocked"/>
                    <w:richText/>
                  </w:sdtPr>
                  <w:sdtContent>
                    <w:p>
                      <w:pPr>
                        <w:ind w:firstLine="720"/>
                        <w:jc w:val="both"/>
                        <w:rPr>
                          <w:strike/>
                          <w:color w:val="000000"/>
                          <w:szCs w:val="24"/>
                        </w:rPr>
                      </w:pPr>
                      <w:sdt>
                        <w:sdtPr>
                          <w:alias w:val="Numeris"/>
                          <w:tag w:val="nr_41e101b5b1b14c87bbb02a5548025bbc"/>
                          <w:lock w:val="sdtLocked"/>
                          <w:richText/>
                        </w:sdt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 xml:space="preserve">ir jų asmens duomenis pasirengimo mobilizacijai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tvarkytoja, o Krašto apsaugos ministerija yra šių duomenų valdytoja.</w:t>
                      </w:r>
                    </w:p>
                  </w:sdtContent>
                </w:sdt>
                <w:sdt>
                  <w:sdtPr>
                    <w:alias w:val="14 str. 10 d."/>
                    <w:tag w:val="part_140a64d5dcb5410aa8b85a123a45d33d"/>
                    <w:lock w:val="sdtLocked"/>
                    <w:richText/>
                  </w:sdtPr>
                  <w:sdtContent>
                    <w:p>
                      <w:pPr>
                        <w:ind w:firstLine="720"/>
                        <w:jc w:val="both"/>
                        <w:rPr>
                          <w:szCs w:val="24"/>
                          <w:lang w:eastAsia="lt-LT"/>
                        </w:rPr>
                      </w:pPr>
                      <w:sdt>
                        <w:sdtPr>
                          <w:alias w:val="Numeris"/>
                          <w:tag w:val="nr_140a64d5dcb5410aa8b85a123a45d33d"/>
                          <w:lock w:val="sdtLocked"/>
                          <w:richText/>
                        </w:sdt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ca606c36a5104bb6bff8b5d94dc31808"/>
                    <w:lock w:val="sdtLocked"/>
                    <w:richText/>
                  </w:sdtPr>
                  <w:sdtContent>
                    <w:p>
                      <w:pPr>
                        <w:widowControl w:val="0"/>
                        <w:suppressAutoHyphens/>
                        <w:ind w:firstLine="720"/>
                        <w:jc w:val="both"/>
                        <w:rPr>
                          <w:szCs w:val="24"/>
                        </w:rPr>
                      </w:pPr>
                      <w:sdt>
                        <w:sdtPr>
                          <w:alias w:val="Numeris"/>
                          <w:tag w:val="nr_ca606c36a5104bb6bff8b5d94dc31808"/>
                          <w:lock w:val="sdtLocked"/>
                          <w:richText/>
                        </w:sdt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dalyse nurodytų asmenų asmens duomenis šio straipsnio 9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ir 30 straipsnio 1 dalyje nurodyta informacija duomenų subjektams neteikiama, duomenų subjekto teisė susipažinti su savo asmens duomenimis, teisė reikalauti ištaisyti, ištrinti asmens duomenis ar apriboti jų tvarkymą visiškai apribojama paskelbus mobilizaciją, iki bus paskelbta demobilizacija</w:t>
                      </w:r>
                      <w:r>
                        <w:rPr>
                          <w:bCs/>
                          <w:szCs w:val="24"/>
                          <w:lang w:eastAsia="lt-LT"/>
                        </w:rPr>
                        <w:t>.</w:t>
                      </w:r>
                    </w:p>
                    <w:p>
                      <w:pPr>
                        <w:widowControl w:val="0"/>
                        <w:suppressAutoHyphens/>
                        <w:ind w:firstLine="720"/>
                        <w:jc w:val="both"/>
                        <w:rPr>
                          <w:color w:val="000000"/>
                          <w:szCs w:val="24"/>
                        </w:rPr>
                      </w:pPr>
                    </w:p>
                  </w:sdtContent>
                </w:sdt>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c4341c413c54ab8ba20c35021d3a326"/>
                    <w:lock w:val="sdtLocked"/>
                    <w:richText/>
                  </w:sdtPr>
                  <w:sdtContent>
                    <w:p>
                      <w:pPr>
                        <w:widowControl w:val="0"/>
                        <w:suppressAutoHyphens/>
                        <w:ind w:firstLine="720"/>
                        <w:jc w:val="both"/>
                        <w:rPr>
                          <w:color w:val="000000"/>
                          <w:szCs w:val="24"/>
                        </w:rPr>
                      </w:pPr>
                      <w:sdt>
                        <w:sdtPr>
                          <w:alias w:val="Numeris"/>
                          <w:tag w:val="nr_dc4341c413c54ab8ba20c35021d3a326"/>
                          <w:lock w:val="sdtLocked"/>
                          <w:richText/>
                        </w:sdtPr>
                        <w:sdtContent>
                          <w:r>
                            <w:rPr>
                              <w:color w:val="000000"/>
                              <w:szCs w:val="24"/>
                            </w:rPr>
                            <w:t>1</w:t>
                          </w:r>
                        </w:sdtContent>
                      </w:sdt>
                      <w:r>
                        <w:rPr>
                          <w:color w:val="000000"/>
                          <w:szCs w:val="24"/>
                        </w:rPr>
                        <w:t>. Mobilizacinio užsakymo ir (ar) priimančiosios šalies paramos teikimo sutartis Lietuvos Respublikos civilinio kodekso ir viešuosius pirkimus reglamentuojančių teisės aktų nustatyta tvarka sudaro Lietuvos kariuomenės, civilinės mobilizacijos institucijos ar jos vadovo įgalioto civilinei mobilizacijos institucijai pavaldaus subjekto ir ūkio subjekto vadovai arba jų įgalioti asmenys.</w:t>
                      </w:r>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8 str."/>
                <w:tag w:val="part_41b94cecd6be46b79d0c48584983f117"/>
                <w:lock w:val="sdtLocked"/>
                <w:richText/>
              </w:sdtPr>
              <w:sdtContent>
                <w:p>
                  <w:pPr>
                    <w:ind w:firstLine="720"/>
                    <w:jc w:val="both"/>
                    <w:rPr>
                      <w:b/>
                      <w:strike/>
                      <w:szCs w:val="24"/>
                    </w:rPr>
                  </w:pPr>
                  <w:sdt>
                    <w:sdtPr>
                      <w:alias w:val="Numeris"/>
                      <w:tag w:val="nr_41b94cecd6be46b79d0c48584983f117"/>
                      <w:lock w:val="sdtLocked"/>
                      <w:richText/>
                    </w:sdtPr>
                    <w:sdtContent>
                      <w:r>
                        <w:rPr>
                          <w:b/>
                          <w:bCs/>
                          <w:szCs w:val="24"/>
                        </w:rPr>
                        <w:t>18</w:t>
                      </w:r>
                    </w:sdtContent>
                  </w:sdt>
                  <w:r>
                    <w:rPr>
                      <w:b/>
                      <w:bCs/>
                      <w:szCs w:val="24"/>
                    </w:rPr>
                    <w:t xml:space="preserve"> straipsnis. </w:t>
                  </w:r>
                  <w:sdt>
                    <w:sdtPr>
                      <w:alias w:val="Pavadinimas"/>
                      <w:tag w:val="title_41b94cecd6be46b79d0c48584983f117"/>
                      <w:lock w:val="sdtLocked"/>
                      <w:richText/>
                    </w:sdtPr>
                    <w:sdtContent>
                      <w:r>
                        <w:rPr>
                          <w:rFonts w:eastAsia="Calibri"/>
                          <w:b/>
                          <w:bCs/>
                          <w:szCs w:val="24"/>
                        </w:rPr>
                        <w:t>Mobilizaciniai, priimančiosios šalies paramos ir kiti mokymai</w:t>
                      </w:r>
                    </w:sdtContent>
                  </w:sdt>
                </w:p>
                <w:sdt>
                  <w:sdtPr>
                    <w:alias w:val="18 str. 1 d."/>
                    <w:tag w:val="part_4f00be39ca38466d9037e88e816c01ec"/>
                    <w:lock w:val="sdtLocked"/>
                    <w:richText/>
                  </w:sdtPr>
                  <w:sdtContent>
                    <w:p>
                      <w:pPr>
                        <w:ind w:firstLine="720"/>
                        <w:jc w:val="both"/>
                        <w:textAlignment w:val="baseline"/>
                        <w:rPr>
                          <w:szCs w:val="24"/>
                        </w:rPr>
                      </w:pPr>
                      <w:sdt>
                        <w:sdtPr>
                          <w:alias w:val="Numeris"/>
                          <w:tag w:val="nr_4f00be39ca38466d9037e88e816c01ec"/>
                          <w:lock w:val="sdtLocked"/>
                          <w:richText/>
                        </w:sdtPr>
                        <w:sdtContent>
                          <w:r>
                            <w:rPr>
                              <w:rFonts w:eastAsia="Calibri"/>
                              <w:szCs w:val="24"/>
                            </w:rPr>
                            <w:t>1</w:t>
                          </w:r>
                        </w:sdtContent>
                      </w:sdt>
                      <w:r>
                        <w:rPr>
                          <w:rFonts w:eastAsia="Calibri"/>
                          <w:szCs w:val="24"/>
                        </w:rPr>
                        <w:t>. Mobilizacinių ir priimančiosios šalies paramos mokymų į civilinio mobilizacinio personalo rezervą įrašytiems asmenims organizavimo, planavimo ir vykdymo tvarką nustato, mokymų programas ir mokymų planus tvirtina Institucijos, dalyvaujančios formuojant mobilizacijos politiką, vadovas.</w:t>
                      </w:r>
                    </w:p>
                  </w:sdtContent>
                </w:sdt>
                <w:sdt>
                  <w:sdtPr>
                    <w:alias w:val="18 str. 2 d."/>
                    <w:tag w:val="part_92d8708da6e8404e97bc99daf3a5a5e7"/>
                    <w:lock w:val="sdtLocked"/>
                    <w:richText/>
                  </w:sdtPr>
                  <w:sdtContent>
                    <w:p>
                      <w:pPr>
                        <w:widowControl w:val="0"/>
                        <w:suppressAutoHyphens/>
                        <w:ind w:firstLine="720"/>
                        <w:jc w:val="both"/>
                        <w:rPr>
                          <w:strike/>
                          <w:szCs w:val="24"/>
                        </w:rPr>
                      </w:pPr>
                      <w:sdt>
                        <w:sdtPr>
                          <w:alias w:val="Numeris"/>
                          <w:tag w:val="nr_92d8708da6e8404e97bc99daf3a5a5e7"/>
                          <w:lock w:val="sdtLocked"/>
                          <w:richText/>
                        </w:sdtPr>
                        <w:sdtContent>
                          <w:r>
                            <w:rPr>
                              <w:szCs w:val="24"/>
                            </w:rPr>
                            <w:t>2</w:t>
                          </w:r>
                        </w:sdtContent>
                      </w:sdt>
                      <w:r>
                        <w:rPr>
                          <w:szCs w:val="24"/>
                        </w:rPr>
                        <w:t xml:space="preserve">. Mobilizacinius ir priimančiosios šalies paramos mokymus į civilinio mobilizacinio personalo rezervą įrašytiems asmenims organizuoja ir vykdo Institucija, dalyvaujanti formuojant mobilizacijos politiką. </w:t>
                      </w:r>
                    </w:p>
                  </w:sdtContent>
                </w:sdt>
                <w:sdt>
                  <w:sdtPr>
                    <w:alias w:val="18 str. 3 d."/>
                    <w:tag w:val="part_be6cba620a7d4c2683d1e5eb9071124d"/>
                    <w:lock w:val="sdtLocked"/>
                    <w:richText/>
                  </w:sdtPr>
                  <w:sdtContent>
                    <w:p>
                      <w:pPr>
                        <w:widowControl w:val="0"/>
                        <w:suppressAutoHyphens/>
                        <w:ind w:firstLine="720"/>
                        <w:jc w:val="both"/>
                        <w:rPr>
                          <w:strike/>
                          <w:szCs w:val="24"/>
                        </w:rPr>
                      </w:pPr>
                      <w:sdt>
                        <w:sdtPr>
                          <w:alias w:val="Numeris"/>
                          <w:tag w:val="nr_be6cba620a7d4c2683d1e5eb9071124d"/>
                          <w:lock w:val="sdtLocked"/>
                          <w:richText/>
                        </w:sdtPr>
                        <w:sdtContent>
                          <w:r>
                            <w:rPr>
                              <w:szCs w:val="24"/>
                            </w:rPr>
                            <w:t>3</w:t>
                          </w:r>
                        </w:sdtContent>
                      </w:sdt>
                      <w:r>
                        <w:rPr>
                          <w:szCs w:val="24"/>
                        </w:rPr>
                        <w:t xml:space="preserve">. Priimančiosios šalies paramos mokymų, kuriuose dalyvauja profesinės karo tarnybos kariai, kariai savanoriai ir kiti savanoriškos nenuolatinės karo tarnybos kariai bei tarnybą rezerve atliekantys kariai kartu su į civilinio mobilizacinio personalo rezervą įrašytais asmenimis, organizavimo, planavimo ir vykdymo tvarką nustato krašto apsaugos ministras. Priimančiosios šalies paramos mokymus šioje dalyje nurodytiems asmenims organizuoja ir vykdo Lietuvos kariuomenė kartu su Institucija, dalyvaujančia formuojant mobilizacijos politiką. </w:t>
                      </w:r>
                    </w:p>
                  </w:sdtContent>
                </w:sdt>
                <w:sdt>
                  <w:sdtPr>
                    <w:alias w:val="18 str. 4 d."/>
                    <w:tag w:val="part_1f9ff54f17dd4ef7b504b6327b00132a"/>
                    <w:lock w:val="sdtLocked"/>
                    <w:richText/>
                  </w:sdtPr>
                  <w:sdtContent>
                    <w:p>
                      <w:pPr>
                        <w:widowControl w:val="0"/>
                        <w:suppressAutoHyphens/>
                        <w:ind w:firstLine="720"/>
                        <w:jc w:val="both"/>
                        <w:rPr>
                          <w:szCs w:val="24"/>
                        </w:rPr>
                      </w:pPr>
                      <w:sdt>
                        <w:sdtPr>
                          <w:alias w:val="Numeris"/>
                          <w:tag w:val="nr_1f9ff54f17dd4ef7b504b6327b00132a"/>
                          <w:lock w:val="sdtLocked"/>
                          <w:richText/>
                        </w:sdtPr>
                        <w:sdtContent>
                          <w:r>
                            <w:rPr>
                              <w:szCs w:val="24"/>
                            </w:rPr>
                            <w:t>4</w:t>
                          </w:r>
                        </w:sdtContent>
                      </w:sdt>
                      <w:r>
                        <w:rPr>
                          <w:szCs w:val="24"/>
                        </w:rPr>
                        <w:t>. Priimančiosios šalies paramos mokymų profesinės karo tarnybos, savanoriškos nenuolatinės karo tarnybos kariams ir tarnybą rezerve atliekantiems kariams organizavimo, planavimo ir vykdymo tvarką nustato, mokymų programas ir mokymų planus tvirtina Lietuvos kariuomenės vadas. Priimančiosios šalies paramos mokymus šioje dalyje nurodytiems asmenims organizuoja ir vykdo Lietuvos kariuomenė.</w:t>
                      </w:r>
                    </w:p>
                  </w:sdtContent>
                </w:sdt>
                <w:sdt>
                  <w:sdtPr>
                    <w:alias w:val="18 str. 5 d."/>
                    <w:tag w:val="part_8e82ea135f20432183796fd8405c161f"/>
                    <w:lock w:val="sdtLocked"/>
                    <w:richText/>
                  </w:sdtPr>
                  <w:sdtContent>
                    <w:p>
                      <w:pPr>
                        <w:ind w:firstLine="720"/>
                        <w:jc w:val="both"/>
                        <w:rPr>
                          <w:rFonts w:eastAsia="Calibri"/>
                          <w:szCs w:val="24"/>
                        </w:rPr>
                      </w:pPr>
                      <w:sdt>
                        <w:sdtPr>
                          <w:alias w:val="Numeris"/>
                          <w:tag w:val="nr_8e82ea135f20432183796fd8405c161f"/>
                          <w:lock w:val="sdtLocked"/>
                          <w:richText/>
                        </w:sdtPr>
                        <w:sdtContent>
                          <w:r>
                            <w:rPr>
                              <w:szCs w:val="24"/>
                            </w:rPr>
                            <w:t>5</w:t>
                          </w:r>
                        </w:sdtContent>
                      </w:sdt>
                      <w:r>
                        <w:rPr>
                          <w:szCs w:val="24"/>
                        </w:rPr>
                        <w:t xml:space="preserve">. </w:t>
                      </w:r>
                      <w:r>
                        <w:rPr>
                          <w:szCs w:val="24"/>
                          <w:lang w:eastAsia="lt-LT"/>
                        </w:rPr>
                        <w:t xml:space="preserve">Siekiant </w:t>
                      </w:r>
                      <w:r>
                        <w:rPr>
                          <w:rFonts w:eastAsia="Calibri"/>
                          <w:szCs w:val="24"/>
                          <w:shd w:val="clear" w:color="auto" w:fill="FFFFFF"/>
                        </w:rPr>
                        <w:t xml:space="preserve">suteikti bazinių žinių apie mobilizacijos teisinį režimą, pasirengimą mobilizacijai ir karo padėčiai, mobilizacijos sistemos veikimo ir priimančiosios šalies paramos teikimo principus ir pilietinį pasipriešinimą, </w:t>
                      </w:r>
                      <w:r>
                        <w:rPr>
                          <w:szCs w:val="24"/>
                          <w:lang w:eastAsia="lt-LT"/>
                        </w:rPr>
                        <w:t xml:space="preserve">į civilinio mobilizacinio personalo rezervą įrašyti asmenys, valstybės tarnautojai, biudžetinių įstaigų darbuotojai, dirbantys pagal darbo sutartį, </w:t>
                      </w:r>
                      <w:r>
                        <w:rPr>
                          <w:bCs/>
                          <w:szCs w:val="24"/>
                        </w:rPr>
                        <w:t xml:space="preserve">valstybės, </w:t>
                      </w:r>
                      <w:r>
                        <w:rPr>
                          <w:bCs/>
                          <w:szCs w:val="24"/>
                          <w:lang w:eastAsia="lt-LT"/>
                        </w:rPr>
                        <w:t xml:space="preserve">vidaus tarnybos sistemos ir Lietuvos Respublikos vadovybės apsaugos tarnybos </w:t>
                      </w:r>
                      <w:r>
                        <w:rPr>
                          <w:szCs w:val="24"/>
                          <w:lang w:eastAsia="lt-LT"/>
                        </w:rPr>
                        <w:t xml:space="preserve">pareigūnai per metus nuo jų priėmimo į pareigas dienos privalo išklausyti mobilizacijos ir pilietinio pasipriešinimo mokymus, jeigu nėra jų išklausę anksčiau. </w:t>
                      </w:r>
                      <w:r>
                        <w:rPr>
                          <w:rFonts w:eastAsia="Calibri"/>
                          <w:szCs w:val="24"/>
                        </w:rPr>
                        <w:t xml:space="preserve">Šiuos mokymus </w:t>
                      </w:r>
                      <w:r>
                        <w:rPr>
                          <w:szCs w:val="24"/>
                          <w:lang w:eastAsia="lt-LT"/>
                        </w:rPr>
                        <w:t>organizuoja ir vykdo Institucija, dalyvaujanti formuojant mobilizacijos politiką, o jų</w:t>
                      </w:r>
                      <w:r>
                        <w:rPr>
                          <w:rFonts w:eastAsia="Calibri"/>
                          <w:szCs w:val="24"/>
                        </w:rPr>
                        <w:t xml:space="preserve"> organizavimo, planavimo ir vykdymo tvarką nustato, mokymų programą tvirtina Institucijos, dalyvaujančios formuojant mobilizacijos politiką, vadovas. </w:t>
                      </w:r>
                    </w:p>
                  </w:sdtContent>
                </w:sdt>
                <w:sdt>
                  <w:sdtPr>
                    <w:alias w:val="18 str. 6 d."/>
                    <w:tag w:val="part_793fa4089aa445d0b37a5fd6df7466f8"/>
                    <w:lock w:val="sdtLocked"/>
                    <w:richText/>
                  </w:sdtPr>
                  <w:sdtContent>
                    <w:p>
                      <w:pPr>
                        <w:widowControl w:val="0"/>
                        <w:suppressAutoHyphens/>
                        <w:ind w:firstLine="720"/>
                        <w:jc w:val="both"/>
                      </w:pPr>
                      <w:sdt>
                        <w:sdtPr>
                          <w:alias w:val="Numeris"/>
                          <w:tag w:val="nr_793fa4089aa445d0b37a5fd6df7466f8"/>
                          <w:lock w:val="sdtLocked"/>
                          <w:richText/>
                        </w:sdtPr>
                        <w:sdtContent>
                          <w:r>
                            <w:rPr>
                              <w:rFonts w:eastAsia="Calibri"/>
                              <w:szCs w:val="24"/>
                            </w:rPr>
                            <w:t>6</w:t>
                          </w:r>
                        </w:sdtContent>
                      </w:sdt>
                      <w:r>
                        <w:rPr>
                          <w:rFonts w:eastAsia="Calibri"/>
                          <w:szCs w:val="24"/>
                        </w:rPr>
                        <w:t xml:space="preserve">. </w:t>
                      </w:r>
                      <w:r>
                        <w:rPr>
                          <w:szCs w:val="24"/>
                        </w:rPr>
                        <w:t>Mobilizacijos sistemos subjektų ir kitų valstybės ir savivaldybių institucijų ir įstaigų vadovai užtikrina, kad jiems pavaldūs asmenys dalyvautų šiame straipsnyje nurodytuose mokymuose.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ecfac04a4711efbdaea558de59136c">
                    <w:r w:rsidRPr="00532B9F">
                      <w:rPr>
                        <w:rFonts w:ascii="Arial" w:eastAsia="MS Mincho" w:hAnsi="Arial"/>
                        <w:sz w:val="20"/>
                        <w:i/>
                        <w:iCs/>
                        <w:color w:val="0000FF" w:themeColor="hyperlink"/>
                        <w:u w:val="single"/>
                      </w:rPr>
                      <w:t>XIV-2947</w:t>
                    </w:r>
                  </w:fldSimple>
                  <w:r>
                    <w:rPr>
                      <w:rFonts w:ascii="Arial" w:eastAsia="MS Mincho" w:hAnsi="Arial"/>
                      <w:sz w:val="20"/>
                      <w:i/>
                      <w:iCs/>
                    </w:rPr>
                    <w:t>,
2024-07-18,
paskelbta TAR 2024-07-25, i. k. 2024-13612            </w:t>
                  </w:r>
                </w:p>
                <w:p/>
              </w:sdtContent>
            </w:sdt>
            <w:sdt>
              <w:sdtPr>
                <w:alias w:val="18-1 str."/>
                <w:tag w:val="part_c6681bd263c74422a3470ac357ed9b83"/>
                <w:lock w:val="sdtLocked"/>
                <w:richText/>
              </w:sdtPr>
              <w:sdtContent>
                <w:p>
                  <w:pPr>
                    <w:ind w:firstLine="720"/>
                    <w:jc w:val="both"/>
                    <w:textAlignment w:val="baseline"/>
                    <w:rPr>
                      <w:b/>
                      <w:szCs w:val="24"/>
                    </w:rPr>
                  </w:pPr>
                  <w:sdt>
                    <w:sdtPr>
                      <w:alias w:val="Numeris"/>
                      <w:tag w:val="nr_c6681bd263c74422a3470ac357ed9b83"/>
                      <w:lock w:val="sdtLocked"/>
                      <w:richText/>
                    </w:sdtPr>
                    <w:sdtContent>
                      <w:r>
                        <w:rPr>
                          <w:b/>
                          <w:szCs w:val="24"/>
                        </w:rPr>
                        <w:t>18</w:t>
                      </w:r>
                      <w:r>
                        <w:rPr>
                          <w:b/>
                          <w:szCs w:val="24"/>
                          <w:vertAlign w:val="superscript"/>
                        </w:rPr>
                        <w:t>1</w:t>
                      </w:r>
                    </w:sdtContent>
                  </w:sdt>
                  <w:r>
                    <w:rPr>
                      <w:b/>
                      <w:szCs w:val="24"/>
                    </w:rPr>
                    <w:t xml:space="preserve"> straipsnis. </w:t>
                  </w:r>
                  <w:sdt>
                    <w:sdtPr>
                      <w:alias w:val="Pavadinimas"/>
                      <w:tag w:val="title_c6681bd263c74422a3470ac357ed9b83"/>
                      <w:lock w:val="sdtLocked"/>
                      <w:richText/>
                    </w:sdtPr>
                    <w:sdtContent>
                      <w:r>
                        <w:rPr>
                          <w:b/>
                          <w:szCs w:val="24"/>
                        </w:rPr>
                        <w:t xml:space="preserve">Neginkluoto pilietinio pasipriešinimo mokymai </w:t>
                      </w:r>
                    </w:sdtContent>
                  </w:sdt>
                </w:p>
                <w:sdt>
                  <w:sdtPr>
                    <w:alias w:val="18-1 str. 1 d."/>
                    <w:tag w:val="part_c96117c096904da6a022a1335caad155"/>
                    <w:lock w:val="sdtLocked"/>
                    <w:richText/>
                  </w:sdtPr>
                  <w:sdtContent>
                    <w:p>
                      <w:pPr>
                        <w:tabs>
                          <w:tab w:val="left" w:pos="993"/>
                        </w:tabs>
                        <w:ind w:firstLine="720"/>
                        <w:jc w:val="both"/>
                        <w:textAlignment w:val="baseline"/>
                        <w:rPr>
                          <w:szCs w:val="24"/>
                        </w:rPr>
                      </w:pPr>
                      <w:sdt>
                        <w:sdtPr>
                          <w:alias w:val="Numeris"/>
                          <w:tag w:val="nr_c96117c096904da6a022a1335caad155"/>
                          <w:lock w:val="sdtLocked"/>
                          <w:richText/>
                        </w:sdtPr>
                        <w:sdtContent>
                          <w:r>
                            <w:rPr>
                              <w:szCs w:val="24"/>
                            </w:rPr>
                            <w:t>1</w:t>
                          </w:r>
                        </w:sdtContent>
                      </w:sdt>
                      <w:r>
                        <w:rPr>
                          <w:szCs w:val="24"/>
                        </w:rPr>
                        <w:t xml:space="preserve">. Siekdamos Lietuvos Respublikos piliečiams suteikti neginkluoto pilietinio pasipriešinimo žinių, mokyti įgytas žinias taikyti praktikoje ir užtikrinti asmenų pasirengimą neginkluotam pilietiniam pasipriešinimui, krašto apsaugos ministro įgaliotos institucijos organizuoja ir vykdo neginkluoto pilietinio pasipriešinimo mokymus Lietuvos Respublikos piliečiams. </w:t>
                      </w:r>
                    </w:p>
                  </w:sdtContent>
                </w:sdt>
                <w:sdt>
                  <w:sdtPr>
                    <w:alias w:val="18-1 str. 2 d."/>
                    <w:tag w:val="part_7d68451198134fcca84244e1b6a0a1d1"/>
                    <w:lock w:val="sdtLocked"/>
                    <w:richText/>
                  </w:sdtPr>
                  <w:sdtContent>
                    <w:p>
                      <w:pPr>
                        <w:tabs>
                          <w:tab w:val="left" w:pos="993"/>
                        </w:tabs>
                        <w:ind w:firstLine="720"/>
                        <w:jc w:val="both"/>
                        <w:textAlignment w:val="baseline"/>
                        <w:rPr>
                          <w:szCs w:val="24"/>
                        </w:rPr>
                      </w:pPr>
                      <w:sdt>
                        <w:sdtPr>
                          <w:alias w:val="Numeris"/>
                          <w:tag w:val="nr_7d68451198134fcca84244e1b6a0a1d1"/>
                          <w:lock w:val="sdtLocked"/>
                          <w:richText/>
                        </w:sdtPr>
                        <w:sdtContent>
                          <w:r>
                            <w:rPr>
                              <w:szCs w:val="24"/>
                            </w:rPr>
                            <w:t>2</w:t>
                          </w:r>
                        </w:sdtContent>
                      </w:sdt>
                      <w:r>
                        <w:rPr>
                          <w:szCs w:val="24"/>
                        </w:rPr>
                        <w:t xml:space="preserve">. Neginkluoto pilietinio pasipriešinimo mokymų Lietuvos Respublikos piliečiams organizavimo ir vykdymo tvarką bei jų turinio gaires nustato krašto apsaugos ministras. </w:t>
                      </w:r>
                    </w:p>
                  </w:sdtContent>
                </w:sdt>
                <w:sdt>
                  <w:sdtPr>
                    <w:alias w:val="18-1 str. 3 d."/>
                    <w:tag w:val="part_838043034ce546438c70fb2edbaf5572"/>
                    <w:lock w:val="sdtLocked"/>
                    <w:richText/>
                  </w:sdtPr>
                  <w:sdtContent>
                    <w:p>
                      <w:pPr>
                        <w:tabs>
                          <w:tab w:val="left" w:pos="993"/>
                        </w:tabs>
                        <w:ind w:firstLine="720"/>
                        <w:jc w:val="both"/>
                        <w:textAlignment w:val="baseline"/>
                        <w:rPr>
                          <w:szCs w:val="24"/>
                        </w:rPr>
                      </w:pPr>
                      <w:sdt>
                        <w:sdtPr>
                          <w:alias w:val="Numeris"/>
                          <w:tag w:val="nr_838043034ce546438c70fb2edbaf5572"/>
                          <w:lock w:val="sdtLocked"/>
                          <w:richText/>
                        </w:sdtPr>
                        <w:sdtContent>
                          <w:r>
                            <w:rPr>
                              <w:szCs w:val="24"/>
                            </w:rPr>
                            <w:t>3</w:t>
                          </w:r>
                        </w:sdtContent>
                      </w:sdt>
                      <w:r>
                        <w:rPr>
                          <w:szCs w:val="24"/>
                        </w:rPr>
                        <w:t>. Neginkluoto pilietinio pasipriešinimo mokymų programas tvirtina Institucijos, dalyvaujančios formuojant mobilizacijos politiką, vadovas.</w:t>
                      </w:r>
                    </w:p>
                  </w:sdtContent>
                </w:sdt>
                <w:sdt>
                  <w:sdtPr>
                    <w:alias w:val="18-1 str. 4 d."/>
                    <w:tag w:val="part_5ecd97deffee4d4c9549e008bf3c72a6"/>
                    <w:lock w:val="sdtLocked"/>
                    <w:richText/>
                  </w:sdtPr>
                  <w:sdtContent>
                    <w:p>
                      <w:pPr>
                        <w:tabs>
                          <w:tab w:val="left" w:pos="993"/>
                        </w:tabs>
                        <w:ind w:firstLine="720"/>
                        <w:jc w:val="both"/>
                        <w:textAlignment w:val="baseline"/>
                      </w:pPr>
                      <w:sdt>
                        <w:sdtPr>
                          <w:alias w:val="Numeris"/>
                          <w:tag w:val="nr_5ecd97deffee4d4c9549e008bf3c72a6"/>
                          <w:lock w:val="sdtLocked"/>
                          <w:richText/>
                        </w:sdtPr>
                        <w:sdtContent>
                          <w:r>
                            <w:rPr>
                              <w:szCs w:val="24"/>
                            </w:rPr>
                            <w:t>4</w:t>
                          </w:r>
                        </w:sdtContent>
                      </w:sdt>
                      <w:r>
                        <w:rPr>
                          <w:szCs w:val="24"/>
                        </w:rPr>
                        <w:t>. Neginkluoto pilietinio pasipriešinimo mokymus organizuojančios ir vykdančios institucijos turi teisę pasitelkti kitas krašto apsaugos sistemos ir valstybės ir (ar) savivaldybių institucijas ir (ar) įstaigas, bendradarbiauti su nevyriausybinėmis organizacijomis ir asociacijomis.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ecfac04a4711efbdaea558de59136c">
                    <w:r w:rsidRPr="00532B9F">
                      <w:rPr>
                        <w:rFonts w:ascii="Arial" w:eastAsia="MS Mincho" w:hAnsi="Arial"/>
                        <w:sz w:val="20"/>
                        <w:i/>
                        <w:iCs/>
                        <w:color w:val="0000FF" w:themeColor="hyperlink"/>
                        <w:u w:val="single"/>
                      </w:rPr>
                      <w:t>XIV-2947</w:t>
                    </w:r>
                  </w:fldSimple>
                  <w:r>
                    <w:rPr>
                      <w:rFonts w:ascii="Arial" w:eastAsia="MS Mincho" w:hAnsi="Arial"/>
                      <w:sz w:val="20"/>
                      <w:i/>
                      <w:iCs/>
                    </w:rPr>
                    <w:t>,
2024-07-18,
paskelbta TAR 2024-07-25, i. k. 2024-13612        </w:t>
                  </w:r>
                </w:p>
                <w:p/>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68a15f17a01b4a5b8f9c5b46204e6028"/>
                    <w:lock w:val="sdtLocked"/>
                    <w:richText/>
                  </w:sdtPr>
                  <w:sdtContent>
                    <w:p>
                      <w:pPr>
                        <w:widowControl w:val="0"/>
                        <w:suppressAutoHyphens/>
                        <w:ind w:firstLine="720"/>
                        <w:jc w:val="both"/>
                        <w:rPr>
                          <w:color w:val="000000"/>
                          <w:szCs w:val="24"/>
                        </w:rPr>
                      </w:pPr>
                      <w:sdt>
                        <w:sdtPr>
                          <w:alias w:val="Numeris"/>
                          <w:tag w:val="nr_68a15f17a01b4a5b8f9c5b46204e6028"/>
                          <w:lock w:val="sdtLocked"/>
                          <w:richText/>
                        </w:sdtPr>
                        <w:sdtContent>
                          <w:r>
                            <w:rPr>
                              <w:color w:val="000000"/>
                              <w:szCs w:val="24"/>
                            </w:rPr>
                            <w:t>2</w:t>
                          </w:r>
                        </w:sdtContent>
                      </w:sdt>
                      <w:r>
                        <w:rPr>
                          <w:color w:val="000000"/>
                          <w:szCs w:val="24"/>
                        </w:rPr>
                        <w:t xml:space="preserve">. Paskelbus visuotinę mobilizaciją, </w:t>
                      </w:r>
                      <w:r>
                        <w:rPr>
                          <w:szCs w:val="24"/>
                        </w:rPr>
                        <w:t>mobilizacijos sistemos subjektai, išskyrus 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e4c1a6acf1d34b52a51561b633171d3a"/>
                        <w:lock w:val="sdtLocked"/>
                        <w:richText/>
                      </w:sdtPr>
                      <w:sdtContent>
                        <w:p>
                          <w:pPr>
                            <w:ind w:firstLine="720"/>
                            <w:jc w:val="both"/>
                            <w:rPr>
                              <w:color w:val="000000"/>
                              <w:szCs w:val="24"/>
                            </w:rPr>
                          </w:pPr>
                          <w:r>
                            <w:rPr>
                              <w:szCs w:val="24"/>
                            </w:rPr>
                            <w:t>4) sustabdomas atleidimas iš profesinės karo tarnybos, savanoriškos nenuolatinės karo tarnybos, tarnybos rezerve, išskyrus Karo prievolės įstatyme nustatytus paleidimo iš tarnybos paskelbus mobilizaciją atvejus;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16026e0337811efbdaea558de59136c">
                            <w:r w:rsidRPr="00532B9F">
                              <w:rPr>
                                <w:rFonts w:ascii="Arial" w:eastAsia="MS Mincho" w:hAnsi="Arial"/>
                                <w:sz w:val="20"/>
                                <w:i/>
                                <w:iCs/>
                                <w:color w:val="0000FF" w:themeColor="hyperlink"/>
                                <w:u w:val="single"/>
                              </w:rPr>
                              <w:t>XIV-2731</w:t>
                            </w:r>
                          </w:fldSimple>
                          <w:r>
                            <w:rPr>
                              <w:rFonts w:ascii="Arial" w:eastAsia="MS Mincho" w:hAnsi="Arial"/>
                              <w:sz w:val="20"/>
                              <w:i/>
                              <w:iCs/>
                            </w:rPr>
                            <w:t>,
2024-06-13,
paskelbta TAR 2024-06-26, i. k. 2024-11568            </w:t>
                          </w:r>
                        </w:p>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5ef0bfc29fdb4ef3aeab85877d3765be"/>
                    <w:lock w:val="sdtLocked"/>
                    <w:richText/>
                  </w:sdtPr>
                  <w:sdtContent>
                    <w:p>
                      <w:pPr>
                        <w:ind w:firstLine="720"/>
                        <w:jc w:val="both"/>
                        <w:textAlignment w:val="baseline"/>
                        <w:rPr>
                          <w:color w:val="000000"/>
                          <w:szCs w:val="24"/>
                        </w:rPr>
                      </w:pPr>
                      <w:sdt>
                        <w:sdtPr>
                          <w:alias w:val="Numeris"/>
                          <w:tag w:val="nr_5ef0bfc29fdb4ef3aeab85877d3765be"/>
                          <w:lock w:val="sdtLocked"/>
                          <w:richText/>
                        </w:sdtPr>
                        <w:sdtContent>
                          <w:r>
                            <w:rPr>
                              <w:szCs w:val="24"/>
                            </w:rPr>
                            <w:t>3</w:t>
                          </w:r>
                        </w:sdtContent>
                      </w:sdt>
                      <w:r>
                        <w:rPr>
                          <w:szCs w:val="24"/>
                        </w:rPr>
                        <w:t xml:space="preserve">. Mobilizacijos sistemos finansavimo šaltinių lėšų apskaita tvarkoma vadovaujantis </w:t>
                      </w:r>
                      <w:r>
                        <w:rPr>
                          <w:bCs/>
                          <w:szCs w:val="24"/>
                        </w:rPr>
                        <w:t>Lietuvos Respublikos finansinės apskaitos įstatymu</w:t>
                      </w:r>
                      <w:r>
                        <w:rPr>
                          <w:szCs w:val="24"/>
                        </w:rPr>
                        <w:t xml:space="preserve">, Biudžeto sandaros įstatymu, Lietuvos Respublikos valstybės iždo įstatymu ir kitais finansavimo šaltinių lėšų apskaitą reglamentuojančiais teisės aktais.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ecfac04a4711efbdaea558de59136c">
                        <w:r w:rsidRPr="00532B9F">
                          <w:rPr>
                            <w:rFonts w:ascii="Arial" w:eastAsia="MS Mincho" w:hAnsi="Arial"/>
                            <w:sz w:val="20"/>
                            <w:i/>
                            <w:iCs/>
                            <w:color w:val="0000FF" w:themeColor="hyperlink"/>
                            <w:u w:val="single"/>
                          </w:rPr>
                          <w:t>XIV-2947</w:t>
                        </w:r>
                      </w:fldSimple>
                      <w:r>
                        <w:rPr>
                          <w:rFonts w:ascii="Arial" w:eastAsia="MS Mincho" w:hAnsi="Arial"/>
                          <w:sz w:val="20"/>
                          <w:i/>
                          <w:iCs/>
                        </w:rPr>
                        <w:t>,
2024-07-18,
paskelbta TAR 2024-07-25, i. k. 2024-13612            </w:t>
                      </w:r>
                    </w:p>
                    <w:p/>
                  </w:sdtContent>
                </w:sdt>
                <w:sdt>
                  <w:sdtPr>
                    <w:alias w:val="26 str. 4 d."/>
                    <w:tag w:val="part_122dd08a2f5949478e32fccdca967153"/>
                    <w:lock w:val="sdtLocked"/>
                    <w:richText/>
                  </w:sdtPr>
                  <w:sdtContent>
                    <w:p>
                      <w:pPr>
                        <w:widowControl w:val="0"/>
                        <w:suppressAutoHyphens/>
                        <w:ind w:firstLine="720"/>
                        <w:jc w:val="both"/>
                      </w:pPr>
                      <w:sdt>
                        <w:sdtPr>
                          <w:alias w:val="Numeris"/>
                          <w:tag w:val="nr_122dd08a2f5949478e32fccdca967153"/>
                          <w:lock w:val="sdtLocked"/>
                          <w:richText/>
                        </w:sdtPr>
                        <w:sdtContent>
                          <w:r>
                            <w:rPr>
                              <w:szCs w:val="24"/>
                            </w:rPr>
                            <w:t>4</w:t>
                          </w:r>
                        </w:sdtContent>
                      </w:sdt>
                      <w:r>
                        <w:rPr>
                          <w:szCs w:val="24"/>
                        </w:rPr>
                        <w:t xml:space="preserve">. Civilinei mobilizacijos institucijai pavaldžių subjektų veikla vykdant šiame įstatyme nustatytus mobilizacijos sistemos ir priimančiosios šalies paramos teikimo uždavinius finansuojama iš civilinei mobilizacijos institucijai skiriamų valstybės biudžeto asignavimų, šiame įstatyme nustatytais atvejais panaudojant valstybės rezervą, </w:t>
                      </w:r>
                      <w:r>
                        <w:rPr>
                          <w:bCs/>
                          <w:szCs w:val="24"/>
                        </w:rPr>
                        <w:t>ar kitomis teisėtai gautomis lėšomis</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ecfac04a4711efbdaea558de59136c">
                        <w:r w:rsidRPr="00532B9F">
                          <w:rPr>
                            <w:rFonts w:ascii="Arial" w:eastAsia="MS Mincho" w:hAnsi="Arial"/>
                            <w:sz w:val="20"/>
                            <w:i/>
                            <w:iCs/>
                            <w:color w:val="0000FF" w:themeColor="hyperlink"/>
                            <w:u w:val="single"/>
                          </w:rPr>
                          <w:t>XIV-2947</w:t>
                        </w:r>
                      </w:fldSimple>
                      <w:r>
                        <w:rPr>
                          <w:rFonts w:ascii="Arial" w:eastAsia="MS Mincho" w:hAnsi="Arial"/>
                          <w:sz w:val="20"/>
                          <w:i/>
                          <w:iCs/>
                        </w:rPr>
                        <w:t>,
2024-07-18,
paskelbta TAR 2024-07-25, i. k. 2024-13612            </w:t>
                      </w:r>
                    </w:p>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43852DE0A1">
            <w:r w:rsidRPr="00532B9F">
              <w:rPr>
                <w:rFonts w:ascii="Arial" w:eastAsia="MS Mincho" w:hAnsi="Arial"/>
                <w:sz w:val="20"/>
                <w:iCs/>
                <w:color w:val="0000FF" w:themeColor="hyperlink"/>
                <w:u w:val="single"/>
              </w:rPr>
              <w:t>VIII-336</w:t>
            </w:r>
          </w:fldSimple>
          <w:r>
            <w:rPr>
              <w:rFonts w:ascii="Arial" w:eastAsia="MS Mincho" w:hAnsi="Arial"/>
              <w:sz w:val="20"/>
              <w:iCs/>
            </w:rPr>
            <w:t>,
1997-06-26,
Žin., 1997, Nr.
66-1606 (1997-07-11), i. k. 0971010ISTAVIII-336                </w:t>
          </w:r>
        </w:p>
        <w:p>
          <w:pPr>
            <w:jc w:val="both"/>
            <w:rPr>
              <w:rFonts w:ascii="Arial" w:hAnsi="Arial"/>
            </w:rPr>
          </w:pPr>
          <w:r>
            <w:rPr>
              <w:rFonts w:ascii="Arial" w:hAnsi="Arial"/>
              <w:sz w:val="20"/>
            </w:rPr>
            <w:t>Lietuvos Respublikos mobilizacijos ir mobilizacinio rezervo rengimo įstatymo 6, 12, 14, 15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6CCB79E275">
            <w:r w:rsidRPr="00532B9F">
              <w:rPr>
                <w:rFonts w:ascii="Arial" w:eastAsia="MS Mincho" w:hAnsi="Arial"/>
                <w:sz w:val="20"/>
                <w:iCs/>
                <w:color w:val="0000FF" w:themeColor="hyperlink"/>
                <w:u w:val="single"/>
              </w:rPr>
              <w:t>VIII-808</w:t>
            </w:r>
          </w:fldSimple>
          <w:r>
            <w:rPr>
              <w:rFonts w:ascii="Arial" w:eastAsia="MS Mincho" w:hAnsi="Arial"/>
              <w:sz w:val="20"/>
              <w:iCs/>
            </w:rPr>
            <w:t>,
1998-06-23,
Žin., 1998, Nr.
61-1730 (1998-07-08), i. k. 0981010ISTAVIII-808                </w:t>
          </w:r>
        </w:p>
        <w:p>
          <w:pPr>
            <w:jc w:val="both"/>
            <w:rPr>
              <w:rFonts w:ascii="Arial" w:hAnsi="Arial"/>
            </w:rPr>
          </w:pPr>
          <w:r>
            <w:rPr>
              <w:rFonts w:ascii="Arial" w:hAnsi="Arial"/>
              <w:sz w:val="20"/>
            </w:rPr>
            <w:t>Lietuvos Respublikos mobilizacijos ir mobilizacinio rezervo rengimo įstatymo 2, 3, 5, 6, 11, 14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CC8A4688C48">
            <w:r w:rsidRPr="00532B9F">
              <w:rPr>
                <w:rFonts w:ascii="Arial" w:eastAsia="MS Mincho" w:hAnsi="Arial"/>
                <w:sz w:val="20"/>
                <w:iCs/>
                <w:color w:val="0000FF" w:themeColor="hyperlink"/>
                <w:u w:val="single"/>
              </w:rPr>
              <w:t>XI-756</w:t>
            </w:r>
          </w:fldSimple>
          <w:r>
            <w:rPr>
              <w:rFonts w:ascii="Arial" w:eastAsia="MS Mincho" w:hAnsi="Arial"/>
              <w:sz w:val="20"/>
              <w:iCs/>
            </w:rPr>
            <w:t>,
2010-04-13,
Žin., 2010, Nr.
48-2305 (2010-04-27), i. k. 1101010ISTA00XI-756                </w:t>
          </w:r>
        </w:p>
        <w:p>
          <w:pPr>
            <w:jc w:val="both"/>
            <w:rPr>
              <w:rFonts w:ascii="Arial" w:hAnsi="Arial"/>
            </w:rPr>
          </w:pPr>
          <w:r>
            <w:rPr>
              <w:rFonts w:ascii="Arial" w:hAnsi="Arial"/>
              <w:sz w:val="20"/>
            </w:rPr>
            <w:t>Lietuvos Respublikos mobilizacijos ir mobilizacinio rezervo rengimo įstatymo 6, 12, 14, 15 straipsnių pakeitimo ir papildymo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C9CABDA10FE">
            <w:r w:rsidRPr="00532B9F">
              <w:rPr>
                <w:rFonts w:ascii="Arial" w:eastAsia="MS Mincho" w:hAnsi="Arial"/>
                <w:sz w:val="20"/>
                <w:iCs/>
                <w:color w:val="0000FF" w:themeColor="hyperlink"/>
                <w:u w:val="single"/>
              </w:rPr>
              <w:t>XI-1119</w:t>
            </w:r>
          </w:fldSimple>
          <w:r>
            <w:rPr>
              <w:rFonts w:ascii="Arial" w:eastAsia="MS Mincho" w:hAnsi="Arial"/>
              <w:sz w:val="20"/>
              <w:iCs/>
            </w:rPr>
            <w:t>,
2010-11-12,
Žin., 2010, Nr.
139-7103 (2010-11-27), i. k. 1101010ISTA0XI-1119                </w:t>
          </w:r>
        </w:p>
        <w:p>
          <w:pPr>
            <w:jc w:val="both"/>
            <w:rPr>
              <w:rFonts w:ascii="Arial" w:hAnsi="Arial"/>
            </w:rPr>
          </w:pPr>
          <w:r>
            <w:rPr>
              <w:rFonts w:ascii="Arial" w:hAnsi="Arial"/>
              <w:sz w:val="20"/>
            </w:rPr>
            <w:t>Lietuvos Respublikos mobilizacijos ir mobilizacinio rezervo rengimo įstatymo 7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590FF7289F21">
            <w:r w:rsidRPr="00532B9F">
              <w:rPr>
                <w:rFonts w:ascii="Arial" w:eastAsia="MS Mincho" w:hAnsi="Arial"/>
                <w:sz w:val="20"/>
                <w:iCs/>
                <w:color w:val="0000FF" w:themeColor="hyperlink"/>
                <w:u w:val="single"/>
              </w:rPr>
              <w:t>XI-1413</w:t>
            </w:r>
          </w:fldSimple>
          <w:r>
            <w:rPr>
              <w:rFonts w:ascii="Arial" w:eastAsia="MS Mincho" w:hAnsi="Arial"/>
              <w:sz w:val="20"/>
              <w:iCs/>
            </w:rPr>
            <w:t>,
2011-05-26,
Žin., 2011, Nr.
72-3464 (2011-06-14), i. k. 1111010ISTA0XI-1413                </w:t>
          </w:r>
        </w:p>
        <w:p>
          <w:pPr>
            <w:jc w:val="both"/>
            <w:rPr>
              <w:rFonts w:ascii="Arial" w:hAnsi="Arial"/>
            </w:rPr>
          </w:pPr>
          <w:r>
            <w:rPr>
              <w:rFonts w:ascii="Arial" w:hAnsi="Arial"/>
              <w:sz w:val="20"/>
            </w:rPr>
            <w:t>Lietuvos Respublikos mobilizacijos ir mobilizacinio rezervo rengimo įstatymo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45D6F349B36">
            <w:r w:rsidRPr="00532B9F">
              <w:rPr>
                <w:rFonts w:ascii="Arial" w:eastAsia="MS Mincho" w:hAnsi="Arial"/>
                <w:sz w:val="20"/>
                <w:iCs/>
                <w:color w:val="0000FF" w:themeColor="hyperlink"/>
                <w:u w:val="single"/>
              </w:rPr>
              <w:t>XII-163</w:t>
            </w:r>
          </w:fldSimple>
          <w:r>
            <w:rPr>
              <w:rFonts w:ascii="Arial" w:eastAsia="MS Mincho" w:hAnsi="Arial"/>
              <w:sz w:val="20"/>
              <w:iCs/>
            </w:rPr>
            <w:t>,
2013-01-17,
Žin., 2013, Nr.
11-507 (2013-01-30), i. k. 1131010ISTA0XII-163                </w:t>
          </w:r>
        </w:p>
        <w:p>
          <w:pPr>
            <w:jc w:val="both"/>
            <w:rPr>
              <w:rFonts w:ascii="Arial" w:hAnsi="Arial"/>
            </w:rPr>
          </w:pPr>
          <w:r>
            <w:rPr>
              <w:rFonts w:ascii="Arial" w:hAnsi="Arial"/>
              <w:sz w:val="20"/>
            </w:rPr>
            <w:t>Lietuvos Respublikos mobilizacijos ir priimančiosios šalies paramos įstatymo 28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2624550d45611e4bcd1a882e9a189f1">
            <w:r w:rsidRPr="00532B9F">
              <w:rPr>
                <w:rFonts w:ascii="Arial" w:eastAsia="MS Mincho" w:hAnsi="Arial"/>
                <w:sz w:val="20"/>
                <w:iCs/>
                <w:color w:val="0000FF" w:themeColor="hyperlink"/>
                <w:u w:val="single"/>
              </w:rPr>
              <w:t>XII-1543</w:t>
            </w:r>
          </w:fldSimple>
          <w:r>
            <w:rPr>
              <w:rFonts w:ascii="Arial" w:eastAsia="MS Mincho" w:hAnsi="Arial"/>
              <w:sz w:val="20"/>
              <w:iCs/>
            </w:rPr>
            <w:t>,
2015-03-19,
paskelbta TAR 2015-03-27, i. k. 2015-04362                </w:t>
          </w:r>
        </w:p>
        <w:p>
          <w:pPr>
            <w:jc w:val="both"/>
            <w:rPr>
              <w:rFonts w:ascii="Arial" w:hAnsi="Arial"/>
            </w:rPr>
          </w:pPr>
          <w:r>
            <w:rPr>
              <w:rFonts w:ascii="Arial" w:hAnsi="Arial"/>
              <w:sz w:val="20"/>
            </w:rPr>
            <w:t>Lietuvos Respublikos mobilizacijos ir priimančiosios šalies paramos įstatymo Nr. I-1623 20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2d84120039811e9a5eaf2cd290f1944">
            <w:r w:rsidRPr="00532B9F">
              <w:rPr>
                <w:rFonts w:ascii="Arial" w:eastAsia="MS Mincho" w:hAnsi="Arial"/>
                <w:sz w:val="20"/>
                <w:iCs/>
                <w:color w:val="0000FF" w:themeColor="hyperlink"/>
                <w:u w:val="single"/>
              </w:rPr>
              <w:t>XIII-1766</w:t>
            </w:r>
          </w:fldSimple>
          <w:r>
            <w:rPr>
              <w:rFonts w:ascii="Arial" w:eastAsia="MS Mincho" w:hAnsi="Arial"/>
              <w:sz w:val="20"/>
              <w:iCs/>
            </w:rPr>
            <w:t>,
2018-12-13,
paskelbta TAR 2018-12-19, i. k. 2018-20877                </w:t>
          </w:r>
        </w:p>
        <w:p>
          <w:pPr>
            <w:jc w:val="both"/>
            <w:rPr>
              <w:rFonts w:ascii="Arial" w:hAnsi="Arial"/>
            </w:rPr>
          </w:pPr>
          <w:r>
            <w:rPr>
              <w:rFonts w:ascii="Arial" w:hAnsi="Arial"/>
              <w:sz w:val="20"/>
            </w:rPr>
            <w:t>Lietuvos Respublikos mobilizacijos ir priimančiosios šalies paramos įstatymo Nr. I-1623 2, 8, 10 ir 15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947ec0c75711ea997c9ee767e856b4">
            <w:r w:rsidRPr="00532B9F">
              <w:rPr>
                <w:rFonts w:ascii="Arial" w:eastAsia="MS Mincho" w:hAnsi="Arial"/>
                <w:sz w:val="20"/>
                <w:iCs/>
                <w:color w:val="0000FF" w:themeColor="hyperlink"/>
                <w:u w:val="single"/>
              </w:rPr>
              <w:t>XIII-3228</w:t>
            </w:r>
          </w:fldSimple>
          <w:r>
            <w:rPr>
              <w:rFonts w:ascii="Arial" w:eastAsia="MS Mincho" w:hAnsi="Arial"/>
              <w:sz w:val="20"/>
              <w:iCs/>
            </w:rPr>
            <w:t>,
2020-06-30,
paskelbta TAR 2020-07-16, i. k. 2020-15862                </w:t>
          </w:r>
        </w:p>
        <w:p>
          <w:pPr>
            <w:jc w:val="both"/>
            <w:rPr>
              <w:rFonts w:ascii="Arial" w:hAnsi="Arial"/>
            </w:rPr>
          </w:pPr>
          <w:r>
            <w:rPr>
              <w:rFonts w:ascii="Arial" w:hAnsi="Arial"/>
              <w:sz w:val="20"/>
            </w:rPr>
            <w:t>Lietuvos Respublikos mobilizacijos ir priimančiosios šalies paramos įstatymo Nr. I-1623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8ba7406fca11edbc04912defe897d1">
            <w:r w:rsidRPr="00532B9F">
              <w:rPr>
                <w:rFonts w:ascii="Arial" w:eastAsia="MS Mincho" w:hAnsi="Arial"/>
                <w:sz w:val="20"/>
                <w:iCs/>
                <w:color w:val="0000FF" w:themeColor="hyperlink"/>
                <w:u w:val="single"/>
              </w:rPr>
              <w:t>XIV-1537</w:t>
            </w:r>
          </w:fldSimple>
          <w:r>
            <w:rPr>
              <w:rFonts w:ascii="Arial" w:eastAsia="MS Mincho" w:hAnsi="Arial"/>
              <w:sz w:val="20"/>
              <w:iCs/>
            </w:rPr>
            <w:t>,
2022-11-17,
paskelbta TAR 2022-11-29, i. k. 2022-24187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90d7480f64011ed9978886e85107ab2">
            <w:r w:rsidRPr="00532B9F">
              <w:rPr>
                <w:rFonts w:ascii="Arial" w:eastAsia="MS Mincho" w:hAnsi="Arial"/>
                <w:sz w:val="20"/>
                <w:iCs/>
                <w:color w:val="0000FF" w:themeColor="hyperlink"/>
                <w:u w:val="single"/>
              </w:rPr>
              <w:t>XIV-1931</w:t>
            </w:r>
          </w:fldSimple>
          <w:r>
            <w:rPr>
              <w:rFonts w:ascii="Arial" w:eastAsia="MS Mincho" w:hAnsi="Arial"/>
              <w:sz w:val="20"/>
              <w:iCs/>
            </w:rPr>
            <w:t>,
2023-05-09,
paskelbta TAR 2023-05-19, i. k. 2023-09519                </w:t>
          </w:r>
        </w:p>
        <w:p>
          <w:pPr>
            <w:jc w:val="both"/>
            <w:rPr>
              <w:rFonts w:ascii="Arial" w:hAnsi="Arial"/>
            </w:rPr>
          </w:pPr>
          <w:r>
            <w:rPr>
              <w:rFonts w:ascii="Arial" w:hAnsi="Arial"/>
              <w:sz w:val="20"/>
            </w:rPr>
            <w:t>Lietuvos Respublikos mobilizacijos ir priimančiosios šalies paramos įstatymo Nr. I-1623 6 ir 7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fe9e6006c711ee9978886e85107ab2">
            <w:r w:rsidRPr="00532B9F">
              <w:rPr>
                <w:rFonts w:ascii="Arial" w:eastAsia="MS Mincho" w:hAnsi="Arial"/>
                <w:sz w:val="20"/>
                <w:iCs/>
                <w:color w:val="0000FF" w:themeColor="hyperlink"/>
                <w:u w:val="single"/>
              </w:rPr>
              <w:t>XIV-2010</w:t>
            </w:r>
          </w:fldSimple>
          <w:r>
            <w:rPr>
              <w:rFonts w:ascii="Arial" w:eastAsia="MS Mincho" w:hAnsi="Arial"/>
              <w:sz w:val="20"/>
              <w:iCs/>
            </w:rPr>
            <w:t>,
2023-05-25,
paskelbta TAR 2023-06-09, i. k. 2023-11588                </w:t>
          </w:r>
        </w:p>
        <w:p>
          <w:pPr>
            <w:jc w:val="both"/>
            <w:rPr>
              <w:rFonts w:ascii="Arial" w:hAnsi="Arial"/>
            </w:rPr>
          </w:pPr>
          <w:r>
            <w:rPr>
              <w:rFonts w:ascii="Arial" w:hAnsi="Arial"/>
              <w:sz w:val="20"/>
            </w:rPr>
            <w:t>Lietuvos Respublikos mobilizacijos ir priimančiosios šalies paramos įstatymo Nr. I-1623 8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16026e0337811efbdaea558de59136c">
            <w:r w:rsidRPr="00532B9F">
              <w:rPr>
                <w:rFonts w:ascii="Arial" w:eastAsia="MS Mincho" w:hAnsi="Arial"/>
                <w:sz w:val="20"/>
                <w:iCs/>
                <w:color w:val="0000FF" w:themeColor="hyperlink"/>
                <w:u w:val="single"/>
              </w:rPr>
              <w:t>XIV-2731</w:t>
            </w:r>
          </w:fldSimple>
          <w:r>
            <w:rPr>
              <w:rFonts w:ascii="Arial" w:eastAsia="MS Mincho" w:hAnsi="Arial"/>
              <w:sz w:val="20"/>
              <w:iCs/>
            </w:rPr>
            <w:t>,
2024-06-13,
paskelbta TAR 2024-06-26, i. k. 2024-11568                </w:t>
          </w:r>
        </w:p>
        <w:p>
          <w:pPr>
            <w:jc w:val="both"/>
            <w:rPr>
              <w:rFonts w:ascii="Arial" w:hAnsi="Arial"/>
            </w:rPr>
          </w:pPr>
          <w:r>
            <w:rPr>
              <w:rFonts w:ascii="Arial" w:hAnsi="Arial"/>
              <w:sz w:val="20"/>
            </w:rPr>
            <w:t>Lietuvos Respublikos mobilizacijos ir priimančiosios šalies paramos įstatymo Nr. I-1623 2, 18 ir 22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ecfac04a4711efbdaea558de59136c">
            <w:r w:rsidRPr="00532B9F">
              <w:rPr>
                <w:rFonts w:ascii="Arial" w:eastAsia="MS Mincho" w:hAnsi="Arial"/>
                <w:sz w:val="20"/>
                <w:iCs/>
                <w:color w:val="0000FF" w:themeColor="hyperlink"/>
                <w:u w:val="single"/>
              </w:rPr>
              <w:t>XIV-2947</w:t>
            </w:r>
          </w:fldSimple>
          <w:r>
            <w:rPr>
              <w:rFonts w:ascii="Arial" w:eastAsia="MS Mincho" w:hAnsi="Arial"/>
              <w:sz w:val="20"/>
              <w:iCs/>
            </w:rPr>
            <w:t>,
2024-07-18,
paskelbta TAR 2024-07-25, i. k. 2024-13612                </w:t>
          </w:r>
        </w:p>
        <w:p>
          <w:pPr>
            <w:jc w:val="both"/>
            <w:rPr>
              <w:rFonts w:ascii="Arial" w:hAnsi="Arial"/>
            </w:rPr>
          </w:pPr>
          <w:r>
            <w:rPr>
              <w:rFonts w:ascii="Arial" w:hAnsi="Arial"/>
              <w:sz w:val="20"/>
            </w:rPr>
            <w:t>Lietuvos Respublikos mobilizacijos ir priimančiosios šalies paramos įstatymo Nr. I-1623 2, 10, 11, 12, 14, 17, 18, 20, 26 straipsnių pakeitimo ir Įstatymo papildymo 17-1, 18-1 straipsniais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DC8C1"/>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6.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399d27bcd9d9410d94271317818eb024"/>
        <Part Type="strDalis" Nr="4" Abbr="2 str. 4 d." DocPartId="b387bd84913447ec97468bab0b752f61" PartId="f8c30d6a07ac4b01bc1c8d632865d3e5"/>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5bd88fe772fa4c8d96085a3165e5fd1d"/>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2911890206d54393b8b6364f3ffe1016"/>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e1e23bd2a2254225becfa92c8e19a6e3"/>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304af736f9b34a27a241e80203b5b02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02e5f221bd174c80bf9472666313eeab"/>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265a7fe8989a477981c0485314fa0de1"/>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4fe7bc4832d54502a280340b3e5f8132">
        <Part Type="strDalis" Nr="1" Abbr="14 str. 1 d." DocPartId="35bed63901684efa86b0c8fe0804e500" PartId="e8383d6ebbd646dcadc9dd8c0d6ec6d5"/>
        <Part Type="strDalis" Nr="2" Abbr="14 str. 2 d." DocPartId="edf3afde238742b3bacce296107a8d81" PartId="92523022478346c99e9af6d52713771b"/>
        <Part Type="strDalis" Nr="3" Abbr="14 str. 3 d." DocPartId="f7f0250f831f4184acae2868133a206f" PartId="48e812e1fccd466d9b3e3692f110abc6"/>
        <Part Type="strDalis" Nr="4" Abbr="14 str. 4 d." DocPartId="904a1ca5f14e44f4825ca4adaadebdbe" PartId="68dda02200584df2a2cb8d67f70d8724"/>
        <Part Type="strDalis" Nr="5" Abbr="14 str. 5 d." DocPartId="b41b720318a04fb5b0eb892416c764fc" PartId="feebd42c0a954a6683de8f309bad990f"/>
        <Part Type="strDalis" Nr="6" Abbr="14 str. 6 d." DocPartId="1ca0a6138b8046d7b8a259035f853d25" PartId="3e05f35e046f491cb5089544ad2934dc"/>
        <Part Type="strDalis" Nr="7" Abbr="14 str. 7 d." DocPartId="c5c8ec5a498c42c4aa0dbc93bcb03d81" PartId="bdfccc8dc5834d1594647bdb4f861fe3">
          <Part Type="strPunktas" Nr="1" Abbr="14 str. 7 d. 1 p." DocPartId="56560d16bc0b483a918a6d68a2847ce9" PartId="c302fb5b45324fd4b26be3712ed44af6"/>
          <Part Type="strPunktas" Nr="2" Abbr="14 str. 7 d. 2 p." DocPartId="7c9b0a8f29134894b8d1299b1d5e215f" PartId="51fcc548226647e9b9e1cd559badc729"/>
          <Part Type="strPunktas" Nr="3" Abbr="14 str. 7 d. 3 p." DocPartId="d33587618f8c45809c5323e249d7ef37" PartId="9d759202cfc8422d842dfc9a2e93e4af"/>
          <Part Type="strPunktas" Nr="4" Abbr="14 str. 7 d. 4 p." DocPartId="c96e4602cd744656a5fb7981d3ac1f7c" PartId="f319b034400647f7907dfbe1ce2660a9"/>
          <Part Type="strPunktas" Nr="5" Abbr="14 str. 7 d. 5 p." DocPartId="ad54f1e11b124c8ba68315994f564c4f" PartId="a5cf48ec7651492a825c5b4854d930c2"/>
        </Part>
        <Part Type="strDalis" Nr="8" Abbr="14 str. 8 d." DocPartId="3186a03e0381492bb8df4c2fd22ead1a" PartId="ec0e38d8ae9e46098d828b3da030e382">
          <Part Type="strPunktas" Nr="1" Abbr="14 str. 8 d. 1 p." DocPartId="a0ce9b3d476040bfba145504b9eacbde" PartId="cb47b1a2f4f74e89afa6a8b50d50e105"/>
          <Part Type="strPunktas" Nr="2" Abbr="14 str. 8 d. 2 p." DocPartId="66089d930c3e4d45bde488a05814216a" PartId="3860e16b3bf24cd383225c5c90840277"/>
          <Part Type="strPunktas" Nr="3" Abbr="14 str. 8 d. 3 p." DocPartId="44b83b7b7c7842b696b881da840360dd" PartId="16ea504711ff4cdc93b034220a5fa855"/>
          <Part Type="strPunktas" Nr="4" Abbr="14 str. 8 d. 4 p." DocPartId="a29fdeebdeff4297bafa138afb6ae35c" PartId="1afac273b03a419bb0a49491151067f7"/>
          <Part Type="strPunktas" Nr="5" Abbr="14 str. 8 d. 5 p." DocPartId="e81010b8a14f4dba99a31fb31f5c4e26" PartId="c76de4e848a847eebbcfb33b3b3795b9"/>
        </Part>
        <Part Type="strDalis" Nr="9" Abbr="14 str. 9 d." DocPartId="2a2a6afe893940679a0c3269df55e9aa" PartId="41e101b5b1b14c87bbb02a5548025bbc"/>
        <Part Type="strDalis" Nr="10" Abbr="14 str. 10 d." DocPartId="e7fcca0e668e4014a38faa5ff823e6ad" PartId="140a64d5dcb5410aa8b85a123a45d33d"/>
        <Part Type="strDalis" Nr="11" Abbr="14 str. 11 d." DocPartId="0d6935d6e84046759330246c922ff9a4" PartId="ca606c36a5104bb6bff8b5d94dc31808"/>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c4341c413c54ab8ba20c35021d3a326"/>
        <Part Type="strDalis" Nr="2" Abbr="17 str. 2 d." DocPartId="9b790048b331422ba7317d497f929789" PartId="6ab8679a9d2c40fd9a9560df37508269"/>
      </Part>
      <Part Type="straipsnis" Nr="18" Abbr="18 str." Title="Mobilizaciniai, priimančiosios šalies paramos ir kiti mokymai" DocPartId="3b03ef614bcc49baa826ac9981931304" PartId="41b94cecd6be46b79d0c48584983f117">
        <Part Type="strDalis" Nr="1" Abbr="18 str. 1 d." DocPartId="ef63205ebf2c4c98aacddf571e8aa9e1" PartId="4f00be39ca38466d9037e88e816c01ec"/>
        <Part Type="strDalis" Nr="2" Abbr="18 str. 2 d." DocPartId="2bc6a63005324216aaeec297453c24bc" PartId="92d8708da6e8404e97bc99daf3a5a5e7"/>
        <Part Type="strDalis" Nr="3" Abbr="18 str. 3 d." DocPartId="9e5a3a5ed67142a69a8bdcadcf216949" PartId="be6cba620a7d4c2683d1e5eb9071124d"/>
        <Part Type="strDalis" Nr="4" Abbr="18 str. 4 d." DocPartId="491104334e9a4c4883b80ccb5510fbc6" PartId="1f9ff54f17dd4ef7b504b6327b00132a"/>
        <Part Type="strDalis" Nr="5" Abbr="18 str. 5 d." DocPartId="2db89a4170f94cfb8475e4bd01155c0e" PartId="8e82ea135f20432183796fd8405c161f"/>
        <Part Type="strDalis" Nr="6" Abbr="18 str. 6 d." DocPartId="7e4b479628444d24aa0f759c3f8fd2b7" PartId="793fa4089aa445d0b37a5fd6df7466f8"/>
      </Part>
      <Part Type="straipsnis" Nr="18-1" Abbr="18-1 str." Title="Neginkluoto pilietinio pasipriešinimo mokymai" DocPartId="4acc18e248b841c0b9f025273b59cbc9" PartId="c6681bd263c74422a3470ac357ed9b83">
        <Part Type="strDalis" Nr="1" Abbr="18-1 str. 1 d." DocPartId="00880acbf36c4750bd9847b9417a3787" PartId="c96117c096904da6a022a1335caad155"/>
        <Part Type="strDalis" Nr="2" Abbr="18-1 str. 2 d." DocPartId="db284c487f2e484b87b4859c3497e3b8" PartId="7d68451198134fcca84244e1b6a0a1d1"/>
        <Part Type="strDalis" Nr="3" Abbr="18-1 str. 3 d." DocPartId="6024adcd0f944d268d67f8b3a5210eef" PartId="838043034ce546438c70fb2edbaf5572"/>
        <Part Type="strDalis" Nr="4" Abbr="18-1 str. 4 d." DocPartId="bf205b016af94df682ed5a2d1d82b2e7" PartId="5ecd97deffee4d4c9549e008bf3c72a6"/>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68a15f17a01b4a5b8f9c5b46204e6028"/>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e4c1a6acf1d34b52a51561b633171d3a"/>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5ef0bfc29fdb4ef3aeab85877d3765be"/>
        <Part Type="strDalis" Nr="4" Abbr="26 str. 4 d." DocPartId="e1468a164f0e414aadf174451d10d8f8" PartId="122dd08a2f5949478e32fccdca967153"/>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EF70E5-8085-41F0-A483-58C0A6CFA13C}">
  <ds:schemaRefs>
    <ds:schemaRef ds:uri="http://lrs.lt/TAIS/DocParts"/>
  </ds:schemaRefs>
</ds:datastoreItem>
</file>

<file path=customXml/itemProps3.xml><?xml version="1.0" encoding="utf-8"?>
<ds:datastoreItem xmlns:ds="http://schemas.openxmlformats.org/officeDocument/2006/customXml" ds:itemID="{835898F9-B159-4305-A2AA-0BECE253154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57</TotalTime>
  <Pages>16</Pages>
  <Words>37578</Words>
  <Characters>21421</Characters>
  <Application>Microsoft Office Word</Application>
  <DocSecurity>0</DocSecurity>
  <Lines>178</Lines>
  <Paragraphs>117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58882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ŠAULYTĖ SKAIRIENĖ Dalia</lastModifiedBy>
  <dcterms:modified xsi:type="dcterms:W3CDTF">2024-08-02T11:20:00Z</dcterms:modified>
  <revision>25</revision>
</coreProperties>
</file>