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2cdc498285454267b1c9b6076eca2ae0"/>
        <w:lock w:val="sdtLocked"/>
        <w:richText/>
      </w:sdtPr>
      <w:sdtContent>
        <w:p>
          <w:pPr>
            <w:jc w:val="both"/>
            <w:rPr>
              <w:rFonts w:ascii="Times New Roman" w:hAnsi="Times New Roman"/>
            </w:rPr>
          </w:pPr>
          <w:r>
            <w:rPr>
              <w:rFonts w:ascii="Times New Roman" w:hAnsi="Times New Roman"/>
              <w:b/>
              <w:i/>
            </w:rPr>
            <w:t>Suvestinė redakcija nuo 2021-12-23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89E728710C9D">
            <w:r w:rsidRPr="00532B9F">
              <w:rPr>
                <w:rFonts w:ascii="Times New Roman" w:eastAsia="MS Mincho" w:hAnsi="Times New Roman"/>
                <w:sz w:val="20"/>
                <w:i/>
                <w:iCs/>
                <w:color w:val="0000FF" w:themeColor="hyperlink"/>
                <w:u w:val="single"/>
              </w:rPr>
              <w:t>141-5599</w:t>
            </w:r>
          </w:fldSimple>
          <w:r>
            <w:rPr>
              <w:rFonts w:ascii="Times New Roman" w:eastAsia="MS Mincho" w:hAnsi="Times New Roman"/>
              <w:sz w:val="20"/>
              <w:i/>
              <w:iCs/>
            </w:rPr>
            <w:t>, i. k. 1082330ISAK003D-630</w:t>
          </w:r>
        </w:p>
        <w:p>
          <w:pPr>
            <w:jc w:val="both"/>
            <w:rPr>
              <w:rFonts w:ascii="Times New Roman" w:hAnsi="Times New Roman"/>
              <w:sz w:val="20"/>
            </w:rPr>
          </w:pPr>
        </w:p>
        <w:p>
          <w:pPr>
            <w:widowControl w:val="0"/>
            <w:jc w:val="center"/>
            <w:rPr>
              <w:lang w:eastAsia="lt-LT"/>
            </w:rPr>
          </w:pPr>
          <w:r>
            <w:rPr>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Valdiklis 2" w:shapeid="_x0000_s1026"/>
            </w:pict>
            <w:t>LIETUVOS RESPUBLIKOS ŽEMĖS ŪKIO MINISTRO</w:t>
          </w:r>
        </w:p>
        <w:p>
          <w:pPr>
            <w:widowControl w:val="0"/>
            <w:jc w:val="center"/>
            <w:rPr>
              <w:spacing w:val="60"/>
              <w:lang w:eastAsia="lt-LT"/>
            </w:rPr>
          </w:pPr>
          <w:r>
            <w:rPr>
              <w:spacing w:val="60"/>
              <w:lang w:eastAsia="lt-LT"/>
            </w:rPr>
            <w:t>ĮSAKYMAS</w:t>
          </w:r>
        </w:p>
        <w:p>
          <w:pPr>
            <w:rPr>
              <w:lang w:eastAsia="lt-LT"/>
            </w:rPr>
          </w:pPr>
        </w:p>
        <w:p>
          <w:pPr>
            <w:widowControl w:val="0"/>
            <w:jc w:val="center"/>
            <w:rPr>
              <w:b/>
              <w:bCs/>
              <w:lang w:eastAsia="lt-LT"/>
            </w:rPr>
          </w:pPr>
          <w:r>
            <w:rPr>
              <w:b/>
              <w:bCs/>
              <w:lang w:eastAsia="lt-LT"/>
            </w:rPr>
            <w:t>DĖL SPECIALIOSIOS ŽVEJYBOS JŪRŲ VANDENYSE TAISYKLIŲ PATVIRTINIMO</w:t>
          </w:r>
        </w:p>
        <w:p>
          <w:pPr>
            <w:rPr>
              <w:lang w:eastAsia="lt-LT"/>
            </w:rPr>
          </w:pPr>
        </w:p>
        <w:p>
          <w:pPr>
            <w:widowControl w:val="0"/>
            <w:jc w:val="center"/>
            <w:rPr>
              <w:lang w:eastAsia="lt-LT"/>
            </w:rPr>
          </w:pPr>
          <w:r>
            <w:rPr>
              <w:lang w:eastAsia="lt-LT"/>
            </w:rPr>
            <w:t>2008 m. lapkričio 24 d. Nr. 3D-630</w:t>
          </w:r>
        </w:p>
        <w:p>
          <w:pPr>
            <w:widowControl w:val="0"/>
            <w:jc w:val="center"/>
            <w:rPr>
              <w:lang w:eastAsia="lt-LT"/>
            </w:rPr>
          </w:pPr>
          <w:r>
            <w:rPr>
              <w:lang w:eastAsia="lt-LT"/>
            </w:rPr>
            <w:t xml:space="preserve">Vilnius </w:t>
          </w:r>
        </w:p>
        <w:p>
          <w:pPr>
            <w:rPr>
              <w:lang w:eastAsia="lt-LT"/>
            </w:rPr>
          </w:pPr>
        </w:p>
        <w:p>
          <w:pPr>
            <w:rPr>
              <w:lang w:eastAsia="lt-LT"/>
            </w:rPr>
          </w:pPr>
        </w:p>
        <w:sdt>
          <w:sdtPr>
            <w:alias w:val="preambule"/>
            <w:tag w:val="part_1b6128f6e2c142c18fa1dd6ef35de269"/>
            <w:lock w:val="sdtLocked"/>
            <w:richText/>
          </w:sdtPr>
          <w:sdtContent>
            <w:p>
              <w:pPr>
                <w:ind w:firstLine="567"/>
                <w:jc w:val="both"/>
                <w:rPr>
                  <w:lang w:eastAsia="lt-LT"/>
                </w:rPr>
              </w:pPr>
              <w:r>
                <w:rPr>
                  <w:szCs w:val="24"/>
                </w:rPr>
                <w:t>Vadovaudamasi Lietuvos Respublikos žuvininkystės įstatymo 21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6AC4CCBF2">
                <w:r w:rsidRPr="00532B9F">
                  <w:rPr>
                    <w:rFonts w:ascii="Times New Roman" w:eastAsia="MS Mincho" w:hAnsi="Times New Roman"/>
                    <w:sz w:val="20"/>
                    <w:i/>
                    <w:iCs/>
                    <w:color w:val="0000FF" w:themeColor="hyperlink"/>
                    <w:u w:val="single"/>
                  </w:rPr>
                  <w:t>3D-608</w:t>
                </w:r>
              </w:fldSimple>
              <w:r>
                <w:rPr>
                  <w:rFonts w:ascii="Times New Roman" w:eastAsia="MS Mincho" w:hAnsi="Times New Roman"/>
                  <w:sz w:val="20"/>
                  <w:i/>
                  <w:iCs/>
                </w:rPr>
                <w:t>,
2013-09-04,
Žin., 2013, Nr.
95-4741 (2013-09-07), i. k. 1132330ISAK003D-608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40ac0b70d11eb8371ea260d59d64b">
                <w:r w:rsidRPr="00532B9F">
                  <w:rPr>
                    <w:rFonts w:ascii="Times New Roman" w:eastAsia="MS Mincho" w:hAnsi="Times New Roman"/>
                    <w:sz w:val="20"/>
                    <w:i/>
                    <w:iCs/>
                    <w:color w:val="0000FF" w:themeColor="hyperlink"/>
                    <w:u w:val="single"/>
                  </w:rPr>
                  <w:t>3D-328</w:t>
                </w:r>
              </w:fldSimple>
              <w:r>
                <w:rPr>
                  <w:rFonts w:ascii="Times New Roman" w:eastAsia="MS Mincho" w:hAnsi="Times New Roman"/>
                  <w:sz w:val="20"/>
                  <w:i/>
                  <w:iCs/>
                </w:rPr>
                <w:t>,
2021-05-17,
paskelbta TAR 2021-05-17, i. k. 2021-10914            </w:t>
              </w:r>
            </w:p>
            <w:p/>
          </w:sdtContent>
        </w:sdt>
        <w:sdt>
          <w:sdtPr>
            <w:alias w:val="1 p."/>
            <w:tag w:val="part_7f30a5b1b7a24e9f8d7079758293199e"/>
            <w:lock w:val="sdtLocked"/>
            <w:richText/>
          </w:sdtPr>
          <w:sdtContent>
            <w:p>
              <w:pPr>
                <w:widowControl w:val="0"/>
                <w:ind w:firstLine="567"/>
                <w:jc w:val="both"/>
                <w:rPr>
                  <w:lang w:eastAsia="lt-LT"/>
                </w:rPr>
              </w:pPr>
              <w:sdt>
                <w:sdtPr>
                  <w:alias w:val="Numeris"/>
                  <w:tag w:val="nr_7f30a5b1b7a24e9f8d7079758293199e"/>
                  <w:lock w:val="sdtLocked"/>
                  <w:richText/>
                </w:sdtPr>
                <w:sdtContent>
                  <w:r>
                    <w:rPr>
                      <w:lang w:eastAsia="lt-LT"/>
                    </w:rPr>
                    <w:t>1</w:t>
                  </w:r>
                </w:sdtContent>
              </w:sdt>
              <w:r>
                <w:rPr>
                  <w:lang w:eastAsia="lt-LT"/>
                </w:rPr>
                <w:t xml:space="preserve">. </w:t>
              </w:r>
              <w:r>
                <w:rPr>
                  <w:spacing w:val="60"/>
                  <w:lang w:eastAsia="lt-LT"/>
                </w:rPr>
                <w:t>Tvirtinu</w:t>
              </w:r>
              <w:r>
                <w:rPr>
                  <w:lang w:eastAsia="lt-LT"/>
                </w:rPr>
                <w:t xml:space="preserve"> Specialiosios žvejybos jūrų vandenyse taisykles (pridedama).</w:t>
              </w:r>
            </w:p>
          </w:sdtContent>
        </w:sdt>
        <w:sdt>
          <w:sdtPr>
            <w:alias w:val="2 p."/>
            <w:tag w:val="part_31aee9096c264cbf82bb1417b49a3dac"/>
            <w:lock w:val="sdtLocked"/>
            <w:richText/>
          </w:sdtPr>
          <w:sdtContent>
            <w:p>
              <w:pPr>
                <w:widowControl w:val="0"/>
                <w:ind w:firstLine="567"/>
                <w:jc w:val="both"/>
                <w:rPr>
                  <w:lang w:eastAsia="lt-LT"/>
                </w:rPr>
              </w:pPr>
              <w:sdt>
                <w:sdtPr>
                  <w:alias w:val="Numeris"/>
                  <w:tag w:val="nr_31aee9096c264cbf82bb1417b49a3dac"/>
                  <w:lock w:val="sdtLocked"/>
                  <w:richText/>
                </w:sdtPr>
                <w:sdtContent>
                  <w:r>
                    <w:rPr>
                      <w:lang w:eastAsia="lt-LT"/>
                    </w:rPr>
                    <w:t>2</w:t>
                  </w:r>
                </w:sdtContent>
              </w:sdt>
              <w:r>
                <w:rPr>
                  <w:lang w:eastAsia="lt-LT"/>
                </w:rPr>
                <w:t xml:space="preserve">. </w:t>
              </w:r>
              <w:r>
                <w:rPr>
                  <w:spacing w:val="60"/>
                  <w:lang w:eastAsia="lt-LT"/>
                </w:rPr>
                <w:t>Nustata</w:t>
              </w:r>
              <w:r>
                <w:rPr>
                  <w:lang w:eastAsia="lt-LT"/>
                </w:rPr>
                <w:t>u, kad šis įsakymas įsigalioja nuo 2009 m. sausio 1 d.</w:t>
              </w:r>
            </w:p>
          </w:sdtContent>
        </w:sdt>
        <w:sdt>
          <w:sdtPr>
            <w:alias w:val="signatura"/>
            <w:tag w:val="part_00218b6db6d649c29b173ab45367f2a7"/>
            <w:lock w:val="sdtLocked"/>
            <w:richText/>
          </w:sdtPr>
          <w:sdtContent>
            <w:p>
              <w:pPr>
                <w:rPr>
                  <w:lang w:eastAsia="lt-LT"/>
                </w:rPr>
              </w:pPr>
            </w:p>
            <w:p>
              <w:pPr>
                <w:rPr>
                  <w:lang w:eastAsia="lt-LT"/>
                </w:rPr>
              </w:pPr>
            </w:p>
            <w:p>
              <w:pPr>
                <w:rPr>
                  <w:lang w:eastAsia="lt-LT"/>
                </w:rPr>
              </w:pPr>
            </w:p>
            <w:p>
              <w:pPr>
                <w:widowControl w:val="0"/>
                <w:tabs>
                  <w:tab w:val="right" w:pos="9071"/>
                </w:tabs>
                <w:rPr>
                  <w:lang w:eastAsia="lt-LT"/>
                </w:rPr>
              </w:pPr>
              <w:r>
                <w:rPr>
                  <w:lang w:eastAsia="lt-LT"/>
                </w:rPr>
                <w:t>L. E. P. ŽEMĖS ŪKIO MINISTRĖ</w:t>
                <w:tab/>
                <w:t>KAZIMIRA DANUTĖ PRUNSKIENĖ</w:t>
              </w:r>
            </w:p>
            <w:p>
              <w:pPr>
                <w:rPr>
                  <w:lang w:eastAsia="lt-LT"/>
                </w:rPr>
              </w:pPr>
            </w:p>
            <w:p>
              <w:pPr>
                <w:ind w:left="567"/>
                <w:rPr>
                  <w:lang w:eastAsia="lt-LT"/>
                </w:rPr>
              </w:pPr>
              <w:r>
                <w:rPr>
                  <w:lang w:eastAsia="lt-LT"/>
                </w:rPr>
                <w:t>SUDERINTA</w:t>
              </w:r>
            </w:p>
            <w:p>
              <w:pPr>
                <w:ind w:left="567"/>
                <w:rPr>
                  <w:lang w:eastAsia="lt-LT"/>
                </w:rPr>
              </w:pPr>
              <w:r>
                <w:rPr>
                  <w:lang w:eastAsia="lt-LT"/>
                </w:rPr>
                <w:t>Lietuvos Respublikos aplinkos ministerijos</w:t>
              </w:r>
            </w:p>
            <w:p>
              <w:pPr>
                <w:ind w:left="567"/>
                <w:rPr>
                  <w:lang w:eastAsia="lt-LT"/>
                </w:rPr>
              </w:pPr>
              <w:r>
                <w:rPr>
                  <w:lang w:eastAsia="lt-LT"/>
                </w:rPr>
                <w:t>2008-10-21 raštu Nr. (11-2)-D8-9093</w:t>
              </w:r>
            </w:p>
          </w:sdtContent>
        </w:sdt>
      </w:sdtContent>
    </w:sdt>
    <w:sdt>
      <w:sdtPr>
        <w:alias w:val="patvirtinta"/>
        <w:tag w:val="part_62eda4527adb463b85544a7f1646f6b1"/>
        <w:lock w:val="sdtLocked"/>
        <w:richText/>
      </w:sdtPr>
      <w:sdtContent>
        <w:p>
          <w:pPr>
            <w:overflowPunct w:val="0"/>
            <w:jc w:val="both"/>
            <w:textAlignment w:val="baseline"/>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overflowPunct w:val="0"/>
            <w:ind w:firstLine="4962"/>
            <w:jc w:val="both"/>
            <w:textAlignment w:val="baseline"/>
            <w:rPr>
              <w:b/>
              <w:bCs/>
              <w:lang w:val="pt-BR"/>
            </w:rPr>
          </w:pPr>
          <w:r>
            <w:rPr>
              <w:lang w:val="pt-BR"/>
            </w:rPr>
            <w:t>PATVIRTINTA</w:t>
          </w:r>
        </w:p>
        <w:p>
          <w:pPr>
            <w:overflowPunct w:val="0"/>
            <w:ind w:firstLine="4962"/>
            <w:jc w:val="both"/>
            <w:textAlignment w:val="baseline"/>
            <w:rPr>
              <w:lang w:val="pt-BR"/>
            </w:rPr>
          </w:pPr>
          <w:r>
            <w:rPr>
              <w:lang w:val="pt-BR"/>
            </w:rPr>
            <w:t>Lietuvos Respublikos žemės ūkio ministro</w:t>
          </w:r>
        </w:p>
        <w:p>
          <w:pPr>
            <w:overflowPunct w:val="0"/>
            <w:ind w:firstLine="4962"/>
            <w:jc w:val="both"/>
            <w:textAlignment w:val="baseline"/>
            <w:rPr>
              <w:lang w:val="pt-BR"/>
            </w:rPr>
          </w:pPr>
          <w:r>
            <w:rPr>
              <w:lang w:val="pt-BR"/>
            </w:rPr>
            <w:t xml:space="preserve">2008 m. lapkričio 24 d. įsakymu Nr. 3D-630 </w:t>
          </w:r>
        </w:p>
        <w:p>
          <w:pPr>
            <w:overflowPunct w:val="0"/>
            <w:ind w:firstLine="4962"/>
            <w:jc w:val="both"/>
            <w:textAlignment w:val="baseline"/>
            <w:rPr>
              <w:lang w:val="pt-BR"/>
            </w:rPr>
          </w:pPr>
          <w:r>
            <w:rPr>
              <w:lang w:val="pt-BR"/>
            </w:rPr>
            <w:t>(Lietuvos Respublikos žemės ūkio ministro</w:t>
          </w:r>
        </w:p>
        <w:p>
          <w:pPr>
            <w:overflowPunct w:val="0"/>
            <w:ind w:firstLine="4962"/>
            <w:jc w:val="both"/>
            <w:textAlignment w:val="baseline"/>
            <w:rPr>
              <w:lang w:val="pt-BR"/>
            </w:rPr>
          </w:pPr>
          <w:r>
            <w:rPr>
              <w:lang w:val="pt-BR"/>
            </w:rPr>
            <w:t>2014 m. liepos 2 d. įsakymo Nr. 3D-403</w:t>
          </w:r>
        </w:p>
        <w:p>
          <w:pPr>
            <w:overflowPunct w:val="0"/>
            <w:ind w:left="4320" w:firstLine="642"/>
            <w:jc w:val="both"/>
            <w:textAlignment w:val="baseline"/>
            <w:rPr>
              <w:lang w:val="pt-BR"/>
            </w:rPr>
          </w:pPr>
          <w:r>
            <w:rPr>
              <w:lang w:val="pt-BR"/>
            </w:rPr>
            <w:t>redakcija)</w:t>
          </w:r>
        </w:p>
        <w:p>
          <w:pPr>
            <w:overflowPunct w:val="0"/>
            <w:spacing w:line="276" w:lineRule="auto"/>
            <w:jc w:val="both"/>
            <w:textAlignment w:val="baseline"/>
            <w:rPr>
              <w:lang w:val="pt-BR"/>
            </w:rPr>
          </w:pPr>
        </w:p>
        <w:p>
          <w:pPr>
            <w:overflowPunct w:val="0"/>
            <w:spacing w:line="276" w:lineRule="auto"/>
            <w:jc w:val="center"/>
            <w:textAlignment w:val="baseline"/>
            <w:rPr>
              <w:b/>
              <w:sz w:val="22"/>
              <w:szCs w:val="22"/>
              <w:lang w:val="pt-BR"/>
            </w:rPr>
          </w:pPr>
          <w:sdt>
            <w:sdtPr>
              <w:alias w:val="Pavadinimas"/>
              <w:tag w:val="title_62eda4527adb463b85544a7f1646f6b1"/>
              <w:lock w:val="sdtLocked"/>
              <w:richText/>
            </w:sdtPr>
            <w:sdtContent>
              <w:r>
                <w:rPr>
                  <w:b/>
                  <w:sz w:val="22"/>
                  <w:szCs w:val="22"/>
                  <w:lang w:val="pt-BR"/>
                </w:rPr>
                <w:t>SPECIALIOSIOS ŽVEJYBOS JŪRŲ VANDENYSE TAISYKLĖS</w:t>
              </w:r>
            </w:sdtContent>
          </w:sdt>
        </w:p>
        <w:p>
          <w:pPr>
            <w:overflowPunct w:val="0"/>
            <w:spacing w:line="276" w:lineRule="auto"/>
            <w:jc w:val="center"/>
            <w:textAlignment w:val="baseline"/>
            <w:rPr>
              <w:b/>
              <w:sz w:val="22"/>
              <w:szCs w:val="22"/>
              <w:lang w:val="pt-BR"/>
            </w:rPr>
          </w:pPr>
        </w:p>
        <w:sdt>
          <w:sdtPr>
            <w:alias w:val="skyrius"/>
            <w:tag w:val="part_9371615fc50e4e6693fdb1980e6d48d6"/>
            <w:lock w:val="sdtLocked"/>
            <w:richText/>
          </w:sdtPr>
          <w:sdtContent>
            <w:p>
              <w:pPr>
                <w:overflowPunct w:val="0"/>
                <w:spacing w:line="276" w:lineRule="auto"/>
                <w:jc w:val="center"/>
                <w:textAlignment w:val="baseline"/>
                <w:rPr>
                  <w:b/>
                  <w:szCs w:val="24"/>
                </w:rPr>
              </w:pPr>
              <w:sdt>
                <w:sdtPr>
                  <w:alias w:val="Numeris"/>
                  <w:tag w:val="nr_9371615fc50e4e6693fdb1980e6d48d6"/>
                  <w:lock w:val="sdtLocked"/>
                  <w:richText/>
                </w:sdtPr>
                <w:sdtContent>
                  <w:r>
                    <w:rPr>
                      <w:b/>
                      <w:szCs w:val="24"/>
                    </w:rPr>
                    <w:t>I</w:t>
                  </w:r>
                </w:sdtContent>
              </w:sdt>
              <w:r>
                <w:rPr>
                  <w:b/>
                  <w:szCs w:val="24"/>
                </w:rPr>
                <w:t xml:space="preserve">. </w:t>
              </w:r>
              <w:sdt>
                <w:sdtPr>
                  <w:alias w:val="Pavadinimas"/>
                  <w:tag w:val="title_9371615fc50e4e6693fdb1980e6d48d6"/>
                  <w:lock w:val="sdtLocked"/>
                  <w:richText/>
                </w:sdtPr>
                <w:sdtContent>
                  <w:r>
                    <w:rPr>
                      <w:b/>
                      <w:szCs w:val="24"/>
                    </w:rPr>
                    <w:t>BENDROSIOS NUOSTATOS</w:t>
                  </w:r>
                </w:sdtContent>
              </w:sdt>
            </w:p>
            <w:p>
              <w:pPr>
                <w:overflowPunct w:val="0"/>
                <w:spacing w:line="276" w:lineRule="auto"/>
                <w:jc w:val="both"/>
                <w:textAlignment w:val="baseline"/>
                <w:rPr>
                  <w:spacing w:val="-1"/>
                  <w:szCs w:val="24"/>
                  <w:lang w:val="pt-BR"/>
                </w:rPr>
              </w:pPr>
            </w:p>
            <w:sdt>
              <w:sdtPr>
                <w:alias w:val="1 p."/>
                <w:tag w:val="part_0b73c77b329c4780a88f71da2c737e09"/>
                <w:lock w:val="sdtLocked"/>
                <w:richText/>
              </w:sdtPr>
              <w:sdtContent>
                <w:p>
                  <w:pPr>
                    <w:overflowPunct w:val="0"/>
                    <w:spacing w:line="360" w:lineRule="auto"/>
                    <w:ind w:firstLine="567"/>
                    <w:jc w:val="both"/>
                    <w:textAlignment w:val="baseline"/>
                    <w:rPr>
                      <w:szCs w:val="24"/>
                    </w:rPr>
                  </w:pPr>
                  <w:sdt>
                    <w:sdtPr>
                      <w:alias w:val="Numeris"/>
                      <w:tag w:val="nr_0b73c77b329c4780a88f71da2c737e09"/>
                      <w:lock w:val="sdtLocked"/>
                      <w:richText/>
                    </w:sdtPr>
                    <w:sdtContent>
                      <w:r>
                        <w:rPr>
                          <w:szCs w:val="24"/>
                        </w:rPr>
                        <w:t>1</w:t>
                      </w:r>
                    </w:sdtContent>
                  </w:sdt>
                  <w:r>
                    <w:rPr>
                      <w:szCs w:val="24"/>
                    </w:rPr>
                    <w:t>. Specialiosios žvejybos jūrų vandenyse taisyklės (toliau – taisyklės) nustato specialiosios žvejybos jūrų vandenyse (toliau – specialioji žvejyba) tvarką ir sąlygas, specialiosios žvejybos leidimų žvejoti jūrų vandenyse (toliau – leidimas) išdavimo, jų galiojimo sustabdymo, galiojimo sustabdymo panaikinimo ir leidimų galiojimo panaikinimo</w:t>
                  </w:r>
                  <w:r>
                    <w:rPr>
                      <w:b/>
                      <w:bCs/>
                      <w:szCs w:val="24"/>
                    </w:rPr>
                    <w:t xml:space="preserve"> </w:t>
                  </w:r>
                  <w:r>
                    <w:rPr>
                      <w:szCs w:val="24"/>
                    </w:rPr>
                    <w:t>bei duomenų apie vykdytą specialiąją žvejybą teikimo tvarką.</w:t>
                  </w:r>
                </w:p>
              </w:sdtContent>
            </w:sdt>
            <w:sdt>
              <w:sdtPr>
                <w:alias w:val="2 p."/>
                <w:tag w:val="part_a24e7238e18b42cdb1cc14169bc59fa1"/>
                <w:lock w:val="sdtLocked"/>
                <w:richText/>
              </w:sdtPr>
              <w:sdtContent>
                <w:p>
                  <w:pPr>
                    <w:spacing w:line="360" w:lineRule="auto"/>
                    <w:ind w:firstLine="567"/>
                    <w:jc w:val="both"/>
                    <w:rPr>
                      <w:szCs w:val="24"/>
                    </w:rPr>
                  </w:pPr>
                  <w:sdt>
                    <w:sdtPr>
                      <w:alias w:val="Numeris"/>
                      <w:tag w:val="nr_a24e7238e18b42cdb1cc14169bc59fa1"/>
                      <w:lock w:val="sdtLocked"/>
                      <w:richText/>
                    </w:sdtPr>
                    <w:sdtContent>
                      <w:r>
                        <w:rPr>
                          <w:szCs w:val="24"/>
                        </w:rPr>
                        <w:t>2</w:t>
                      </w:r>
                    </w:sdtContent>
                  </w:sdt>
                  <w:r>
                    <w:rPr>
                      <w:szCs w:val="24"/>
                    </w:rPr>
                    <w:t xml:space="preserve">. Šios taisyklės yra parengtos vadovaujantis Lietuvos Respublikos žuvininkystės įstatymo  21 straipsnio ir 1992 m. gegužės 21 d. Tarybos direktyvos 92/43/EEB dėl natūralių buveinių ir laukinės faunos bei floros apsaugos  su paskutiniais pakeitimais, padarytais 2013 m. gegužės 13 d. Tarybos direktyva 2013/17/ES,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40ac0b70d11eb8371ea260d59d64b">
                    <w:r w:rsidRPr="00532B9F">
                      <w:rPr>
                        <w:rFonts w:ascii="Times New Roman" w:eastAsia="MS Mincho" w:hAnsi="Times New Roman"/>
                        <w:sz w:val="20"/>
                        <w:i/>
                        <w:iCs/>
                        <w:color w:val="0000FF" w:themeColor="hyperlink"/>
                        <w:u w:val="single"/>
                      </w:rPr>
                      <w:t>3D-328</w:t>
                    </w:r>
                  </w:fldSimple>
                  <w:r>
                    <w:rPr>
                      <w:rFonts w:ascii="Times New Roman" w:eastAsia="MS Mincho" w:hAnsi="Times New Roman"/>
                      <w:sz w:val="20"/>
                      <w:i/>
                      <w:iCs/>
                    </w:rPr>
                    <w:t>,
2021-05-17,
paskelbta TAR 2021-05-17, i. k. 2021-10914            </w:t>
                  </w:r>
                </w:p>
                <w:p/>
              </w:sdtContent>
            </w:sdt>
            <w:sdt>
              <w:sdtPr>
                <w:alias w:val="3 p."/>
                <w:tag w:val="part_530dc443beb44ce8ab19d979afcc0ed9"/>
                <w:lock w:val="sdtLocked"/>
                <w:richText/>
              </w:sdtPr>
              <w:sdtContent>
                <w:p>
                  <w:pPr>
                    <w:overflowPunct w:val="0"/>
                    <w:spacing w:line="360" w:lineRule="auto"/>
                    <w:ind w:firstLine="567"/>
                    <w:jc w:val="both"/>
                    <w:textAlignment w:val="baseline"/>
                    <w:rPr>
                      <w:szCs w:val="24"/>
                    </w:rPr>
                  </w:pPr>
                  <w:sdt>
                    <w:sdtPr>
                      <w:alias w:val="Numeris"/>
                      <w:tag w:val="nr_530dc443beb44ce8ab19d979afcc0ed9"/>
                      <w:lock w:val="sdtLocked"/>
                      <w:richText/>
                    </w:sdtPr>
                    <w:sdtContent>
                      <w:r>
                        <w:rPr>
                          <w:szCs w:val="24"/>
                        </w:rPr>
                        <w:t>3</w:t>
                      </w:r>
                    </w:sdtContent>
                  </w:sdt>
                  <w:r>
                    <w:rPr>
                      <w:szCs w:val="24"/>
                    </w:rPr>
                    <w:t>. Šiose taisyklėse vartojamos sąvokos suprantamos taip, kaip jos apibrėžtos Žuvininkystės įstatyme ir kituose teisės aktuose.</w:t>
                  </w:r>
                </w:p>
                <w:p>
                  <w:pPr>
                    <w:overflowPunct w:val="0"/>
                    <w:spacing w:line="276" w:lineRule="auto"/>
                    <w:ind w:firstLine="567"/>
                    <w:jc w:val="both"/>
                    <w:textAlignment w:val="baseline"/>
                    <w:rPr>
                      <w:szCs w:val="24"/>
                    </w:rPr>
                  </w:pPr>
                </w:p>
              </w:sdtContent>
            </w:sdt>
          </w:sdtContent>
        </w:sdt>
        <w:sdt>
          <w:sdtPr>
            <w:alias w:val="skyrius"/>
            <w:tag w:val="part_0f9f24325cd0453a96adf673ffe56e07"/>
            <w:lock w:val="sdtLocked"/>
            <w:richText/>
          </w:sdtPr>
          <w:sdtContent>
            <w:p>
              <w:pPr>
                <w:overflowPunct w:val="0"/>
                <w:spacing w:line="276" w:lineRule="auto"/>
                <w:ind w:firstLine="567"/>
                <w:jc w:val="center"/>
                <w:textAlignment w:val="baseline"/>
                <w:rPr>
                  <w:b/>
                  <w:szCs w:val="24"/>
                </w:rPr>
              </w:pPr>
              <w:sdt>
                <w:sdtPr>
                  <w:alias w:val="Numeris"/>
                  <w:tag w:val="nr_0f9f24325cd0453a96adf673ffe56e07"/>
                  <w:lock w:val="sdtLocked"/>
                  <w:richText/>
                </w:sdtPr>
                <w:sdtContent>
                  <w:r>
                    <w:rPr>
                      <w:b/>
                      <w:szCs w:val="24"/>
                    </w:rPr>
                    <w:t>II</w:t>
                  </w:r>
                </w:sdtContent>
              </w:sdt>
              <w:r>
                <w:rPr>
                  <w:b/>
                  <w:szCs w:val="24"/>
                </w:rPr>
                <w:t xml:space="preserve">. </w:t>
              </w:r>
              <w:sdt>
                <w:sdtPr>
                  <w:alias w:val="Pavadinimas"/>
                  <w:tag w:val="title_0f9f24325cd0453a96adf673ffe56e07"/>
                  <w:lock w:val="sdtLocked"/>
                  <w:richText/>
                </w:sdtPr>
                <w:sdtContent>
                  <w:r>
                    <w:rPr>
                      <w:b/>
                      <w:szCs w:val="24"/>
                    </w:rPr>
                    <w:t>LEIDIMŲ IŠDAVIMAS</w:t>
                  </w:r>
                </w:sdtContent>
              </w:sdt>
            </w:p>
            <w:p>
              <w:pPr>
                <w:overflowPunct w:val="0"/>
                <w:spacing w:line="276" w:lineRule="auto"/>
                <w:ind w:firstLine="567"/>
                <w:jc w:val="both"/>
                <w:textAlignment w:val="baseline"/>
                <w:rPr>
                  <w:szCs w:val="24"/>
                </w:rPr>
              </w:pPr>
            </w:p>
            <w:sdt>
              <w:sdtPr>
                <w:alias w:val="4 p."/>
                <w:tag w:val="part_a88272f77be54e5a816d7028f7ff36e9"/>
                <w:lock w:val="sdtLocked"/>
                <w:richText/>
              </w:sdtPr>
              <w:sdtContent>
                <w:p>
                  <w:pPr>
                    <w:overflowPunct w:val="0"/>
                    <w:spacing w:line="360" w:lineRule="auto"/>
                    <w:ind w:firstLine="567"/>
                    <w:jc w:val="both"/>
                    <w:textAlignment w:val="baseline"/>
                    <w:rPr>
                      <w:szCs w:val="24"/>
                    </w:rPr>
                  </w:pPr>
                  <w:sdt>
                    <w:sdtPr>
                      <w:alias w:val="Numeris"/>
                      <w:tag w:val="nr_a88272f77be54e5a816d7028f7ff36e9"/>
                      <w:lock w:val="sdtLocked"/>
                      <w:richText/>
                    </w:sdtPr>
                    <w:sdtContent>
                      <w:r>
                        <w:rPr>
                          <w:szCs w:val="24"/>
                        </w:rPr>
                        <w:t>4</w:t>
                      </w:r>
                    </w:sdtContent>
                  </w:sdt>
                  <w:r>
                    <w:rPr>
                      <w:szCs w:val="24"/>
                    </w:rPr>
                    <w:t>. Leidimus pagal taisyklių 1 priede pateiktą formą išduoda, jų galiojimą sustabdo, galiojimo sustabdymą panaikina ir leidimų galiojimą panaikina Žuvininkystės tarnyba prie Lietuvos Respublikos žemės ūkio ministerijos (toliau – Žuvininkystės tarnyba) fiziniams ar juridiniams asmenims, atitinkantiems Žuvininkystės įstatymo 21 straipsnio 2 punkte nustatytas sąlygas (toliau – naudotojas).</w:t>
                  </w:r>
                </w:p>
              </w:sdtContent>
            </w:sdt>
            <w:sdt>
              <w:sdtPr>
                <w:alias w:val="5 p."/>
                <w:tag w:val="part_2f993b068c7a48cf84c4f99f2199ca63"/>
                <w:lock w:val="sdtLocked"/>
                <w:richText/>
              </w:sdtPr>
              <w:sdtContent>
                <w:p>
                  <w:pPr>
                    <w:overflowPunct w:val="0"/>
                    <w:spacing w:line="360" w:lineRule="auto"/>
                    <w:ind w:firstLine="567"/>
                    <w:jc w:val="both"/>
                    <w:textAlignment w:val="baseline"/>
                    <w:rPr>
                      <w:szCs w:val="24"/>
                    </w:rPr>
                  </w:pPr>
                  <w:sdt>
                    <w:sdtPr>
                      <w:alias w:val="Numeris"/>
                      <w:tag w:val="nr_2f993b068c7a48cf84c4f99f2199ca63"/>
                      <w:lock w:val="sdtLocked"/>
                      <w:richText/>
                    </w:sdtPr>
                    <w:sdtContent>
                      <w:r>
                        <w:rPr>
                          <w:szCs w:val="24"/>
                        </w:rPr>
                        <w:t>5</w:t>
                      </w:r>
                    </w:sdtContent>
                  </w:sdt>
                  <w:r>
                    <w:rPr>
                      <w:szCs w:val="24"/>
                    </w:rPr>
                    <w:t>. Naudotojai (išskyrus Žuvininkystės tarnybą), norėdami užsiimti specialiąja žvejyba, Žuvininkystės tarnybai tiesiogiai arba per Lietuvos Respublikos paslaugų įstatyme nurodytą kontaktinį centrą (toliau – kontaktinis centras) pateikia prašymą išduoti specialiosios žvejybos leidimą žvejoti jūrų vandenyse (toliau – prašymas), kuriame nurodo:</w:t>
                  </w:r>
                </w:p>
                <w:sdt>
                  <w:sdtPr>
                    <w:alias w:val="5.1 p."/>
                    <w:tag w:val="part_fde356ec3da14aa7939251a329974776"/>
                    <w:lock w:val="sdtLocked"/>
                    <w:richText/>
                  </w:sdtPr>
                  <w:sdtContent>
                    <w:p>
                      <w:pPr>
                        <w:overflowPunct w:val="0"/>
                        <w:spacing w:line="360" w:lineRule="auto"/>
                        <w:ind w:firstLine="567"/>
                        <w:jc w:val="both"/>
                        <w:textAlignment w:val="baseline"/>
                        <w:rPr>
                          <w:szCs w:val="24"/>
                        </w:rPr>
                      </w:pPr>
                      <w:sdt>
                        <w:sdtPr>
                          <w:alias w:val="Numeris"/>
                          <w:tag w:val="nr_fde356ec3da14aa7939251a329974776"/>
                          <w:lock w:val="sdtLocked"/>
                          <w:richText/>
                        </w:sdtPr>
                        <w:sdtContent>
                          <w:r>
                            <w:rPr>
                              <w:szCs w:val="24"/>
                            </w:rPr>
                            <w:t>5.1</w:t>
                          </w:r>
                        </w:sdtContent>
                      </w:sdt>
                      <w:r>
                        <w:rPr>
                          <w:szCs w:val="24"/>
                        </w:rPr>
                        <w:t>. žvejybos vietą (priekrantėje – žvejybos barų numerius, atvirojoje jūroje – žvejybos rajonus);</w:t>
                      </w:r>
                    </w:p>
                  </w:sdtContent>
                </w:sdt>
                <w:sdt>
                  <w:sdtPr>
                    <w:alias w:val="5.2 p."/>
                    <w:tag w:val="part_fcf7b7d4add340c1811cf07e819ee1a1"/>
                    <w:lock w:val="sdtLocked"/>
                    <w:richText/>
                  </w:sdtPr>
                  <w:sdtContent>
                    <w:p>
                      <w:pPr>
                        <w:overflowPunct w:val="0"/>
                        <w:spacing w:line="360" w:lineRule="auto"/>
                        <w:ind w:firstLine="567"/>
                        <w:jc w:val="both"/>
                        <w:textAlignment w:val="baseline"/>
                        <w:rPr>
                          <w:szCs w:val="24"/>
                        </w:rPr>
                      </w:pPr>
                      <w:sdt>
                        <w:sdtPr>
                          <w:alias w:val="Numeris"/>
                          <w:tag w:val="nr_fcf7b7d4add340c1811cf07e819ee1a1"/>
                          <w:lock w:val="sdtLocked"/>
                          <w:richText/>
                        </w:sdtPr>
                        <w:sdtContent>
                          <w:r>
                            <w:rPr>
                              <w:szCs w:val="24"/>
                            </w:rPr>
                            <w:t>5.2</w:t>
                          </w:r>
                        </w:sdtContent>
                      </w:sdt>
                      <w:r>
                        <w:rPr>
                          <w:szCs w:val="24"/>
                        </w:rPr>
                        <w:t>. reikalingą sugauti žuvų kiekį pagal rūšis (moksliniams tyrimams žuvų išteklių būklei įvertinti ar stebėsenai vietoje žuvų kiekio pagal rūšis gali būti nurodomas žvejybos dienų arba žvejybos įrankių panaudojimo kartų skaičius);</w:t>
                      </w:r>
                    </w:p>
                  </w:sdtContent>
                </w:sdt>
                <w:sdt>
                  <w:sdtPr>
                    <w:alias w:val="5.3 p."/>
                    <w:tag w:val="part_742a02dc88d94e3386d2e812b59284bc"/>
                    <w:lock w:val="sdtLocked"/>
                    <w:richText/>
                  </w:sdtPr>
                  <w:sdtContent>
                    <w:p>
                      <w:pPr>
                        <w:overflowPunct w:val="0"/>
                        <w:spacing w:line="360" w:lineRule="auto"/>
                        <w:ind w:firstLine="567"/>
                        <w:jc w:val="both"/>
                        <w:textAlignment w:val="baseline"/>
                        <w:rPr>
                          <w:szCs w:val="24"/>
                        </w:rPr>
                      </w:pPr>
                      <w:sdt>
                        <w:sdtPr>
                          <w:alias w:val="Numeris"/>
                          <w:tag w:val="nr_742a02dc88d94e3386d2e812b59284bc"/>
                          <w:lock w:val="sdtLocked"/>
                          <w:richText/>
                        </w:sdtPr>
                        <w:sdtContent>
                          <w:r>
                            <w:rPr>
                              <w:szCs w:val="24"/>
                            </w:rPr>
                            <w:t>5.3</w:t>
                          </w:r>
                        </w:sdtContent>
                      </w:sdt>
                      <w:r>
                        <w:rPr>
                          <w:szCs w:val="24"/>
                        </w:rPr>
                        <w:t>. žvejybos tikslą;</w:t>
                      </w:r>
                    </w:p>
                  </w:sdtContent>
                </w:sdt>
                <w:sdt>
                  <w:sdtPr>
                    <w:alias w:val="5.4 p."/>
                    <w:tag w:val="part_67bc860aa5184024b2da7f55294a4372"/>
                    <w:lock w:val="sdtLocked"/>
                    <w:richText/>
                  </w:sdtPr>
                  <w:sdtContent>
                    <w:p>
                      <w:pPr>
                        <w:overflowPunct w:val="0"/>
                        <w:spacing w:line="360" w:lineRule="auto"/>
                        <w:ind w:firstLine="567"/>
                        <w:jc w:val="both"/>
                        <w:textAlignment w:val="baseline"/>
                        <w:rPr>
                          <w:szCs w:val="24"/>
                        </w:rPr>
                      </w:pPr>
                      <w:sdt>
                        <w:sdtPr>
                          <w:alias w:val="Numeris"/>
                          <w:tag w:val="nr_67bc860aa5184024b2da7f55294a4372"/>
                          <w:lock w:val="sdtLocked"/>
                          <w:richText/>
                        </w:sdtPr>
                        <w:sdtContent>
                          <w:r>
                            <w:rPr>
                              <w:szCs w:val="24"/>
                            </w:rPr>
                            <w:t>5.4</w:t>
                          </w:r>
                        </w:sdtContent>
                      </w:sdt>
                      <w:r>
                        <w:rPr>
                          <w:szCs w:val="24"/>
                        </w:rPr>
                        <w:t>. darbų reikalingumo bei pageidaujamo sugauti žuvų kiekio pagrindimą;</w:t>
                      </w:r>
                    </w:p>
                  </w:sdtContent>
                </w:sdt>
                <w:sdt>
                  <w:sdtPr>
                    <w:alias w:val="5.5 p."/>
                    <w:tag w:val="part_637e466818674502b879921e8356866a"/>
                    <w:lock w:val="sdtLocked"/>
                    <w:richText/>
                  </w:sdtPr>
                  <w:sdtContent>
                    <w:p>
                      <w:pPr>
                        <w:overflowPunct w:val="0"/>
                        <w:spacing w:line="360" w:lineRule="auto"/>
                        <w:ind w:firstLine="567"/>
                        <w:jc w:val="both"/>
                        <w:textAlignment w:val="baseline"/>
                        <w:rPr>
                          <w:szCs w:val="24"/>
                        </w:rPr>
                      </w:pPr>
                      <w:sdt>
                        <w:sdtPr>
                          <w:alias w:val="Numeris"/>
                          <w:tag w:val="nr_637e466818674502b879921e8356866a"/>
                          <w:lock w:val="sdtLocked"/>
                          <w:richText/>
                        </w:sdtPr>
                        <w:sdtContent>
                          <w:r>
                            <w:rPr>
                              <w:szCs w:val="24"/>
                            </w:rPr>
                            <w:t>5.5</w:t>
                          </w:r>
                        </w:sdtContent>
                      </w:sdt>
                      <w:r>
                        <w:rPr>
                          <w:szCs w:val="24"/>
                        </w:rPr>
                        <w:t>. numatomus žvejybai naudoti įrankius (tipą, kiekį, ilgį, akių dydį, kabliukų skaičių);</w:t>
                      </w:r>
                    </w:p>
                  </w:sdtContent>
                </w:sdt>
                <w:sdt>
                  <w:sdtPr>
                    <w:alias w:val="5.6 p."/>
                    <w:tag w:val="part_fc6ff5205f9d44cf911101b28c7e6576"/>
                    <w:lock w:val="sdtLocked"/>
                    <w:richText/>
                  </w:sdtPr>
                  <w:sdtContent>
                    <w:p>
                      <w:pPr>
                        <w:overflowPunct w:val="0"/>
                        <w:spacing w:line="360" w:lineRule="auto"/>
                        <w:ind w:firstLine="567"/>
                        <w:jc w:val="both"/>
                        <w:textAlignment w:val="baseline"/>
                        <w:rPr>
                          <w:szCs w:val="24"/>
                        </w:rPr>
                      </w:pPr>
                      <w:sdt>
                        <w:sdtPr>
                          <w:alias w:val="Numeris"/>
                          <w:tag w:val="nr_fc6ff5205f9d44cf911101b28c7e6576"/>
                          <w:lock w:val="sdtLocked"/>
                          <w:richText/>
                        </w:sdtPr>
                        <w:sdtContent>
                          <w:r>
                            <w:rPr>
                              <w:szCs w:val="24"/>
                            </w:rPr>
                            <w:t>5.6</w:t>
                          </w:r>
                        </w:sdtContent>
                      </w:sdt>
                      <w:r>
                        <w:rPr>
                          <w:szCs w:val="24"/>
                        </w:rPr>
                        <w:t>. pageidaujamą žvejybos laiką;</w:t>
                      </w:r>
                    </w:p>
                  </w:sdtContent>
                </w:sdt>
                <w:sdt>
                  <w:sdtPr>
                    <w:alias w:val="5.7 p."/>
                    <w:tag w:val="part_3e769839f9e54cb594ea8b58b59f38ed"/>
                    <w:lock w:val="sdtLocked"/>
                    <w:richText/>
                  </w:sdtPr>
                  <w:sdtContent>
                    <w:p>
                      <w:pPr>
                        <w:overflowPunct w:val="0"/>
                        <w:spacing w:line="360" w:lineRule="auto"/>
                        <w:ind w:firstLine="567"/>
                        <w:jc w:val="both"/>
                        <w:textAlignment w:val="baseline"/>
                        <w:rPr>
                          <w:szCs w:val="24"/>
                        </w:rPr>
                      </w:pPr>
                      <w:sdt>
                        <w:sdtPr>
                          <w:alias w:val="Numeris"/>
                          <w:tag w:val="nr_3e769839f9e54cb594ea8b58b59f38ed"/>
                          <w:lock w:val="sdtLocked"/>
                          <w:richText/>
                        </w:sdtPr>
                        <w:sdtContent>
                          <w:r>
                            <w:rPr>
                              <w:szCs w:val="24"/>
                            </w:rPr>
                            <w:t>5.7</w:t>
                          </w:r>
                        </w:sdtContent>
                      </w:sdt>
                      <w:r>
                        <w:rPr>
                          <w:szCs w:val="24"/>
                        </w:rPr>
                        <w:t>. atsakingų už žvejybą asmenų vardus, pavardes, pareigas.</w:t>
                      </w:r>
                    </w:p>
                  </w:sdtContent>
                </w:sdt>
              </w:sdtContent>
            </w:sdt>
            <w:sdt>
              <w:sdtPr>
                <w:alias w:val="6 p."/>
                <w:tag w:val="part_d19148aff5be41898c0ac8c94d302324"/>
                <w:lock w:val="sdtLocked"/>
                <w:richText/>
              </w:sdtPr>
              <w:sdtContent>
                <w:p>
                  <w:pPr>
                    <w:overflowPunct w:val="0"/>
                    <w:spacing w:line="360" w:lineRule="auto"/>
                    <w:ind w:firstLine="567"/>
                    <w:jc w:val="both"/>
                    <w:textAlignment w:val="baseline"/>
                    <w:rPr>
                      <w:spacing w:val="-1"/>
                      <w:szCs w:val="24"/>
                    </w:rPr>
                  </w:pPr>
                  <w:sdt>
                    <w:sdtPr>
                      <w:alias w:val="Numeris"/>
                      <w:tag w:val="nr_d19148aff5be41898c0ac8c94d302324"/>
                      <w:lock w:val="sdtLocked"/>
                      <w:richText/>
                    </w:sdtPr>
                    <w:sdtContent>
                      <w:r>
                        <w:rPr>
                          <w:spacing w:val="-1"/>
                          <w:szCs w:val="24"/>
                        </w:rPr>
                        <w:t>6</w:t>
                      </w:r>
                    </w:sdtContent>
                  </w:sdt>
                  <w:r>
                    <w:rPr>
                      <w:spacing w:val="-1"/>
                      <w:szCs w:val="24"/>
                    </w:rPr>
                    <w:t>. Naudotojai kartu su taisyklių 5 punkte nurodytu prašymu papildomai pateikia sutarties dėl darbų atlikimo, sudarytos su juridiniu ar fiziniu asmeniu, kuris vykdys specialiąją žvejybą (toliau – vykdytojas), kopiją, kai šią žvejybą vykdo ne pats naudotojas. Naudotojo atliekamoje specialiojoje žvejyboje gali dalyvauti tik naudotojas ir jo įmonėje (įstaigoje) dirbantys (besimokantys) asmenys. Vykdytojo atliekamoje specialiojoje žvejyboje gali dalyvauti tik vykdytojas ir naudotojas bei jų įmonėse (įstaigose) dirbantys (besimokantys) asmenys.</w:t>
                  </w:r>
                </w:p>
              </w:sdtContent>
            </w:sdt>
            <w:sdt>
              <w:sdtPr>
                <w:alias w:val="7 p."/>
                <w:tag w:val="part_fe9aa632f0d343df8446309590569351"/>
                <w:lock w:val="sdtLocked"/>
                <w:richText/>
              </w:sdtPr>
              <w:sdtContent>
                <w:p>
                  <w:pPr>
                    <w:overflowPunct w:val="0"/>
                    <w:spacing w:line="360" w:lineRule="auto"/>
                    <w:ind w:firstLine="567"/>
                    <w:jc w:val="both"/>
                    <w:textAlignment w:val="baseline"/>
                    <w:rPr>
                      <w:szCs w:val="24"/>
                    </w:rPr>
                  </w:pPr>
                  <w:sdt>
                    <w:sdtPr>
                      <w:alias w:val="Numeris"/>
                      <w:tag w:val="nr_fe9aa632f0d343df8446309590569351"/>
                      <w:lock w:val="sdtLocked"/>
                      <w:richText/>
                    </w:sdtPr>
                    <w:sdtContent>
                      <w:r>
                        <w:rPr>
                          <w:szCs w:val="24"/>
                        </w:rPr>
                        <w:t>7</w:t>
                      </w:r>
                    </w:sdtContent>
                  </w:sdt>
                  <w:r>
                    <w:rPr>
                      <w:szCs w:val="24"/>
                    </w:rPr>
                    <w:t>. Žuvininkystės tarnyba, norėdama užsiimti specialiąja žvejyba, taisyklių 5 ir 6 punktuose nurodytus dokumentus pateikia Lietuvos Respublikos žemės ūkio ministerijai (toliau – Žemės ūkio ministerija), kuri raštu informuoja Žuvininkystės tarnybą apie pritarimą ar nepritarimą, kad leidimas būtų išduotas Žuvininkystės tarnybai.</w:t>
                  </w:r>
                </w:p>
              </w:sdtContent>
            </w:sdt>
            <w:sdt>
              <w:sdtPr>
                <w:alias w:val="8 p."/>
                <w:tag w:val="part_9886f58b705f4b6292a709aa0947334d"/>
                <w:lock w:val="sdtLocked"/>
                <w:richText/>
              </w:sdtPr>
              <w:sdtContent>
                <w:p>
                  <w:pPr>
                    <w:overflowPunct w:val="0"/>
                    <w:spacing w:line="360" w:lineRule="auto"/>
                    <w:ind w:firstLine="567"/>
                    <w:jc w:val="both"/>
                    <w:textAlignment w:val="baseline"/>
                    <w:rPr>
                      <w:szCs w:val="24"/>
                    </w:rPr>
                  </w:pPr>
                  <w:sdt>
                    <w:sdtPr>
                      <w:alias w:val="Numeris"/>
                      <w:tag w:val="nr_9886f58b705f4b6292a709aa0947334d"/>
                      <w:lock w:val="sdtLocked"/>
                      <w:richText/>
                    </w:sdtPr>
                    <w:sdtContent>
                      <w:r>
                        <w:rPr>
                          <w:szCs w:val="24"/>
                        </w:rPr>
                        <w:t>8</w:t>
                      </w:r>
                    </w:sdtContent>
                  </w:sdt>
                  <w:r>
                    <w:rPr>
                      <w:szCs w:val="24"/>
                    </w:rPr>
                    <w:t>. Žuvininkystės tarnyba per 5 darbo dienas nuo taisyklių 5 punkte nurodytų dokumentų gavimo dienos išsiunčia naudotojui patvirtinimą apie gautus dokumentus. Sprendimai dėl leidimų išdavimo, o taisyklių 7 punkte nurodytu atveju – sprendimai dėl pritarimo ar nepritarimo leidimų išdavimui priimami ne vėliau kaip per 10 darbo dienų nuo taisyklių 5 ir 6 punktuose nurodytų dokumentų gavimo dienos. Apie sprendimą neišduoti leidimo (taisyklių 7 punkte nurodytu atveju – apie sprendimą nepritarti, kad leidimas būtų išduotas) naudotojas informuojamas tokiu būdu, kokiu buvo gauti dokumentai leidimui išduoti, arba kitu naudotojo prašyme nurodytu būdu, nurodant leidimo neišdavimo priežastis.</w:t>
                  </w:r>
                </w:p>
              </w:sdtContent>
            </w:sdt>
            <w:sdt>
              <w:sdtPr>
                <w:alias w:val="9 p."/>
                <w:tag w:val="part_0f59ffd05d8e4143a8a1d3c82df0d0bb"/>
                <w:lock w:val="sdtLocked"/>
                <w:richText/>
              </w:sdtPr>
              <w:sdtContent>
                <w:p>
                  <w:pPr>
                    <w:overflowPunct w:val="0"/>
                    <w:spacing w:line="360" w:lineRule="auto"/>
                    <w:ind w:firstLine="567"/>
                    <w:jc w:val="both"/>
                    <w:textAlignment w:val="baseline"/>
                    <w:rPr>
                      <w:szCs w:val="24"/>
                    </w:rPr>
                  </w:pPr>
                  <w:sdt>
                    <w:sdtPr>
                      <w:alias w:val="Numeris"/>
                      <w:tag w:val="nr_0f59ffd05d8e4143a8a1d3c82df0d0bb"/>
                      <w:lock w:val="sdtLocked"/>
                      <w:richText/>
                    </w:sdtPr>
                    <w:sdtContent>
                      <w:r>
                        <w:rPr>
                          <w:szCs w:val="24"/>
                        </w:rPr>
                        <w:t>9</w:t>
                      </w:r>
                    </w:sdtContent>
                  </w:sdt>
                  <w:r>
                    <w:rPr>
                      <w:szCs w:val="24"/>
                    </w:rPr>
                    <w:t>. Leidimai išduodami ne vėliau kaip per 10 darbo dienų nuo taisyklių 5 ir 6 punktuose nurodytų dokumentų gavimo dienos.</w:t>
                  </w:r>
                </w:p>
              </w:sdtContent>
            </w:sdt>
            <w:sdt>
              <w:sdtPr>
                <w:alias w:val="10 p."/>
                <w:tag w:val="part_f063d47fae9e40e696a9fc162ac6e204"/>
                <w:lock w:val="sdtLocked"/>
                <w:richText/>
              </w:sdtPr>
              <w:sdtContent>
                <w:p>
                  <w:pPr>
                    <w:overflowPunct w:val="0"/>
                    <w:spacing w:line="360" w:lineRule="auto"/>
                    <w:ind w:firstLine="567"/>
                    <w:jc w:val="both"/>
                    <w:textAlignment w:val="baseline"/>
                    <w:rPr>
                      <w:szCs w:val="24"/>
                    </w:rPr>
                  </w:pPr>
                  <w:sdt>
                    <w:sdtPr>
                      <w:alias w:val="Numeris"/>
                      <w:tag w:val="nr_f063d47fae9e40e696a9fc162ac6e204"/>
                      <w:lock w:val="sdtLocked"/>
                      <w:richText/>
                    </w:sdtPr>
                    <w:sdtContent>
                      <w:r>
                        <w:rPr>
                          <w:szCs w:val="24"/>
                        </w:rPr>
                        <w:t>10</w:t>
                      </w:r>
                    </w:sdtContent>
                  </w:sdt>
                  <w:r>
                    <w:rPr>
                      <w:szCs w:val="24"/>
                    </w:rPr>
                    <w:t>. Leidimas neišduodamas, jei:</w:t>
                  </w:r>
                </w:p>
                <w:sdt>
                  <w:sdtPr>
                    <w:alias w:val="10.1 p."/>
                    <w:tag w:val="part_60710f117d5d409a92395b9868fcfca3"/>
                    <w:lock w:val="sdtLocked"/>
                    <w:richText/>
                  </w:sdtPr>
                  <w:sdtContent>
                    <w:p>
                      <w:pPr>
                        <w:overflowPunct w:val="0"/>
                        <w:spacing w:line="360" w:lineRule="auto"/>
                        <w:ind w:firstLine="567"/>
                        <w:jc w:val="both"/>
                        <w:textAlignment w:val="baseline"/>
                        <w:rPr>
                          <w:szCs w:val="24"/>
                        </w:rPr>
                      </w:pPr>
                      <w:sdt>
                        <w:sdtPr>
                          <w:alias w:val="Numeris"/>
                          <w:tag w:val="nr_60710f117d5d409a92395b9868fcfca3"/>
                          <w:lock w:val="sdtLocked"/>
                          <w:richText/>
                        </w:sdtPr>
                        <w:sdtContent>
                          <w:r>
                            <w:rPr>
                              <w:szCs w:val="24"/>
                            </w:rPr>
                            <w:t>10.1</w:t>
                          </w:r>
                        </w:sdtContent>
                      </w:sdt>
                      <w:r>
                        <w:rPr>
                          <w:szCs w:val="24"/>
                        </w:rPr>
                        <w:t>. taisyklių 5 ir 6 punktuose nurodyti dokumentai yra netinkamai parengti, išskyrus atvejus, kai neatitikimas yra mažareikšmis, kaip nurodyta Žuvininkystės įstatymo 21 straipsnio 11 dalyje. Tokiu atveju gali būti pateikiama žodinė pastaba arba rašytinis nurodymas ir nustatomas protingas terminas pažeidimams pašalinti, kuris, atsižvelgiant į objektyvias aplinkybes, gali būti pratęstas:</w:t>
                      </w:r>
                    </w:p>
                  </w:sdtContent>
                </w:sdt>
                <w:sdt>
                  <w:sdtPr>
                    <w:alias w:val="10.2 p."/>
                    <w:tag w:val="part_20a9d86a455c49d098fbd96e9313b1a2"/>
                    <w:lock w:val="sdtLocked"/>
                    <w:richText/>
                  </w:sdtPr>
                  <w:sdtContent>
                    <w:p>
                      <w:pPr>
                        <w:overflowPunct w:val="0"/>
                        <w:spacing w:line="360" w:lineRule="auto"/>
                        <w:ind w:firstLine="567"/>
                        <w:jc w:val="both"/>
                        <w:textAlignment w:val="baseline"/>
                        <w:rPr>
                          <w:szCs w:val="24"/>
                        </w:rPr>
                      </w:pPr>
                      <w:sdt>
                        <w:sdtPr>
                          <w:alias w:val="Numeris"/>
                          <w:tag w:val="nr_20a9d86a455c49d098fbd96e9313b1a2"/>
                          <w:lock w:val="sdtLocked"/>
                          <w:richText/>
                        </w:sdtPr>
                        <w:sdtContent>
                          <w:r>
                            <w:rPr>
                              <w:szCs w:val="24"/>
                            </w:rPr>
                            <w:t>10.2</w:t>
                          </w:r>
                        </w:sdtContent>
                      </w:sdt>
                      <w:r>
                        <w:rPr>
                          <w:szCs w:val="24"/>
                        </w:rPr>
                        <w:t>. darbų reikalingumas ir (arba) pageidaujamas sugauti žuvų kiekis nepakankamai pagrįsti;</w:t>
                      </w:r>
                    </w:p>
                  </w:sdtContent>
                </w:sdt>
                <w:sdt>
                  <w:sdtPr>
                    <w:alias w:val="10.3 p."/>
                    <w:tag w:val="part_4b0a316902b54a27ae8f30f9394783dd"/>
                    <w:lock w:val="sdtLocked"/>
                    <w:richText/>
                  </w:sdtPr>
                  <w:sdtContent>
                    <w:p>
                      <w:pPr>
                        <w:overflowPunct w:val="0"/>
                        <w:spacing w:line="360" w:lineRule="auto"/>
                        <w:ind w:firstLine="567"/>
                        <w:jc w:val="both"/>
                        <w:textAlignment w:val="baseline"/>
                        <w:rPr>
                          <w:szCs w:val="24"/>
                        </w:rPr>
                      </w:pPr>
                      <w:sdt>
                        <w:sdtPr>
                          <w:alias w:val="Numeris"/>
                          <w:tag w:val="nr_4b0a316902b54a27ae8f30f9394783dd"/>
                          <w:lock w:val="sdtLocked"/>
                          <w:richText/>
                        </w:sdtPr>
                        <w:sdtContent>
                          <w:r>
                            <w:rPr>
                              <w:szCs w:val="24"/>
                            </w:rPr>
                            <w:t>10.3</w:t>
                          </w:r>
                        </w:sdtContent>
                      </w:sdt>
                      <w:r>
                        <w:rPr>
                          <w:szCs w:val="24"/>
                        </w:rPr>
                        <w:t>. naudotojas už leidimo išdavimą nesumokėjo valstybės rinkliavos, nurodytos Konkrečių valstybės rinkliavų dydžių, patvirtintų Lietuvos Respublikos Vyriausybės 2000 m. gruodžio 15 d. nutarimu Nr. 1458 „Dėl konkrečių valstybės rinkliavos dydžių ir šios rinkliavos mokėjimo ir grąžinimo taisyklių patvirtinimo“ (toliau</w:t>
                      </w:r>
                      <w:r>
                        <w:rPr>
                          <w:szCs w:val="24"/>
                          <w:lang w:val="en-GB"/>
                        </w:rPr>
                        <w:t xml:space="preserve"> – </w:t>
                      </w:r>
                      <w:r>
                        <w:rPr>
                          <w:szCs w:val="24"/>
                        </w:rPr>
                        <w:t>Konkrečių valstybės rinkliavų dydžiai). 4.472</w:t>
                      </w:r>
                      <w:r>
                        <w:rPr>
                          <w:szCs w:val="24"/>
                          <w:vertAlign w:val="superscript"/>
                        </w:rPr>
                        <w:t>5</w:t>
                      </w:r>
                      <w:r>
                        <w:rPr>
                          <w:szCs w:val="24"/>
                        </w:rPr>
                        <w:t>.1 papunktyje.</w:t>
                      </w:r>
                    </w:p>
                    <w:p>
                      <w:pPr>
                        <w:overflowPunct w:val="0"/>
                        <w:spacing w:line="276" w:lineRule="auto"/>
                        <w:ind w:firstLine="567"/>
                        <w:jc w:val="both"/>
                        <w:textAlignment w:val="baseline"/>
                        <w:rPr>
                          <w:szCs w:val="24"/>
                        </w:rPr>
                      </w:pPr>
                    </w:p>
                  </w:sdtContent>
                </w:sdt>
              </w:sdtContent>
            </w:sdt>
          </w:sdtContent>
        </w:sdt>
        <w:sdt>
          <w:sdtPr>
            <w:alias w:val="skyrius"/>
            <w:tag w:val="part_7c75d230f31440da8f02295b8c219a07"/>
            <w:lock w:val="sdtLocked"/>
            <w:richText/>
          </w:sdtPr>
          <w:sdtContent>
            <w:p>
              <w:pPr>
                <w:overflowPunct w:val="0"/>
                <w:spacing w:line="276" w:lineRule="auto"/>
                <w:ind w:firstLine="567"/>
                <w:jc w:val="center"/>
                <w:textAlignment w:val="baseline"/>
                <w:rPr>
                  <w:b/>
                  <w:szCs w:val="24"/>
                </w:rPr>
              </w:pPr>
              <w:sdt>
                <w:sdtPr>
                  <w:alias w:val="Numeris"/>
                  <w:tag w:val="nr_7c75d230f31440da8f02295b8c219a07"/>
                  <w:lock w:val="sdtLocked"/>
                  <w:richText/>
                </w:sdtPr>
                <w:sdtContent>
                  <w:r>
                    <w:rPr>
                      <w:b/>
                      <w:szCs w:val="24"/>
                    </w:rPr>
                    <w:t>III</w:t>
                  </w:r>
                </w:sdtContent>
              </w:sdt>
              <w:r>
                <w:rPr>
                  <w:b/>
                  <w:szCs w:val="24"/>
                </w:rPr>
                <w:t xml:space="preserve">. </w:t>
              </w:r>
              <w:sdt>
                <w:sdtPr>
                  <w:alias w:val="Pavadinimas"/>
                  <w:tag w:val="title_7c75d230f31440da8f02295b8c219a07"/>
                  <w:lock w:val="sdtLocked"/>
                  <w:richText/>
                </w:sdtPr>
                <w:sdtContent>
                  <w:r>
                    <w:rPr>
                      <w:b/>
                      <w:szCs w:val="24"/>
                    </w:rPr>
                    <w:t>SPECIALIOSIOS ŽVEJYBOS TVARKA</w:t>
                  </w:r>
                </w:sdtContent>
              </w:sdt>
            </w:p>
            <w:p>
              <w:pPr>
                <w:overflowPunct w:val="0"/>
                <w:spacing w:line="276" w:lineRule="auto"/>
                <w:ind w:firstLine="567"/>
                <w:jc w:val="center"/>
                <w:textAlignment w:val="baseline"/>
                <w:rPr>
                  <w:b/>
                  <w:szCs w:val="24"/>
                </w:rPr>
              </w:pPr>
            </w:p>
            <w:sdt>
              <w:sdtPr>
                <w:alias w:val="11 p."/>
                <w:tag w:val="part_1fa12f41e27642e6bdd53160c5850d85"/>
                <w:lock w:val="sdtLocked"/>
                <w:richText/>
              </w:sdtPr>
              <w:sdtContent>
                <w:p>
                  <w:pPr>
                    <w:overflowPunct w:val="0"/>
                    <w:spacing w:line="360" w:lineRule="auto"/>
                    <w:ind w:firstLine="567"/>
                    <w:jc w:val="both"/>
                    <w:textAlignment w:val="baseline"/>
                    <w:rPr>
                      <w:szCs w:val="24"/>
                    </w:rPr>
                  </w:pPr>
                  <w:sdt>
                    <w:sdtPr>
                      <w:alias w:val="Numeris"/>
                      <w:tag w:val="nr_1fa12f41e27642e6bdd53160c5850d85"/>
                      <w:lock w:val="sdtLocked"/>
                      <w:richText/>
                    </w:sdtPr>
                    <w:sdtContent>
                      <w:r>
                        <w:rPr>
                          <w:szCs w:val="24"/>
                        </w:rPr>
                        <w:t>11</w:t>
                      </w:r>
                    </w:sdtContent>
                  </w:sdt>
                  <w:r>
                    <w:rPr>
                      <w:szCs w:val="24"/>
                    </w:rPr>
                    <w:t>. Pasikeitus naudotojo teisinei formai, pavadinimui, už specialiąją žvejybą atsakingam asmeniui, naudotojo prašymu gali būti išduodamas leidimo patikslinimas (papildymas). Naudotojui praradus leidimą, naudotojo prašymu gali būti išduodamas leidimo dublikatas. Prašymai dėl leidimo patikslinimo (papildymo) ar dėl leidimo dublikato išdavimo teikiami taisyklių 5–7 punktuose nustatyta tvarka. Už leidimo patikslinimą (papildymą) arba dublikato išdavimą naudotojas privalo sumokėti Konkrečių valstybės rinkliavų dydžių 4.472</w:t>
                  </w:r>
                  <w:r>
                    <w:rPr>
                      <w:szCs w:val="24"/>
                      <w:vertAlign w:val="superscript"/>
                    </w:rPr>
                    <w:t>5</w:t>
                  </w:r>
                  <w:r>
                    <w:rPr>
                      <w:szCs w:val="24"/>
                    </w:rPr>
                    <w:t xml:space="preserve">.2 papunktyje  nurodytą valstybės rinkliavą.</w:t>
                  </w:r>
                </w:p>
              </w:sdtContent>
            </w:sdt>
            <w:sdt>
              <w:sdtPr>
                <w:alias w:val="12 p."/>
                <w:tag w:val="part_42305830f6e54502bced26e039aa2547"/>
                <w:lock w:val="sdtLocked"/>
                <w:richText/>
              </w:sdtPr>
              <w:sdtContent>
                <w:p>
                  <w:pPr>
                    <w:suppressAutoHyphens/>
                    <w:spacing w:line="360" w:lineRule="auto"/>
                    <w:ind w:firstLine="567"/>
                    <w:jc w:val="both"/>
                    <w:rPr>
                      <w:b/>
                      <w:color w:val="000000"/>
                      <w:szCs w:val="24"/>
                      <w:lang w:eastAsia="lt-LT"/>
                    </w:rPr>
                  </w:pPr>
                  <w:sdt>
                    <w:sdtPr>
                      <w:alias w:val="Numeris"/>
                      <w:tag w:val="nr_42305830f6e54502bced26e039aa2547"/>
                      <w:lock w:val="sdtLocked"/>
                      <w:richText/>
                    </w:sdtPr>
                    <w:sdtContent>
                      <w:r>
                        <w:rPr>
                          <w:color w:val="000000"/>
                          <w:szCs w:val="24"/>
                          <w:lang w:eastAsia="lt-LT"/>
                        </w:rPr>
                        <w:t>12</w:t>
                      </w:r>
                    </w:sdtContent>
                  </w:sdt>
                  <w:r>
                    <w:rPr>
                      <w:color w:val="000000"/>
                      <w:szCs w:val="24"/>
                      <w:lang w:eastAsia="lt-LT"/>
                    </w:rPr>
                    <w:t>. Leidimų galiojimas sustabdomas, galiojimo sustabdymas panaikinamas ir leidimų galiojimas panaikinamas Žuvininkystės įstatymo 21 straipsnio 8–11 dalyse nustatytais atvejais.</w:t>
                  </w:r>
                </w:p>
              </w:sdtContent>
            </w:sdt>
            <w:sdt>
              <w:sdtPr>
                <w:alias w:val="13 p."/>
                <w:tag w:val="part_4167877de6ad404ba36a3b5b9c6f89b0"/>
                <w:lock w:val="sdtLocked"/>
                <w:richText/>
              </w:sdtPr>
              <w:sdtContent>
                <w:p>
                  <w:pPr>
                    <w:overflowPunct w:val="0"/>
                    <w:spacing w:line="360" w:lineRule="auto"/>
                    <w:ind w:firstLine="567"/>
                    <w:jc w:val="both"/>
                    <w:textAlignment w:val="baseline"/>
                    <w:rPr>
                      <w:szCs w:val="24"/>
                    </w:rPr>
                  </w:pPr>
                  <w:sdt>
                    <w:sdtPr>
                      <w:alias w:val="Numeris"/>
                      <w:tag w:val="nr_4167877de6ad404ba36a3b5b9c6f89b0"/>
                      <w:lock w:val="sdtLocked"/>
                      <w:richText/>
                    </w:sdtPr>
                    <w:sdtContent>
                      <w:r>
                        <w:rPr>
                          <w:szCs w:val="24"/>
                        </w:rPr>
                        <w:t>13</w:t>
                      </w:r>
                    </w:sdtContent>
                  </w:sdt>
                  <w:r>
                    <w:rPr>
                      <w:szCs w:val="24"/>
                    </w:rPr>
                    <w:t>. Vykdant specialiąją žvejybą, būtina Žuvininkystės tarnybos nustatyta tvarka pildyti Žuvininkystės tarnybos išduodamą žvejybos žurnalą.</w:t>
                  </w:r>
                </w:p>
              </w:sdtContent>
            </w:sdt>
            <w:sdt>
              <w:sdtPr>
                <w:alias w:val="14 p."/>
                <w:tag w:val="part_49a8e537887248c3a7f16d8bf2bf2bc8"/>
                <w:lock w:val="sdtLocked"/>
                <w:richText/>
              </w:sdtPr>
              <w:sdtContent>
                <w:p>
                  <w:pPr>
                    <w:overflowPunct w:val="0"/>
                    <w:spacing w:line="360" w:lineRule="auto"/>
                    <w:ind w:firstLine="567"/>
                    <w:jc w:val="both"/>
                    <w:textAlignment w:val="baseline"/>
                    <w:rPr>
                      <w:szCs w:val="24"/>
                    </w:rPr>
                  </w:pPr>
                  <w:sdt>
                    <w:sdtPr>
                      <w:alias w:val="Numeris"/>
                      <w:tag w:val="nr_49a8e537887248c3a7f16d8bf2bf2bc8"/>
                      <w:lock w:val="sdtLocked"/>
                      <w:richText/>
                    </w:sdtPr>
                    <w:sdtContent>
                      <w:r>
                        <w:rPr>
                          <w:szCs w:val="24"/>
                        </w:rPr>
                        <w:t>14</w:t>
                      </w:r>
                    </w:sdtContent>
                  </w:sdt>
                  <w:r>
                    <w:rPr>
                      <w:szCs w:val="24"/>
                    </w:rPr>
                    <w:t xml:space="preserve">. Naudotojai (išskyrus Žuvininkystės tarnybą) arba vykdytojai ne vėliau kaip prieš 2 val.  iki kiekvieno specialiosios žvejybos reiso pradžios turi informuoti Žuvininkystės tarnybą raštu (elektroniniu paštu) arba telefonu apie planuojamą žvejybos vietą ir laiką. Gavusi pranešimą, Žuvininkystės tarnyba jį nustatyta tvarka registruoja.</w:t>
                  </w:r>
                </w:p>
              </w:sdtContent>
            </w:sdt>
            <w:sdt>
              <w:sdtPr>
                <w:alias w:val="15 p."/>
                <w:tag w:val="part_06a48c915d5b44f9855c8ee532abef0b"/>
                <w:lock w:val="sdtLocked"/>
                <w:richText/>
              </w:sdtPr>
              <w:sdtContent>
                <w:p>
                  <w:pPr>
                    <w:overflowPunct w:val="0"/>
                    <w:spacing w:line="360" w:lineRule="auto"/>
                    <w:ind w:firstLine="567"/>
                    <w:jc w:val="both"/>
                    <w:textAlignment w:val="baseline"/>
                    <w:rPr>
                      <w:szCs w:val="24"/>
                    </w:rPr>
                  </w:pPr>
                  <w:sdt>
                    <w:sdtPr>
                      <w:alias w:val="Numeris"/>
                      <w:tag w:val="nr_06a48c915d5b44f9855c8ee532abef0b"/>
                      <w:lock w:val="sdtLocked"/>
                      <w:richText/>
                    </w:sdtPr>
                    <w:sdtContent>
                      <w:r>
                        <w:rPr>
                          <w:szCs w:val="24"/>
                        </w:rPr>
                        <w:t>15</w:t>
                      </w:r>
                    </w:sdtContent>
                  </w:sdt>
                  <w:r>
                    <w:rPr>
                      <w:szCs w:val="24"/>
                    </w:rPr>
                    <w:t xml:space="preserve">. Pasibaigus leidimo galiojimo laikui, naudotojas (išskyrus Žuvininkystės tarnybą) per 10 d.  pateikia Žuvininkystės tarnybai Žuvų sugavimo ir panaudojimo pagal specialiosios žvejybos leidimą žvejoti jūrų vandenyse ataskaitą (2 priedas). Žuvininkystės tarnyba Žuvų sugavimo ir panaudojimo pagal specialiosios žvejybos leidimą žvejoti jūrų vandenyse ataskaitą šiame punkte nustatyta tvarka pateikia Žemės ūkio ministerijai.</w:t>
                  </w:r>
                </w:p>
                <w:p>
                  <w:pPr>
                    <w:overflowPunct w:val="0"/>
                    <w:spacing w:line="276" w:lineRule="auto"/>
                    <w:ind w:firstLine="567"/>
                    <w:jc w:val="both"/>
                    <w:textAlignment w:val="baseline"/>
                    <w:rPr>
                      <w:szCs w:val="24"/>
                    </w:rPr>
                  </w:pPr>
                </w:p>
              </w:sdtContent>
            </w:sdt>
          </w:sdtContent>
        </w:sdt>
        <w:sdt>
          <w:sdtPr>
            <w:alias w:val="skyrius"/>
            <w:tag w:val="part_7a8164a01bf8478783996719c5c11cc4"/>
            <w:lock w:val="sdtLocked"/>
            <w:richText/>
          </w:sdtPr>
          <w:sdtContent>
            <w:p>
              <w:pPr>
                <w:overflowPunct w:val="0"/>
                <w:spacing w:line="276" w:lineRule="auto"/>
                <w:ind w:firstLine="567"/>
                <w:jc w:val="center"/>
                <w:textAlignment w:val="baseline"/>
                <w:rPr>
                  <w:b/>
                  <w:szCs w:val="24"/>
                </w:rPr>
              </w:pPr>
              <w:sdt>
                <w:sdtPr>
                  <w:alias w:val="Numeris"/>
                  <w:tag w:val="nr_7a8164a01bf8478783996719c5c11cc4"/>
                  <w:lock w:val="sdtLocked"/>
                  <w:richText/>
                </w:sdtPr>
                <w:sdtContent>
                  <w:r>
                    <w:rPr>
                      <w:b/>
                      <w:szCs w:val="24"/>
                    </w:rPr>
                    <w:t>IV</w:t>
                  </w:r>
                </w:sdtContent>
              </w:sdt>
              <w:r>
                <w:rPr>
                  <w:b/>
                  <w:szCs w:val="24"/>
                </w:rPr>
                <w:t xml:space="preserve">. </w:t>
              </w:r>
              <w:sdt>
                <w:sdtPr>
                  <w:alias w:val="Pavadinimas"/>
                  <w:tag w:val="title_7a8164a01bf8478783996719c5c11cc4"/>
                  <w:lock w:val="sdtLocked"/>
                  <w:richText/>
                </w:sdtPr>
                <w:sdtContent>
                  <w:r>
                    <w:rPr>
                      <w:b/>
                      <w:szCs w:val="24"/>
                    </w:rPr>
                    <w:t>SUGAUTŲ ŽUVŲ NAUDOJIMAS</w:t>
                  </w:r>
                </w:sdtContent>
              </w:sdt>
            </w:p>
            <w:p>
              <w:pPr>
                <w:overflowPunct w:val="0"/>
                <w:spacing w:line="276" w:lineRule="auto"/>
                <w:ind w:firstLine="567"/>
                <w:jc w:val="both"/>
                <w:textAlignment w:val="baseline"/>
                <w:rPr>
                  <w:szCs w:val="24"/>
                </w:rPr>
              </w:pPr>
            </w:p>
            <w:sdt>
              <w:sdtPr>
                <w:alias w:val="16 p."/>
                <w:tag w:val="part_6449cc08cf024bdf9ad15e5cdfeb2da4"/>
                <w:lock w:val="sdtLocked"/>
                <w:richText/>
              </w:sdtPr>
              <w:sdtContent>
                <w:p>
                  <w:pPr>
                    <w:overflowPunct w:val="0"/>
                    <w:spacing w:line="360" w:lineRule="auto"/>
                    <w:ind w:firstLine="567"/>
                    <w:jc w:val="both"/>
                    <w:textAlignment w:val="baseline"/>
                    <w:rPr>
                      <w:szCs w:val="24"/>
                    </w:rPr>
                  </w:pPr>
                  <w:sdt>
                    <w:sdtPr>
                      <w:alias w:val="Numeris"/>
                      <w:tag w:val="nr_6449cc08cf024bdf9ad15e5cdfeb2da4"/>
                      <w:lock w:val="sdtLocked"/>
                      <w:richText/>
                    </w:sdtPr>
                    <w:sdtContent>
                      <w:r>
                        <w:rPr>
                          <w:szCs w:val="24"/>
                        </w:rPr>
                        <w:t>16</w:t>
                      </w:r>
                    </w:sdtContent>
                  </w:sdt>
                  <w:r>
                    <w:rPr>
                      <w:szCs w:val="24"/>
                    </w:rPr>
                    <w:t>. Specialiosios žvejybos metu sugautos žuvys, išskyrus draudžiamas sandėliuoti, vežti, perdirbti ar parduoti žuvis, atlikus mokslinius tyrimus ar kitus leidime nurodytus darbus, gali būti parduodamos vadovaujantis Pirminio žuvininkystės produktų pardavimo, supirkimo ir kontrolės taisyklėmis, patvirtintomis Lietuvos Respublikos žemės ūkio ministro.</w:t>
                  </w:r>
                </w:p>
              </w:sdtContent>
            </w:sdt>
            <w:sdt>
              <w:sdtPr>
                <w:alias w:val="17 p."/>
                <w:tag w:val="part_6f9ec737209c43e3baa87a0f83b739b0"/>
                <w:lock w:val="sdtLocked"/>
                <w:richText/>
              </w:sdtPr>
              <w:sdtContent>
                <w:p>
                  <w:pPr>
                    <w:overflowPunct w:val="0"/>
                    <w:spacing w:line="360" w:lineRule="auto"/>
                    <w:ind w:firstLine="567"/>
                    <w:jc w:val="both"/>
                    <w:textAlignment w:val="baseline"/>
                    <w:rPr>
                      <w:szCs w:val="24"/>
                    </w:rPr>
                  </w:pPr>
                  <w:sdt>
                    <w:sdtPr>
                      <w:alias w:val="Numeris"/>
                      <w:tag w:val="nr_6f9ec737209c43e3baa87a0f83b739b0"/>
                      <w:lock w:val="sdtLocked"/>
                      <w:richText/>
                    </w:sdtPr>
                    <w:sdtContent>
                      <w:r>
                        <w:rPr>
                          <w:szCs w:val="24"/>
                        </w:rPr>
                        <w:t>17</w:t>
                      </w:r>
                    </w:sdtContent>
                  </w:sdt>
                  <w:r>
                    <w:rPr>
                      <w:szCs w:val="24"/>
                    </w:rPr>
                    <w:t>. Specialiosios žvejybos metu sugautos draudžiamos sandėliuoti, vežti, perdirbti ar parduoti žuvys, atlikus mokslinius tyrimus ar kitus leidime nurodytus darbus, panaudojamos vadovaujantis Draudžiamų sandėliuoti, vežti, perdirbti ar parduoti žuvų ar žuvininkystės produktų panaudojimo taisyklėmis, patvirtintomis Lietuvos Respublikos žemės ūkio ministro.</w:t>
                  </w:r>
                </w:p>
                <w:p>
                  <w:pPr>
                    <w:overflowPunct w:val="0"/>
                    <w:spacing w:line="276" w:lineRule="auto"/>
                    <w:ind w:firstLine="567"/>
                    <w:jc w:val="both"/>
                    <w:textAlignment w:val="baseline"/>
                    <w:rPr>
                      <w:szCs w:val="24"/>
                    </w:rPr>
                  </w:pPr>
                </w:p>
              </w:sdtContent>
            </w:sdt>
          </w:sdtContent>
        </w:sdt>
        <w:sdt>
          <w:sdtPr>
            <w:alias w:val="skyrius"/>
            <w:tag w:val="part_f6f06ae4fc23451ca334a5dbaec3991e"/>
            <w:lock w:val="sdtLocked"/>
            <w:richText/>
          </w:sdtPr>
          <w:sdtContent>
            <w:p>
              <w:pPr>
                <w:spacing w:line="360" w:lineRule="auto"/>
                <w:jc w:val="center"/>
              </w:pPr>
              <w:sdt>
                <w:sdtPr>
                  <w:alias w:val="Numeris"/>
                  <w:tag w:val="nr_f6f06ae4fc23451ca334a5dbaec3991e"/>
                  <w:lock w:val="sdtLocked"/>
                  <w:richText/>
                </w:sdtPr>
                <w:sdtContent>
                  <w:r>
                    <w:rPr>
                      <w:b/>
                      <w:bCs/>
                      <w:szCs w:val="24"/>
                    </w:rPr>
                    <w:t>V</w:t>
                  </w:r>
                </w:sdtContent>
              </w:sdt>
              <w:r>
                <w:rPr>
                  <w:b/>
                  <w:bCs/>
                  <w:szCs w:val="24"/>
                </w:rPr>
                <w:t xml:space="preserve">. </w:t>
              </w:r>
              <w:sdt>
                <w:sdtPr>
                  <w:alias w:val="Pavadinimas"/>
                  <w:tag w:val="title_f6f06ae4fc23451ca334a5dbaec3991e"/>
                  <w:lock w:val="sdtLocked"/>
                  <w:richText/>
                </w:sdtPr>
                <w:sdtContent>
                  <w:r>
                    <w:rPr>
                      <w:b/>
                      <w:bCs/>
                      <w:szCs w:val="24"/>
                    </w:rPr>
                    <w:t>BAIGIAMOSIOS NUOSTATOS</w:t>
                  </w:r>
                </w:sdtContent>
              </w:sdt>
            </w:p>
            <w:p>
              <w:pPr>
                <w:spacing w:line="360" w:lineRule="auto"/>
                <w:jc w:val="center"/>
                <w:rPr>
                  <w:b/>
                  <w:bCs/>
                  <w:szCs w:val="24"/>
                </w:rPr>
              </w:pPr>
            </w:p>
            <w:sdt>
              <w:sdtPr>
                <w:alias w:val="18 p."/>
                <w:tag w:val="part_0e5377f3cba54c6db1e5f452114161d3"/>
                <w:lock w:val="sdtLocked"/>
                <w:richText/>
              </w:sdtPr>
              <w:sdtContent>
                <w:p>
                  <w:pPr>
                    <w:spacing w:line="360" w:lineRule="auto"/>
                    <w:ind w:firstLine="567"/>
                    <w:jc w:val="both"/>
                    <w:rPr>
                      <w:szCs w:val="24"/>
                    </w:rPr>
                  </w:pPr>
                  <w:sdt>
                    <w:sdtPr>
                      <w:alias w:val="Numeris"/>
                      <w:tag w:val="nr_0e5377f3cba54c6db1e5f452114161d3"/>
                      <w:lock w:val="sdtLocked"/>
                      <w:richText/>
                    </w:sdtPr>
                    <w:sdtContent>
                      <w:r>
                        <w:rPr>
                          <w:szCs w:val="24"/>
                        </w:rPr>
                        <w:t>18</w:t>
                      </w:r>
                    </w:sdtContent>
                  </w:sdt>
                  <w:r>
                    <w:rPr>
                      <w:szCs w:val="24"/>
                    </w:rPr>
                    <w:t>. Žuvų, kurioms nustatomos kvotos, specialioji žvejyba turi būti vykdoma nepažeidžiant 2009 m. lapkričio 20 d. Tarybos reglamento (EB) Nr. 1224/2009, nustatančio Bendrijos kontrolės sistemą, kuria užtikrinamas bendrosios žuvininkystės politikos taisyklių laikymasis, iš dalies keičiančio reglamentus (EB) Nr. 847/96, (EB) Nr. 2371/2002, (EB) Nr. 811/2004, (EB) Nr. 768/2005, (EB) Nr. 2115/2005, (EB) Nr. 2166/2005, (EB) Nr. 388/2006, (EB) Nr. 509/2007, (EB) Nr. 676/2007, (EB) Nr. 1098/2007, (EB) Nr. 1300/2008, (EB) Nr. 1342/2008 ir panaikinančio reglamentus (EEB) Nr. 2847/93, (EB) Nr. 1627/94 ir (EB) Nr. 1966/2006, su paskutiniais pakeitimais, padarytais 2019 m. birželio 20 d. Europos parlamento ir Tarybos reglamentu (ES) Nr. 2019/1241, 33 straipsnio 6 dalies reikalavimų.“</w:t>
                  </w:r>
                </w:p>
              </w:sdtContent>
            </w:sdt>
            <w:sdt>
              <w:sdtPr>
                <w:alias w:val="18-1 p."/>
                <w:tag w:val="part_5cf049f53882420c86596d2d2d9336ed"/>
                <w:lock w:val="sdtLocked"/>
                <w:richText/>
              </w:sdtPr>
              <w:sdtContent>
                <w:p>
                  <w:pPr>
                    <w:spacing w:line="360" w:lineRule="auto"/>
                    <w:ind w:firstLine="567"/>
                    <w:jc w:val="both"/>
                  </w:pPr>
                  <w:sdt>
                    <w:sdtPr>
                      <w:alias w:val="Numeris"/>
                      <w:tag w:val="nr_5cf049f53882420c86596d2d2d9336ed"/>
                      <w:lock w:val="sdtLocked"/>
                      <w:richText/>
                    </w:sdtPr>
                    <w:sdtContent>
                      <w:r>
                        <w:rPr>
                          <w:szCs w:val="24"/>
                        </w:rPr>
                        <w:t>18</w:t>
                      </w:r>
                      <w:r>
                        <w:rPr>
                          <w:szCs w:val="24"/>
                          <w:vertAlign w:val="superscript"/>
                        </w:rPr>
                        <w:t>1</w:t>
                      </w:r>
                    </w:sdtContent>
                  </w:sdt>
                  <w:r>
                    <w:rPr>
                      <w:szCs w:val="24"/>
                    </w:rPr>
                    <w:t>. Vykdant specialiąją žvejybą, būtina laikytis 2019 m. birželio 20 d. Europos Parlamento ir Tarybos reglamento (ES) 2019/1241 dėl žuvininkystės išteklių išsaugojimo ir jūrų ekosistemų apsaugos taikant technines priemones, kuriuo iš dalies keičiami Tarybos reglamentai (EB) Nr. 2019/2006, (EB) Nr. 1224/2009 ir Europos Parlamento ir Tarybos reglamentai (ES) Nr. 1380/2013, (ES) 2016/1139, (ES) 2018/973, (ES) 2019/472 ir (ES) 2019/1022 ir panaikinami Tarybos reglamentai (EB) Nr. 894/97, (EB) Nr. 850/98, (EB) Nr. 2549/2000, (EB) Nr. 254/2002, (EB) Nr. 812/2004 bei (EB) Nr. 2187/2005 su visais pakeitimais, 25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2bb70632b11eca9ac839120d251c4">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2021-12-22,
paskelbta TAR 2021-12-22, i. k. 2021-26595        </w:t>
                  </w:r>
                </w:p>
                <w:p/>
              </w:sdtContent>
            </w:sdt>
            <w:sdt>
              <w:sdtPr>
                <w:alias w:val="18-2 p."/>
                <w:tag w:val="part_236565df91454d28af0971b2864b5e24"/>
                <w:lock w:val="sdtLocked"/>
                <w:richText/>
              </w:sdtPr>
              <w:sdtContent>
                <w:p>
                  <w:pPr>
                    <w:spacing w:line="360" w:lineRule="auto"/>
                    <w:ind w:firstLine="567"/>
                    <w:jc w:val="both"/>
                    <w:rPr>
                      <w:szCs w:val="24"/>
                    </w:rPr>
                  </w:pPr>
                  <w:sdt>
                    <w:sdtPr>
                      <w:alias w:val="Numeris"/>
                      <w:tag w:val="nr_236565df91454d28af0971b2864b5e24"/>
                      <w:lock w:val="sdtLocked"/>
                      <w:richText/>
                    </w:sdtPr>
                    <w:sdtContent>
                      <w:r>
                        <w:rPr>
                          <w:szCs w:val="24"/>
                        </w:rPr>
                        <w:t>18</w:t>
                      </w:r>
                      <w:r>
                        <w:rPr>
                          <w:szCs w:val="24"/>
                          <w:vertAlign w:val="superscript"/>
                        </w:rPr>
                        <w:t>2</w:t>
                      </w:r>
                    </w:sdtContent>
                  </w:sdt>
                  <w:r>
                    <w:rPr>
                      <w:szCs w:val="24"/>
                    </w:rPr>
                    <w:t>. Žuvininkystės tarnyba:</w:t>
                  </w:r>
                </w:p>
                <w:sdt>
                  <w:sdtPr>
                    <w:alias w:val="18-2.1 pp."/>
                    <w:tag w:val="part_d93899eae11e42559f9a1b06d4dd4037"/>
                    <w:lock w:val="sdtLocked"/>
                    <w:richText/>
                  </w:sdtPr>
                  <w:sdtContent>
                    <w:p>
                      <w:pPr>
                        <w:spacing w:line="360" w:lineRule="auto"/>
                        <w:ind w:firstLine="567"/>
                        <w:jc w:val="both"/>
                        <w:rPr>
                          <w:szCs w:val="24"/>
                        </w:rPr>
                      </w:pPr>
                      <w:sdt>
                        <w:sdtPr>
                          <w:alias w:val="Numeris"/>
                          <w:tag w:val="nr_d93899eae11e42559f9a1b06d4dd4037"/>
                          <w:lock w:val="sdtLocked"/>
                          <w:richText/>
                        </w:sdtPr>
                        <w:sdtContent>
                          <w:r>
                            <w:rPr>
                              <w:szCs w:val="24"/>
                            </w:rPr>
                            <w:t>18</w:t>
                          </w:r>
                          <w:r>
                            <w:rPr>
                              <w:szCs w:val="24"/>
                              <w:vertAlign w:val="superscript"/>
                            </w:rPr>
                            <w:t>2</w:t>
                          </w:r>
                          <w:r>
                            <w:rPr>
                              <w:szCs w:val="24"/>
                            </w:rPr>
                            <w:t>.1</w:t>
                          </w:r>
                        </w:sdtContent>
                      </w:sdt>
                      <w:r>
                        <w:rPr>
                          <w:szCs w:val="24"/>
                        </w:rPr>
                        <w:t>. Teikia informaciją Europos Komisijai arba Europos Sąjungos valstybei narei, vadovaudamasi reglamento (ES) 2019/1241 25 straipsnio 1 dalies reikalavimais.</w:t>
                      </w:r>
                    </w:p>
                  </w:sdtContent>
                </w:sdt>
                <w:sdt>
                  <w:sdtPr>
                    <w:alias w:val="18-2.2 pp."/>
                    <w:tag w:val="part_cb1f084ee8204f89ab45499aa3f473fc"/>
                    <w:lock w:val="sdtLocked"/>
                    <w:richText/>
                  </w:sdtPr>
                  <w:sdtContent>
                    <w:p>
                      <w:pPr>
                        <w:spacing w:line="360" w:lineRule="auto"/>
                        <w:ind w:firstLine="567"/>
                        <w:jc w:val="both"/>
                        <w:rPr>
                          <w:szCs w:val="24"/>
                        </w:rPr>
                      </w:pPr>
                      <w:sdt>
                        <w:sdtPr>
                          <w:alias w:val="Numeris"/>
                          <w:tag w:val="nr_cb1f084ee8204f89ab45499aa3f473fc"/>
                          <w:lock w:val="sdtLocked"/>
                          <w:richText/>
                        </w:sdtPr>
                        <w:sdtContent>
                          <w:r>
                            <w:rPr>
                              <w:szCs w:val="24"/>
                            </w:rPr>
                            <w:t>18</w:t>
                          </w:r>
                          <w:r>
                            <w:rPr>
                              <w:szCs w:val="24"/>
                              <w:vertAlign w:val="superscript"/>
                            </w:rPr>
                            <w:t>2</w:t>
                          </w:r>
                          <w:r>
                            <w:rPr>
                              <w:szCs w:val="24"/>
                            </w:rPr>
                            <w:t>.2</w:t>
                          </w:r>
                        </w:sdtContent>
                      </w:sdt>
                      <w:r>
                        <w:rPr>
                          <w:szCs w:val="24"/>
                        </w:rPr>
                        <w:t>. Išduodama leidimą specialiajai žvejybai, atsižvelgia į reglamento (ES) 2019/1241 25 straipsnio 1 dalies numatyta tvarka gautas pastabas iš Europos Komisijos.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2bb70632b11eca9ac839120d251c4">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2021-12-22,
paskelbta TAR 2021-12-22, i. k. 2021-26595        </w:t>
                  </w:r>
                </w:p>
                <w:p/>
              </w:sdtContent>
            </w:sdt>
            <w:sdt>
              <w:sdtPr>
                <w:alias w:val="19 p."/>
                <w:tag w:val="part_9bd64b07ede84a9ca2e26fb2acd4ca0a"/>
                <w:lock w:val="sdtLocked"/>
                <w:richText/>
              </w:sdtPr>
              <w:sdtContent>
                <w:p>
                  <w:pPr>
                    <w:spacing w:line="360" w:lineRule="auto"/>
                    <w:ind w:firstLine="567"/>
                    <w:jc w:val="both"/>
                    <w:rPr>
                      <w:szCs w:val="24"/>
                    </w:rPr>
                  </w:pPr>
                  <w:sdt>
                    <w:sdtPr>
                      <w:alias w:val="Numeris"/>
                      <w:tag w:val="nr_9bd64b07ede84a9ca2e26fb2acd4ca0a"/>
                      <w:lock w:val="sdtLocked"/>
                      <w:richText/>
                    </w:sdtPr>
                    <w:sdtContent>
                      <w:r>
                        <w:rPr>
                          <w:szCs w:val="24"/>
                        </w:rPr>
                        <w:t>19</w:t>
                      </w:r>
                    </w:sdtContent>
                  </w:sdt>
                  <w:r>
                    <w:rPr>
                      <w:szCs w:val="24"/>
                    </w:rPr>
                    <w:t xml:space="preserve">. Vykdant specialią žvejybą Atlanto dalyje, kur ji reglamentuojama 1979 m. Konvencijos dėl bendradarbiavimo šiaurės vakarų Atlanto žvejybos rajonuose, vadovaujamasi 2019 m. gegužės 20 d. Europos Parlamento ir Tarybos reglamento (ES) Nr. 2019/833, kuriuo nustatomos išsaugojimo ir vykdymo užtikrinimo priemonės, taikytinos Žvejybos šiaurės vakarų Atlante organizacijos reguliuojamame rajone, iš dalies keičiamas Reglamentas (ES) 2016/1627 ir panaikinami Tarybos reglamentai (EB) Nr. 2115/2005 ir (EB) Nr. 1386/2007,  su paskutiniais pakeitimais, padarytais 2019 m. spalio 15 d.  Komisijos Deleguotuoju Reglamentu (ES) 2020/124, nuostatomis.</w:t>
                  </w:r>
                </w:p>
              </w:sdtContent>
            </w:sdt>
            <w:sdt>
              <w:sdtPr>
                <w:alias w:val="20 p."/>
                <w:tag w:val="part_f7f3206d3ff441e9be78959e78457e78"/>
                <w:lock w:val="sdtLocked"/>
                <w:richText/>
              </w:sdtPr>
              <w:sdtContent>
                <w:p>
                  <w:pPr>
                    <w:spacing w:line="360" w:lineRule="auto"/>
                    <w:ind w:firstLine="567"/>
                    <w:jc w:val="both"/>
                    <w:rPr>
                      <w:szCs w:val="24"/>
                    </w:rPr>
                  </w:pPr>
                  <w:sdt>
                    <w:sdtPr>
                      <w:alias w:val="Numeris"/>
                      <w:tag w:val="nr_f7f3206d3ff441e9be78959e78457e78"/>
                      <w:lock w:val="sdtLocked"/>
                      <w:richText/>
                    </w:sdtPr>
                    <w:sdtContent>
                      <w:r>
                        <w:rPr>
                          <w:szCs w:val="24"/>
                        </w:rPr>
                        <w:t>20</w:t>
                      </w:r>
                    </w:sdtContent>
                  </w:sdt>
                  <w:r>
                    <w:rPr>
                      <w:szCs w:val="24"/>
                    </w:rPr>
                    <w:t>. Pareigas, nustatytas valstybei narei Reglamento (ES) 2019/833 4, 19 ir 20 straipsniuose dėl atitinkamos informacijos apie specialią žvejybą pateikimo tvarkos ir terminų, vykdo Žuvininkystės tarnyba.</w:t>
                  </w:r>
                </w:p>
              </w:sdtContent>
            </w:sdt>
            <w:sdt>
              <w:sdtPr>
                <w:alias w:val="21 p."/>
                <w:tag w:val="part_5b51e7ca0c4b42e1a9888db502fa3617"/>
                <w:lock w:val="sdtLocked"/>
                <w:richText/>
              </w:sdtPr>
              <w:sdtContent>
                <w:p>
                  <w:pPr>
                    <w:spacing w:line="360" w:lineRule="auto"/>
                    <w:ind w:firstLine="567"/>
                    <w:jc w:val="both"/>
                    <w:rPr>
                      <w:szCs w:val="24"/>
                    </w:rPr>
                  </w:pPr>
                  <w:sdt>
                    <w:sdtPr>
                      <w:alias w:val="Numeris"/>
                      <w:tag w:val="nr_5b51e7ca0c4b42e1a9888db502fa3617"/>
                      <w:lock w:val="sdtLocked"/>
                      <w:richText/>
                    </w:sdtPr>
                    <w:sdtContent>
                      <w:r>
                        <w:rPr>
                          <w:szCs w:val="24"/>
                        </w:rPr>
                        <w:t>21</w:t>
                      </w:r>
                    </w:sdtContent>
                  </w:sdt>
                  <w:r>
                    <w:rPr>
                      <w:szCs w:val="24"/>
                    </w:rPr>
                    <w:t>.</w:t>
                  </w:r>
                  <w:r>
                    <w:rPr>
                      <w:b/>
                      <w:bCs/>
                      <w:szCs w:val="24"/>
                    </w:rPr>
                    <w:t xml:space="preserve"> </w:t>
                  </w:r>
                  <w:r>
                    <w:rPr>
                      <w:szCs w:val="24"/>
                    </w:rPr>
                    <w:t>Asmenys, pažeidę taisyklių reikalavimus, atsako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40ac0b70d11eb8371ea260d59d64b">
                <w:r w:rsidRPr="00532B9F">
                  <w:rPr>
                    <w:rFonts w:ascii="Times New Roman" w:eastAsia="MS Mincho" w:hAnsi="Times New Roman"/>
                    <w:sz w:val="20"/>
                    <w:i/>
                    <w:iCs/>
                    <w:color w:val="0000FF" w:themeColor="hyperlink"/>
                    <w:u w:val="single"/>
                  </w:rPr>
                  <w:t>3D-328</w:t>
                </w:r>
              </w:fldSimple>
              <w:r>
                <w:rPr>
                  <w:rFonts w:ascii="Times New Roman" w:eastAsia="MS Mincho" w:hAnsi="Times New Roman"/>
                  <w:sz w:val="20"/>
                  <w:i/>
                  <w:iCs/>
                </w:rPr>
                <w:t>,
2021-05-17,
paskelbta TAR 2021-05-17, i. k. 2021-10914            </w:t>
              </w:r>
            </w:p>
            <w:p/>
          </w:sdtContent>
        </w:sdt>
        <w:sdt>
          <w:sdtPr>
            <w:alias w:val="pabaiga"/>
            <w:tag w:val="part_bf3fd2efa9394caba6cc6af9aacdb91e"/>
            <w:lock w:val="sdtLocked"/>
            <w:richText/>
          </w:sdtPr>
          <w:sdtContent>
            <w:p>
              <w:pPr>
                <w:overflowPunct w:val="0"/>
                <w:spacing w:line="360" w:lineRule="auto"/>
                <w:ind w:firstLine="567"/>
                <w:jc w:val="center"/>
                <w:textAlignment w:val="baseline"/>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F3D78E0EB0E">
            <w:r w:rsidRPr="00532B9F">
              <w:rPr>
                <w:rFonts w:ascii="Times New Roman" w:eastAsia="MS Mincho" w:hAnsi="Times New Roman"/>
                <w:sz w:val="20"/>
                <w:i/>
                <w:iCs/>
                <w:color w:val="0000FF" w:themeColor="hyperlink"/>
                <w:u w:val="single"/>
              </w:rPr>
              <w:t>3D-80</w:t>
            </w:r>
          </w:fldSimple>
          <w:r>
            <w:rPr>
              <w:rFonts w:ascii="Times New Roman" w:eastAsia="MS Mincho" w:hAnsi="Times New Roman"/>
              <w:sz w:val="20"/>
              <w:i/>
              <w:iCs/>
            </w:rPr>
            <w:t>,
2011-02-02,
Žin., 2011, Nr.
17-807 (2011-02-10), i. k. 1112330ISAK0003D-80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ad34f0028011e4bfca9cc6968de163">
            <w:r w:rsidRPr="00532B9F">
              <w:rPr>
                <w:rFonts w:ascii="Times New Roman" w:eastAsia="MS Mincho" w:hAnsi="Times New Roman"/>
                <w:sz w:val="20"/>
                <w:i/>
                <w:iCs/>
                <w:color w:val="0000FF" w:themeColor="hyperlink"/>
                <w:u w:val="single"/>
              </w:rPr>
              <w:t>3D-403</w:t>
            </w:r>
          </w:fldSimple>
          <w:r>
            <w:rPr>
              <w:rFonts w:ascii="Times New Roman" w:eastAsia="MS Mincho" w:hAnsi="Times New Roman"/>
              <w:sz w:val="20"/>
              <w:i/>
              <w:iCs/>
            </w:rPr>
            <w:t>,
2014-07-02,
paskelbta TAR 2014-07-03, i. k. 2014-09790            </w:t>
          </w:r>
        </w:p>
        <w:p/>
      </w:sdtContent>
    </w:sdt>
    <w:sdt>
      <w:sdtPr>
        <w:alias w:val="1 pr."/>
        <w:tag w:val="part_6a34e84ce0144dab8e09d6a4a6c40292"/>
        <w:lock w:val="sdtLocked"/>
        <w:richText/>
      </w:sdtPr>
      <w:sdtContent>
        <w:p>
          <w:pPr>
            <w:widowControl w:val="0"/>
            <w:shd w:val="clear" w:color="000000" w:fill="auto"/>
            <w:suppressAutoHyphens/>
            <w:sectPr>
              <w:pgSz w:w="11907" w:h="16840" w:code="9"/>
              <w:pgMar w:top="1701" w:right="567" w:bottom="1134" w:left="1701" w:header="567" w:footer="284" w:gutter="0"/>
              <w:pgNumType w:start="1"/>
              <w:cols w:space="1296"/>
              <w:titlePg/>
              <w:docGrid w:linePitch="360"/>
            </w:sectPr>
          </w:pPr>
        </w:p>
        <w:p>
          <w:pPr>
            <w:widowControl w:val="0"/>
            <w:shd w:val="clear" w:color="000000" w:fill="auto"/>
            <w:suppressAutoHyphens/>
            <w:ind w:firstLine="5102"/>
            <w:rPr>
              <w:color w:val="000000"/>
            </w:rPr>
          </w:pPr>
          <w:r>
            <w:t xml:space="preserve">Specialiosios žvejybos </w:t>
          </w:r>
          <w:r>
            <w:rPr>
              <w:color w:val="000000"/>
            </w:rPr>
            <w:t xml:space="preserve">jūrų vandenyse </w:t>
          </w:r>
        </w:p>
        <w:p>
          <w:pPr>
            <w:widowControl w:val="0"/>
            <w:shd w:val="clear" w:color="000000" w:fill="auto"/>
            <w:suppressAutoHyphens/>
            <w:ind w:firstLine="5102"/>
            <w:rPr>
              <w:color w:val="000000"/>
            </w:rPr>
          </w:pPr>
          <w:r>
            <w:rPr>
              <w:color w:val="000000"/>
            </w:rPr>
            <w:t>taisyklių</w:t>
          </w:r>
        </w:p>
        <w:p>
          <w:pPr>
            <w:widowControl w:val="0"/>
            <w:shd w:val="clear" w:color="000000" w:fill="auto"/>
            <w:tabs>
              <w:tab w:val="left" w:pos="1304"/>
              <w:tab w:val="left" w:pos="1457"/>
              <w:tab w:val="left" w:pos="1604"/>
              <w:tab w:val="left" w:pos="1757"/>
            </w:tabs>
            <w:ind w:firstLine="5102"/>
            <w:textAlignment w:val="center"/>
            <w:rPr>
              <w:color w:val="000000"/>
            </w:rPr>
          </w:pPr>
          <w:sdt>
            <w:sdtPr>
              <w:alias w:val="Numeris"/>
              <w:tag w:val="nr_6a34e84ce0144dab8e09d6a4a6c40292"/>
              <w:lock w:val="sdtLocked"/>
              <w:richText/>
            </w:sdtPr>
            <w:sdtContent>
              <w:r>
                <w:rPr>
                  <w:color w:val="000000"/>
                </w:rPr>
                <w:t>1</w:t>
              </w:r>
            </w:sdtContent>
          </w:sdt>
          <w:r>
            <w:rPr>
              <w:color w:val="000000"/>
            </w:rPr>
            <w:t xml:space="preserve"> priedas</w:t>
          </w:r>
        </w:p>
        <w:p>
          <w:pPr>
            <w:widowControl w:val="0"/>
            <w:shd w:val="clear" w:color="000000" w:fill="auto"/>
            <w:tabs>
              <w:tab w:val="left" w:pos="1304"/>
              <w:tab w:val="left" w:pos="1457"/>
              <w:tab w:val="left" w:pos="1604"/>
              <w:tab w:val="left" w:pos="1757"/>
            </w:tabs>
            <w:ind w:firstLine="5102"/>
            <w:textAlignment w:val="center"/>
            <w:rPr>
              <w:color w:val="000000"/>
            </w:rPr>
          </w:pPr>
          <w:r>
            <w:rPr>
              <w:color w:val="000000"/>
            </w:rPr>
            <w:t xml:space="preserve">(Lietuvos Respublikos žemės ūkio </w:t>
          </w:r>
        </w:p>
        <w:p>
          <w:pPr>
            <w:widowControl w:val="0"/>
            <w:shd w:val="clear" w:color="000000" w:fill="auto"/>
            <w:tabs>
              <w:tab w:val="left" w:pos="1304"/>
              <w:tab w:val="left" w:pos="1457"/>
              <w:tab w:val="left" w:pos="1604"/>
              <w:tab w:val="left" w:pos="1757"/>
            </w:tabs>
            <w:ind w:firstLine="5102"/>
            <w:textAlignment w:val="center"/>
            <w:rPr>
              <w:color w:val="000000"/>
            </w:rPr>
          </w:pPr>
          <w:r>
            <w:rPr>
              <w:color w:val="000000"/>
            </w:rPr>
            <w:t xml:space="preserve">ministro 2011 m. vasario 2 d. </w:t>
          </w:r>
        </w:p>
        <w:p>
          <w:pPr>
            <w:widowControl w:val="0"/>
            <w:shd w:val="clear" w:color="000000" w:fill="auto"/>
            <w:tabs>
              <w:tab w:val="left" w:pos="1304"/>
              <w:tab w:val="left" w:pos="1457"/>
              <w:tab w:val="left" w:pos="1604"/>
              <w:tab w:val="left" w:pos="1757"/>
            </w:tabs>
            <w:ind w:firstLine="5102"/>
            <w:textAlignment w:val="center"/>
            <w:rPr>
              <w:color w:val="000000"/>
            </w:rPr>
          </w:pPr>
          <w:r>
            <w:rPr>
              <w:color w:val="000000"/>
            </w:rPr>
            <w:t>įsakymo Nr. 3D-80 redakcija)</w:t>
          </w:r>
        </w:p>
        <w:p>
          <w:pPr>
            <w:widowControl w:val="0"/>
            <w:shd w:val="clear" w:color="000000" w:fill="auto"/>
            <w:jc w:val="both"/>
            <w:textAlignment w:val="center"/>
            <w:rPr>
              <w:color w:val="000000"/>
            </w:rPr>
          </w:pPr>
        </w:p>
        <w:p>
          <w:pPr>
            <w:widowControl w:val="0"/>
            <w:shd w:val="clear" w:color="000000" w:fill="auto"/>
            <w:jc w:val="center"/>
            <w:textAlignment w:val="center"/>
            <w:rPr>
              <w:b/>
              <w:color w:val="000000"/>
            </w:rPr>
          </w:pPr>
          <w:sdt>
            <w:sdtPr>
              <w:alias w:val="Pavadinimas"/>
              <w:tag w:val="title_6a34e84ce0144dab8e09d6a4a6c40292"/>
              <w:lock w:val="sdtLocked"/>
              <w:richText/>
            </w:sdtPr>
            <w:sdtContent>
              <w:r>
                <w:rPr>
                  <w:b/>
                  <w:color w:val="000000"/>
                </w:rPr>
                <w:t>(Specialiosios žvejybos leidimo žvejoti jūrų vandenyse forma)</w:t>
              </w:r>
            </w:sdtContent>
          </w:sdt>
        </w:p>
        <w:p>
          <w:pPr>
            <w:widowControl w:val="0"/>
            <w:shd w:val="clear" w:color="000000" w:fill="auto"/>
            <w:jc w:val="center"/>
            <w:rPr>
              <w:bCs/>
              <w:caps/>
            </w:rPr>
          </w:pPr>
        </w:p>
        <w:p>
          <w:pPr>
            <w:widowControl w:val="0"/>
            <w:shd w:val="clear" w:color="000000" w:fill="auto"/>
            <w:jc w:val="center"/>
            <w:rPr>
              <w:bCs/>
              <w:caps/>
            </w:rPr>
          </w:pPr>
          <w:r>
            <w:rPr>
              <w:bCs/>
              <w:caps/>
            </w:rPr>
            <w:t>(</w:t>
          </w:r>
          <w:r>
            <w:rPr>
              <w:bCs/>
            </w:rPr>
            <w:t>Herbas</w:t>
          </w:r>
          <w:r>
            <w:rPr>
              <w:bCs/>
              <w:caps/>
            </w:rPr>
            <w:t>)</w:t>
          </w:r>
        </w:p>
        <w:p>
          <w:pPr>
            <w:widowControl w:val="0"/>
            <w:shd w:val="clear" w:color="000000" w:fill="auto"/>
            <w:jc w:val="center"/>
            <w:rPr>
              <w:b/>
              <w:bCs/>
              <w:caps/>
            </w:rPr>
          </w:pPr>
        </w:p>
        <w:p>
          <w:pPr>
            <w:widowControl w:val="0"/>
            <w:shd w:val="clear" w:color="000000" w:fill="auto"/>
            <w:jc w:val="center"/>
            <w:rPr>
              <w:b/>
              <w:bCs/>
              <w:caps/>
            </w:rPr>
          </w:pPr>
          <w:r>
            <w:rPr>
              <w:b/>
              <w:bCs/>
              <w:caps/>
            </w:rPr>
            <w:t xml:space="preserve">Žuvininkystės TARNYBA </w:t>
          </w:r>
        </w:p>
        <w:p>
          <w:pPr>
            <w:widowControl w:val="0"/>
            <w:shd w:val="clear" w:color="000000" w:fill="auto"/>
            <w:jc w:val="center"/>
            <w:textAlignment w:val="center"/>
            <w:rPr>
              <w:b/>
              <w:bCs/>
              <w:caps/>
              <w:color w:val="000000"/>
            </w:rPr>
          </w:pPr>
          <w:r>
            <w:rPr>
              <w:b/>
              <w:bCs/>
              <w:caps/>
              <w:color w:val="000000"/>
            </w:rPr>
            <w:t>prie lietuvos respublikos žemės ūkio ministerijos</w:t>
          </w:r>
        </w:p>
        <w:p>
          <w:pPr>
            <w:widowControl w:val="0"/>
            <w:shd w:val="clear" w:color="000000" w:fill="auto"/>
            <w:jc w:val="center"/>
            <w:textAlignment w:val="center"/>
            <w:rPr>
              <w:color w:val="000000"/>
            </w:rPr>
          </w:pPr>
        </w:p>
        <w:p>
          <w:pPr>
            <w:widowControl w:val="0"/>
            <w:shd w:val="clear" w:color="000000" w:fill="auto"/>
            <w:tabs>
              <w:tab w:val="left" w:pos="1800"/>
            </w:tabs>
            <w:jc w:val="center"/>
            <w:textAlignment w:val="center"/>
            <w:rPr>
              <w:b/>
              <w:bCs/>
              <w:color w:val="000000"/>
            </w:rPr>
          </w:pPr>
          <w:r>
            <w:rPr>
              <w:b/>
              <w:bCs/>
              <w:color w:val="000000"/>
            </w:rPr>
            <w:t>SPECIALIOS</w:t>
          </w:r>
          <w:r>
            <w:rPr>
              <w:b/>
              <w:bCs/>
              <w:caps/>
              <w:color w:val="000000"/>
            </w:rPr>
            <w:t>ios</w:t>
          </w:r>
          <w:r>
            <w:rPr>
              <w:b/>
              <w:bCs/>
              <w:color w:val="000000"/>
            </w:rPr>
            <w:t xml:space="preserve"> ŽVEJYBOS LEIDIMAS </w:t>
          </w:r>
          <w:r>
            <w:rPr>
              <w:b/>
              <w:bCs/>
              <w:caps/>
              <w:color w:val="000000"/>
            </w:rPr>
            <w:t>žvejoti jūrų vandenyse</w:t>
          </w:r>
        </w:p>
        <w:p>
          <w:pPr>
            <w:widowControl w:val="0"/>
            <w:shd w:val="clear" w:color="000000" w:fill="auto"/>
            <w:tabs>
              <w:tab w:val="left" w:pos="1800"/>
            </w:tabs>
            <w:jc w:val="center"/>
            <w:textAlignment w:val="center"/>
            <w:rPr>
              <w:b/>
              <w:bCs/>
              <w:color w:val="000000"/>
            </w:rPr>
          </w:pPr>
          <w:r>
            <w:rPr>
              <w:b/>
              <w:bCs/>
              <w:color w:val="000000"/>
            </w:rPr>
            <w:t>Nr. _________</w:t>
          </w:r>
        </w:p>
        <w:p>
          <w:pPr>
            <w:widowControl w:val="0"/>
            <w:shd w:val="clear" w:color="000000" w:fill="auto"/>
            <w:tabs>
              <w:tab w:val="left" w:leader="underscore" w:pos="8641"/>
            </w:tabs>
            <w:jc w:val="both"/>
            <w:textAlignment w:val="center"/>
            <w:rPr>
              <w:color w:val="000000"/>
            </w:rPr>
          </w:pPr>
        </w:p>
        <w:p>
          <w:pPr>
            <w:widowControl w:val="0"/>
            <w:shd w:val="clear" w:color="000000" w:fill="auto"/>
            <w:tabs>
              <w:tab w:val="right" w:leader="underscore" w:pos="9072"/>
            </w:tabs>
            <w:jc w:val="both"/>
            <w:textAlignment w:val="center"/>
            <w:rPr>
              <w:color w:val="000000"/>
            </w:rPr>
          </w:pPr>
          <w:r>
            <w:rPr>
              <w:color w:val="000000"/>
            </w:rPr>
            <w:t xml:space="preserve">Leidžiama žvejoti </w:t>
            <w:tab/>
          </w:r>
        </w:p>
        <w:p>
          <w:pPr>
            <w:widowControl w:val="0"/>
            <w:shd w:val="clear" w:color="000000" w:fill="auto"/>
            <w:tabs>
              <w:tab w:val="right" w:leader="underscore" w:pos="9072"/>
            </w:tabs>
            <w:ind w:left="1800"/>
            <w:jc w:val="center"/>
            <w:textAlignment w:val="center"/>
            <w:rPr>
              <w:color w:val="000000"/>
              <w:sz w:val="22"/>
              <w:szCs w:val="22"/>
            </w:rPr>
          </w:pPr>
          <w:r>
            <w:rPr>
              <w:color w:val="000000"/>
              <w:sz w:val="22"/>
              <w:szCs w:val="22"/>
            </w:rPr>
            <w:t>(naudotojo pavadinimas)</w:t>
          </w:r>
        </w:p>
        <w:p>
          <w:pPr>
            <w:keepNext/>
            <w:shd w:val="clear" w:color="000000" w:fill="auto"/>
            <w:tabs>
              <w:tab w:val="right" w:leader="underscore" w:pos="9072"/>
            </w:tabs>
            <w:jc w:val="both"/>
            <w:textAlignment w:val="center"/>
            <w:rPr>
              <w:color w:val="000000"/>
            </w:rPr>
          </w:pPr>
          <w:r>
            <w:rPr>
              <w:color w:val="000000"/>
            </w:rPr>
            <w:t xml:space="preserve">Žvejybos vieta </w:t>
            <w:tab/>
          </w:r>
        </w:p>
        <w:p>
          <w:pPr>
            <w:keepNext/>
            <w:shd w:val="clear" w:color="000000" w:fill="auto"/>
            <w:tabs>
              <w:tab w:val="right" w:leader="underscore" w:pos="9072"/>
            </w:tabs>
            <w:ind w:left="1560"/>
            <w:jc w:val="center"/>
            <w:textAlignment w:val="center"/>
            <w:rPr>
              <w:color w:val="000000"/>
              <w:sz w:val="22"/>
              <w:szCs w:val="22"/>
            </w:rPr>
          </w:pPr>
          <w:r>
            <w:rPr>
              <w:color w:val="000000"/>
              <w:sz w:val="22"/>
              <w:szCs w:val="22"/>
            </w:rPr>
            <w:t>(žvejybos barų numeriai/žvejybos rajonai, kuriuose numatoma specialioji žvejyba)</w:t>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 xml:space="preserve">Žvejybos įrankiai </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 xml:space="preserve">Žuvų rūšys ir kiekis </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 xml:space="preserve">Žvejybos tikslas </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 xml:space="preserve">Kitos žvejybos sąlygos </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 xml:space="preserve">Už žvejybą atsakingas(-i) asmuo(-enys) </w:t>
            <w:tab/>
          </w:r>
        </w:p>
        <w:p>
          <w:pPr>
            <w:widowControl w:val="0"/>
            <w:shd w:val="clear" w:color="000000" w:fill="auto"/>
            <w:tabs>
              <w:tab w:val="right" w:leader="underscore" w:pos="9072"/>
            </w:tabs>
            <w:ind w:left="3840"/>
            <w:jc w:val="center"/>
            <w:textAlignment w:val="center"/>
            <w:rPr>
              <w:color w:val="000000"/>
              <w:sz w:val="22"/>
              <w:szCs w:val="22"/>
            </w:rPr>
          </w:pPr>
          <w:r>
            <w:rPr>
              <w:color w:val="000000"/>
              <w:sz w:val="22"/>
              <w:szCs w:val="22"/>
            </w:rPr>
            <w:t>(vardas(-ai), pavardė(-ės), pareigos)</w:t>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_</w:t>
            <w:tab/>
          </w:r>
        </w:p>
        <w:p>
          <w:pPr>
            <w:widowControl w:val="0"/>
            <w:shd w:val="clear" w:color="000000" w:fill="auto"/>
            <w:tabs>
              <w:tab w:val="right" w:leader="underscore" w:pos="9072"/>
            </w:tabs>
            <w:jc w:val="both"/>
            <w:textAlignment w:val="center"/>
            <w:rPr>
              <w:color w:val="000000"/>
            </w:rPr>
          </w:pPr>
          <w:r>
            <w:rPr>
              <w:color w:val="000000"/>
            </w:rPr>
            <w:t>Leidimas galioja ___________________________</w:t>
          </w:r>
        </w:p>
        <w:p>
          <w:pPr>
            <w:widowControl w:val="0"/>
            <w:shd w:val="clear" w:color="000000" w:fill="auto"/>
            <w:tabs>
              <w:tab w:val="right" w:leader="underscore" w:pos="9072"/>
            </w:tabs>
            <w:jc w:val="both"/>
            <w:textAlignment w:val="center"/>
            <w:rPr>
              <w:color w:val="000000"/>
            </w:rPr>
          </w:pPr>
          <w:r>
            <w:rPr>
              <w:color w:val="000000"/>
            </w:rPr>
            <w:t>Išdavimo data _____________________</w:t>
          </w:r>
        </w:p>
        <w:p>
          <w:pPr>
            <w:widowControl w:val="0"/>
            <w:shd w:val="clear" w:color="000000" w:fill="auto"/>
            <w:tabs>
              <w:tab w:val="left" w:leader="underscore" w:pos="8641"/>
            </w:tabs>
            <w:jc w:val="both"/>
            <w:textAlignment w:val="center"/>
            <w:rPr>
              <w:color w:val="000000"/>
            </w:rPr>
          </w:pPr>
        </w:p>
        <w:tbl>
          <w:tblPr>
            <w:tblW w:w="9070" w:type="dxa"/>
            <w:tblLook w:val="01E0" w:firstRow="1" w:lastRow="1" w:firstColumn="1" w:lastColumn="1" w:noHBand="0" w:noVBand="0"/>
          </w:tblPr>
          <w:tblGrid>
            <w:gridCol w:w="3039"/>
            <w:gridCol w:w="2982"/>
            <w:gridCol w:w="3049"/>
          </w:tblGrid>
          <w:tr>
            <w:tc>
              <w:tcPr>
                <w:tcW w:w="3096" w:type="dxa"/>
              </w:tcPr>
              <w:p>
                <w:pPr>
                  <w:widowControl w:val="0"/>
                  <w:shd w:val="clear" w:color="000000" w:fill="auto"/>
                  <w:tabs>
                    <w:tab w:val="left" w:leader="underscore" w:pos="8641"/>
                  </w:tabs>
                  <w:rPr>
                    <w:lang w:val="pt-BR"/>
                  </w:rPr>
                </w:pPr>
                <w:r>
                  <w:rPr>
                    <w:lang w:val="pt-BR"/>
                  </w:rPr>
                  <w:t>__________________</w:t>
                </w:r>
              </w:p>
              <w:p>
                <w:pPr>
                  <w:widowControl w:val="0"/>
                  <w:shd w:val="clear" w:color="000000" w:fill="auto"/>
                  <w:tabs>
                    <w:tab w:val="left" w:leader="underscore" w:pos="8641"/>
                  </w:tabs>
                  <w:rPr>
                    <w:sz w:val="22"/>
                    <w:szCs w:val="22"/>
                    <w:lang w:val="pt-BR"/>
                  </w:rPr>
                </w:pPr>
                <w:r>
                  <w:rPr>
                    <w:sz w:val="22"/>
                    <w:szCs w:val="22"/>
                    <w:lang w:val="pt-BR"/>
                  </w:rPr>
                  <w:t>(pareigų pavadinimas</w:t>
                </w:r>
                <w:r>
                  <w:rPr>
                    <w:sz w:val="22"/>
                    <w:szCs w:val="22"/>
                  </w:rPr>
                  <w:t>)</w:t>
                </w:r>
              </w:p>
            </w:tc>
            <w:tc>
              <w:tcPr>
                <w:tcW w:w="3096" w:type="dxa"/>
              </w:tcPr>
              <w:p>
                <w:pPr>
                  <w:widowControl w:val="0"/>
                  <w:shd w:val="clear" w:color="000000" w:fill="auto"/>
                  <w:tabs>
                    <w:tab w:val="left" w:leader="underscore" w:pos="8641"/>
                  </w:tabs>
                  <w:jc w:val="center"/>
                  <w:rPr>
                    <w:lang w:val="pt-BR"/>
                  </w:rPr>
                </w:pPr>
                <w:r>
                  <w:rPr>
                    <w:lang w:val="pt-BR"/>
                  </w:rPr>
                  <w:t>____________</w:t>
                </w:r>
              </w:p>
              <w:p>
                <w:pPr>
                  <w:widowControl w:val="0"/>
                  <w:shd w:val="clear" w:color="000000" w:fill="auto"/>
                  <w:tabs>
                    <w:tab w:val="left" w:leader="underscore" w:pos="8641"/>
                  </w:tabs>
                  <w:jc w:val="center"/>
                  <w:rPr>
                    <w:sz w:val="22"/>
                    <w:szCs w:val="22"/>
                    <w:lang w:val="pt-BR"/>
                  </w:rPr>
                </w:pPr>
                <w:r>
                  <w:rPr>
                    <w:sz w:val="22"/>
                    <w:szCs w:val="22"/>
                    <w:lang w:val="pt-BR"/>
                  </w:rPr>
                  <w:t>(parašas)</w:t>
                </w:r>
              </w:p>
            </w:tc>
            <w:tc>
              <w:tcPr>
                <w:tcW w:w="3096" w:type="dxa"/>
              </w:tcPr>
              <w:p>
                <w:pPr>
                  <w:widowControl w:val="0"/>
                  <w:shd w:val="clear" w:color="000000" w:fill="auto"/>
                  <w:tabs>
                    <w:tab w:val="left" w:leader="underscore" w:pos="8641"/>
                  </w:tabs>
                  <w:jc w:val="center"/>
                  <w:rPr>
                    <w:lang w:val="pt-BR"/>
                  </w:rPr>
                </w:pPr>
                <w:r>
                  <w:rPr>
                    <w:lang w:val="pt-BR"/>
                  </w:rPr>
                  <w:t>___________________</w:t>
                </w:r>
              </w:p>
              <w:p>
                <w:pPr>
                  <w:widowControl w:val="0"/>
                  <w:shd w:val="clear" w:color="000000" w:fill="auto"/>
                  <w:tabs>
                    <w:tab w:val="left" w:leader="underscore" w:pos="8641"/>
                  </w:tabs>
                  <w:jc w:val="center"/>
                  <w:rPr>
                    <w:sz w:val="22"/>
                    <w:szCs w:val="22"/>
                    <w:lang w:val="pt-BR"/>
                  </w:rPr>
                </w:pPr>
                <w:r>
                  <w:rPr>
                    <w:sz w:val="22"/>
                    <w:szCs w:val="22"/>
                    <w:lang w:val="pt-BR"/>
                  </w:rPr>
                  <w:t>(vardas, pavardė)</w:t>
                </w:r>
              </w:p>
            </w:tc>
          </w:tr>
        </w:tbl>
        <w:p>
          <w:pPr>
            <w:widowControl w:val="0"/>
            <w:shd w:val="clear" w:color="000000" w:fill="auto"/>
            <w:tabs>
              <w:tab w:val="left" w:leader="underscore" w:pos="8641"/>
            </w:tabs>
            <w:ind w:left="2040"/>
            <w:rPr>
              <w:lang w:val="pt-BR"/>
            </w:rPr>
          </w:pPr>
          <w:r>
            <w:rPr>
              <w:lang w:val="pt-BR"/>
            </w:rPr>
            <w:t>A. V.</w:t>
          </w:r>
        </w:p>
        <w:p>
          <w:pPr>
            <w:widowControl w:val="0"/>
            <w:shd w:val="clear" w:color="000000" w:fill="auto"/>
            <w:tabs>
              <w:tab w:val="left" w:leader="underscore" w:pos="8641"/>
            </w:tabs>
            <w:jc w:val="both"/>
            <w:textAlignment w:val="center"/>
            <w:rPr>
              <w:color w:val="000000"/>
            </w:rPr>
          </w:pPr>
        </w:p>
        <w:p>
          <w:pPr>
            <w:widowControl w:val="0"/>
            <w:shd w:val="clear" w:color="000000" w:fill="auto"/>
            <w:tabs>
              <w:tab w:val="left" w:leader="underscore" w:pos="8641"/>
            </w:tabs>
            <w:jc w:val="both"/>
            <w:textAlignment w:val="center"/>
            <w:rPr>
              <w:color w:val="000000"/>
            </w:rPr>
          </w:pPr>
          <w:r>
            <w:rPr>
              <w:color w:val="000000"/>
            </w:rPr>
            <w:t>SUDERINTA</w:t>
          </w:r>
          <w:r>
            <w:rPr>
              <w:color w:val="000000"/>
              <w:vertAlign w:val="superscript"/>
            </w:rPr>
            <w:t>*</w:t>
          </w:r>
        </w:p>
        <w:p>
          <w:pPr>
            <w:widowControl w:val="0"/>
            <w:shd w:val="clear" w:color="000000" w:fill="auto"/>
            <w:tabs>
              <w:tab w:val="left" w:leader="underscore" w:pos="8641"/>
            </w:tabs>
            <w:jc w:val="both"/>
            <w:textAlignment w:val="center"/>
            <w:rPr>
              <w:color w:val="000000"/>
            </w:rPr>
          </w:pPr>
          <w:r>
            <w:rPr>
              <w:color w:val="000000"/>
            </w:rPr>
            <w:t>Lietuvos Respublikos žemės ūkio ministerijos</w:t>
          </w:r>
        </w:p>
        <w:p>
          <w:pPr>
            <w:widowControl w:val="0"/>
            <w:shd w:val="clear" w:color="000000" w:fill="auto"/>
            <w:tabs>
              <w:tab w:val="left" w:leader="underscore" w:pos="8641"/>
            </w:tabs>
            <w:jc w:val="both"/>
          </w:pPr>
          <w:r>
            <w:t>raštu Nr.</w:t>
          </w:r>
        </w:p>
        <w:p>
          <w:pPr>
            <w:widowControl w:val="0"/>
            <w:shd w:val="clear" w:color="000000" w:fill="auto"/>
            <w:tabs>
              <w:tab w:val="left" w:leader="underscore" w:pos="8641"/>
            </w:tabs>
            <w:jc w:val="both"/>
          </w:pPr>
          <w:r>
            <w:t>_____________</w:t>
          </w:r>
        </w:p>
        <w:p>
          <w:pPr>
            <w:widowControl w:val="0"/>
            <w:shd w:val="clear" w:color="000000" w:fill="auto"/>
            <w:tabs>
              <w:tab w:val="left" w:leader="underscore" w:pos="8641"/>
            </w:tabs>
            <w:jc w:val="both"/>
            <w:rPr>
              <w:sz w:val="22"/>
              <w:szCs w:val="22"/>
            </w:rPr>
          </w:pPr>
          <w:r>
            <w:rPr>
              <w:sz w:val="22"/>
              <w:szCs w:val="22"/>
            </w:rPr>
            <w:t>*</w:t>
          </w:r>
          <w:r>
            <w:rPr>
              <w:sz w:val="22"/>
              <w:szCs w:val="22"/>
              <w:vertAlign w:val="superscript"/>
            </w:rPr>
            <w:t xml:space="preserve"> </w:t>
          </w:r>
          <w:r>
            <w:rPr>
              <w:sz w:val="22"/>
              <w:szCs w:val="22"/>
            </w:rPr>
            <w:t>Pildoma tik leidime, išduodamame Žuvininkystės tarnybai prie Lietuvos Respublikos žemės ūkio ministerijos.</w:t>
          </w:r>
        </w:p>
        <w:p>
          <w:pPr>
            <w:widowControl w:val="0"/>
            <w:shd w:val="clear" w:color="000000" w:fill="auto"/>
            <w:tabs>
              <w:tab w:val="left" w:leader="underscore" w:pos="8641"/>
            </w:tabs>
            <w:jc w:val="center"/>
          </w:pPr>
          <w:r>
            <w:t>_________________</w:t>
          </w:r>
        </w:p>
      </w:sdtContent>
    </w:sdt>
    <w:sdt>
      <w:sdtPr>
        <w:alias w:val="2 pr."/>
        <w:tag w:val="part_8c337b8d81144e4392bb17f4d7b843ba"/>
        <w:lock w:val="sdtLocked"/>
        <w:richText/>
      </w:sdtPr>
      <w:sdtContent>
        <w:p>
          <w:pPr>
            <w:widowControl w:val="0"/>
            <w:shd w:val="clear" w:color="000000" w:fill="auto"/>
            <w:sectPr>
              <w:pgSz w:w="11907" w:h="16840" w:code="9"/>
              <w:pgMar w:top="1701" w:right="567" w:bottom="1134" w:left="1701" w:header="567" w:footer="284" w:gutter="0"/>
              <w:pgNumType w:start="1"/>
              <w:cols w:space="1296"/>
              <w:titlePg/>
              <w:docGrid w:linePitch="360"/>
            </w:sectPr>
          </w:pPr>
        </w:p>
        <w:p>
          <w:pPr>
            <w:widowControl w:val="0"/>
            <w:shd w:val="clear" w:color="000000" w:fill="auto"/>
            <w:ind w:firstLine="5102"/>
          </w:pPr>
          <w:r>
            <w:t xml:space="preserve">Specialiosios žvejybos jūrų vandenyse </w:t>
          </w:r>
        </w:p>
        <w:p>
          <w:pPr>
            <w:widowControl w:val="0"/>
            <w:shd w:val="clear" w:color="000000" w:fill="auto"/>
            <w:ind w:firstLine="5102"/>
            <w:rPr>
              <w:color w:val="000000"/>
            </w:rPr>
          </w:pPr>
          <w:r>
            <w:rPr>
              <w:color w:val="000000"/>
            </w:rPr>
            <w:t>taisyklių</w:t>
          </w:r>
        </w:p>
        <w:p>
          <w:pPr>
            <w:widowControl w:val="0"/>
            <w:shd w:val="clear" w:color="000000" w:fill="auto"/>
            <w:ind w:firstLine="5102"/>
            <w:rPr>
              <w:color w:val="000000"/>
            </w:rPr>
          </w:pPr>
          <w:sdt>
            <w:sdtPr>
              <w:alias w:val="Numeris"/>
              <w:tag w:val="nr_8c337b8d81144e4392bb17f4d7b843ba"/>
              <w:lock w:val="sdtLocked"/>
              <w:richText/>
            </w:sdtPr>
            <w:sdtContent>
              <w:r>
                <w:rPr>
                  <w:color w:val="000000"/>
                </w:rPr>
                <w:t>2</w:t>
              </w:r>
            </w:sdtContent>
          </w:sdt>
          <w:r>
            <w:rPr>
              <w:color w:val="000000"/>
            </w:rPr>
            <w:t xml:space="preserve"> priedas</w:t>
          </w:r>
        </w:p>
        <w:p>
          <w:pPr>
            <w:widowControl w:val="0"/>
            <w:shd w:val="clear" w:color="000000" w:fill="auto"/>
            <w:ind w:firstLine="5102"/>
          </w:pPr>
          <w:r>
            <w:t xml:space="preserve">(Lietuvos Respublikos žemės ūkio </w:t>
          </w:r>
        </w:p>
        <w:p>
          <w:pPr>
            <w:widowControl w:val="0"/>
            <w:shd w:val="clear" w:color="000000" w:fill="auto"/>
            <w:ind w:firstLine="5102"/>
          </w:pPr>
          <w:r>
            <w:t xml:space="preserve">ministro 2011 m. vasario 2 d. </w:t>
          </w:r>
        </w:p>
        <w:p>
          <w:pPr>
            <w:widowControl w:val="0"/>
            <w:shd w:val="clear" w:color="000000" w:fill="auto"/>
            <w:ind w:firstLine="5102"/>
          </w:pPr>
          <w:r>
            <w:t>įsakymo Nr. 3D-80 redakcija)</w:t>
          </w:r>
        </w:p>
        <w:p>
          <w:pPr>
            <w:widowControl w:val="0"/>
            <w:shd w:val="clear" w:color="000000" w:fill="auto"/>
            <w:ind w:firstLine="5102"/>
            <w:rPr>
              <w:color w:val="000000"/>
            </w:rPr>
          </w:pPr>
        </w:p>
        <w:p>
          <w:pPr>
            <w:widowControl w:val="0"/>
            <w:shd w:val="clear" w:color="000000" w:fill="auto"/>
            <w:tabs>
              <w:tab w:val="right" w:leader="underscore" w:pos="9072"/>
            </w:tabs>
          </w:pPr>
          <w:r>
            <w:t>_</w:t>
            <w:tab/>
          </w:r>
        </w:p>
        <w:p>
          <w:pPr>
            <w:widowControl w:val="0"/>
            <w:shd w:val="clear" w:color="000000" w:fill="auto"/>
            <w:jc w:val="center"/>
            <w:rPr>
              <w:color w:val="000000"/>
              <w:sz w:val="22"/>
              <w:szCs w:val="22"/>
            </w:rPr>
          </w:pPr>
          <w:r>
            <w:rPr>
              <w:color w:val="000000"/>
              <w:sz w:val="22"/>
              <w:szCs w:val="22"/>
            </w:rPr>
            <w:t>(dokumento sudarytojo pavadinimas)</w:t>
          </w:r>
        </w:p>
        <w:p>
          <w:pPr>
            <w:widowControl w:val="0"/>
            <w:shd w:val="clear" w:color="000000" w:fill="auto"/>
            <w:rPr>
              <w:b/>
              <w:color w:val="000000"/>
            </w:rPr>
          </w:pPr>
        </w:p>
        <w:p>
          <w:pPr>
            <w:widowControl w:val="0"/>
            <w:shd w:val="clear" w:color="000000" w:fill="auto"/>
            <w:jc w:val="center"/>
            <w:rPr>
              <w:b/>
              <w:color w:val="000000"/>
            </w:rPr>
          </w:pPr>
          <w:r>
            <w:rPr>
              <w:b/>
              <w:color w:val="000000"/>
            </w:rPr>
            <w:t xml:space="preserve">ŽUVŲ </w:t>
          </w:r>
          <w:r>
            <w:rPr>
              <w:b/>
              <w:caps/>
              <w:color w:val="000000"/>
            </w:rPr>
            <w:t>SUGAVIMO ir panaudojimo</w:t>
          </w:r>
          <w:r>
            <w:rPr>
              <w:b/>
              <w:color w:val="000000"/>
            </w:rPr>
            <w:t xml:space="preserve"> </w:t>
          </w:r>
          <w:r>
            <w:rPr>
              <w:b/>
            </w:rPr>
            <w:t>PAGAL SPECIALIOSIOS ŽVEJYBOS LEIDIMĄ</w:t>
          </w:r>
          <w:r>
            <w:rPr>
              <w:b/>
              <w:caps/>
            </w:rPr>
            <w:t xml:space="preserve"> žvejoti jūrų vandenyse</w:t>
          </w:r>
          <w:r>
            <w:rPr>
              <w:b/>
            </w:rPr>
            <w:t xml:space="preserve"> </w:t>
          </w:r>
          <w:r>
            <w:rPr>
              <w:b/>
              <w:color w:val="000000"/>
            </w:rPr>
            <w:t>ATASKAITA</w:t>
          </w:r>
        </w:p>
        <w:p>
          <w:pPr>
            <w:widowControl w:val="0"/>
            <w:shd w:val="clear" w:color="000000" w:fill="auto"/>
            <w:rPr>
              <w:color w:val="000000"/>
            </w:rPr>
          </w:pPr>
        </w:p>
        <w:p>
          <w:pPr>
            <w:widowControl w:val="0"/>
            <w:shd w:val="clear" w:color="000000" w:fill="auto"/>
            <w:jc w:val="center"/>
            <w:rPr>
              <w:color w:val="000000"/>
            </w:rPr>
          </w:pPr>
          <w:r>
            <w:rPr>
              <w:color w:val="000000"/>
            </w:rPr>
            <w:t>_________ Nr. __________</w:t>
          </w:r>
        </w:p>
        <w:p>
          <w:pPr>
            <w:widowControl w:val="0"/>
            <w:shd w:val="clear" w:color="000000" w:fill="auto"/>
            <w:ind w:left="3480"/>
            <w:rPr>
              <w:color w:val="000000"/>
              <w:sz w:val="22"/>
              <w:szCs w:val="22"/>
            </w:rPr>
          </w:pPr>
          <w:r>
            <w:rPr>
              <w:color w:val="000000"/>
              <w:sz w:val="22"/>
              <w:szCs w:val="22"/>
            </w:rPr>
            <w:t>(data)</w:t>
          </w:r>
        </w:p>
        <w:p>
          <w:pPr>
            <w:widowControl w:val="0"/>
            <w:shd w:val="clear" w:color="000000" w:fill="auto"/>
            <w:jc w:val="center"/>
            <w:rPr>
              <w:color w:val="000000"/>
              <w:sz w:val="18"/>
            </w:rPr>
          </w:pPr>
          <w:r>
            <w:rPr>
              <w:color w:val="000000"/>
              <w:sz w:val="18"/>
            </w:rPr>
            <w:t>________________________________</w:t>
          </w:r>
        </w:p>
        <w:p>
          <w:pPr>
            <w:widowControl w:val="0"/>
            <w:shd w:val="clear" w:color="000000" w:fill="auto"/>
            <w:jc w:val="center"/>
            <w:rPr>
              <w:color w:val="000000"/>
              <w:sz w:val="22"/>
              <w:szCs w:val="22"/>
            </w:rPr>
          </w:pPr>
          <w:r>
            <w:rPr>
              <w:color w:val="000000"/>
              <w:sz w:val="22"/>
              <w:szCs w:val="22"/>
            </w:rPr>
            <w:t>(sudarymo vieta)</w:t>
          </w:r>
        </w:p>
        <w:p>
          <w:pPr>
            <w:widowControl w:val="0"/>
            <w:shd w:val="clear" w:color="000000" w:fill="auto"/>
            <w:rPr>
              <w:sz w:val="22"/>
              <w:szCs w:val="22"/>
            </w:rPr>
          </w:pPr>
        </w:p>
        <w:p>
          <w:pPr>
            <w:widowControl w:val="0"/>
            <w:shd w:val="clear" w:color="000000" w:fill="auto"/>
            <w:rPr>
              <w:color w:val="000000"/>
              <w:sz w:val="22"/>
            </w:rPr>
          </w:pPr>
          <w:r>
            <w:rPr>
              <w:color w:val="000000"/>
            </w:rPr>
            <w:t xml:space="preserve">Leidimo Nr. ______________  Ataskaita už laikotarpį</w:t>
          </w:r>
          <w:r>
            <w:rPr>
              <w:color w:val="000000"/>
              <w:sz w:val="22"/>
            </w:rPr>
            <w:t xml:space="preserve"> 20_________ – 20_________.</w:t>
          </w:r>
        </w:p>
        <w:p>
          <w:pPr>
            <w:widowControl w:val="0"/>
            <w:shd w:val="clear" w:color="000000" w:fill="auto"/>
            <w:rPr>
              <w:color w:val="000000"/>
              <w:sz w:val="22"/>
            </w:rPr>
          </w:pP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027"/>
            <w:gridCol w:w="722"/>
            <w:gridCol w:w="194"/>
            <w:gridCol w:w="300"/>
            <w:gridCol w:w="440"/>
            <w:gridCol w:w="424"/>
            <w:gridCol w:w="618"/>
            <w:gridCol w:w="493"/>
            <w:gridCol w:w="266"/>
            <w:gridCol w:w="266"/>
            <w:gridCol w:w="265"/>
            <w:gridCol w:w="265"/>
            <w:gridCol w:w="266"/>
            <w:gridCol w:w="265"/>
            <w:gridCol w:w="265"/>
            <w:gridCol w:w="224"/>
            <w:gridCol w:w="237"/>
            <w:gridCol w:w="256"/>
            <w:gridCol w:w="268"/>
            <w:gridCol w:w="266"/>
            <w:gridCol w:w="265"/>
            <w:gridCol w:w="265"/>
            <w:gridCol w:w="265"/>
            <w:gridCol w:w="341"/>
            <w:gridCol w:w="266"/>
            <w:gridCol w:w="341"/>
          </w:tblGrid>
          <w:tr>
            <w:trPr>
              <w:cantSplit/>
              <w:trHeight w:val="20"/>
            </w:trPr>
            <w:tc>
              <w:tcPr>
                <w:tcW w:w="1027" w:type="dxa"/>
                <w:vMerge w:val="restart"/>
                <w:vAlign w:val="center"/>
              </w:tcPr>
              <w:p>
                <w:pPr>
                  <w:widowControl w:val="0"/>
                  <w:shd w:val="clear" w:color="000000" w:fill="auto"/>
                  <w:jc w:val="center"/>
                  <w:rPr>
                    <w:b/>
                    <w:color w:val="000000"/>
                    <w:sz w:val="20"/>
                    <w:szCs w:val="22"/>
                  </w:rPr>
                </w:pPr>
                <w:r>
                  <w:rPr>
                    <w:b/>
                    <w:color w:val="000000"/>
                    <w:sz w:val="20"/>
                    <w:szCs w:val="22"/>
                  </w:rPr>
                  <w:t>Žvejybos baras / rajonas</w:t>
                </w:r>
              </w:p>
            </w:tc>
            <w:tc>
              <w:tcPr>
                <w:tcW w:w="2698" w:type="dxa"/>
                <w:gridSpan w:val="6"/>
                <w:vAlign w:val="center"/>
              </w:tcPr>
              <w:p>
                <w:pPr>
                  <w:widowControl w:val="0"/>
                  <w:shd w:val="clear" w:color="000000" w:fill="auto"/>
                  <w:jc w:val="center"/>
                  <w:rPr>
                    <w:color w:val="000000"/>
                    <w:sz w:val="20"/>
                    <w:szCs w:val="22"/>
                  </w:rPr>
                </w:pPr>
                <w:r>
                  <w:rPr>
                    <w:b/>
                    <w:color w:val="000000"/>
                    <w:sz w:val="20"/>
                    <w:szCs w:val="22"/>
                  </w:rPr>
                  <w:t>Žvejybos įrankiai</w:t>
                </w:r>
              </w:p>
            </w:tc>
            <w:tc>
              <w:tcPr>
                <w:tcW w:w="493" w:type="dxa"/>
                <w:vMerge w:val="restart"/>
                <w:vAlign w:val="center"/>
              </w:tcPr>
              <w:p>
                <w:pPr>
                  <w:widowControl w:val="0"/>
                  <w:shd w:val="clear" w:color="000000" w:fill="auto"/>
                  <w:jc w:val="center"/>
                  <w:rPr>
                    <w:color w:val="000000"/>
                    <w:sz w:val="20"/>
                    <w:szCs w:val="22"/>
                  </w:rPr>
                </w:pPr>
                <w:r>
                  <w:rPr>
                    <w:b/>
                    <w:color w:val="000000"/>
                    <w:sz w:val="20"/>
                    <w:szCs w:val="22"/>
                  </w:rPr>
                  <w:t>Žvejybos dienų skaičius</w:t>
                </w:r>
              </w:p>
            </w:tc>
            <w:tc>
              <w:tcPr>
                <w:tcW w:w="4852" w:type="dxa"/>
                <w:gridSpan w:val="18"/>
                <w:vAlign w:val="center"/>
              </w:tcPr>
              <w:p>
                <w:pPr>
                  <w:widowControl w:val="0"/>
                  <w:shd w:val="clear" w:color="000000" w:fill="auto"/>
                  <w:overflowPunct w:val="0"/>
                  <w:jc w:val="center"/>
                  <w:textAlignment w:val="baseline"/>
                  <w:outlineLvl w:val="2"/>
                  <w:rPr>
                    <w:b/>
                    <w:bCs/>
                    <w:sz w:val="20"/>
                    <w:szCs w:val="22"/>
                    <w:lang w:val="en-GB"/>
                  </w:rPr>
                </w:pPr>
                <w:r>
                  <w:rPr>
                    <w:b/>
                    <w:bCs/>
                    <w:sz w:val="20"/>
                    <w:szCs w:val="22"/>
                  </w:rPr>
                  <w:t>Sugauta žuvų</w:t>
                </w:r>
              </w:p>
            </w:tc>
          </w:tr>
          <w:tr>
            <w:trPr>
              <w:cantSplit/>
              <w:trHeight w:val="20"/>
            </w:trPr>
            <w:tc>
              <w:tcPr>
                <w:tcW w:w="1027" w:type="dxa"/>
                <w:vMerge/>
              </w:tcPr>
              <w:p>
                <w:pPr>
                  <w:widowControl w:val="0"/>
                  <w:shd w:val="clear" w:color="000000" w:fill="auto"/>
                  <w:jc w:val="center"/>
                  <w:rPr>
                    <w:b/>
                    <w:color w:val="000000"/>
                    <w:sz w:val="20"/>
                    <w:szCs w:val="22"/>
                  </w:rPr>
                </w:pPr>
              </w:p>
            </w:tc>
            <w:tc>
              <w:tcPr>
                <w:tcW w:w="722" w:type="dxa"/>
                <w:vAlign w:val="center"/>
              </w:tcPr>
              <w:p>
                <w:pPr>
                  <w:widowControl w:val="0"/>
                  <w:shd w:val="clear" w:color="000000" w:fill="auto"/>
                  <w:jc w:val="center"/>
                  <w:rPr>
                    <w:b/>
                    <w:color w:val="000000"/>
                    <w:sz w:val="20"/>
                    <w:szCs w:val="22"/>
                  </w:rPr>
                </w:pPr>
                <w:r>
                  <w:rPr>
                    <w:b/>
                    <w:color w:val="000000"/>
                    <w:sz w:val="20"/>
                    <w:szCs w:val="22"/>
                  </w:rPr>
                  <w:t>tipas</w:t>
                </w:r>
              </w:p>
            </w:tc>
            <w:tc>
              <w:tcPr>
                <w:tcW w:w="494" w:type="dxa"/>
                <w:gridSpan w:val="2"/>
                <w:tcBorders>
                  <w:right w:val="single" w:sz="4" w:space="0" w:color="auto"/>
                </w:tcBorders>
                <w:vAlign w:val="center"/>
              </w:tcPr>
              <w:p>
                <w:pPr>
                  <w:widowControl w:val="0"/>
                  <w:shd w:val="clear" w:color="000000" w:fill="auto"/>
                  <w:jc w:val="center"/>
                  <w:rPr>
                    <w:b/>
                    <w:color w:val="000000"/>
                    <w:sz w:val="20"/>
                    <w:szCs w:val="22"/>
                  </w:rPr>
                </w:pPr>
                <w:r>
                  <w:rPr>
                    <w:b/>
                    <w:color w:val="000000"/>
                    <w:sz w:val="20"/>
                    <w:szCs w:val="22"/>
                  </w:rPr>
                  <w:t>kiekis, vnt.</w:t>
                </w:r>
              </w:p>
            </w:tc>
            <w:tc>
              <w:tcPr>
                <w:tcW w:w="440" w:type="dxa"/>
                <w:tcBorders>
                  <w:left w:val="single" w:sz="4" w:space="0" w:color="auto"/>
                </w:tcBorders>
                <w:vAlign w:val="center"/>
              </w:tcPr>
              <w:p>
                <w:pPr>
                  <w:widowControl w:val="0"/>
                  <w:shd w:val="clear" w:color="000000" w:fill="auto"/>
                  <w:jc w:val="center"/>
                  <w:rPr>
                    <w:b/>
                    <w:color w:val="000000"/>
                    <w:sz w:val="20"/>
                    <w:szCs w:val="22"/>
                  </w:rPr>
                </w:pPr>
                <w:r>
                  <w:rPr>
                    <w:b/>
                    <w:color w:val="000000"/>
                    <w:sz w:val="20"/>
                    <w:szCs w:val="22"/>
                  </w:rPr>
                  <w:t>ilgis, m</w:t>
                </w:r>
              </w:p>
            </w:tc>
            <w:tc>
              <w:tcPr>
                <w:tcW w:w="424" w:type="dxa"/>
                <w:vAlign w:val="center"/>
              </w:tcPr>
              <w:p>
                <w:pPr>
                  <w:widowControl w:val="0"/>
                  <w:shd w:val="clear" w:color="000000" w:fill="auto"/>
                  <w:jc w:val="center"/>
                  <w:rPr>
                    <w:b/>
                    <w:color w:val="000000"/>
                    <w:sz w:val="20"/>
                    <w:szCs w:val="22"/>
                  </w:rPr>
                </w:pPr>
                <w:r>
                  <w:rPr>
                    <w:b/>
                    <w:color w:val="000000"/>
                    <w:sz w:val="20"/>
                    <w:szCs w:val="22"/>
                  </w:rPr>
                  <w:t>akių dydis, mm</w:t>
                </w:r>
              </w:p>
            </w:tc>
            <w:tc>
              <w:tcPr>
                <w:tcW w:w="618" w:type="dxa"/>
                <w:vAlign w:val="center"/>
              </w:tcPr>
              <w:p>
                <w:pPr>
                  <w:widowControl w:val="0"/>
                  <w:shd w:val="clear" w:color="000000" w:fill="auto"/>
                  <w:jc w:val="center"/>
                  <w:rPr>
                    <w:b/>
                    <w:color w:val="000000"/>
                    <w:sz w:val="20"/>
                    <w:szCs w:val="22"/>
                  </w:rPr>
                </w:pPr>
                <w:r>
                  <w:rPr>
                    <w:b/>
                    <w:color w:val="000000"/>
                    <w:sz w:val="20"/>
                    <w:szCs w:val="22"/>
                  </w:rPr>
                  <w:t>kabliukų skaičius, vnt.</w:t>
                </w:r>
              </w:p>
            </w:tc>
            <w:tc>
              <w:tcPr>
                <w:tcW w:w="493" w:type="dxa"/>
                <w:vMerge/>
              </w:tcPr>
              <w:p>
                <w:pPr>
                  <w:widowControl w:val="0"/>
                  <w:shd w:val="clear" w:color="000000" w:fill="auto"/>
                  <w:jc w:val="center"/>
                  <w:rPr>
                    <w:b/>
                    <w:color w:val="000000"/>
                    <w:sz w:val="20"/>
                    <w:szCs w:val="22"/>
                  </w:rPr>
                </w:pPr>
              </w:p>
            </w:tc>
            <w:tc>
              <w:tcPr>
                <w:tcW w:w="3904" w:type="dxa"/>
                <w:gridSpan w:val="15"/>
                <w:tcBorders>
                  <w:bottom w:val="single" w:sz="4" w:space="0" w:color="auto"/>
                </w:tcBorders>
                <w:vAlign w:val="center"/>
              </w:tcPr>
              <w:p>
                <w:pPr>
                  <w:widowControl w:val="0"/>
                  <w:shd w:val="clear" w:color="000000" w:fill="auto"/>
                  <w:jc w:val="center"/>
                  <w:rPr>
                    <w:b/>
                    <w:color w:val="000000"/>
                    <w:sz w:val="20"/>
                    <w:szCs w:val="22"/>
                  </w:rPr>
                </w:pPr>
                <w:r>
                  <w:rPr>
                    <w:b/>
                    <w:color w:val="000000"/>
                    <w:sz w:val="20"/>
                    <w:szCs w:val="22"/>
                  </w:rPr>
                  <w:t>kg</w:t>
                </w:r>
              </w:p>
            </w:tc>
            <w:tc>
              <w:tcPr>
                <w:tcW w:w="341" w:type="dxa"/>
                <w:vMerge w:val="restart"/>
                <w:tcBorders>
                  <w:right w:val="single" w:sz="4" w:space="0" w:color="auto"/>
                </w:tcBorders>
                <w:textDirection w:val="btLr"/>
                <w:vAlign w:val="center"/>
              </w:tcPr>
              <w:p>
                <w:pPr>
                  <w:widowControl w:val="0"/>
                  <w:shd w:val="clear" w:color="000000" w:fill="auto"/>
                  <w:rPr>
                    <w:b/>
                    <w:color w:val="000000"/>
                    <w:sz w:val="20"/>
                    <w:szCs w:val="22"/>
                  </w:rPr>
                </w:pPr>
                <w:r>
                  <w:rPr>
                    <w:b/>
                    <w:caps/>
                    <w:sz w:val="20"/>
                    <w:szCs w:val="22"/>
                  </w:rPr>
                  <w:t>Iš vis</w:t>
                </w:r>
                <w:r>
                  <w:rPr>
                    <w:b/>
                    <w:caps/>
                    <w:color w:val="000000"/>
                    <w:sz w:val="20"/>
                    <w:szCs w:val="22"/>
                  </w:rPr>
                  <w:t>o</w:t>
                </w:r>
              </w:p>
            </w:tc>
            <w:tc>
              <w:tcPr>
                <w:tcW w:w="607" w:type="dxa"/>
                <w:gridSpan w:val="2"/>
                <w:tcBorders>
                  <w:left w:val="single" w:sz="4" w:space="0" w:color="auto"/>
                  <w:bottom w:val="single" w:sz="4" w:space="0" w:color="auto"/>
                </w:tcBorders>
                <w:vAlign w:val="center"/>
              </w:tcPr>
              <w:p>
                <w:pPr>
                  <w:widowControl w:val="0"/>
                  <w:shd w:val="clear" w:color="000000" w:fill="auto"/>
                  <w:jc w:val="center"/>
                  <w:rPr>
                    <w:b/>
                    <w:caps/>
                    <w:color w:val="000000"/>
                    <w:sz w:val="20"/>
                    <w:szCs w:val="22"/>
                  </w:rPr>
                </w:pPr>
                <w:r>
                  <w:rPr>
                    <w:b/>
                    <w:color w:val="000000"/>
                    <w:sz w:val="20"/>
                    <w:szCs w:val="22"/>
                  </w:rPr>
                  <w:t>vnt.</w:t>
                </w:r>
              </w:p>
            </w:tc>
          </w:tr>
          <w:tr>
            <w:trPr>
              <w:cantSplit/>
              <w:trHeight w:val="1782"/>
            </w:trPr>
            <w:tc>
              <w:tcPr>
                <w:tcW w:w="1027" w:type="dxa"/>
              </w:tcPr>
              <w:p>
                <w:pPr>
                  <w:widowControl w:val="0"/>
                  <w:shd w:val="clear" w:color="000000" w:fill="auto"/>
                  <w:jc w:val="center"/>
                  <w:rPr>
                    <w:b/>
                    <w:color w:val="000000"/>
                    <w:sz w:val="20"/>
                    <w:szCs w:val="22"/>
                  </w:rPr>
                </w:pPr>
              </w:p>
            </w:tc>
            <w:tc>
              <w:tcPr>
                <w:tcW w:w="722" w:type="dxa"/>
                <w:vAlign w:val="center"/>
              </w:tcPr>
              <w:p>
                <w:pPr>
                  <w:widowControl w:val="0"/>
                  <w:shd w:val="clear" w:color="000000" w:fill="auto"/>
                  <w:jc w:val="center"/>
                  <w:rPr>
                    <w:b/>
                    <w:color w:val="000000"/>
                    <w:sz w:val="20"/>
                    <w:szCs w:val="22"/>
                  </w:rPr>
                </w:pPr>
              </w:p>
            </w:tc>
            <w:tc>
              <w:tcPr>
                <w:tcW w:w="494" w:type="dxa"/>
                <w:gridSpan w:val="2"/>
                <w:tcBorders>
                  <w:right w:val="single" w:sz="4" w:space="0" w:color="auto"/>
                </w:tcBorders>
                <w:vAlign w:val="center"/>
              </w:tcPr>
              <w:p>
                <w:pPr>
                  <w:widowControl w:val="0"/>
                  <w:shd w:val="clear" w:color="000000" w:fill="auto"/>
                  <w:jc w:val="center"/>
                  <w:rPr>
                    <w:b/>
                    <w:color w:val="000000"/>
                    <w:sz w:val="20"/>
                    <w:szCs w:val="22"/>
                  </w:rPr>
                </w:pPr>
              </w:p>
            </w:tc>
            <w:tc>
              <w:tcPr>
                <w:tcW w:w="440" w:type="dxa"/>
                <w:tcBorders>
                  <w:left w:val="single" w:sz="4" w:space="0" w:color="auto"/>
                </w:tcBorders>
                <w:vAlign w:val="center"/>
              </w:tcPr>
              <w:p>
                <w:pPr>
                  <w:widowControl w:val="0"/>
                  <w:shd w:val="clear" w:color="000000" w:fill="auto"/>
                  <w:jc w:val="center"/>
                  <w:rPr>
                    <w:b/>
                    <w:color w:val="000000"/>
                    <w:sz w:val="20"/>
                    <w:szCs w:val="22"/>
                  </w:rPr>
                </w:pPr>
              </w:p>
            </w:tc>
            <w:tc>
              <w:tcPr>
                <w:tcW w:w="424" w:type="dxa"/>
                <w:vAlign w:val="center"/>
              </w:tcPr>
              <w:p>
                <w:pPr>
                  <w:widowControl w:val="0"/>
                  <w:shd w:val="clear" w:color="000000" w:fill="auto"/>
                  <w:jc w:val="center"/>
                  <w:rPr>
                    <w:b/>
                    <w:caps/>
                    <w:color w:val="000000"/>
                    <w:sz w:val="20"/>
                    <w:szCs w:val="22"/>
                  </w:rPr>
                </w:pPr>
              </w:p>
            </w:tc>
            <w:tc>
              <w:tcPr>
                <w:tcW w:w="618" w:type="dxa"/>
                <w:vAlign w:val="center"/>
              </w:tcPr>
              <w:p>
                <w:pPr>
                  <w:widowControl w:val="0"/>
                  <w:shd w:val="clear" w:color="000000" w:fill="auto"/>
                  <w:jc w:val="center"/>
                  <w:rPr>
                    <w:b/>
                    <w:color w:val="000000"/>
                    <w:sz w:val="20"/>
                    <w:szCs w:val="22"/>
                  </w:rPr>
                </w:pPr>
              </w:p>
            </w:tc>
            <w:tc>
              <w:tcPr>
                <w:tcW w:w="493" w:type="dxa"/>
              </w:tcPr>
              <w:p>
                <w:pPr>
                  <w:widowControl w:val="0"/>
                  <w:shd w:val="clear" w:color="000000" w:fill="auto"/>
                  <w:jc w:val="center"/>
                  <w:rPr>
                    <w:b/>
                    <w:color w:val="000000"/>
                    <w:sz w:val="20"/>
                    <w:szCs w:val="22"/>
                  </w:rPr>
                </w:pPr>
              </w:p>
            </w:tc>
            <w:tc>
              <w:tcPr>
                <w:tcW w:w="266"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Šprotai</w:t>
                </w:r>
              </w:p>
            </w:tc>
            <w:tc>
              <w:tcPr>
                <w:tcW w:w="266"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Menkės</w:t>
                </w:r>
              </w:p>
            </w:tc>
            <w:tc>
              <w:tcPr>
                <w:tcW w:w="265"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Strimelės</w:t>
                </w:r>
              </w:p>
            </w:tc>
            <w:tc>
              <w:tcPr>
                <w:tcW w:w="265"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Upinės plekšnės</w:t>
                </w:r>
              </w:p>
            </w:tc>
            <w:tc>
              <w:tcPr>
                <w:tcW w:w="266"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Stintos</w:t>
                </w:r>
              </w:p>
            </w:tc>
            <w:tc>
              <w:tcPr>
                <w:tcW w:w="265"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Lašišos</w:t>
                </w:r>
              </w:p>
            </w:tc>
            <w:tc>
              <w:tcPr>
                <w:tcW w:w="265" w:type="dxa"/>
                <w:tcBorders>
                  <w:top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Šlakiai</w:t>
                </w:r>
              </w:p>
            </w:tc>
            <w:tc>
              <w:tcPr>
                <w:tcW w:w="224" w:type="dxa"/>
                <w:tcBorders>
                  <w:top w:val="single" w:sz="4" w:space="0" w:color="auto"/>
                  <w:right w:val="single" w:sz="4" w:space="0" w:color="auto"/>
                </w:tcBorders>
                <w:textDirection w:val="btLr"/>
                <w:vAlign w:val="center"/>
              </w:tcPr>
              <w:p>
                <w:pPr>
                  <w:widowControl w:val="0"/>
                  <w:shd w:val="clear" w:color="000000" w:fill="auto"/>
                  <w:rPr>
                    <w:b/>
                    <w:color w:val="000000"/>
                    <w:sz w:val="20"/>
                    <w:szCs w:val="22"/>
                  </w:rPr>
                </w:pPr>
              </w:p>
            </w:tc>
            <w:tc>
              <w:tcPr>
                <w:tcW w:w="237" w:type="dxa"/>
                <w:tcBorders>
                  <w:top w:val="single" w:sz="4" w:space="0" w:color="auto"/>
                  <w:left w:val="single" w:sz="4" w:space="0" w:color="auto"/>
                  <w:right w:val="single" w:sz="4" w:space="0" w:color="auto"/>
                </w:tcBorders>
                <w:textDirection w:val="btLr"/>
                <w:vAlign w:val="center"/>
              </w:tcPr>
              <w:p>
                <w:pPr>
                  <w:widowControl w:val="0"/>
                  <w:shd w:val="clear" w:color="000000" w:fill="auto"/>
                  <w:rPr>
                    <w:b/>
                    <w:color w:val="000000"/>
                    <w:sz w:val="20"/>
                    <w:szCs w:val="22"/>
                  </w:rPr>
                </w:pPr>
              </w:p>
            </w:tc>
            <w:tc>
              <w:tcPr>
                <w:tcW w:w="256" w:type="dxa"/>
                <w:tcBorders>
                  <w:top w:val="single" w:sz="4" w:space="0" w:color="auto"/>
                  <w:left w:val="single" w:sz="4" w:space="0" w:color="auto"/>
                  <w:right w:val="single" w:sz="4" w:space="0" w:color="auto"/>
                </w:tcBorders>
                <w:textDirection w:val="btLr"/>
                <w:vAlign w:val="center"/>
              </w:tcPr>
              <w:p>
                <w:pPr>
                  <w:widowControl w:val="0"/>
                  <w:shd w:val="clear" w:color="000000" w:fill="auto"/>
                  <w:rPr>
                    <w:b/>
                    <w:color w:val="000000"/>
                    <w:sz w:val="20"/>
                    <w:szCs w:val="22"/>
                  </w:rPr>
                </w:pPr>
              </w:p>
            </w:tc>
            <w:tc>
              <w:tcPr>
                <w:tcW w:w="268" w:type="dxa"/>
                <w:tcBorders>
                  <w:top w:val="single" w:sz="4" w:space="0" w:color="auto"/>
                  <w:left w:val="single" w:sz="4" w:space="0" w:color="auto"/>
                </w:tcBorders>
                <w:textDirection w:val="btLr"/>
                <w:vAlign w:val="center"/>
              </w:tcPr>
              <w:p>
                <w:pPr>
                  <w:widowControl w:val="0"/>
                  <w:shd w:val="clear" w:color="000000" w:fill="auto"/>
                  <w:rPr>
                    <w:b/>
                    <w:color w:val="000000"/>
                    <w:sz w:val="20"/>
                    <w:szCs w:val="22"/>
                  </w:rPr>
                </w:pPr>
              </w:p>
            </w:tc>
            <w:tc>
              <w:tcPr>
                <w:tcW w:w="266" w:type="dxa"/>
                <w:tcBorders>
                  <w:top w:val="single" w:sz="4" w:space="0" w:color="auto"/>
                </w:tcBorders>
                <w:textDirection w:val="btLr"/>
                <w:vAlign w:val="center"/>
              </w:tcPr>
              <w:p>
                <w:pPr>
                  <w:widowControl w:val="0"/>
                  <w:shd w:val="clear" w:color="000000" w:fill="auto"/>
                  <w:rPr>
                    <w:b/>
                    <w:color w:val="000000"/>
                    <w:sz w:val="20"/>
                    <w:szCs w:val="22"/>
                  </w:rPr>
                </w:pPr>
              </w:p>
            </w:tc>
            <w:tc>
              <w:tcPr>
                <w:tcW w:w="265" w:type="dxa"/>
                <w:tcBorders>
                  <w:right w:val="single" w:sz="4" w:space="0" w:color="auto"/>
                </w:tcBorders>
                <w:textDirection w:val="btLr"/>
                <w:vAlign w:val="center"/>
              </w:tcPr>
              <w:p>
                <w:pPr>
                  <w:widowControl w:val="0"/>
                  <w:shd w:val="clear" w:color="000000" w:fill="auto"/>
                  <w:rPr>
                    <w:b/>
                    <w:color w:val="000000"/>
                    <w:sz w:val="20"/>
                    <w:szCs w:val="22"/>
                  </w:rPr>
                </w:pPr>
              </w:p>
            </w:tc>
            <w:tc>
              <w:tcPr>
                <w:tcW w:w="265" w:type="dxa"/>
                <w:tcBorders>
                  <w:top w:val="single" w:sz="4" w:space="0" w:color="auto"/>
                  <w:left w:val="single" w:sz="4" w:space="0" w:color="auto"/>
                </w:tcBorders>
                <w:textDirection w:val="btLr"/>
                <w:vAlign w:val="center"/>
              </w:tcPr>
              <w:p>
                <w:pPr>
                  <w:widowControl w:val="0"/>
                  <w:shd w:val="clear" w:color="000000" w:fill="auto"/>
                  <w:rPr>
                    <w:b/>
                    <w:color w:val="000000"/>
                    <w:sz w:val="20"/>
                    <w:szCs w:val="22"/>
                  </w:rPr>
                </w:pPr>
              </w:p>
            </w:tc>
            <w:tc>
              <w:tcPr>
                <w:tcW w:w="265" w:type="dxa"/>
                <w:tcBorders>
                  <w:top w:val="single" w:sz="4" w:space="0" w:color="auto"/>
                </w:tcBorders>
                <w:textDirection w:val="btLr"/>
                <w:vAlign w:val="center"/>
              </w:tcPr>
              <w:p>
                <w:pPr>
                  <w:widowControl w:val="0"/>
                  <w:shd w:val="clear" w:color="000000" w:fill="auto"/>
                  <w:rPr>
                    <w:b/>
                    <w:color w:val="000000"/>
                    <w:sz w:val="20"/>
                    <w:szCs w:val="22"/>
                  </w:rPr>
                </w:pPr>
              </w:p>
            </w:tc>
            <w:tc>
              <w:tcPr>
                <w:tcW w:w="341" w:type="dxa"/>
                <w:vMerge/>
                <w:tcBorders>
                  <w:right w:val="single" w:sz="4" w:space="0" w:color="auto"/>
                </w:tcBorders>
                <w:textDirection w:val="btLr"/>
                <w:vAlign w:val="center"/>
              </w:tcPr>
              <w:p>
                <w:pPr>
                  <w:widowControl w:val="0"/>
                  <w:shd w:val="clear" w:color="000000" w:fill="auto"/>
                  <w:rPr>
                    <w:b/>
                    <w:color w:val="000000"/>
                    <w:sz w:val="20"/>
                    <w:szCs w:val="22"/>
                  </w:rPr>
                </w:pPr>
              </w:p>
            </w:tc>
            <w:tc>
              <w:tcPr>
                <w:tcW w:w="266" w:type="dxa"/>
                <w:tcBorders>
                  <w:top w:val="single" w:sz="4" w:space="0" w:color="auto"/>
                  <w:left w:val="single" w:sz="4" w:space="0" w:color="auto"/>
                </w:tcBorders>
                <w:textDirection w:val="btLr"/>
                <w:vAlign w:val="center"/>
              </w:tcPr>
              <w:p>
                <w:pPr>
                  <w:widowControl w:val="0"/>
                  <w:shd w:val="clear" w:color="000000" w:fill="auto"/>
                  <w:rPr>
                    <w:b/>
                    <w:color w:val="000000"/>
                    <w:sz w:val="20"/>
                    <w:szCs w:val="22"/>
                  </w:rPr>
                </w:pPr>
                <w:r>
                  <w:rPr>
                    <w:b/>
                    <w:color w:val="000000"/>
                    <w:sz w:val="20"/>
                    <w:szCs w:val="22"/>
                  </w:rPr>
                  <w:t>Lašišos</w:t>
                </w:r>
              </w:p>
            </w:tc>
            <w:tc>
              <w:tcPr>
                <w:tcW w:w="341" w:type="dxa"/>
                <w:textDirection w:val="btLr"/>
                <w:vAlign w:val="center"/>
              </w:tcPr>
              <w:p>
                <w:pPr>
                  <w:widowControl w:val="0"/>
                  <w:shd w:val="clear" w:color="000000" w:fill="auto"/>
                  <w:rPr>
                    <w:b/>
                    <w:caps/>
                    <w:sz w:val="20"/>
                    <w:szCs w:val="22"/>
                  </w:rPr>
                </w:pPr>
                <w:r>
                  <w:rPr>
                    <w:b/>
                    <w:color w:val="000000"/>
                    <w:sz w:val="20"/>
                    <w:szCs w:val="22"/>
                  </w:rPr>
                  <w:t>Šlakiai</w:t>
                </w:r>
              </w:p>
            </w:tc>
          </w:tr>
          <w:tr>
            <w:trPr>
              <w:trHeight w:val="20"/>
            </w:trPr>
            <w:tc>
              <w:tcPr>
                <w:tcW w:w="1027" w:type="dxa"/>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ind w:left="-36"/>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1027" w:type="dxa"/>
                <w:tcBorders>
                  <w:bottom w:val="single" w:sz="4" w:space="0" w:color="auto"/>
                </w:tcBorders>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1027" w:type="dxa"/>
                <w:tcBorders>
                  <w:top w:val="single" w:sz="4" w:space="0" w:color="auto"/>
                </w:tcBorders>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1027" w:type="dxa"/>
                <w:tcBorders>
                  <w:top w:val="single" w:sz="4" w:space="0" w:color="auto"/>
                </w:tcBorders>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1027" w:type="dxa"/>
                <w:tcBorders>
                  <w:top w:val="single" w:sz="4" w:space="0" w:color="auto"/>
                </w:tcBorders>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1027" w:type="dxa"/>
              </w:tcPr>
              <w:p>
                <w:pPr>
                  <w:widowControl w:val="0"/>
                  <w:shd w:val="clear" w:color="000000" w:fill="auto"/>
                  <w:rPr>
                    <w:color w:val="000000"/>
                    <w:sz w:val="22"/>
                    <w:szCs w:val="22"/>
                  </w:rPr>
                </w:pPr>
              </w:p>
            </w:tc>
            <w:tc>
              <w:tcPr>
                <w:tcW w:w="722" w:type="dxa"/>
              </w:tcPr>
              <w:p>
                <w:pPr>
                  <w:widowControl w:val="0"/>
                  <w:shd w:val="clear" w:color="000000" w:fill="auto"/>
                  <w:rPr>
                    <w:color w:val="000000"/>
                    <w:sz w:val="22"/>
                    <w:szCs w:val="22"/>
                  </w:rPr>
                </w:pPr>
              </w:p>
            </w:tc>
            <w:tc>
              <w:tcPr>
                <w:tcW w:w="494" w:type="dxa"/>
                <w:gridSpan w:val="2"/>
                <w:tcBorders>
                  <w:right w:val="single" w:sz="4" w:space="0" w:color="auto"/>
                </w:tcBorders>
              </w:tcPr>
              <w:p>
                <w:pPr>
                  <w:widowControl w:val="0"/>
                  <w:shd w:val="clear" w:color="000000" w:fill="auto"/>
                  <w:rPr>
                    <w:color w:val="000000"/>
                    <w:sz w:val="22"/>
                    <w:szCs w:val="22"/>
                  </w:rPr>
                </w:pPr>
              </w:p>
            </w:tc>
            <w:tc>
              <w:tcPr>
                <w:tcW w:w="440" w:type="dxa"/>
                <w:tcBorders>
                  <w:left w:val="single" w:sz="4" w:space="0" w:color="auto"/>
                </w:tcBorders>
              </w:tcPr>
              <w:p>
                <w:pPr>
                  <w:widowControl w:val="0"/>
                  <w:shd w:val="clear" w:color="000000" w:fill="auto"/>
                  <w:rPr>
                    <w:color w:val="000000"/>
                    <w:sz w:val="22"/>
                    <w:szCs w:val="22"/>
                  </w:rPr>
                </w:pPr>
              </w:p>
            </w:tc>
            <w:tc>
              <w:tcPr>
                <w:tcW w:w="424" w:type="dxa"/>
              </w:tcPr>
              <w:p>
                <w:pPr>
                  <w:widowControl w:val="0"/>
                  <w:shd w:val="clear" w:color="000000" w:fill="auto"/>
                  <w:rPr>
                    <w:color w:val="000000"/>
                    <w:sz w:val="22"/>
                    <w:szCs w:val="22"/>
                  </w:rPr>
                </w:pPr>
              </w:p>
            </w:tc>
            <w:tc>
              <w:tcPr>
                <w:tcW w:w="618" w:type="dxa"/>
              </w:tcPr>
              <w:p>
                <w:pPr>
                  <w:widowControl w:val="0"/>
                  <w:shd w:val="clear" w:color="000000" w:fill="auto"/>
                  <w:rPr>
                    <w:color w:val="000000"/>
                    <w:sz w:val="22"/>
                    <w:szCs w:val="22"/>
                  </w:rPr>
                </w:pPr>
              </w:p>
            </w:tc>
            <w:tc>
              <w:tcPr>
                <w:tcW w:w="493"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24" w:type="dxa"/>
                <w:tcBorders>
                  <w:right w:val="single" w:sz="4" w:space="0" w:color="auto"/>
                </w:tcBorders>
              </w:tcPr>
              <w:p>
                <w:pPr>
                  <w:widowControl w:val="0"/>
                  <w:shd w:val="clear" w:color="000000" w:fill="auto"/>
                  <w:rPr>
                    <w:color w:val="000000"/>
                    <w:sz w:val="22"/>
                    <w:szCs w:val="22"/>
                  </w:rPr>
                </w:pPr>
              </w:p>
            </w:tc>
            <w:tc>
              <w:tcPr>
                <w:tcW w:w="237" w:type="dxa"/>
                <w:tcBorders>
                  <w:left w:val="single" w:sz="4" w:space="0" w:color="auto"/>
                  <w:right w:val="single" w:sz="4" w:space="0" w:color="auto"/>
                </w:tcBorders>
              </w:tcPr>
              <w:p>
                <w:pPr>
                  <w:widowControl w:val="0"/>
                  <w:shd w:val="clear" w:color="000000" w:fill="auto"/>
                  <w:rPr>
                    <w:color w:val="000000"/>
                    <w:sz w:val="22"/>
                    <w:szCs w:val="22"/>
                  </w:rPr>
                </w:pPr>
              </w:p>
            </w:tc>
            <w:tc>
              <w:tcPr>
                <w:tcW w:w="256" w:type="dxa"/>
                <w:tcBorders>
                  <w:left w:val="single" w:sz="4" w:space="0" w:color="auto"/>
                  <w:right w:val="single" w:sz="4" w:space="0" w:color="auto"/>
                </w:tcBorders>
              </w:tcPr>
              <w:p>
                <w:pPr>
                  <w:widowControl w:val="0"/>
                  <w:shd w:val="clear" w:color="000000" w:fill="auto"/>
                  <w:rPr>
                    <w:color w:val="000000"/>
                    <w:sz w:val="22"/>
                    <w:szCs w:val="22"/>
                  </w:rPr>
                </w:pPr>
              </w:p>
            </w:tc>
            <w:tc>
              <w:tcPr>
                <w:tcW w:w="268" w:type="dxa"/>
                <w:tcBorders>
                  <w:left w:val="single" w:sz="4" w:space="0" w:color="auto"/>
                </w:tcBorders>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265"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c>
              <w:tcPr>
                <w:tcW w:w="266" w:type="dxa"/>
              </w:tcPr>
              <w:p>
                <w:pPr>
                  <w:widowControl w:val="0"/>
                  <w:shd w:val="clear" w:color="000000" w:fill="auto"/>
                  <w:rPr>
                    <w:color w:val="000000"/>
                    <w:sz w:val="22"/>
                    <w:szCs w:val="22"/>
                  </w:rPr>
                </w:pPr>
              </w:p>
            </w:tc>
            <w:tc>
              <w:tcPr>
                <w:tcW w:w="341" w:type="dxa"/>
              </w:tcPr>
              <w:p>
                <w:pPr>
                  <w:widowControl w:val="0"/>
                  <w:shd w:val="clear" w:color="000000" w:fill="auto"/>
                  <w:rPr>
                    <w:color w:val="000000"/>
                    <w:sz w:val="22"/>
                    <w:szCs w:val="22"/>
                  </w:rPr>
                </w:pPr>
              </w:p>
            </w:tc>
          </w:tr>
          <w:tr>
            <w:trPr>
              <w:trHeight w:val="20"/>
            </w:trPr>
            <w:tc>
              <w:tcPr>
                <w:tcW w:w="3725" w:type="dxa"/>
                <w:gridSpan w:val="7"/>
              </w:tcPr>
              <w:p>
                <w:pPr>
                  <w:widowControl w:val="0"/>
                  <w:shd w:val="clear" w:color="000000" w:fill="auto"/>
                  <w:jc w:val="right"/>
                  <w:rPr>
                    <w:b/>
                    <w:caps/>
                    <w:color w:val="000000"/>
                    <w:sz w:val="22"/>
                    <w:szCs w:val="22"/>
                  </w:rPr>
                </w:pPr>
                <w:r>
                  <w:rPr>
                    <w:b/>
                    <w:caps/>
                    <w:color w:val="000000"/>
                    <w:sz w:val="22"/>
                    <w:szCs w:val="22"/>
                  </w:rPr>
                  <w:t>Iš viso</w:t>
                </w:r>
              </w:p>
            </w:tc>
            <w:tc>
              <w:tcPr>
                <w:tcW w:w="493" w:type="dxa"/>
              </w:tcPr>
              <w:p>
                <w:pPr>
                  <w:widowControl w:val="0"/>
                  <w:shd w:val="clear" w:color="000000" w:fill="auto"/>
                  <w:jc w:val="center"/>
                  <w:rPr>
                    <w:color w:val="000000"/>
                    <w:sz w:val="22"/>
                    <w:szCs w:val="22"/>
                  </w:rPr>
                </w:pPr>
              </w:p>
            </w:tc>
            <w:tc>
              <w:tcPr>
                <w:tcW w:w="266" w:type="dxa"/>
              </w:tcPr>
              <w:p>
                <w:pPr>
                  <w:widowControl w:val="0"/>
                  <w:shd w:val="clear" w:color="000000" w:fill="auto"/>
                  <w:jc w:val="right"/>
                  <w:rPr>
                    <w:color w:val="000000"/>
                    <w:sz w:val="22"/>
                    <w:szCs w:val="22"/>
                  </w:rPr>
                </w:pPr>
              </w:p>
            </w:tc>
            <w:tc>
              <w:tcPr>
                <w:tcW w:w="266"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66"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24" w:type="dxa"/>
                <w:tcBorders>
                  <w:right w:val="single" w:sz="4" w:space="0" w:color="auto"/>
                </w:tcBorders>
              </w:tcPr>
              <w:p>
                <w:pPr>
                  <w:widowControl w:val="0"/>
                  <w:shd w:val="clear" w:color="000000" w:fill="auto"/>
                  <w:jc w:val="right"/>
                  <w:rPr>
                    <w:color w:val="000000"/>
                    <w:sz w:val="22"/>
                    <w:szCs w:val="22"/>
                  </w:rPr>
                </w:pPr>
              </w:p>
            </w:tc>
            <w:tc>
              <w:tcPr>
                <w:tcW w:w="237" w:type="dxa"/>
                <w:tcBorders>
                  <w:left w:val="single" w:sz="4" w:space="0" w:color="auto"/>
                  <w:right w:val="single" w:sz="4" w:space="0" w:color="auto"/>
                </w:tcBorders>
              </w:tcPr>
              <w:p>
                <w:pPr>
                  <w:widowControl w:val="0"/>
                  <w:shd w:val="clear" w:color="000000" w:fill="auto"/>
                  <w:jc w:val="right"/>
                  <w:rPr>
                    <w:color w:val="000000"/>
                    <w:sz w:val="22"/>
                    <w:szCs w:val="22"/>
                  </w:rPr>
                </w:pPr>
              </w:p>
            </w:tc>
            <w:tc>
              <w:tcPr>
                <w:tcW w:w="256" w:type="dxa"/>
                <w:tcBorders>
                  <w:left w:val="single" w:sz="4" w:space="0" w:color="auto"/>
                  <w:right w:val="single" w:sz="4" w:space="0" w:color="auto"/>
                </w:tcBorders>
              </w:tcPr>
              <w:p>
                <w:pPr>
                  <w:widowControl w:val="0"/>
                  <w:shd w:val="clear" w:color="000000" w:fill="auto"/>
                  <w:jc w:val="right"/>
                  <w:rPr>
                    <w:color w:val="000000"/>
                    <w:sz w:val="22"/>
                    <w:szCs w:val="22"/>
                  </w:rPr>
                </w:pPr>
              </w:p>
            </w:tc>
            <w:tc>
              <w:tcPr>
                <w:tcW w:w="268" w:type="dxa"/>
                <w:tcBorders>
                  <w:left w:val="single" w:sz="4" w:space="0" w:color="auto"/>
                </w:tcBorders>
              </w:tcPr>
              <w:p>
                <w:pPr>
                  <w:widowControl w:val="0"/>
                  <w:shd w:val="clear" w:color="000000" w:fill="auto"/>
                  <w:jc w:val="right"/>
                  <w:rPr>
                    <w:color w:val="000000"/>
                    <w:sz w:val="22"/>
                    <w:szCs w:val="22"/>
                  </w:rPr>
                </w:pPr>
              </w:p>
            </w:tc>
            <w:tc>
              <w:tcPr>
                <w:tcW w:w="266"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265" w:type="dxa"/>
              </w:tcPr>
              <w:p>
                <w:pPr>
                  <w:widowControl w:val="0"/>
                  <w:shd w:val="clear" w:color="000000" w:fill="auto"/>
                  <w:jc w:val="right"/>
                  <w:rPr>
                    <w:color w:val="000000"/>
                    <w:sz w:val="22"/>
                    <w:szCs w:val="22"/>
                  </w:rPr>
                </w:pPr>
              </w:p>
            </w:tc>
            <w:tc>
              <w:tcPr>
                <w:tcW w:w="341" w:type="dxa"/>
              </w:tcPr>
              <w:p>
                <w:pPr>
                  <w:widowControl w:val="0"/>
                  <w:shd w:val="clear" w:color="000000" w:fill="auto"/>
                  <w:jc w:val="right"/>
                  <w:rPr>
                    <w:color w:val="000000"/>
                    <w:sz w:val="22"/>
                    <w:szCs w:val="22"/>
                  </w:rPr>
                </w:pPr>
              </w:p>
            </w:tc>
            <w:tc>
              <w:tcPr>
                <w:tcW w:w="266" w:type="dxa"/>
              </w:tcPr>
              <w:p>
                <w:pPr>
                  <w:widowControl w:val="0"/>
                  <w:shd w:val="clear" w:color="000000" w:fill="auto"/>
                  <w:jc w:val="right"/>
                  <w:rPr>
                    <w:color w:val="000000"/>
                    <w:sz w:val="22"/>
                    <w:szCs w:val="22"/>
                  </w:rPr>
                </w:pPr>
              </w:p>
            </w:tc>
            <w:tc>
              <w:tcPr>
                <w:tcW w:w="341" w:type="dxa"/>
              </w:tcPr>
              <w:p>
                <w:pPr>
                  <w:widowControl w:val="0"/>
                  <w:shd w:val="clear" w:color="000000" w:fill="auto"/>
                  <w:jc w:val="right"/>
                  <w:rPr>
                    <w:color w:val="000000"/>
                    <w:sz w:val="22"/>
                    <w:szCs w:val="22"/>
                  </w:rPr>
                </w:pPr>
              </w:p>
            </w:tc>
          </w:tr>
          <w:tr>
            <w:trPr>
              <w:trHeight w:val="20"/>
            </w:trPr>
            <w:tc>
              <w:tcPr>
                <w:tcW w:w="1943" w:type="dxa"/>
                <w:gridSpan w:val="3"/>
                <w:tcBorders>
                  <w:bottom w:val="nil"/>
                  <w:right w:val="nil"/>
                </w:tcBorders>
              </w:tcPr>
              <w:p>
                <w:pPr>
                  <w:widowControl w:val="0"/>
                  <w:shd w:val="clear" w:color="000000" w:fill="auto"/>
                  <w:rPr>
                    <w:color w:val="000000"/>
                    <w:sz w:val="22"/>
                    <w:szCs w:val="22"/>
                  </w:rPr>
                </w:pPr>
                <w:r>
                  <w:rPr>
                    <w:b/>
                    <w:color w:val="000000"/>
                    <w:sz w:val="22"/>
                    <w:szCs w:val="22"/>
                  </w:rPr>
                  <w:t>Sugautos žuvys buvo panaudotos</w:t>
                </w:r>
              </w:p>
            </w:tc>
            <w:tc>
              <w:tcPr>
                <w:tcW w:w="7127" w:type="dxa"/>
                <w:gridSpan w:val="23"/>
                <w:tcBorders>
                  <w:left w:val="nil"/>
                  <w:bottom w:val="single" w:sz="4" w:space="0" w:color="auto"/>
                </w:tcBorders>
              </w:tcPr>
              <w:p>
                <w:pPr>
                  <w:widowControl w:val="0"/>
                  <w:shd w:val="clear" w:color="000000" w:fill="auto"/>
                  <w:rPr>
                    <w:color w:val="000000"/>
                    <w:sz w:val="22"/>
                    <w:szCs w:val="22"/>
                  </w:rPr>
                </w:pPr>
              </w:p>
            </w:tc>
          </w:tr>
          <w:tr>
            <w:trPr>
              <w:cantSplit/>
              <w:trHeight w:val="20"/>
            </w:trPr>
            <w:tc>
              <w:tcPr>
                <w:tcW w:w="1943" w:type="dxa"/>
                <w:gridSpan w:val="3"/>
                <w:tcBorders>
                  <w:top w:val="nil"/>
                  <w:right w:val="nil"/>
                </w:tcBorders>
                <w:vAlign w:val="center"/>
              </w:tcPr>
              <w:p>
                <w:pPr>
                  <w:widowControl w:val="0"/>
                  <w:shd w:val="clear" w:color="000000" w:fill="auto"/>
                  <w:jc w:val="center"/>
                  <w:rPr>
                    <w:color w:val="000000"/>
                    <w:sz w:val="22"/>
                    <w:szCs w:val="22"/>
                  </w:rPr>
                </w:pPr>
              </w:p>
            </w:tc>
            <w:tc>
              <w:tcPr>
                <w:tcW w:w="7127" w:type="dxa"/>
                <w:gridSpan w:val="23"/>
                <w:tcBorders>
                  <w:top w:val="single" w:sz="4" w:space="0" w:color="auto"/>
                  <w:left w:val="nil"/>
                </w:tcBorders>
                <w:vAlign w:val="center"/>
              </w:tcPr>
              <w:p>
                <w:pPr>
                  <w:widowControl w:val="0"/>
                  <w:shd w:val="clear" w:color="000000" w:fill="auto"/>
                  <w:jc w:val="center"/>
                  <w:rPr>
                    <w:color w:val="000000"/>
                    <w:sz w:val="22"/>
                    <w:szCs w:val="22"/>
                  </w:rPr>
                </w:pPr>
                <w:r>
                  <w:rPr>
                    <w:color w:val="000000"/>
                    <w:sz w:val="20"/>
                    <w:szCs w:val="22"/>
                  </w:rPr>
                  <w:t xml:space="preserve">(įrašyti: parduota,  nurašyta, perduota labdarai, gyvūnams šerti, panaudotos masalui ar kt.)</w:t>
                </w:r>
              </w:p>
            </w:tc>
          </w:tr>
        </w:tbl>
        <w:p>
          <w:pPr>
            <w:widowControl w:val="0"/>
            <w:shd w:val="clear" w:color="000000" w:fill="auto"/>
            <w:tabs>
              <w:tab w:val="left" w:leader="underscore" w:pos="8641"/>
            </w:tabs>
            <w:jc w:val="both"/>
            <w:textAlignment w:val="center"/>
            <w:rPr>
              <w:color w:val="000000"/>
            </w:rPr>
          </w:pPr>
        </w:p>
        <w:tbl>
          <w:tblPr>
            <w:tblW w:w="9070" w:type="dxa"/>
            <w:tblLook w:val="01E0" w:firstRow="1" w:lastRow="1" w:firstColumn="1" w:lastColumn="1" w:noHBand="0" w:noVBand="0"/>
          </w:tblPr>
          <w:tblGrid>
            <w:gridCol w:w="3039"/>
            <w:gridCol w:w="2982"/>
            <w:gridCol w:w="3049"/>
          </w:tblGrid>
          <w:tr>
            <w:tc>
              <w:tcPr>
                <w:tcW w:w="3096" w:type="dxa"/>
              </w:tcPr>
              <w:p>
                <w:pPr>
                  <w:widowControl w:val="0"/>
                  <w:shd w:val="clear" w:color="000000" w:fill="auto"/>
                  <w:tabs>
                    <w:tab w:val="left" w:leader="underscore" w:pos="8641"/>
                  </w:tabs>
                  <w:rPr>
                    <w:lang w:val="pt-BR"/>
                  </w:rPr>
                </w:pPr>
                <w:r>
                  <w:rPr>
                    <w:lang w:val="pt-BR"/>
                  </w:rPr>
                  <w:t>__________________</w:t>
                </w:r>
              </w:p>
              <w:p>
                <w:pPr>
                  <w:widowControl w:val="0"/>
                  <w:shd w:val="clear" w:color="000000" w:fill="auto"/>
                  <w:tabs>
                    <w:tab w:val="left" w:leader="underscore" w:pos="8641"/>
                  </w:tabs>
                  <w:rPr>
                    <w:sz w:val="22"/>
                    <w:szCs w:val="22"/>
                    <w:lang w:val="pt-BR"/>
                  </w:rPr>
                </w:pPr>
                <w:r>
                  <w:rPr>
                    <w:sz w:val="22"/>
                    <w:szCs w:val="22"/>
                    <w:lang w:val="pt-BR"/>
                  </w:rPr>
                  <w:t>(pareigų pavadinimas</w:t>
                </w:r>
                <w:r>
                  <w:rPr>
                    <w:sz w:val="22"/>
                    <w:szCs w:val="22"/>
                  </w:rPr>
                  <w:t>)</w:t>
                </w:r>
              </w:p>
            </w:tc>
            <w:tc>
              <w:tcPr>
                <w:tcW w:w="3096" w:type="dxa"/>
              </w:tcPr>
              <w:p>
                <w:pPr>
                  <w:widowControl w:val="0"/>
                  <w:shd w:val="clear" w:color="000000" w:fill="auto"/>
                  <w:tabs>
                    <w:tab w:val="left" w:leader="underscore" w:pos="8641"/>
                  </w:tabs>
                  <w:jc w:val="center"/>
                  <w:rPr>
                    <w:lang w:val="pt-BR"/>
                  </w:rPr>
                </w:pPr>
                <w:r>
                  <w:rPr>
                    <w:lang w:val="pt-BR"/>
                  </w:rPr>
                  <w:t>____________</w:t>
                </w:r>
              </w:p>
              <w:p>
                <w:pPr>
                  <w:widowControl w:val="0"/>
                  <w:shd w:val="clear" w:color="000000" w:fill="auto"/>
                  <w:tabs>
                    <w:tab w:val="left" w:leader="underscore" w:pos="8641"/>
                  </w:tabs>
                  <w:jc w:val="center"/>
                  <w:rPr>
                    <w:sz w:val="22"/>
                    <w:szCs w:val="22"/>
                    <w:lang w:val="pt-BR"/>
                  </w:rPr>
                </w:pPr>
                <w:r>
                  <w:rPr>
                    <w:sz w:val="22"/>
                    <w:szCs w:val="22"/>
                    <w:lang w:val="pt-BR"/>
                  </w:rPr>
                  <w:t>(parašas)</w:t>
                </w:r>
              </w:p>
            </w:tc>
            <w:tc>
              <w:tcPr>
                <w:tcW w:w="3096" w:type="dxa"/>
              </w:tcPr>
              <w:p>
                <w:pPr>
                  <w:widowControl w:val="0"/>
                  <w:shd w:val="clear" w:color="000000" w:fill="auto"/>
                  <w:tabs>
                    <w:tab w:val="left" w:leader="underscore" w:pos="8641"/>
                  </w:tabs>
                  <w:jc w:val="center"/>
                  <w:rPr>
                    <w:lang w:val="pt-BR"/>
                  </w:rPr>
                </w:pPr>
                <w:r>
                  <w:rPr>
                    <w:lang w:val="pt-BR"/>
                  </w:rPr>
                  <w:t>___________________</w:t>
                </w:r>
              </w:p>
              <w:p>
                <w:pPr>
                  <w:widowControl w:val="0"/>
                  <w:shd w:val="clear" w:color="000000" w:fill="auto"/>
                  <w:tabs>
                    <w:tab w:val="left" w:leader="underscore" w:pos="8641"/>
                  </w:tabs>
                  <w:jc w:val="center"/>
                  <w:rPr>
                    <w:sz w:val="22"/>
                    <w:szCs w:val="22"/>
                    <w:lang w:val="pt-BR"/>
                  </w:rPr>
                </w:pPr>
                <w:r>
                  <w:rPr>
                    <w:sz w:val="22"/>
                    <w:szCs w:val="22"/>
                    <w:lang w:val="pt-BR"/>
                  </w:rPr>
                  <w:t>(vardas ir pavardė)</w:t>
                </w:r>
              </w:p>
            </w:tc>
          </w:tr>
        </w:tbl>
        <w:p>
          <w:pPr>
            <w:widowControl w:val="0"/>
            <w:shd w:val="clear" w:color="000000" w:fill="auto"/>
            <w:tabs>
              <w:tab w:val="left" w:leader="underscore" w:pos="8641"/>
            </w:tabs>
          </w:pPr>
        </w:p>
        <w:p>
          <w:pPr>
            <w:widowControl w:val="0"/>
            <w:shd w:val="clear" w:color="000000" w:fill="auto"/>
            <w:tabs>
              <w:tab w:val="left" w:leader="underscore" w:pos="8641"/>
            </w:tabs>
            <w:jc w:val="center"/>
            <w:rPr>
              <w:lang w:eastAsia="lt-LT"/>
            </w:rPr>
          </w:pPr>
          <w:r>
            <w:t>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F3D78E0EB0E">
            <w:r w:rsidRPr="00532B9F">
              <w:rPr>
                <w:rFonts w:ascii="Times New Roman" w:eastAsia="MS Mincho" w:hAnsi="Times New Roman"/>
                <w:sz w:val="20"/>
                <w:iCs/>
                <w:color w:val="0000FF" w:themeColor="hyperlink"/>
                <w:u w:val="single"/>
              </w:rPr>
              <w:t>3D-80</w:t>
            </w:r>
          </w:fldSimple>
          <w:r>
            <w:rPr>
              <w:rFonts w:ascii="Times New Roman" w:eastAsia="MS Mincho" w:hAnsi="Times New Roman"/>
              <w:sz w:val="20"/>
              <w:iCs/>
            </w:rPr>
            <w:t>,
2011-02-02,
Žin., 2011, Nr.
17-807 (2011-02-10), i. k. 1112330ISAK0003D-80                </w:t>
          </w:r>
        </w:p>
        <w:p>
          <w:pPr>
            <w:jc w:val="both"/>
            <w:rPr>
              <w:rFonts w:ascii="Times New Roman" w:hAnsi="Times New Roman"/>
            </w:rPr>
          </w:pPr>
          <w:r>
            <w:rPr>
              <w:rFonts w:ascii="Times New Roman" w:hAnsi="Times New Roman"/>
              <w:sz w:val="20"/>
            </w:rPr>
            <w:t>Dėl žemės ūkio ministro 2008 m. lapkričio 24 d. įsakymo Nr. 3D-630 "Dėl Specialiosios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6AC4CCBF2">
            <w:r w:rsidRPr="00532B9F">
              <w:rPr>
                <w:rFonts w:ascii="Times New Roman" w:eastAsia="MS Mincho" w:hAnsi="Times New Roman"/>
                <w:sz w:val="20"/>
                <w:iCs/>
                <w:color w:val="0000FF" w:themeColor="hyperlink"/>
                <w:u w:val="single"/>
              </w:rPr>
              <w:t>3D-608</w:t>
            </w:r>
          </w:fldSimple>
          <w:r>
            <w:rPr>
              <w:rFonts w:ascii="Times New Roman" w:eastAsia="MS Mincho" w:hAnsi="Times New Roman"/>
              <w:sz w:val="20"/>
              <w:iCs/>
            </w:rPr>
            <w:t>,
2013-09-04,
Žin., 2013, Nr.
95-4741 (2013-09-07), i. k. 1132330ISAK003D-608                </w:t>
          </w:r>
        </w:p>
        <w:p>
          <w:pPr>
            <w:jc w:val="both"/>
            <w:rPr>
              <w:rFonts w:ascii="Times New Roman" w:hAnsi="Times New Roman"/>
            </w:rPr>
          </w:pPr>
          <w:r>
            <w:rPr>
              <w:rFonts w:ascii="Times New Roman" w:hAnsi="Times New Roman"/>
              <w:sz w:val="20"/>
            </w:rPr>
            <w:t>Dėl žemės ūkio ministro 2008 m. lapkričio 24 d. įsakymo Nr. 3D-630 "Dėl Specialiosios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d34f0028011e4bfca9cc6968de163">
            <w:r w:rsidRPr="00532B9F">
              <w:rPr>
                <w:rFonts w:ascii="Times New Roman" w:eastAsia="MS Mincho" w:hAnsi="Times New Roman"/>
                <w:sz w:val="20"/>
                <w:iCs/>
                <w:color w:val="0000FF" w:themeColor="hyperlink"/>
                <w:u w:val="single"/>
              </w:rPr>
              <w:t>3D-403</w:t>
            </w:r>
          </w:fldSimple>
          <w:r>
            <w:rPr>
              <w:rFonts w:ascii="Times New Roman" w:eastAsia="MS Mincho" w:hAnsi="Times New Roman"/>
              <w:sz w:val="20"/>
              <w:iCs/>
            </w:rPr>
            <w:t>,
2014-07-02,
paskelbta TAR 2014-07-03, i. k. 2014-09790                </w:t>
          </w:r>
        </w:p>
        <w:p>
          <w:pPr>
            <w:jc w:val="both"/>
            <w:rPr>
              <w:rFonts w:ascii="Times New Roman" w:hAnsi="Times New Roman"/>
            </w:rPr>
          </w:pPr>
          <w:r>
            <w:rPr>
              <w:rFonts w:ascii="Times New Roman" w:hAnsi="Times New Roman"/>
              <w:sz w:val="20"/>
            </w:rPr>
            <w:t>Dėl žemės ūkio ministro 2008 m. lapkričio 24 d. įsakymo Nr. 3D-630 „Dėl Specialiosios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840ac0b70d11eb8371ea260d59d64b">
            <w:r w:rsidRPr="00532B9F">
              <w:rPr>
                <w:rFonts w:ascii="Times New Roman" w:eastAsia="MS Mincho" w:hAnsi="Times New Roman"/>
                <w:sz w:val="20"/>
                <w:iCs/>
                <w:color w:val="0000FF" w:themeColor="hyperlink"/>
                <w:u w:val="single"/>
              </w:rPr>
              <w:t>3D-328</w:t>
            </w:r>
          </w:fldSimple>
          <w:r>
            <w:rPr>
              <w:rFonts w:ascii="Times New Roman" w:eastAsia="MS Mincho" w:hAnsi="Times New Roman"/>
              <w:sz w:val="20"/>
              <w:iCs/>
            </w:rPr>
            <w:t>,
2021-05-17,
paskelbta TAR 2021-05-17, i. k. 2021-10914                </w:t>
          </w:r>
        </w:p>
        <w:p>
          <w:pPr>
            <w:jc w:val="both"/>
            <w:rPr>
              <w:rFonts w:ascii="Times New Roman" w:hAnsi="Times New Roman"/>
            </w:rPr>
          </w:pPr>
          <w:r>
            <w:rPr>
              <w:rFonts w:ascii="Times New Roman" w:hAnsi="Times New Roman"/>
              <w:sz w:val="20"/>
            </w:rPr>
            <w:t>Dėl žemės ūkio ministro 2008 m. lapkričio 24 d. įsakymo Nr. 3D-630 „Dėl Specialiosios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a2bb70632b11eca9ac839120d251c4">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2021-12-22,
paskelbta TAR 2021-12-22, i. k. 2021-26595                </w:t>
          </w:r>
        </w:p>
        <w:p>
          <w:pPr>
            <w:jc w:val="both"/>
            <w:rPr>
              <w:rFonts w:ascii="Times New Roman" w:hAnsi="Times New Roman"/>
            </w:rPr>
          </w:pPr>
          <w:r>
            <w:rPr>
              <w:rFonts w:ascii="Times New Roman" w:hAnsi="Times New Roman"/>
              <w:sz w:val="20"/>
            </w:rPr>
            <w:t>Dėl žemės ūkio ministro 2008 m. lapkričio 24 d. įsakymo Nr. 3D-630 "Dėl Specialiosios žvejybos jūrų vandenyse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139" w:right="1134" w:bottom="1134" w:left="1134"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1C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33B2C65"/>
  <w15:docId w15:val="{786F9A01-4967-41DC-B67A-9A6CC1C115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7.wmf"/>
  <Relationship Id="rId9" Type="http://schemas.openxmlformats.org/officeDocument/2006/relationships/control" Target="activeX/activeX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00718795924e1c95d95ab3c5e2b075" PartId="2cdc498285454267b1c9b6076eca2ae0">
    <Part Type="preambule" DocPartId="3a11f51e8b354523b44519683d956157" PartId="1b6128f6e2c142c18fa1dd6ef35de269"/>
    <Part Type="punktas" Nr="1" Abbr="1 p." DocPartId="1e0aeb92de364e6eb0a16eac4e1d0c32" PartId="7f30a5b1b7a24e9f8d7079758293199e"/>
    <Part Type="punktas" Nr="2" Abbr="2 p." DocPartId="a718211e4e1f4456bfd7727e605eb21f" PartId="31aee9096c264cbf82bb1417b49a3dac"/>
    <Part Type="signatura" DocPartId="f2e38a1def8f435f9eef2da600e05531" PartId="00218b6db6d649c29b173ab45367f2a7"/>
  </Part>
  <Part Type="patvirtinta" Title="SPECIALIOSIOS ŽVEJYBOS JŪRŲ VANDENYSE TAISYKLĖS" DocPartId="618760ecc0f645fa8659071dcc1a90cc" PartId="62eda4527adb463b85544a7f1646f6b1">
    <Part Type="skyrius" Nr="1" Title="BENDROSIOS NUOSTATOS" DocPartId="02f5e645c0254429a70d5fe3ad41d45a" PartId="9371615fc50e4e6693fdb1980e6d48d6">
      <Part Type="punktas" Nr="1" Abbr="1 p." DocPartId="6600a577c66e4cdda25632c1b75bcd7a" PartId="0b73c77b329c4780a88f71da2c737e09"/>
      <Part Type="punktas" Nr="2" Abbr="2 p." DocPartId="3f8bea9271d44358bbc88b5698b99078" PartId="a24e7238e18b42cdb1cc14169bc59fa1"/>
      <Part Type="punktas" Nr="3" Abbr="3 p." DocPartId="170e8540d3924fec81288a587fd34dd1" PartId="530dc443beb44ce8ab19d979afcc0ed9"/>
    </Part>
    <Part Type="skyrius" Nr="2" Title="LEIDIMŲ IŠDAVIMAS" DocPartId="7fec2ab2b9cc4b80a05c2167d36644aa" PartId="0f9f24325cd0453a96adf673ffe56e07">
      <Part Type="punktas" Nr="4" Abbr="4 p." DocPartId="af01cd0fbee54beaa1d495be315a4f4f" PartId="a88272f77be54e5a816d7028f7ff36e9"/>
      <Part Type="punktas" Nr="5" Abbr="5 p." DocPartId="8b93960b9185444d9607073d45eae673" PartId="2f993b068c7a48cf84c4f99f2199ca63">
        <Part Type="punktas" Nr="5.1" Abbr="5.1 p." DocPartId="8e07e37ab710400aa499185ded330ebc" PartId="fde356ec3da14aa7939251a329974776"/>
        <Part Type="punktas" Nr="5.2" Abbr="5.2 p." DocPartId="5a181eaf5154441eb077e2ae8fdeb374" PartId="fcf7b7d4add340c1811cf07e819ee1a1"/>
        <Part Type="punktas" Nr="5.3" Abbr="5.3 p." DocPartId="5467edc25e644d4faede72657664858f" PartId="742a02dc88d94e3386d2e812b59284bc"/>
        <Part Type="punktas" Nr="5.4" Abbr="5.4 p." DocPartId="8044c81b53fc4b0db8a26082ba282cf6" PartId="67bc860aa5184024b2da7f55294a4372"/>
        <Part Type="punktas" Nr="5.5" Abbr="5.5 p." DocPartId="9612ca218bac4c83a214ee80e548643a" PartId="637e466818674502b879921e8356866a"/>
        <Part Type="punktas" Nr="5.6" Abbr="5.6 p." DocPartId="673a164f73454812a2be7173dfb4e3d2" PartId="fc6ff5205f9d44cf911101b28c7e6576"/>
        <Part Type="punktas" Nr="5.7" Abbr="5.7 p." DocPartId="3c65c18640904ddaaa0d5114c798d6d6" PartId="3e769839f9e54cb594ea8b58b59f38ed"/>
      </Part>
      <Part Type="punktas" Nr="6" Abbr="6 p." DocPartId="4462b3a310ba416da0849a59fd41970a" PartId="d19148aff5be41898c0ac8c94d302324"/>
      <Part Type="punktas" Nr="7" Abbr="7 p." DocPartId="b131d40aae0b4fd6a762005f96d2320c" PartId="fe9aa632f0d343df8446309590569351"/>
      <Part Type="punktas" Nr="8" Abbr="8 p." DocPartId="f99fb35039434578ad379f21b9f49fc6" PartId="9886f58b705f4b6292a709aa0947334d"/>
      <Part Type="punktas" Nr="9" Abbr="9 p." DocPartId="bd0b9c4e072546a5b3975806e8c37c1c" PartId="0f59ffd05d8e4143a8a1d3c82df0d0bb"/>
      <Part Type="punktas" Nr="10" Abbr="10 p." DocPartId="60a7290f9cf840cda0eaf6dc4c93ad60" PartId="f063d47fae9e40e696a9fc162ac6e204">
        <Part Type="punktas" Nr="10.1" Abbr="10.1 p." DocPartId="aba9f20d7c1e460981cc965ff47a9cf1" PartId="60710f117d5d409a92395b9868fcfca3"/>
        <Part Type="punktas" Nr="10.2" Abbr="10.2 p." DocPartId="87b7af67f60548179fdbc294db7c4eff" PartId="20a9d86a455c49d098fbd96e9313b1a2"/>
        <Part Type="punktas" Nr="10.3" Abbr="10.3 p." DocPartId="966df37d826d480096420907b06b7da4" PartId="4b0a316902b54a27ae8f30f9394783dd"/>
      </Part>
    </Part>
    <Part Type="skyrius" Nr="3" Title="SPECIALIOSIOS ŽVEJYBOS TVARKA" DocPartId="b81a098c648048dd98adbf806295445c" PartId="7c75d230f31440da8f02295b8c219a07">
      <Part Type="punktas" Nr="11" Abbr="11 p." DocPartId="45a832da87b948e6bc46c14fd3f69b80" PartId="1fa12f41e27642e6bdd53160c5850d85"/>
      <Part Type="punktas" Nr="12" Abbr="12 p." DocPartId="b2e24b4881e6444bba09de6188f67964" PartId="42305830f6e54502bced26e039aa2547"/>
      <Part Type="punktas" Nr="13" Abbr="13 p." DocPartId="de290f0bfe49432bad27d76ffccc83d1" PartId="4167877de6ad404ba36a3b5b9c6f89b0"/>
      <Part Type="punktas" Nr="14" Abbr="14 p." DocPartId="9ec4dc79c2f54b2ebf92e06586c62ead" PartId="49a8e537887248c3a7f16d8bf2bf2bc8"/>
      <Part Type="punktas" Nr="15" Abbr="15 p." DocPartId="e10c605a97694b688821b1096fdf35ab" PartId="06a48c915d5b44f9855c8ee532abef0b"/>
    </Part>
    <Part Type="skyrius" Nr="4" Title="SUGAUTŲ ŽUVŲ NAUDOJIMAS" DocPartId="f80489abd4754d29be058500c0b57a7d" PartId="7a8164a01bf8478783996719c5c11cc4">
      <Part Type="punktas" Nr="16" Abbr="16 p." DocPartId="7c7137a274c348a5856576a75cfe9b89" PartId="6449cc08cf024bdf9ad15e5cdfeb2da4"/>
      <Part Type="punktas" Nr="17" Abbr="17 p." DocPartId="4526327ea7c449d8bc3d00aefa3468fe" PartId="6f9ec737209c43e3baa87a0f83b739b0"/>
    </Part>
    <Part Type="skyrius" Nr="5" Title="BAIGIAMOSIOS NUOSTATOS" DocPartId="5f83ebbe1a3e4bd0a092b42929427e68" PartId="f6f06ae4fc23451ca334a5dbaec3991e">
      <Part Type="punktas" Nr="18" Abbr="18 p." DocPartId="34fb2d52f9914276af8e0c30c51b8c1e" PartId="0e5377f3cba54c6db1e5f452114161d3"/>
      <Part Type="punktas" Nr="18-1" Abbr="18-1 p." DocPartId="61dc5bba46bc4b46817892c9db2a7cd8" PartId="5cf049f53882420c86596d2d2d9336ed"/>
      <Part Type="punktas" Nr="18-2" Abbr="18-2 p." DocPartId="6dbb8534c8fe4980859e5d2b33fb2256" PartId="236565df91454d28af0971b2864b5e24">
        <Part Type="papunktis" Nr="18-2.1" Abbr="18-2.1 pp." DocPartId="38a55f3ed5064960bb83be3981458d3f" PartId="d93899eae11e42559f9a1b06d4dd4037"/>
        <Part Type="papunktis" Nr="18-2.2" Abbr="18-2.2 pp." DocPartId="728039fac87d47e792cb7e046a85b9da" PartId="cb1f084ee8204f89ab45499aa3f473fc"/>
      </Part>
      <Part Type="punktas" Nr="19" Abbr="19 p." DocPartId="ec14948f52744af08b2c11b0315137f6" PartId="9bd64b07ede84a9ca2e26fb2acd4ca0a"/>
      <Part Type="punktas" Nr="20" Abbr="20 p." DocPartId="1f89922847064fee9560bca3398484f8" PartId="f7f3206d3ff441e9be78959e78457e78"/>
      <Part Type="punktas" Nr="21" Abbr="21 p." DocPartId="0f3c9efc702e46a5a6927f2cad43f060" PartId="5b51e7ca0c4b42e1a9888db502fa3617"/>
    </Part>
    <Part Type="pabaiga" DocPartId="d206559122d14a83ac10130ba80dfbf3" PartId="bf3fd2efa9394caba6cc6af9aacdb91e"/>
  </Part>
  <Part Type="priedas" Nr="1" Abbr="1 pr." Title="(Specialiosios žvejybos leidimo žvejoti jūrų vandenyse forma)" DocPartId="8136f5d913b549f59965e141ac81a89e" PartId="6a34e84ce0144dab8e09d6a4a6c40292"/>
  <Part Type="priedas" Nr="2" Abbr="2 pr." Title="ŽUVŲ SUGAVIMO IR PANAUDOJIMO PAGAL SPECIALIOSIOS ŽVEJYBOS LEIDIMĄ ŽVEJOTI JŪRŲ VANDENYSE ATASKAITA" DocPartId="be95c508432b4acdb320973e95ae1f46" PartId="8c337b8d81144e4392bb17f4d7b843ba"/>
</Parts>
</file>

<file path=customXml/itemProps1.xml><?xml version="1.0" encoding="utf-8"?>
<ds:datastoreItem xmlns:ds="http://schemas.openxmlformats.org/officeDocument/2006/customXml" ds:itemID="{379CA888-8D68-4490-BD61-696373B405D9}">
  <ds:schemaRefs>
    <ds:schemaRef ds:uri="http://lrs.lt/TAIS/DocParts"/>
  </ds:schemaRefs>
</ds:datastoreItem>
</file>

<file path=docProps/app.xml><?xml version="1.0" encoding="utf-8"?>
<Properties xmlns="http://schemas.openxmlformats.org/officeDocument/2006/extended-properties">
  <Template>Normal.dotm</Template>
  <TotalTime>23</TotalTime>
  <Pages>10</Pages>
  <Words>8435</Words>
  <Characters>4809</Characters>
  <Application>Microsoft Office Word</Application>
  <DocSecurity>0</DocSecurity>
  <Lines>40</Lines>
  <Paragraphs>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ŽEMĖS ŪKIO MINISTRO</vt:lpstr>
    </vt:vector>
  </TitlesOfParts>
  <Company>Teisines informacijos centras</Company>
  <LinksUpToDate>false</LinksUpToDate>
  <CharactersWithSpaces>13218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2015-09-14T17:58:00Z</dcterms:created>
  <dc:creator>Sandra</dc:creator>
  <lastModifiedBy>DZIKAITĖ Jolanta</lastModifiedBy>
  <dcterms:modified xsi:type="dcterms:W3CDTF">2021-12-23T15:07:00Z</dcterms:modified>
  <revision>14</revision>
  <dc:title>LIETUVOS RESPUBLIKOS ŽEMĖS ŪKIO MINISTRO</dc:title>
</coreProperties>
</file>