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ac4af71b1d4499eae78507762f3f1d6"/>
        <w:lock w:val="sdtLocked"/>
        <w:richText/>
      </w:sdtPr>
      <w:sdtContent>
        <w:p>
          <w:pPr>
            <w:jc w:val="both"/>
            <w:rPr>
              <w:rFonts w:ascii="Times New Roman" w:hAnsi="Times New Roman"/>
            </w:rPr>
          </w:pPr>
          <w:r>
            <w:rPr>
              <w:rFonts w:ascii="Times New Roman" w:hAnsi="Times New Roman"/>
              <w:b/>
              <w:i/>
            </w:rPr>
            <w:t>Suvestinė redakcija nuo 2013-09-28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a452b82eacd3473a850c9a60a874d604"/>
                <w:lock w:val="sdtLocked"/>
                <w:richText/>
              </w:sdtPr>
              <w:sdtContent>
                <w:p>
                  <w:pPr>
                    <w:ind w:firstLine="567"/>
                    <w:jc w:val="both"/>
                  </w:pPr>
                  <w:sdt>
                    <w:sdtPr>
                      <w:alias w:val="Numeris"/>
                      <w:tag w:val="nr_a452b82eacd3473a850c9a60a874d604"/>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p>
                  <w:pPr>
                    <w:jc w:val="both"/>
                    <w:rPr>
                      <w:i/>
                      <w:sz w:val="20"/>
                    </w:rPr>
                  </w:pPr>
                  <w:r>
                    <w:rPr>
                      <w:b/>
                      <w:i/>
                      <w:sz w:val="20"/>
                    </w:rPr>
                    <w:t>TAR pastaba.</w:t>
                  </w:r>
                  <w:r>
                    <w:rPr>
                      <w:i/>
                      <w:sz w:val="20"/>
                    </w:rPr>
                    <w:t xml:space="preserve"> Pripažinti, kad Lietuvos Respublikos teisėjų atlyginimų įstatymo 6 straipsnio 1 dalis (Žin., 2008, Nr. </w:t>
                  </w:r>
                  <w:hyperlink r:id="rId17" w:tgtFrame="_blank" w:history="1">
                    <w:r>
                      <w:rPr>
                        <w:i/>
                        <w:color w:val="0000FF" w:themeColor="hyperlink"/>
                        <w:sz w:val="20"/>
                        <w:u w:val="single"/>
                      </w:rPr>
                      <w:t>131-5022</w:t>
                    </w:r>
                  </w:hyperlink>
                  <w:r>
                    <w:rPr>
                      <w:i/>
                      <w:sz w:val="20"/>
                    </w:rPr>
                    <w:t>) tiek, kiek ribojama teisėjų teisė gauti teisingą atlyginimą už viršvalandinį darbą, už darbą švenčių ir poilsio dienomis, prieštarauja Lietuvos Respublikos Konstitucijos 48 straipsnio 1 dalies nuostatai „Kiekvienas žmogus &lt;...&gt; turi teisę &lt;...&gt; gauti teisingą apmokėjimą už darbą &lt;...&gt;“,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2011-02-14,
Žin., 2011, Nr.
20-967 (2011-02-17), i. k. 1111000NUTARG111145            </w:t>
                  </w:r>
                </w:p>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8"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b753322998d8423fac27fe7d116f3bf8"/>
        <w:lock w:val="sdtLocked"/>
        <w:richText/>
      </w:sdtPr>
      <w:sdtContent>
        <w:p>
          <w:pPr>
            <w:keepLines/>
            <w:widowControl w:val="0"/>
            <w:suppressAutoHyphens/>
            <w:ind w:left="5103"/>
            <w:rPr>
              <w:color w:val="000000"/>
            </w:rPr>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851" w:bottom="1134" w:left="1701" w:header="709" w:footer="709" w:gutter="0"/>
              <w:pgNumType w:start="1"/>
              <w:cols w:space="1296"/>
              <w:titlePg/>
              <w:docGrid w:linePitch="360"/>
            </w:sectPr>
          </w:pPr>
        </w:p>
        <w:p>
          <w:pPr>
            <w:keepLines/>
            <w:widowControl w:val="0"/>
            <w:suppressAutoHyphens/>
            <w:ind w:left="5103"/>
            <w:rPr>
              <w:color w:val="000000"/>
            </w:rPr>
          </w:pPr>
          <w:r>
            <w:rPr>
              <w:color w:val="000000"/>
            </w:rPr>
            <w:t xml:space="preserve">Lietuvos Respublikos </w:t>
          </w:r>
        </w:p>
        <w:p>
          <w:pPr>
            <w:keepLines/>
            <w:widowControl w:val="0"/>
            <w:suppressAutoHyphens/>
            <w:ind w:left="5103"/>
            <w:rPr>
              <w:color w:val="000000"/>
            </w:rPr>
          </w:pPr>
          <w:r>
            <w:rPr>
              <w:color w:val="000000"/>
            </w:rPr>
            <w:t xml:space="preserve">teisėjų atlyginimų </w:t>
          </w:r>
        </w:p>
        <w:p>
          <w:pPr>
            <w:keepLines/>
            <w:widowControl w:val="0"/>
            <w:suppressAutoHyphens/>
            <w:ind w:left="5103"/>
            <w:rPr>
              <w:color w:val="000000"/>
            </w:rPr>
          </w:pPr>
          <w:r>
            <w:rPr>
              <w:color w:val="000000"/>
            </w:rPr>
            <w:t xml:space="preserve">įstatymo </w:t>
          </w:r>
        </w:p>
        <w:p>
          <w:pPr>
            <w:keepLines/>
            <w:widowControl w:val="0"/>
            <w:suppressAutoHyphens/>
            <w:ind w:left="5103"/>
            <w:rPr>
              <w:color w:val="000000"/>
            </w:rPr>
          </w:pPr>
          <w:r>
            <w:rPr>
              <w:color w:val="000000"/>
            </w:rPr>
            <w:t>priedėlis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 LIETUVOS RESPUBLIKOS KONSTITUCINIO TEISMO TEISĖJŲ ATLYGINIMAI</w:t>
          </w:r>
        </w:p>
        <w:p>
          <w:pPr>
            <w:widowControl w:val="0"/>
            <w:suppressAutoHyphens/>
            <w:rPr>
              <w:color w:val="000000"/>
            </w:rPr>
          </w:pPr>
        </w:p>
        <w:p>
          <w:pPr>
            <w:widowControl w:val="0"/>
            <w:suppressAutoHyphens/>
            <w:ind w:left="7080"/>
            <w:rPr>
              <w:color w:val="000000"/>
            </w:rPr>
          </w:pPr>
          <w:r>
            <w:rPr>
              <w:color w:val="000000"/>
            </w:rPr>
            <w:t>(Baziniais dydžiais)</w:t>
          </w:r>
        </w:p>
        <w:tbl>
          <w:tblPr>
            <w:tblW w:w="9070" w:type="dxa"/>
            <w:tblLayout w:type="fixed"/>
            <w:tblCellMar>
              <w:left w:w="0" w:type="dxa"/>
              <w:right w:w="0" w:type="dxa"/>
            </w:tblCellMar>
            <w:tblLook w:val="0000" w:firstRow="0" w:lastRow="0" w:firstColumn="0" w:lastColumn="0" w:noHBand="0" w:noVBand="0"/>
          </w:tblPr>
          <w:tblGrid>
            <w:gridCol w:w="728"/>
            <w:gridCol w:w="5245"/>
            <w:gridCol w:w="3097"/>
          </w:tblGrid>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Pareigybės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Atlyginimo koeficientas</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pirmininkas (ar jį pavaduojantis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19,06</w:t>
                </w:r>
              </w:p>
            </w:tc>
          </w:tr>
        </w:tbl>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II. BENDROSIOS KOMPETENCIJOS IR SPECIALIZUOTŲ TEISMŲ TEISĖJŲ PAREIGINĖS ALGOS</w:t>
          </w:r>
        </w:p>
        <w:p>
          <w:pPr>
            <w:widowControl w:val="0"/>
            <w:suppressAutoHyphens/>
            <w:ind w:firstLine="567"/>
            <w:jc w:val="both"/>
            <w:rPr>
              <w:color w:val="000000"/>
            </w:rPr>
          </w:pPr>
        </w:p>
        <w:p>
          <w:pPr>
            <w:widowControl w:val="0"/>
            <w:suppressAutoHyphens/>
            <w:ind w:left="7080"/>
            <w:rPr>
              <w:color w:val="000000"/>
            </w:rPr>
          </w:pPr>
          <w:r>
            <w:rPr>
              <w:color w:val="000000"/>
            </w:rPr>
            <w:t>(Baziniais</w:t>
          </w:r>
          <w:r>
            <w:rPr>
              <w:b/>
              <w:bCs/>
              <w:color w:val="000000"/>
            </w:rPr>
            <w:t xml:space="preserve"> </w:t>
          </w:r>
          <w:r>
            <w:rPr>
              <w:color w:val="000000"/>
            </w:rPr>
            <w:t xml:space="preserve">dydžiais) </w:t>
          </w:r>
        </w:p>
        <w:tbl>
          <w:tblPr>
            <w:tblW w:w="9070" w:type="dxa"/>
            <w:tblLayout w:type="fixed"/>
            <w:tblCellMar>
              <w:left w:w="0" w:type="dxa"/>
              <w:right w:w="0" w:type="dxa"/>
            </w:tblCellMar>
            <w:tblLook w:val="0000" w:firstRow="0" w:lastRow="0" w:firstColumn="0" w:lastColumn="0" w:noHBand="0" w:noVBand="0"/>
          </w:tblPr>
          <w:tblGrid>
            <w:gridCol w:w="639"/>
            <w:gridCol w:w="2357"/>
            <w:gridCol w:w="2381"/>
            <w:gridCol w:w="1317"/>
            <w:gridCol w:w="1318"/>
            <w:gridCol w:w="1058"/>
          </w:tblGrid>
          <w:tr>
            <w:trPr>
              <w:trHeight w:val="377"/>
              <w:tblHeader/>
            </w:trPr>
            <w:tc>
              <w:tcPr>
                <w:tcW w:w="675"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2552"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Įstaigos pavadinimas</w:t>
                </w:r>
              </w:p>
            </w:tc>
            <w:tc>
              <w:tcPr>
                <w:tcW w:w="6548" w:type="dxa"/>
                <w:gridSpan w:val="4"/>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Pareiginės algos koeficientas:</w:t>
                </w:r>
              </w:p>
            </w:tc>
          </w:tr>
          <w:tr>
            <w:trPr>
              <w:trHeight w:val="60"/>
              <w:tblHeader/>
            </w:trPr>
            <w:tc>
              <w:tcPr>
                <w:tcW w:w="675" w:type="dxa"/>
                <w:vMerge/>
                <w:tcBorders>
                  <w:top w:val="single" w:sz="8" w:space="0" w:color="000000"/>
                  <w:left w:val="single" w:sz="4" w:space="0" w:color="000000"/>
                  <w:bottom w:val="single" w:sz="4" w:space="0" w:color="000000"/>
                  <w:right w:val="single" w:sz="4" w:space="0" w:color="000000"/>
                </w:tcBorders>
              </w:tcPr>
              <w:p>
                <w:pPr>
                  <w:widowControl w:val="0"/>
                </w:pPr>
              </w:p>
            </w:tc>
            <w:tc>
              <w:tcPr>
                <w:tcW w:w="2552" w:type="dxa"/>
                <w:vMerge/>
                <w:tcBorders>
                  <w:top w:val="single" w:sz="8" w:space="0" w:color="000000"/>
                  <w:left w:val="single" w:sz="4" w:space="0" w:color="000000"/>
                  <w:bottom w:val="single" w:sz="4" w:space="0" w:color="000000"/>
                  <w:right w:val="single" w:sz="4" w:space="0" w:color="000000"/>
                </w:tcBorders>
              </w:tcPr>
              <w:p>
                <w:pPr>
                  <w:widowControl w:val="0"/>
                </w:pP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ar jį pavaduojančiojo (kai nėra etatinio pavaduotojo)</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pavaduotojo</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skyriaus pirmininko</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teisėjo</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Aukščiausiasis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17,67</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vyriausiasis administracinis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17,01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16,07</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15,23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3.</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apeliacinis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 xml:space="preserve">15,63 </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4.</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5.</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administraciniai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Apylinkių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15 ir daugiau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14,41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13,02</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14 ir mažiau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13,6</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12,45</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bl>
        <w:p>
          <w:pPr>
            <w:ind w:firstLine="567"/>
            <w:jc w:val="both"/>
          </w:pPr>
        </w:p>
        <w:p>
          <w:pPr>
            <w:ind w:firstLine="567"/>
            <w:jc w:val="both"/>
          </w:pPr>
        </w:p>
        <w:p>
          <w:pPr>
            <w:jc w:val="both"/>
            <w:rPr>
              <w:b/>
              <w:i/>
            </w:rPr>
          </w:pPr>
          <w:r>
            <w:rPr>
              <w:b/>
              <w:i/>
            </w:rPr>
            <w:t>Priedėlio redakcija nuo 2013-10-01:</w:t>
          </w:r>
        </w:p>
        <w:sdt>
          <w:sdtPr>
            <w:alias w:val="pr."/>
            <w:tag w:val="part_722c1e0146994c4d9ecfb665f34f781e"/>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2"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78"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0"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2" w:type="dxa"/>
                    <w:vMerge/>
                    <w:tcBorders>
                      <w:top w:val="single" w:sz="6" w:space="0" w:color="auto"/>
                      <w:left w:val="single" w:sz="6" w:space="0" w:color="auto"/>
                      <w:bottom w:val="single" w:sz="6" w:space="0" w:color="auto"/>
                      <w:right w:val="single" w:sz="6" w:space="0" w:color="auto"/>
                    </w:tcBorders>
                    <w:vAlign w:val="center"/>
                    <w:hideMark/>
                  </w:tcPr>
                  <w:p>
                    <w:pPr/>
                  </w:p>
                </w:tc>
                <w:tc>
                  <w:tcPr>
                    <w:tcW w:w="2978" w:type="dxa"/>
                    <w:vMerge/>
                    <w:tcBorders>
                      <w:top w:val="single" w:sz="6" w:space="0" w:color="auto"/>
                      <w:left w:val="single" w:sz="6" w:space="0" w:color="auto"/>
                      <w:bottom w:val="single" w:sz="6" w:space="0" w:color="auto"/>
                      <w:right w:val="single" w:sz="6" w:space="0" w:color="auto"/>
                    </w:tcBorders>
                    <w:vAlign w:val="center"/>
                    <w:hideMark/>
                  </w:tcPr>
                  <w:p>
                    <w:pP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78" w:type="dxa"/>
                    <w:tcBorders>
                      <w:top w:val="single" w:sz="6" w:space="0" w:color="auto"/>
                      <w:left w:val="single" w:sz="6" w:space="0" w:color="auto"/>
                      <w:bottom w:val="single" w:sz="6" w:space="0" w:color="auto"/>
                      <w:right w:val="single" w:sz="6" w:space="0" w:color="auto"/>
                    </w:tcBorders>
                    <w:hideMark/>
                  </w:tcPr>
                  <w:p>
                    <w:pPr/>
                    <w:r>
                      <w:t>Lietuvos Aukščiausiasis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78" w:type="dxa"/>
                    <w:tcBorders>
                      <w:top w:val="single" w:sz="6" w:space="0" w:color="auto"/>
                      <w:left w:val="single" w:sz="6" w:space="0" w:color="auto"/>
                      <w:bottom w:val="single" w:sz="6" w:space="0" w:color="auto"/>
                      <w:right w:val="single" w:sz="6" w:space="0" w:color="auto"/>
                    </w:tcBorders>
                    <w:hideMark/>
                  </w:tcPr>
                  <w:p>
                    <w:pPr/>
                    <w:r>
                      <w:t>Lietuvos vyriausiasis administracinis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78" w:type="dxa"/>
                    <w:tcBorders>
                      <w:top w:val="single" w:sz="6" w:space="0" w:color="auto"/>
                      <w:left w:val="single" w:sz="6" w:space="0" w:color="auto"/>
                      <w:bottom w:val="single" w:sz="6" w:space="0" w:color="auto"/>
                      <w:right w:val="single" w:sz="6" w:space="0" w:color="auto"/>
                    </w:tcBorders>
                    <w:hideMark/>
                  </w:tcPr>
                  <w:p>
                    <w:pPr/>
                    <w:r>
                      <w:t>Lietuvos apeliacinis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78" w:type="dxa"/>
                    <w:tcBorders>
                      <w:top w:val="single" w:sz="6" w:space="0" w:color="auto"/>
                      <w:left w:val="single" w:sz="6" w:space="0" w:color="auto"/>
                      <w:bottom w:val="single" w:sz="6" w:space="0" w:color="auto"/>
                      <w:right w:val="single" w:sz="6" w:space="0" w:color="auto"/>
                    </w:tcBorders>
                    <w:hideMark/>
                  </w:tcPr>
                  <w:p>
                    <w:pPr/>
                    <w:r>
                      <w:t>Apygardų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78" w:type="dxa"/>
                    <w:tcBorders>
                      <w:top w:val="single" w:sz="6" w:space="0" w:color="auto"/>
                      <w:left w:val="single" w:sz="6" w:space="0" w:color="auto"/>
                      <w:bottom w:val="single" w:sz="6" w:space="0" w:color="auto"/>
                      <w:right w:val="single" w:sz="6" w:space="0" w:color="auto"/>
                    </w:tcBorders>
                    <w:hideMark/>
                  </w:tcPr>
                  <w:p>
                    <w:pPr/>
                    <w:r>
                      <w:t>Apygardų administraciniai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78" w:type="dxa"/>
                    <w:tcBorders>
                      <w:top w:val="single" w:sz="6" w:space="0" w:color="auto"/>
                      <w:left w:val="single" w:sz="6" w:space="0" w:color="auto"/>
                      <w:bottom w:val="single" w:sz="6" w:space="0" w:color="auto"/>
                      <w:right w:val="single" w:sz="6" w:space="0" w:color="auto"/>
                    </w:tcBorders>
                    <w:hideMark/>
                  </w:tcPr>
                  <w:p>
                    <w:pPr/>
                    <w:r>
                      <w:t>Apylinkių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6.1.</w:t>
                    </w:r>
                  </w:p>
                </w:tc>
                <w:tc>
                  <w:tcPr>
                    <w:tcW w:w="2978" w:type="dxa"/>
                    <w:tcBorders>
                      <w:top w:val="single" w:sz="6" w:space="0" w:color="auto"/>
                      <w:left w:val="single" w:sz="6" w:space="0" w:color="auto"/>
                      <w:bottom w:val="single" w:sz="6" w:space="0" w:color="auto"/>
                      <w:right w:val="single" w:sz="6" w:space="0" w:color="auto"/>
                    </w:tcBorders>
                    <w:hideMark/>
                  </w:tcPr>
                  <w:p>
                    <w:pPr/>
                    <w:r>
                      <w:t>kuriuose dirba 15 ir daugiau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17,7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16</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6.2.</w:t>
                    </w:r>
                  </w:p>
                </w:tc>
                <w:tc>
                  <w:tcPr>
                    <w:tcW w:w="2978" w:type="dxa"/>
                    <w:tcBorders>
                      <w:top w:val="single" w:sz="6" w:space="0" w:color="auto"/>
                      <w:left w:val="single" w:sz="6" w:space="0" w:color="auto"/>
                      <w:bottom w:val="single" w:sz="6" w:space="0" w:color="auto"/>
                      <w:right w:val="single" w:sz="6" w:space="0" w:color="auto"/>
                    </w:tcBorders>
                    <w:hideMark/>
                  </w:tcPr>
                  <w:p>
                    <w:pPr/>
                    <w:r>
                      <w:t>kuriuose dirba 14 ir mažiau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16,7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15,3</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bl>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0789436480">
            <w:r w:rsidRPr="00532B9F">
              <w:rPr>
                <w:rFonts w:ascii="Times New Roman" w:eastAsia="MS Mincho" w:hAnsi="Times New Roman"/>
                <w:sz w:val="20"/>
                <w:i/>
                <w:iCs/>
                <w:color w:val="0000FF" w:themeColor="hyperlink"/>
                <w:u w:val="single"/>
              </w:rPr>
              <w:t>XI-952</w:t>
            </w:r>
          </w:fldSimple>
          <w:r>
            <w:rPr>
              <w:rFonts w:ascii="Times New Roman" w:eastAsia="MS Mincho" w:hAnsi="Times New Roman"/>
              <w:sz w:val="20"/>
              <w:i/>
              <w:iCs/>
            </w:rPr>
            <w:t>,
2010-06-30,
Žin., 2010, Nr.
82-4306 (2010-07-13), i. k. 1101010ISTA00XI-952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3E3B5C1B34">
            <w:r w:rsidRPr="00532B9F">
              <w:rPr>
                <w:rFonts w:ascii="Times New Roman" w:eastAsia="MS Mincho" w:hAnsi="Times New Roman"/>
                <w:sz w:val="20"/>
                <w:i/>
                <w:iCs/>
                <w:color w:val="0000FF" w:themeColor="hyperlink"/>
                <w:u w:val="single"/>
              </w:rPr>
              <w:t>XI-953</w:t>
            </w:r>
          </w:fldSimple>
          <w:r>
            <w:rPr>
              <w:rFonts w:ascii="Times New Roman" w:eastAsia="MS Mincho" w:hAnsi="Times New Roman"/>
              <w:sz w:val="20"/>
              <w:i/>
              <w:iCs/>
            </w:rPr>
            <w:t>,
2010-06-30,
Žin., 2010, Nr.
82-4307 (2010-07-13), i. k. 1101010ISTA00XI-953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DBB3AC5706">
            <w:r w:rsidRPr="00532B9F">
              <w:rPr>
                <w:rFonts w:ascii="Times New Roman" w:eastAsia="MS Mincho" w:hAnsi="Times New Roman"/>
                <w:sz w:val="20"/>
                <w:i/>
                <w:iCs/>
                <w:color w:val="0000FF" w:themeColor="hyperlink"/>
                <w:u w:val="single"/>
              </w:rPr>
              <w:t>XI-1728</w:t>
            </w:r>
          </w:fldSimple>
          <w:r>
            <w:rPr>
              <w:rFonts w:ascii="Times New Roman" w:eastAsia="MS Mincho" w:hAnsi="Times New Roman"/>
              <w:sz w:val="20"/>
              <w:i/>
              <w:iCs/>
            </w:rPr>
            <w:t>,
2011-11-22,
Žin., 2011, Nr.
150-7043 (2011-12-08), i. k. 1111010ISTA0XI-1728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16E438E6D9">
            <w:r w:rsidRPr="00532B9F">
              <w:rPr>
                <w:rFonts w:ascii="Times New Roman" w:eastAsia="MS Mincho" w:hAnsi="Times New Roman"/>
                <w:sz w:val="20"/>
                <w:i/>
                <w:iCs/>
                <w:color w:val="0000FF" w:themeColor="hyperlink"/>
                <w:u w:val="single"/>
              </w:rPr>
              <w:t>XI-1729</w:t>
            </w:r>
          </w:fldSimple>
          <w:r>
            <w:rPr>
              <w:rFonts w:ascii="Times New Roman" w:eastAsia="MS Mincho" w:hAnsi="Times New Roman"/>
              <w:sz w:val="20"/>
              <w:i/>
              <w:iCs/>
            </w:rPr>
            <w:t>,
2011-11-22,
Žin., 2011, Nr.
150-7044 (2011-12-08), i. k. 1111010ISTA0XI-1729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6F2C1607DD">
            <w:r w:rsidRPr="00532B9F">
              <w:rPr>
                <w:rFonts w:ascii="Times New Roman" w:eastAsia="MS Mincho" w:hAnsi="Times New Roman"/>
                <w:sz w:val="20"/>
                <w:i/>
                <w:iCs/>
                <w:color w:val="0000FF" w:themeColor="hyperlink"/>
                <w:u w:val="single"/>
              </w:rPr>
              <w:t>XII-112</w:t>
            </w:r>
          </w:fldSimple>
          <w:r>
            <w:rPr>
              <w:rFonts w:ascii="Times New Roman" w:eastAsia="MS Mincho" w:hAnsi="Times New Roman"/>
              <w:sz w:val="20"/>
              <w:i/>
              <w:iCs/>
            </w:rPr>
            <w:t>,
2012-12-20,
Žin., 2012, Nr.
155-7990 (2012-12-31), i. k. 1121010ISTA0XII-112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6E606CD5AC">
            <w:r w:rsidRPr="00532B9F">
              <w:rPr>
                <w:rFonts w:ascii="Times New Roman" w:eastAsia="MS Mincho" w:hAnsi="Times New Roman"/>
                <w:sz w:val="20"/>
                <w:i/>
                <w:iCs/>
                <w:color w:val="0000FF" w:themeColor="hyperlink"/>
                <w:u w:val="single"/>
              </w:rPr>
              <w:t>XII-113</w:t>
            </w:r>
          </w:fldSimple>
          <w:r>
            <w:rPr>
              <w:rFonts w:ascii="Times New Roman" w:eastAsia="MS Mincho" w:hAnsi="Times New Roman"/>
              <w:sz w:val="20"/>
              <w:i/>
              <w:iCs/>
            </w:rPr>
            <w:t>,
2012-12-20,
Žin., 2012, Nr.
155-7991 (2012-12-31), i. k. 1121010ISTA0XII-113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1A2BDD9A79">
            <w:r w:rsidRPr="00532B9F">
              <w:rPr>
                <w:rFonts w:ascii="Times New Roman" w:eastAsia="MS Mincho" w:hAnsi="Times New Roman"/>
                <w:sz w:val="20"/>
                <w:i/>
                <w:iCs/>
                <w:color w:val="0000FF" w:themeColor="hyperlink"/>
                <w:u w:val="single"/>
              </w:rPr>
              <w:t>XII-518</w:t>
            </w:r>
          </w:fldSimple>
          <w:r>
            <w:rPr>
              <w:rFonts w:ascii="Times New Roman" w:eastAsia="MS Mincho" w:hAnsi="Times New Roman"/>
              <w:sz w:val="20"/>
              <w:i/>
              <w:iCs/>
            </w:rPr>
            <w:t>,
2013-09-19,
Žin., 2013, Nr.
102-5027 (2013-09-28), i. k. 1131010ISTA0XII-518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01B563A9B43">
            <w:r w:rsidRPr="00532B9F">
              <w:rPr>
                <w:rFonts w:ascii="Times New Roman" w:eastAsia="MS Mincho" w:hAnsi="Times New Roman"/>
                <w:sz w:val="20"/>
                <w:i/>
                <w:iCs/>
                <w:color w:val="0000FF" w:themeColor="hyperlink"/>
                <w:u w:val="single"/>
              </w:rPr>
              <w:t>XII-519</w:t>
            </w:r>
          </w:fldSimple>
          <w:r>
            <w:rPr>
              <w:rFonts w:ascii="Times New Roman" w:eastAsia="MS Mincho" w:hAnsi="Times New Roman"/>
              <w:sz w:val="20"/>
              <w:i/>
              <w:iCs/>
            </w:rPr>
            <w:t>,
2013-09-19,
Žin., 2013, Nr.
102-5028 (2013-09-28), i. k. 1131010ISTA0XII-519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DBB3AC5706">
            <w:r w:rsidRPr="00532B9F">
              <w:rPr>
                <w:rFonts w:ascii="Times New Roman" w:eastAsia="MS Mincho" w:hAnsi="Times New Roman"/>
                <w:sz w:val="20"/>
                <w:iCs/>
                <w:color w:val="0000FF" w:themeColor="hyperlink"/>
                <w:u w:val="single"/>
              </w:rPr>
              <w:t>XI-1728</w:t>
            </w:r>
          </w:fldSimple>
          <w:r>
            <w:rPr>
              <w:rFonts w:ascii="Times New Roman" w:eastAsia="MS Mincho" w:hAnsi="Times New Roman"/>
              <w:sz w:val="20"/>
              <w:iCs/>
            </w:rPr>
            <w:t>,
2011-11-22,
Žin., 2011, Nr.
150-7043 (2011-12-08), i. k. 1111010ISTA0XI-1728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16E438E6D9">
            <w:r w:rsidRPr="00532B9F">
              <w:rPr>
                <w:rFonts w:ascii="Times New Roman" w:eastAsia="MS Mincho" w:hAnsi="Times New Roman"/>
                <w:sz w:val="20"/>
                <w:iCs/>
                <w:color w:val="0000FF" w:themeColor="hyperlink"/>
                <w:u w:val="single"/>
              </w:rPr>
              <w:t>XI-1729</w:t>
            </w:r>
          </w:fldSimple>
          <w:r>
            <w:rPr>
              <w:rFonts w:ascii="Times New Roman" w:eastAsia="MS Mincho" w:hAnsi="Times New Roman"/>
              <w:sz w:val="20"/>
              <w:iCs/>
            </w:rPr>
            <w:t>,
2011-11-22,
Žin., 2011, Nr.
150-7044 (2011-12-08), i. k. 1111010ISTA0XI-1729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C6F2C1607DD">
            <w:r w:rsidRPr="00532B9F">
              <w:rPr>
                <w:rFonts w:ascii="Times New Roman" w:eastAsia="MS Mincho" w:hAnsi="Times New Roman"/>
                <w:sz w:val="20"/>
                <w:iCs/>
                <w:color w:val="0000FF" w:themeColor="hyperlink"/>
                <w:u w:val="single"/>
              </w:rPr>
              <w:t>XII-112</w:t>
            </w:r>
          </w:fldSimple>
          <w:r>
            <w:rPr>
              <w:rFonts w:ascii="Times New Roman" w:eastAsia="MS Mincho" w:hAnsi="Times New Roman"/>
              <w:sz w:val="20"/>
              <w:iCs/>
            </w:rPr>
            <w:t>,
2012-12-20,
Žin., 2012, Nr.
155-7990 (2012-12-31), i. k. 1121010ISTA0XII-112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6E606CD5AC">
            <w:r w:rsidRPr="00532B9F">
              <w:rPr>
                <w:rFonts w:ascii="Times New Roman" w:eastAsia="MS Mincho" w:hAnsi="Times New Roman"/>
                <w:sz w:val="20"/>
                <w:iCs/>
                <w:color w:val="0000FF" w:themeColor="hyperlink"/>
                <w:u w:val="single"/>
              </w:rPr>
              <w:t>XII-113</w:t>
            </w:r>
          </w:fldSimple>
          <w:r>
            <w:rPr>
              <w:rFonts w:ascii="Times New Roman" w:eastAsia="MS Mincho" w:hAnsi="Times New Roman"/>
              <w:sz w:val="20"/>
              <w:iCs/>
            </w:rPr>
            <w:t>,
2012-12-20,
Žin., 2012, Nr.
155-7991 (2012-12-31), i. k. 1121010ISTA0XII-113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1A2BDD9A79">
            <w:r w:rsidRPr="00532B9F">
              <w:rPr>
                <w:rFonts w:ascii="Times New Roman" w:eastAsia="MS Mincho" w:hAnsi="Times New Roman"/>
                <w:sz w:val="20"/>
                <w:iCs/>
                <w:color w:val="0000FF" w:themeColor="hyperlink"/>
                <w:u w:val="single"/>
              </w:rPr>
              <w:t>XII-518</w:t>
            </w:r>
          </w:fldSimple>
          <w:r>
            <w:rPr>
              <w:rFonts w:ascii="Times New Roman" w:eastAsia="MS Mincho" w:hAnsi="Times New Roman"/>
              <w:sz w:val="20"/>
              <w:iCs/>
            </w:rPr>
            <w:t>,
2013-09-19,
Žin., 2013, Nr.
102-5027 (2013-09-28), i. k. 1131010ISTA0XII-518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1B563A9B43">
            <w:r w:rsidRPr="00532B9F">
              <w:rPr>
                <w:rFonts w:ascii="Times New Roman" w:eastAsia="MS Mincho" w:hAnsi="Times New Roman"/>
                <w:sz w:val="20"/>
                <w:iCs/>
                <w:color w:val="0000FF" w:themeColor="hyperlink"/>
                <w:u w:val="single"/>
              </w:rPr>
              <w:t>XII-519</w:t>
            </w:r>
          </w:fldSimple>
          <w:r>
            <w:rPr>
              <w:rFonts w:ascii="Times New Roman" w:eastAsia="MS Mincho" w:hAnsi="Times New Roman"/>
              <w:sz w:val="20"/>
              <w:iCs/>
            </w:rPr>
            <w:t>,
2013-09-19,
Žin., 2013, Nr.
102-5028 (2013-09-28), i. k. 1131010ISTA0XII-519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B119EC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3.wmf"/>
  <Relationship Id="rId16" Type="http://schemas.openxmlformats.org/officeDocument/2006/relationships/control" Target="activeX/activeX13.xml"/>
  <Relationship Id="rId17" Type="http://schemas.openxmlformats.org/officeDocument/2006/relationships/hyperlink" TargetMode="External" Target="https://www.e-tar.lt/portal/lt/legalAct/TAR.AB0DC76B69A0"/>
  <Relationship Id="rId18" Type="http://schemas.openxmlformats.org/officeDocument/2006/relationships/hyperlink" TargetMode="External" Target="https://www.e-tar.lt/portal/lt/legalAct/TAR.1522CADCB7A8"/>
  <Relationship Id="rId19" Type="http://schemas.openxmlformats.org/officeDocument/2006/relationships/header" Target="header25.xml"/>
  <Relationship Id="rId2" Type="http://schemas.openxmlformats.org/officeDocument/2006/relationships/fontTable" Target="fontTable.xml"/>
  <Relationship Id="rId20" Type="http://schemas.openxmlformats.org/officeDocument/2006/relationships/header" Target="header26.xml"/>
  <Relationship Id="rId21" Type="http://schemas.openxmlformats.org/officeDocument/2006/relationships/footer" Target="footer25.xml"/>
  <Relationship Id="rId22" Type="http://schemas.openxmlformats.org/officeDocument/2006/relationships/footer" Target="footer26.xml"/>
  <Relationship Id="rId23" Type="http://schemas.openxmlformats.org/officeDocument/2006/relationships/header" Target="header27.xml"/>
  <Relationship Id="rId24" Type="http://schemas.openxmlformats.org/officeDocument/2006/relationships/footer" Target="footer27.xml"/>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5ac4af71b1d4499eae78507762f3f1d6">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a452b82eacd3473a850c9a60a874d604"/>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b753322998d8423fac27fe7d116f3bf8">
    <Part Type="priedas" Abbr="pr." DocPartId="754325606c0044eeaf5ec6424324383f" PartId="722c1e0146994c4d9ecfb665f34f781e"/>
  </Part>
</Parts>
</file>

<file path=customXml/itemProps1.xml><?xml version="1.0" encoding="utf-8"?>
<ds:datastoreItem xmlns:ds="http://schemas.openxmlformats.org/officeDocument/2006/customXml" ds:itemID="{63B18596-9FCF-4D90-986A-04FA099DB124}">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6133</Words>
  <Characters>3496</Characters>
  <Application>Microsoft Office Word</Application>
  <DocSecurity>0</DocSecurity>
  <Lines>29</Lines>
  <Paragraphs>19</Paragraphs>
  <ScaleCrop>false</ScaleCrop>
  <Company/>
  <LinksUpToDate>false</LinksUpToDate>
  <CharactersWithSpaces>9610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2018-12-12T06:22:00Z</dcterms:modified>
  <revision>29</revision>
  <dc:title>LIETUVOS RESPUBLIKOS TEISĖJŲ ATLYGINIMŲ ĮSTATYMAS</dc:title>
</coreProperties>
</file>