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b95453cc3c404dcfb2552e9798511f9b"/>
        <w:lock w:val="sdtLocked"/>
        <w:richText/>
      </w:sdtPr>
      <w:sdtContent>
        <w:p>
          <w:pPr>
            <w:jc w:val="both"/>
            <w:rPr>
              <w:rFonts w:ascii="Times New Roman" w:hAnsi="Times New Roman"/>
            </w:rPr>
          </w:pPr>
          <w:r>
            <w:rPr>
              <w:rFonts w:ascii="Times New Roman" w:hAnsi="Times New Roman"/>
              <w:b/>
              <w:i/>
            </w:rPr>
            <w:t>Suvestinė redakcija nuo 2021-08-01 iki 2021-12-31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ef16d4cef5e843a28a224e2242b292c0"/>
                    <w:lock w:val="sdtLocked"/>
                    <w:richText/>
                  </w:sdtPr>
                  <w:sdtContent>
                    <w:p>
                      <w:pPr>
                        <w:ind w:firstLine="567"/>
                        <w:jc w:val="both"/>
                      </w:pPr>
                      <w:sdt>
                        <w:sdtPr>
                          <w:alias w:val="Numeris"/>
                          <w:tag w:val="nr_ef16d4cef5e843a28a224e2242b292c0"/>
                          <w:lock w:val="sdtLocked"/>
                          <w:richText/>
                        </w:sdtPr>
                        <w:sdtContent>
                          <w:r>
                            <w:t>2</w:t>
                          </w:r>
                        </w:sdtContent>
                      </w:sdt>
                      <w:r>
                        <w:t>) priedo už ištarnautus Lietuvos valstybei metus;</w:t>
                      </w:r>
                    </w:p>
                  </w:sdtContent>
                </w:sdt>
                <w:sdt>
                  <w:sdtPr>
                    <w:alias w:val="3 p."/>
                    <w:tag w:val="part_1e90e570898f4d31aa7cb1c241245600"/>
                    <w:lock w:val="sdtLocked"/>
                    <w:richText/>
                  </w:sdtPr>
                  <w:sdtContent>
                    <w:p>
                      <w:pPr>
                        <w:ind w:firstLine="567"/>
                        <w:jc w:val="both"/>
                      </w:pPr>
                      <w:sdt>
                        <w:sdtPr>
                          <w:alias w:val="Numeris"/>
                          <w:tag w:val="nr_1e90e570898f4d31aa7cb1c241245600"/>
                          <w:lock w:val="sdtLocked"/>
                          <w:richText/>
                        </w:sdtPr>
                        <w:sdtContent>
                          <w:r>
                            <w:rPr>
                              <w:bCs/>
                              <w:szCs w:val="24"/>
                              <w:lang w:eastAsia="lt-LT"/>
                            </w:rPr>
                            <w:t>3</w:t>
                          </w:r>
                        </w:sdtContent>
                      </w:sdt>
                      <w:r>
                        <w:rPr>
                          <w:bCs/>
                          <w:szCs w:val="24"/>
                          <w:lang w:eastAsia="lt-LT"/>
                        </w:rPr>
                        <w:t>) priemokos už padidėjusį darbo krūvį.</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f21e0eac311eb9f09e7df20500045">
                        <w:r w:rsidRPr="00532B9F">
                          <w:rPr>
                            <w:rFonts w:ascii="Times New Roman" w:eastAsia="MS Mincho" w:hAnsi="Times New Roman"/>
                            <w:sz w:val="20"/>
                            <w:i/>
                            <w:iCs/>
                            <w:color w:val="0000FF" w:themeColor="hyperlink"/>
                            <w:u w:val="single"/>
                          </w:rPr>
                          <w:t>XIV-509</w:t>
                        </w:r>
                      </w:fldSimple>
                      <w:r>
                        <w:rPr>
                          <w:rFonts w:ascii="Times New Roman" w:eastAsia="MS Mincho" w:hAnsi="Times New Roman"/>
                          <w:sz w:val="20"/>
                          <w:i/>
                          <w:iCs/>
                        </w:rPr>
                        <w:t>,
2021-07-13,
paskelbta TAR 2021-07-22, i. k. 2021-16270        </w:t>
                      </w:r>
                    </w:p>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5-1 str."/>
            <w:tag w:val="part_fd29a1344c9d4ae88d8e28211801f829"/>
            <w:lock w:val="sdtLocked"/>
            <w:richText/>
          </w:sdtPr>
          <w:sdtContent>
            <w:p>
              <w:pPr>
                <w:ind w:firstLine="567"/>
                <w:jc w:val="both"/>
                <w:rPr>
                  <w:b/>
                  <w:szCs w:val="24"/>
                  <w:lang w:eastAsia="lt-LT"/>
                </w:rPr>
              </w:pPr>
              <w:sdt>
                <w:sdtPr>
                  <w:alias w:val="Numeris"/>
                  <w:tag w:val="nr_fd29a1344c9d4ae88d8e28211801f829"/>
                  <w:lock w:val="sdtLocked"/>
                  <w:richText/>
                </w:sdtPr>
                <w:sdtContent>
                  <w:r>
                    <w:rPr>
                      <w:b/>
                      <w:bCs/>
                      <w:szCs w:val="24"/>
                      <w:lang w:eastAsia="lt-LT"/>
                    </w:rPr>
                    <w:t>5</w:t>
                  </w:r>
                  <w:r>
                    <w:rPr>
                      <w:b/>
                      <w:bCs/>
                      <w:szCs w:val="24"/>
                      <w:vertAlign w:val="superscript"/>
                      <w:lang w:eastAsia="lt-LT"/>
                    </w:rPr>
                    <w:t>1</w:t>
                  </w:r>
                </w:sdtContent>
              </w:sdt>
              <w:r>
                <w:rPr>
                  <w:b/>
                  <w:bCs/>
                  <w:szCs w:val="24"/>
                  <w:lang w:eastAsia="lt-LT"/>
                </w:rPr>
                <w:t xml:space="preserve"> straipsnis.</w:t>
              </w:r>
              <w:r>
                <w:rPr>
                  <w:bCs/>
                  <w:szCs w:val="24"/>
                  <w:lang w:eastAsia="lt-LT"/>
                </w:rPr>
                <w:t xml:space="preserve"> </w:t>
              </w:r>
              <w:sdt>
                <w:sdtPr>
                  <w:alias w:val="Pavadinimas"/>
                  <w:tag w:val="title_fd29a1344c9d4ae88d8e28211801f829"/>
                  <w:lock w:val="sdtLocked"/>
                  <w:richText/>
                </w:sdtPr>
                <w:sdtContent>
                  <w:r>
                    <w:rPr>
                      <w:b/>
                      <w:bCs/>
                      <w:szCs w:val="24"/>
                      <w:lang w:eastAsia="lt-LT"/>
                    </w:rPr>
                    <w:t xml:space="preserve">Priemoka už </w:t>
                  </w:r>
                  <w:r>
                    <w:rPr>
                      <w:b/>
                      <w:szCs w:val="24"/>
                      <w:lang w:eastAsia="lt-LT"/>
                    </w:rPr>
                    <w:t xml:space="preserve">padidėjusį darbo krūvį </w:t>
                  </w:r>
                </w:sdtContent>
              </w:sdt>
            </w:p>
            <w:sdt>
              <w:sdtPr>
                <w:alias w:val="5-1 str. 1 d."/>
                <w:tag w:val="part_09c6a4d6808a41acbf7a143eb6125b1d"/>
                <w:lock w:val="sdtLocked"/>
                <w:richText/>
              </w:sdtPr>
              <w:sdtContent>
                <w:p>
                  <w:pPr>
                    <w:ind w:firstLine="567"/>
                    <w:jc w:val="both"/>
                    <w:rPr>
                      <w:szCs w:val="24"/>
                      <w:lang w:eastAsia="lt-LT"/>
                    </w:rPr>
                  </w:pPr>
                  <w:sdt>
                    <w:sdtPr>
                      <w:alias w:val="Numeris"/>
                      <w:tag w:val="nr_09c6a4d6808a41acbf7a143eb6125b1d"/>
                      <w:lock w:val="sdtLocked"/>
                      <w:richText/>
                    </w:sdtPr>
                    <w:sdtContent>
                      <w:r>
                        <w:rPr>
                          <w:szCs w:val="24"/>
                          <w:lang w:eastAsia="lt-LT"/>
                        </w:rPr>
                        <w:t>1</w:t>
                      </w:r>
                    </w:sdtContent>
                  </w:sdt>
                  <w:r>
                    <w:rPr>
                      <w:szCs w:val="24"/>
                      <w:lang w:eastAsia="lt-LT"/>
                    </w:rPr>
                    <w:t>. Bendrosios kompetencijos ar specializuoto teismo teisėjui</w:t>
                  </w:r>
                  <w:r>
                    <w:rPr>
                      <w:color w:val="000000"/>
                      <w:szCs w:val="24"/>
                      <w:lang w:eastAsia="lt-LT"/>
                    </w:rPr>
                    <w:t xml:space="preserve"> mokama ne didesnė kaip 30 procentų jo </w:t>
                  </w:r>
                  <w:r>
                    <w:rPr>
                      <w:szCs w:val="24"/>
                      <w:lang w:eastAsia="lt-LT"/>
                    </w:rPr>
                    <w:t>pareiginės algos dydžio</w:t>
                  </w:r>
                  <w:r>
                    <w:rPr>
                      <w:color w:val="000000"/>
                      <w:szCs w:val="24"/>
                      <w:lang w:eastAsia="lt-LT"/>
                    </w:rPr>
                    <w:t xml:space="preserve"> priemoka už </w:t>
                  </w:r>
                  <w:r>
                    <w:rPr>
                      <w:szCs w:val="24"/>
                      <w:lang w:eastAsia="lt-LT"/>
                    </w:rPr>
                    <w:t xml:space="preserve">padidėjusį darbo </w:t>
                  </w:r>
                  <w:r>
                    <w:rPr>
                      <w:bCs/>
                      <w:szCs w:val="24"/>
                      <w:lang w:eastAsia="lt-LT"/>
                    </w:rPr>
                    <w:t xml:space="preserve">krūvį, </w:t>
                  </w:r>
                  <w:r>
                    <w:rPr>
                      <w:bCs/>
                      <w:iCs/>
                      <w:color w:val="000000"/>
                      <w:szCs w:val="24"/>
                      <w:lang w:eastAsia="lt-LT"/>
                    </w:rPr>
                    <w:t>kai yra padidėjęs darbų mastas</w:t>
                  </w:r>
                  <w:r>
                    <w:rPr>
                      <w:bCs/>
                      <w:color w:val="000000"/>
                      <w:szCs w:val="24"/>
                      <w:lang w:eastAsia="lt-LT"/>
                    </w:rPr>
                    <w:t xml:space="preserve"> dėl iš anksto nenumatytų priežasčių žymiai padaugėjus gaunamų nagrinėti tam tikros kategorijos bylų per mėnesį. </w:t>
                  </w:r>
                </w:p>
              </w:sdtContent>
            </w:sdt>
            <w:sdt>
              <w:sdtPr>
                <w:alias w:val="5-1 str. 2 d."/>
                <w:tag w:val="part_26184a862d0f42e4a8236f24a7555e28"/>
                <w:lock w:val="sdtLocked"/>
                <w:richText/>
              </w:sdtPr>
              <w:sdtContent>
                <w:p>
                  <w:pPr>
                    <w:ind w:firstLine="567"/>
                    <w:jc w:val="both"/>
                  </w:pPr>
                  <w:sdt>
                    <w:sdtPr>
                      <w:alias w:val="Numeris"/>
                      <w:tag w:val="nr_26184a862d0f42e4a8236f24a7555e28"/>
                      <w:lock w:val="sdtLocked"/>
                      <w:richText/>
                    </w:sdtPr>
                    <w:sdtContent>
                      <w:r>
                        <w:rPr>
                          <w:szCs w:val="24"/>
                          <w:lang w:eastAsia="lt-LT"/>
                        </w:rPr>
                        <w:t>2</w:t>
                      </w:r>
                    </w:sdtContent>
                  </w:sdt>
                  <w:r>
                    <w:rPr>
                      <w:szCs w:val="24"/>
                      <w:lang w:eastAsia="lt-LT"/>
                    </w:rPr>
                    <w:t xml:space="preserve">. Priemokų už padidėjusį darbo krūvį skyrimo ir mokėjimo bendrosios kompetencijos ir specializuotų teismų teisėjams tvarką nustato Teisėjų taryba. Bendrosios kompetencijos ir specializuotų teismų teisėjams mokamos priemokos už padidėjusį darbo krūvį dydį nustato bendrosios kompetencijos ar  specializuoto </w:t>
                  </w:r>
                  <w:r>
                    <w:rPr>
                      <w:color w:val="000000"/>
                      <w:szCs w:val="24"/>
                      <w:lang w:eastAsia="lt-LT"/>
                    </w:rPr>
                    <w:t>teismo pirmininkas.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cf21e0eac311eb9f09e7df20500045">
                <w:r w:rsidRPr="00532B9F">
                  <w:rPr>
                    <w:rFonts w:ascii="Times New Roman" w:eastAsia="MS Mincho" w:hAnsi="Times New Roman"/>
                    <w:sz w:val="20"/>
                    <w:i/>
                    <w:iCs/>
                    <w:color w:val="0000FF" w:themeColor="hyperlink"/>
                    <w:u w:val="single"/>
                  </w:rPr>
                  <w:t>XIV-509</w:t>
                </w:r>
              </w:fldSimple>
              <w:r>
                <w:rPr>
                  <w:rFonts w:ascii="Times New Roman" w:eastAsia="MS Mincho" w:hAnsi="Times New Roman"/>
                  <w:sz w:val="20"/>
                  <w:i/>
                  <w:iCs/>
                </w:rPr>
                <w:t>,
2021-07-13,
paskelbta TAR 2021-07-22, i. k. 2021-16270        </w:t>
              </w:r>
            </w:p>
            <w:p/>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a452b82eacd3473a850c9a60a874d604"/>
                <w:lock w:val="sdtLocked"/>
                <w:richText/>
              </w:sdtPr>
              <w:sdtContent>
                <w:p>
                  <w:pPr>
                    <w:ind w:firstLine="567"/>
                    <w:jc w:val="both"/>
                  </w:pPr>
                  <w:sdt>
                    <w:sdtPr>
                      <w:alias w:val="Numeris"/>
                      <w:tag w:val="nr_a452b82eacd3473a850c9a60a874d604"/>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p>
                  <w:pPr>
                    <w:jc w:val="both"/>
                    <w:rPr>
                      <w:i/>
                      <w:sz w:val="20"/>
                    </w:rPr>
                  </w:pPr>
                  <w:r>
                    <w:rPr>
                      <w:b/>
                      <w:i/>
                      <w:sz w:val="20"/>
                    </w:rPr>
                    <w:t>TAR pastaba.</w:t>
                  </w:r>
                  <w:r>
                    <w:rPr>
                      <w:i/>
                      <w:sz w:val="20"/>
                    </w:rPr>
                    <w:t xml:space="preserve"> Pripažinti, kad Lietuvos Respublikos teisėjų atlyginimų įstatymo 6 straipsnio 1 dalis (Žin., 2008, Nr. </w:t>
                  </w:r>
                  <w:hyperlink r:id="rId11" w:tgtFrame="_blank" w:history="1">
                    <w:r>
                      <w:rPr>
                        <w:i/>
                        <w:color w:val="0000FF" w:themeColor="hyperlink"/>
                        <w:sz w:val="20"/>
                        <w:u w:val="single"/>
                      </w:rPr>
                      <w:t>131-5022</w:t>
                    </w:r>
                  </w:hyperlink>
                  <w:r>
                    <w:rPr>
                      <w:i/>
                      <w:sz w:val="20"/>
                    </w:rPr>
                    <w:t>) tiek, kiek ribojama teisėjų teisė gauti teisingą atlyginimą už viršvalandinį darbą, už darbą švenčių ir poilsio dienomis, prieštarauja Lietuvos Respublikos Konstitucijos 48 straipsnio 1 dalies nuostatai „Kiekvienas žmogus &lt;...&gt; turi teisę &lt;...&gt; gauti teisingą apmokėjimą už darbą &lt;...&gt;“,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2011-02-14,
Žin., 2011, Nr.
20-967 (2011-02-17), i. k. 1111000NUTARG111145            </w:t>
                  </w:r>
                </w:p>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2" w:tgtFrame="_blank" w:history="1">
                    <w:r>
                      <w:rPr>
                        <w:color w:val="0000FF" w:themeColor="hyperlink"/>
                        <w:u w:val="single"/>
                      </w:rPr>
                      <w:t>80-3224</w:t>
                    </w:r>
                  </w:hyperlink>
                  <w:r>
                    <w:t>).</w:t>
                  </w:r>
                </w:p>
                <w:p>
                  <w:pPr>
                    <w:ind w:firstLine="567"/>
                    <w:jc w:val="both"/>
                  </w:pPr>
                </w:p>
              </w:sdtContent>
            </w:sdt>
          </w:sdtContent>
        </w:sdt>
        <w:sdt>
          <w:sdtPr>
            <w:alias w:val="signatura"/>
            <w:tag w:val="part_30ea658b025440dfa4c5a4741101510a"/>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p>
              <w:pPr>
                <w:jc w:val="center"/>
              </w:pPr>
            </w:p>
          </w:sdtContent>
        </w:sdt>
      </w:sdtContent>
    </w:sdt>
    <w:sdt>
      <w:sdtPr>
        <w:alias w:val="pr."/>
        <w:tag w:val="part_fa7e5efa298b4161b432cf04700e2de3"/>
        <w:lock w:val="sdtLocked"/>
        <w:richText/>
      </w:sdtPr>
      <w:sdtContent>
        <w:p>
          <w:pPr>
            <w:ind w:left="5103"/>
            <w:sectPr>
              <w:pgSz w:w="11907" w:h="16840" w:code="9"/>
              <w:pgMar w:top="1134" w:right="1134" w:bottom="1134" w:left="1701" w:header="567" w:footer="284" w:gutter="0"/>
              <w:pgNumType w:start="1"/>
              <w:cols w:space="1296"/>
              <w:titlePg/>
              <w:docGrid w:linePitch="360"/>
            </w:sectPr>
          </w:pPr>
        </w:p>
        <w:p>
          <w:pPr>
            <w:ind w:left="5103"/>
          </w:pPr>
          <w:r>
            <w:t xml:space="preserve">Lietuvos Respublikos </w:t>
          </w:r>
        </w:p>
        <w:p>
          <w:pPr>
            <w:ind w:left="5103"/>
          </w:pPr>
          <w:r>
            <w:t xml:space="preserve">teisėjų atlyginimų įstatymo </w:t>
          </w:r>
        </w:p>
        <w:p>
          <w:pPr>
            <w:ind w:left="5103"/>
          </w:pPr>
          <w:r>
            <w:t>priedėlis</w:t>
          </w:r>
        </w:p>
        <w:p>
          <w:pPr>
            <w:ind w:firstLine="567"/>
            <w:jc w:val="both"/>
          </w:pPr>
        </w:p>
        <w:sdt>
          <w:sdtPr>
            <w:alias w:val="skyrius"/>
            <w:tag w:val="part_653ed8c85ae147b691b87c5b901a3945"/>
            <w:lock w:val="sdtLocked"/>
            <w:richText/>
          </w:sdtPr>
          <w:sdtContent>
            <w:p>
              <w:pPr>
                <w:jc w:val="center"/>
                <w:rPr>
                  <w:b/>
                  <w:bCs/>
                </w:rPr>
              </w:pPr>
              <w:sdt>
                <w:sdtPr>
                  <w:alias w:val="Numeris"/>
                  <w:tag w:val="nr_653ed8c85ae147b691b87c5b901a3945"/>
                  <w:lock w:val="sdtLocked"/>
                  <w:richText/>
                </w:sdtPr>
                <w:sdtContent>
                  <w:r>
                    <w:rPr>
                      <w:b/>
                      <w:bCs/>
                    </w:rPr>
                    <w:t>I</w:t>
                  </w:r>
                </w:sdtContent>
              </w:sdt>
              <w:r>
                <w:rPr>
                  <w:b/>
                  <w:bCs/>
                </w:rPr>
                <w:t xml:space="preserve">. </w:t>
              </w:r>
              <w:sdt>
                <w:sdtPr>
                  <w:alias w:val="Pavadinimas"/>
                  <w:tag w:val="title_653ed8c85ae147b691b87c5b901a3945"/>
                  <w:lock w:val="sdtLocked"/>
                  <w:richText/>
                </w:sdtPr>
                <w:sdtContent>
                  <w:r>
                    <w:rPr>
                      <w:b/>
                      <w:bCs/>
                    </w:rPr>
                    <w:t>LIETUVOS RESPUBLIKOS KONSTITUCINIO TEISMO TEISĖJŲ ATLYGINIMAI</w:t>
                  </w:r>
                </w:sdtContent>
              </w:sdt>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sdtContent>
        </w:sdt>
        <w:sdt>
          <w:sdtPr>
            <w:alias w:val="skyrius"/>
            <w:tag w:val="part_9813e0cf08fa44c996c06f3982e19e1c"/>
            <w:lock w:val="sdtLocked"/>
            <w:richText/>
          </w:sdtPr>
          <w:sdtContent>
            <w:p>
              <w:pPr>
                <w:jc w:val="center"/>
                <w:rPr>
                  <w:b/>
                  <w:bCs/>
                </w:rPr>
              </w:pPr>
              <w:sdt>
                <w:sdtPr>
                  <w:alias w:val="Numeris"/>
                  <w:tag w:val="nr_9813e0cf08fa44c996c06f3982e19e1c"/>
                  <w:lock w:val="sdtLocked"/>
                  <w:richText/>
                </w:sdtPr>
                <w:sdtContent>
                  <w:r>
                    <w:rPr>
                      <w:b/>
                      <w:bCs/>
                    </w:rPr>
                    <w:t>II</w:t>
                  </w:r>
                </w:sdtContent>
              </w:sdt>
              <w:r>
                <w:rPr>
                  <w:b/>
                  <w:bCs/>
                </w:rPr>
                <w:t xml:space="preserve">. </w:t>
              </w:r>
              <w:sdt>
                <w:sdtPr>
                  <w:alias w:val="Pavadinimas"/>
                  <w:tag w:val="title_9813e0cf08fa44c996c06f3982e19e1c"/>
                  <w:lock w:val="sdtLocked"/>
                  <w:richText/>
                </w:sdtPr>
                <w:sdtContent>
                  <w:r>
                    <w:rPr>
                      <w:b/>
                      <w:bCs/>
                    </w:rPr>
                    <w:t>BENDROSIOS KOMPETENCIJOS IR SPECIALIZUOTŲ TEISMŲ TEISĖJŲ PAREIGINĖS ALGOS</w:t>
                  </w:r>
                </w:sdtContent>
              </w:sdt>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1"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80"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4"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1" w:type="dxa"/>
                    <w:vMerge/>
                    <w:tcBorders>
                      <w:top w:val="single" w:sz="6" w:space="0" w:color="auto"/>
                      <w:left w:val="single" w:sz="6" w:space="0" w:color="auto"/>
                      <w:bottom w:val="single" w:sz="6" w:space="0" w:color="auto"/>
                      <w:right w:val="single" w:sz="6" w:space="0" w:color="auto"/>
                    </w:tcBorders>
                    <w:vAlign w:val="center"/>
                    <w:hideMark/>
                  </w:tcPr>
                  <w:p/>
                </w:tc>
                <w:tc>
                  <w:tcPr>
                    <w:tcW w:w="2980" w:type="dxa"/>
                    <w:vMerge/>
                    <w:tcBorders>
                      <w:top w:val="single" w:sz="6" w:space="0" w:color="auto"/>
                      <w:left w:val="single" w:sz="6" w:space="0" w:color="auto"/>
                      <w:bottom w:val="single" w:sz="6" w:space="0" w:color="auto"/>
                      <w:right w:val="single" w:sz="6" w:space="0" w:color="auto"/>
                    </w:tcBorders>
                    <w:vAlign w:val="center"/>
                    <w:hideMark/>
                  </w:tcP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80" w:type="dxa"/>
                    <w:tcBorders>
                      <w:top w:val="single" w:sz="6" w:space="0" w:color="auto"/>
                      <w:left w:val="single" w:sz="6" w:space="0" w:color="auto"/>
                      <w:bottom w:val="single" w:sz="6" w:space="0" w:color="auto"/>
                      <w:right w:val="single" w:sz="6" w:space="0" w:color="auto"/>
                    </w:tcBorders>
                    <w:hideMark/>
                  </w:tcPr>
                  <w:p>
                    <w:r>
                      <w:t>Lietuvos Aukščiausiasis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80" w:type="dxa"/>
                    <w:tcBorders>
                      <w:top w:val="single" w:sz="6" w:space="0" w:color="auto"/>
                      <w:left w:val="single" w:sz="6" w:space="0" w:color="auto"/>
                      <w:bottom w:val="single" w:sz="6" w:space="0" w:color="auto"/>
                      <w:right w:val="single" w:sz="6" w:space="0" w:color="auto"/>
                    </w:tcBorders>
                    <w:hideMark/>
                  </w:tcPr>
                  <w:p>
                    <w:r>
                      <w:t>Lietuvos vyriausiasis administracinis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80" w:type="dxa"/>
                    <w:tcBorders>
                      <w:top w:val="single" w:sz="6" w:space="0" w:color="auto"/>
                      <w:left w:val="single" w:sz="6" w:space="0" w:color="auto"/>
                      <w:bottom w:val="single" w:sz="6" w:space="0" w:color="auto"/>
                      <w:right w:val="single" w:sz="6" w:space="0" w:color="auto"/>
                    </w:tcBorders>
                    <w:hideMark/>
                  </w:tcPr>
                  <w:p>
                    <w:r>
                      <w:t>Lietuvos apeliacinis teismas</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80" w:type="dxa"/>
                    <w:tcBorders>
                      <w:top w:val="single" w:sz="6" w:space="0" w:color="auto"/>
                      <w:left w:val="single" w:sz="6" w:space="0" w:color="auto"/>
                      <w:bottom w:val="single" w:sz="6" w:space="0" w:color="auto"/>
                      <w:right w:val="single" w:sz="6" w:space="0" w:color="auto"/>
                    </w:tcBorders>
                    <w:hideMark/>
                  </w:tcPr>
                  <w:p>
                    <w:r>
                      <w:t>Apygardų teismai</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80" w:type="dxa"/>
                    <w:tcBorders>
                      <w:top w:val="single" w:sz="6" w:space="0" w:color="auto"/>
                      <w:left w:val="single" w:sz="6" w:space="0" w:color="auto"/>
                      <w:bottom w:val="single" w:sz="6" w:space="0" w:color="auto"/>
                      <w:right w:val="single" w:sz="6" w:space="0" w:color="auto"/>
                    </w:tcBorders>
                    <w:hideMark/>
                  </w:tcPr>
                  <w:p>
                    <w:r>
                      <w:t>Apygardų administraciniai teismai</w:t>
                    </w:r>
                  </w:p>
                </w:tc>
                <w:tc>
                  <w:tcPr>
                    <w:tcW w:w="1942"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7"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1"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80" w:type="dxa"/>
                    <w:tcBorders>
                      <w:top w:val="single" w:sz="6" w:space="0" w:color="auto"/>
                      <w:left w:val="single" w:sz="6" w:space="0" w:color="auto"/>
                      <w:bottom w:val="single" w:sz="6" w:space="0" w:color="auto"/>
                      <w:right w:val="single" w:sz="6" w:space="0" w:color="auto"/>
                    </w:tcBorders>
                    <w:hideMark/>
                  </w:tcPr>
                  <w:p>
                    <w:r>
                      <w:t>Apylinkių teismai</w:t>
                    </w:r>
                  </w:p>
                </w:tc>
                <w:tc>
                  <w:tcPr>
                    <w:tcW w:w="1942" w:type="dxa"/>
                    <w:tcBorders>
                      <w:top w:val="single" w:sz="6" w:space="0" w:color="auto"/>
                      <w:left w:val="single" w:sz="6" w:space="0" w:color="auto"/>
                      <w:bottom w:val="single" w:sz="6" w:space="0" w:color="auto"/>
                      <w:right w:val="single" w:sz="6" w:space="0" w:color="auto"/>
                    </w:tcBorders>
                    <w:vAlign w:val="center"/>
                  </w:tcPr>
                  <w:p>
                    <w:pPr>
                      <w:jc w:val="center"/>
                    </w:pPr>
                    <w:r>
                      <w:t>18,2</w:t>
                    </w:r>
                  </w:p>
                </w:tc>
                <w:tc>
                  <w:tcPr>
                    <w:tcW w:w="1437" w:type="dxa"/>
                    <w:tcBorders>
                      <w:top w:val="single" w:sz="6" w:space="0" w:color="auto"/>
                      <w:left w:val="single" w:sz="6" w:space="0" w:color="auto"/>
                      <w:bottom w:val="single" w:sz="6" w:space="0" w:color="auto"/>
                      <w:right w:val="single" w:sz="6" w:space="0" w:color="auto"/>
                    </w:tcBorders>
                    <w:vAlign w:val="center"/>
                  </w:tcPr>
                  <w:p>
                    <w:pPr>
                      <w:jc w:val="center"/>
                    </w:pPr>
                    <w:r>
                      <w:t>17,2</w:t>
                    </w:r>
                  </w:p>
                </w:tc>
                <w:tc>
                  <w:tcPr>
                    <w:tcW w:w="1187" w:type="dxa"/>
                    <w:tcBorders>
                      <w:top w:val="single" w:sz="6" w:space="0" w:color="auto"/>
                      <w:left w:val="single" w:sz="6" w:space="0" w:color="auto"/>
                      <w:bottom w:val="single" w:sz="6" w:space="0" w:color="auto"/>
                      <w:right w:val="single" w:sz="6" w:space="0" w:color="auto"/>
                    </w:tcBorders>
                    <w:vAlign w:val="center"/>
                  </w:tcPr>
                  <w:p>
                    <w:pPr>
                      <w:jc w:val="center"/>
                    </w:pPr>
                    <w:r>
                      <w:t>–</w:t>
                    </w:r>
                  </w:p>
                </w:tc>
                <w:tc>
                  <w:tcPr>
                    <w:tcW w:w="988" w:type="dxa"/>
                    <w:tcBorders>
                      <w:top w:val="single" w:sz="6" w:space="0" w:color="auto"/>
                      <w:left w:val="single" w:sz="6" w:space="0" w:color="auto"/>
                      <w:bottom w:val="single" w:sz="6" w:space="0" w:color="auto"/>
                      <w:right w:val="single" w:sz="6" w:space="0" w:color="auto"/>
                    </w:tcBorders>
                    <w:vAlign w:val="center"/>
                  </w:tcPr>
                  <w:p>
                    <w:pPr>
                      <w:jc w:val="center"/>
                    </w:pPr>
                    <w:r>
                      <w:t>16,2</w:t>
                    </w:r>
                  </w:p>
                </w:tc>
              </w:tr>
            </w:tbl>
            <w:p>
              <w:pPr>
                <w:spacing w:line="360" w:lineRule="auto"/>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CDBB3AC5706">
            <w:r w:rsidRPr="00532B9F">
              <w:rPr>
                <w:rFonts w:ascii="Times New Roman" w:eastAsia="MS Mincho" w:hAnsi="Times New Roman"/>
                <w:sz w:val="20"/>
                <w:i/>
                <w:iCs/>
                <w:color w:val="0000FF" w:themeColor="hyperlink"/>
                <w:u w:val="single"/>
              </w:rPr>
              <w:t>XI-1728</w:t>
            </w:r>
          </w:fldSimple>
          <w:r>
            <w:rPr>
              <w:rFonts w:ascii="Times New Roman" w:eastAsia="MS Mincho" w:hAnsi="Times New Roman"/>
              <w:sz w:val="20"/>
              <w:i/>
              <w:iCs/>
            </w:rPr>
            <w:t>,
2011-11-22,
Žin., 2011, Nr.
150-7043 (2011-12-08), i. k. 1111010ISTA0XI-1728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16E438E6D9">
            <w:r w:rsidRPr="00532B9F">
              <w:rPr>
                <w:rFonts w:ascii="Times New Roman" w:eastAsia="MS Mincho" w:hAnsi="Times New Roman"/>
                <w:sz w:val="20"/>
                <w:i/>
                <w:iCs/>
                <w:color w:val="0000FF" w:themeColor="hyperlink"/>
                <w:u w:val="single"/>
              </w:rPr>
              <w:t>XI-1729</w:t>
            </w:r>
          </w:fldSimple>
          <w:r>
            <w:rPr>
              <w:rFonts w:ascii="Times New Roman" w:eastAsia="MS Mincho" w:hAnsi="Times New Roman"/>
              <w:sz w:val="20"/>
              <w:i/>
              <w:iCs/>
            </w:rPr>
            <w:t>,
2011-11-22,
Žin., 2011, Nr.
150-7044 (2011-12-08), i. k. 1111010ISTA0XI-1729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6F2C1607DD">
            <w:r w:rsidRPr="00532B9F">
              <w:rPr>
                <w:rFonts w:ascii="Times New Roman" w:eastAsia="MS Mincho" w:hAnsi="Times New Roman"/>
                <w:sz w:val="20"/>
                <w:i/>
                <w:iCs/>
                <w:color w:val="0000FF" w:themeColor="hyperlink"/>
                <w:u w:val="single"/>
              </w:rPr>
              <w:t>XII-112</w:t>
            </w:r>
          </w:fldSimple>
          <w:r>
            <w:rPr>
              <w:rFonts w:ascii="Times New Roman" w:eastAsia="MS Mincho" w:hAnsi="Times New Roman"/>
              <w:sz w:val="20"/>
              <w:i/>
              <w:iCs/>
            </w:rPr>
            <w:t>,
2012-12-20,
Žin., 2012, Nr.
155-7990 (2012-12-31), i. k. 1121010ISTA0XII-112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A6E606CD5AC">
            <w:r w:rsidRPr="00532B9F">
              <w:rPr>
                <w:rFonts w:ascii="Times New Roman" w:eastAsia="MS Mincho" w:hAnsi="Times New Roman"/>
                <w:sz w:val="20"/>
                <w:i/>
                <w:iCs/>
                <w:color w:val="0000FF" w:themeColor="hyperlink"/>
                <w:u w:val="single"/>
              </w:rPr>
              <w:t>XII-113</w:t>
            </w:r>
          </w:fldSimple>
          <w:r>
            <w:rPr>
              <w:rFonts w:ascii="Times New Roman" w:eastAsia="MS Mincho" w:hAnsi="Times New Roman"/>
              <w:sz w:val="20"/>
              <w:i/>
              <w:iCs/>
            </w:rPr>
            <w:t>,
2012-12-20,
Žin., 2012, Nr.
155-7991 (2012-12-31), i. k. 1121010ISTA0XII-113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21A2BDD9A79">
            <w:r w:rsidRPr="00532B9F">
              <w:rPr>
                <w:rFonts w:ascii="Times New Roman" w:eastAsia="MS Mincho" w:hAnsi="Times New Roman"/>
                <w:sz w:val="20"/>
                <w:i/>
                <w:iCs/>
                <w:color w:val="0000FF" w:themeColor="hyperlink"/>
                <w:u w:val="single"/>
              </w:rPr>
              <w:t>XII-518</w:t>
            </w:r>
          </w:fldSimple>
          <w:r>
            <w:rPr>
              <w:rFonts w:ascii="Times New Roman" w:eastAsia="MS Mincho" w:hAnsi="Times New Roman"/>
              <w:sz w:val="20"/>
              <w:i/>
              <w:iCs/>
            </w:rPr>
            <w:t>,
2013-09-19,
Žin., 2013, Nr.
102-5027 (2013-09-28), i. k. 1131010ISTA0XII-518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01B563A9B43">
            <w:r w:rsidRPr="00532B9F">
              <w:rPr>
                <w:rFonts w:ascii="Times New Roman" w:eastAsia="MS Mincho" w:hAnsi="Times New Roman"/>
                <w:sz w:val="20"/>
                <w:i/>
                <w:iCs/>
                <w:color w:val="0000FF" w:themeColor="hyperlink"/>
                <w:u w:val="single"/>
              </w:rPr>
              <w:t>XII-519</w:t>
            </w:r>
          </w:fldSimple>
          <w:r>
            <w:rPr>
              <w:rFonts w:ascii="Times New Roman" w:eastAsia="MS Mincho" w:hAnsi="Times New Roman"/>
              <w:sz w:val="20"/>
              <w:i/>
              <w:iCs/>
            </w:rPr>
            <w:t>,
2013-09-19,
Žin., 2013, Nr.
102-5028 (2013-09-28), i. k. 1131010ISTA0XII-519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ec720fc8011e8a969c20aa4d38bd4">
            <w:r w:rsidRPr="00532B9F">
              <w:rPr>
                <w:rFonts w:ascii="Times New Roman" w:eastAsia="MS Mincho" w:hAnsi="Times New Roman"/>
                <w:sz w:val="20"/>
                <w:i/>
                <w:iCs/>
                <w:color w:val="0000FF" w:themeColor="hyperlink"/>
                <w:u w:val="single"/>
              </w:rPr>
              <w:t>XIII-1689</w:t>
            </w:r>
          </w:fldSimple>
          <w:r>
            <w:rPr>
              <w:rFonts w:ascii="Times New Roman" w:eastAsia="MS Mincho" w:hAnsi="Times New Roman"/>
              <w:sz w:val="20"/>
              <w:i/>
              <w:iCs/>
            </w:rPr>
            <w:t>,
2018-12-04,
paskelbta TAR 2018-12-10, i. k. 2018-20188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2011-02-14,
Žin., 2011, Nr.
20-967 (2011-02-17), i. k. 1111000NUTARG111145                </w:t>
          </w:r>
        </w:p>
        <w:p>
          <w:pPr>
            <w:jc w:val="both"/>
            <w:rPr>
              <w:rFonts w:ascii="Times New Roman" w:hAnsi="Times New Roman"/>
            </w:rPr>
          </w:pPr>
          <w:r>
            <w:rPr>
              <w:rFonts w:ascii="Times New Roman" w:hAnsi="Times New Roman"/>
              <w:sz w:val="20"/>
            </w:rPr>
            <w:t>Dėl Lietuvos Respublikos teisėjų atlyginimų įstatymo (2008 m. lapkričio 6 d. redakcija) 4 straipsnio 2 dalies 2 punkto, 5 straipsnio 1 dalies, 6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DBB3AC5706">
            <w:r w:rsidRPr="00532B9F">
              <w:rPr>
                <w:rFonts w:ascii="Times New Roman" w:eastAsia="MS Mincho" w:hAnsi="Times New Roman"/>
                <w:sz w:val="20"/>
                <w:iCs/>
                <w:color w:val="0000FF" w:themeColor="hyperlink"/>
                <w:u w:val="single"/>
              </w:rPr>
              <w:t>XI-1728</w:t>
            </w:r>
          </w:fldSimple>
          <w:r>
            <w:rPr>
              <w:rFonts w:ascii="Times New Roman" w:eastAsia="MS Mincho" w:hAnsi="Times New Roman"/>
              <w:sz w:val="20"/>
              <w:iCs/>
            </w:rPr>
            <w:t>,
2011-11-22,
Žin., 2011, Nr.
150-7043 (2011-12-08), i. k. 1111010ISTA0XI-1728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16E438E6D9">
            <w:r w:rsidRPr="00532B9F">
              <w:rPr>
                <w:rFonts w:ascii="Times New Roman" w:eastAsia="MS Mincho" w:hAnsi="Times New Roman"/>
                <w:sz w:val="20"/>
                <w:iCs/>
                <w:color w:val="0000FF" w:themeColor="hyperlink"/>
                <w:u w:val="single"/>
              </w:rPr>
              <w:t>XI-1729</w:t>
            </w:r>
          </w:fldSimple>
          <w:r>
            <w:rPr>
              <w:rFonts w:ascii="Times New Roman" w:eastAsia="MS Mincho" w:hAnsi="Times New Roman"/>
              <w:sz w:val="20"/>
              <w:iCs/>
            </w:rPr>
            <w:t>,
2011-11-22,
Žin., 2011, Nr.
150-7044 (2011-12-08), i. k. 1111010ISTA0XI-1729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C6F2C1607DD">
            <w:r w:rsidRPr="00532B9F">
              <w:rPr>
                <w:rFonts w:ascii="Times New Roman" w:eastAsia="MS Mincho" w:hAnsi="Times New Roman"/>
                <w:sz w:val="20"/>
                <w:iCs/>
                <w:color w:val="0000FF" w:themeColor="hyperlink"/>
                <w:u w:val="single"/>
              </w:rPr>
              <w:t>XII-112</w:t>
            </w:r>
          </w:fldSimple>
          <w:r>
            <w:rPr>
              <w:rFonts w:ascii="Times New Roman" w:eastAsia="MS Mincho" w:hAnsi="Times New Roman"/>
              <w:sz w:val="20"/>
              <w:iCs/>
            </w:rPr>
            <w:t>,
2012-12-20,
Žin., 2012, Nr.
155-7990 (2012-12-31), i. k. 1121010ISTA0XII-112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6E606CD5AC">
            <w:r w:rsidRPr="00532B9F">
              <w:rPr>
                <w:rFonts w:ascii="Times New Roman" w:eastAsia="MS Mincho" w:hAnsi="Times New Roman"/>
                <w:sz w:val="20"/>
                <w:iCs/>
                <w:color w:val="0000FF" w:themeColor="hyperlink"/>
                <w:u w:val="single"/>
              </w:rPr>
              <w:t>XII-113</w:t>
            </w:r>
          </w:fldSimple>
          <w:r>
            <w:rPr>
              <w:rFonts w:ascii="Times New Roman" w:eastAsia="MS Mincho" w:hAnsi="Times New Roman"/>
              <w:sz w:val="20"/>
              <w:iCs/>
            </w:rPr>
            <w:t>,
2012-12-20,
Žin., 2012, Nr.
155-7991 (2012-12-31), i. k. 1121010ISTA0XII-113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1A2BDD9A79">
            <w:r w:rsidRPr="00532B9F">
              <w:rPr>
                <w:rFonts w:ascii="Times New Roman" w:eastAsia="MS Mincho" w:hAnsi="Times New Roman"/>
                <w:sz w:val="20"/>
                <w:iCs/>
                <w:color w:val="0000FF" w:themeColor="hyperlink"/>
                <w:u w:val="single"/>
              </w:rPr>
              <w:t>XII-518</w:t>
            </w:r>
          </w:fldSimple>
          <w:r>
            <w:rPr>
              <w:rFonts w:ascii="Times New Roman" w:eastAsia="MS Mincho" w:hAnsi="Times New Roman"/>
              <w:sz w:val="20"/>
              <w:iCs/>
            </w:rPr>
            <w:t>,
2013-09-19,
Žin., 2013, Nr.
102-5027 (2013-09-28), i. k. 1131010ISTA0XII-518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1B563A9B43">
            <w:r w:rsidRPr="00532B9F">
              <w:rPr>
                <w:rFonts w:ascii="Times New Roman" w:eastAsia="MS Mincho" w:hAnsi="Times New Roman"/>
                <w:sz w:val="20"/>
                <w:iCs/>
                <w:color w:val="0000FF" w:themeColor="hyperlink"/>
                <w:u w:val="single"/>
              </w:rPr>
              <w:t>XII-519</w:t>
            </w:r>
          </w:fldSimple>
          <w:r>
            <w:rPr>
              <w:rFonts w:ascii="Times New Roman" w:eastAsia="MS Mincho" w:hAnsi="Times New Roman"/>
              <w:sz w:val="20"/>
              <w:iCs/>
            </w:rPr>
            <w:t>,
2013-09-19,
Žin., 2013, Nr.
102-5028 (2013-09-28), i. k. 1131010ISTA0XII-519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ec720fc8011e8a969c20aa4d38bd4">
            <w:r w:rsidRPr="00532B9F">
              <w:rPr>
                <w:rFonts w:ascii="Times New Roman" w:eastAsia="MS Mincho" w:hAnsi="Times New Roman"/>
                <w:sz w:val="20"/>
                <w:iCs/>
                <w:color w:val="0000FF" w:themeColor="hyperlink"/>
                <w:u w:val="single"/>
              </w:rPr>
              <w:t>XIII-1689</w:t>
            </w:r>
          </w:fldSimple>
          <w:r>
            <w:rPr>
              <w:rFonts w:ascii="Times New Roman" w:eastAsia="MS Mincho" w:hAnsi="Times New Roman"/>
              <w:sz w:val="20"/>
              <w:iCs/>
            </w:rPr>
            <w:t>,
2018-12-04,
paskelbta TAR 2018-12-10, i. k. 2018-20188                </w:t>
          </w:r>
        </w:p>
        <w:p>
          <w:pPr>
            <w:jc w:val="both"/>
            <w:rPr>
              <w:rFonts w:ascii="Times New Roman" w:hAnsi="Times New Roman"/>
            </w:rPr>
          </w:pPr>
          <w:r>
            <w:rPr>
              <w:rFonts w:ascii="Times New Roman" w:hAnsi="Times New Roman"/>
              <w:sz w:val="20"/>
            </w:rPr>
            <w:t>Lietuvos Respublikos teisėjų atlyginimų įstatymo Nr. X-1771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cf21e0eac311eb9f09e7df20500045">
            <w:r w:rsidRPr="00532B9F">
              <w:rPr>
                <w:rFonts w:ascii="Times New Roman" w:eastAsia="MS Mincho" w:hAnsi="Times New Roman"/>
                <w:sz w:val="20"/>
                <w:iCs/>
                <w:color w:val="0000FF" w:themeColor="hyperlink"/>
                <w:u w:val="single"/>
              </w:rPr>
              <w:t>XIV-509</w:t>
            </w:r>
          </w:fldSimple>
          <w:r>
            <w:rPr>
              <w:rFonts w:ascii="Times New Roman" w:eastAsia="MS Mincho" w:hAnsi="Times New Roman"/>
              <w:sz w:val="20"/>
              <w:iCs/>
            </w:rPr>
            <w:t>,
2021-07-13,
paskelbta TAR 2021-07-22, i. k. 2021-16270                </w:t>
          </w:r>
        </w:p>
        <w:p>
          <w:pPr>
            <w:jc w:val="both"/>
            <w:rPr>
              <w:rFonts w:ascii="Times New Roman" w:hAnsi="Times New Roman"/>
            </w:rPr>
          </w:pPr>
          <w:r>
            <w:rPr>
              <w:rFonts w:ascii="Times New Roman" w:hAnsi="Times New Roman"/>
              <w:sz w:val="20"/>
            </w:rPr>
            <w:t>Lietuvos Respublikos teisėjų atlyginimų įstatymo Nr. X-1771 4 straipsnio pakeitimo ir Įstatymo papildymo 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6.xml"/>
  <Relationship Id="rId11" Type="http://schemas.openxmlformats.org/officeDocument/2006/relationships/hyperlink" TargetMode="External" Target="https://www.e-tar.lt/portal/lt/legalAct/TAR.AB0DC76B69A0"/>
  <Relationship Id="rId12" Type="http://schemas.openxmlformats.org/officeDocument/2006/relationships/hyperlink" TargetMode="External" Target="https://www.e-tar.lt/portal/lt/legalAct/TAR.1522CADCB7A8"/>
  <Relationship Id="rId13"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6.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b95453cc3c404dcfb2552e9798511f9b">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ef16d4cef5e843a28a224e2242b292c0"/>
        <Part Type="strPunktas" Nr="3" Abbr="3 p." DocPartId="1f9241fb2d534d94b53561e1d71dfccc" PartId="1e90e570898f4d31aa7cb1c241245600"/>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5-1" Abbr="5-1 str." Title="Priemoka už padidėjusį darbo krūvį" DocPartId="bebab03546e34a59b9d7601967676e22" PartId="fd29a1344c9d4ae88d8e28211801f829">
      <Part Type="strDalis" Nr="1" Abbr="5-1 str. 1 d." DocPartId="319b6277fc054acfb7010b68e0e2856f" PartId="09c6a4d6808a41acbf7a143eb6125b1d"/>
      <Part Type="strDalis" Nr="2" Abbr="5-1 str. 2 d." DocPartId="23b9ae3deab547ba8aab7c5fc861fd4b" PartId="26184a862d0f42e4a8236f24a7555e28"/>
    </Part>
    <Part Type="straipsnis" Nr="6" Abbr="6 str." Title="Vienkartinė priemoka" DocPartId="74eb4190d9e34fe08e2c1b1ba70dee87" PartId="0a69446e436a4f00937da2b368ea292d">
      <Part Type="strDalis" Nr="1" Abbr="6 str. 1 d." DocPartId="f99097923b7c4148ae742b6181c1b2d9" PartId="a452b82eacd3473a850c9a60a874d604"/>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30ea658b025440dfa4c5a4741101510a"/>
  </Part>
  <Part Type="priedas" Abbr="pr." DocPartId="bee85e59594b4cdf9a00e73d42b00111" PartId="fa7e5efa298b4161b432cf04700e2de3">
    <Part Type="skyrius" Nr="1" Title="LIETUVOS RESPUBLIKOS KONSTITUCINIO TEISMO TEISĖJŲ ATLYGINIMAI" DocPartId="4ea2ddcc2d2f4a8a8eeb42748cc2a8f7" PartId="653ed8c85ae147b691b87c5b901a3945"/>
    <Part Type="skyrius" Nr="2" Title="BENDROSIOS KOMPETENCIJOS IR SPECIALIZUOTŲ TEISMŲ TEISĖJŲ PAREIGINĖS ALGOS" DocPartId="19ec77856fba48d6a8bde90b13176a1f" PartId="9813e0cf08fa44c996c06f3982e19e1c"/>
  </Part>
</Parts>
</file>

<file path=customXml/itemProps1.xml><?xml version="1.0" encoding="utf-8"?>
<ds:datastoreItem xmlns:ds="http://schemas.openxmlformats.org/officeDocument/2006/customXml" ds:itemID="{BA929C1B-2B07-4D40-8405-867B9C6703F6}">
  <ds:schemaRefs>
    <ds:schemaRef ds:uri="http://lrs.lt/TAIS/DocParts"/>
  </ds:schemaRefs>
</ds:datastoreItem>
</file>

<file path=docProps/app.xml><?xml version="1.0" encoding="utf-8"?>
<Properties xmlns="http://schemas.openxmlformats.org/officeDocument/2006/extended-properties">
  <Template>Normal.dotm</Template>
  <TotalTime>13</TotalTime>
  <Pages>3</Pages>
  <Words>4486</Words>
  <Characters>2558</Characters>
  <Application>Microsoft Office Word</Application>
  <DocSecurity>0</DocSecurity>
  <Lines>21</Lines>
  <Paragraphs>14</Paragraphs>
  <ScaleCrop>false</ScaleCrop>
  <Company/>
  <LinksUpToDate>false</LinksUpToDate>
  <CharactersWithSpaces>7030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GUMBYTĖ Danguolė</lastModifiedBy>
  <dcterms:modified xsi:type="dcterms:W3CDTF">2021-07-22T11:37:00Z</dcterms:modified>
  <revision>34</revision>
  <dc:title>LIETUVOS RESPUBLIKOS TEISĖJŲ ATLYGINIMŲ ĮSTATYMAS</dc:title>
</coreProperties>
</file>