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4b3e462eedc4351b8cc058949e4220e"/>
        <w:lock w:val="sdtLocked"/>
        <w:richText/>
      </w:sdtPr>
      <w:sdtContent>
        <w:p>
          <w:pPr>
            <w:jc w:val="both"/>
            <w:rPr>
              <w:rFonts w:ascii="Times New Roman" w:hAnsi="Times New Roman"/>
            </w:rPr>
          </w:pPr>
          <w:r>
            <w:rPr>
              <w:rFonts w:ascii="Times New Roman" w:hAnsi="Times New Roman"/>
              <w:b/>
              <w:i/>
            </w:rPr>
            <w:t>Suvestinė redakcija nuo 2009-08-01 iki 2010-07-12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d90ad56dfc3c4dec999b12a250617cbd"/>
                <w:lock w:val="sdtLocked"/>
                <w:richText/>
              </w:sdtPr>
              <w:sdtContent>
                <w:p>
                  <w:pPr>
                    <w:ind w:firstLine="567"/>
                    <w:jc w:val="both"/>
                  </w:pPr>
                  <w:sdt>
                    <w:sdtPr>
                      <w:alias w:val="Numeris"/>
                      <w:tag w:val="nr_d90ad56dfc3c4dec999b12a250617cbd"/>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7"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730146a1243e4eb29b42fd91df57bb05"/>
        <w:lock w:val="sdtLocked"/>
        <w:richText/>
      </w:sdtPr>
      <w:sdtContent>
        <w:p>
          <w:pPr>
            <w:keepLines/>
            <w:widowControl w:val="0"/>
            <w:suppressAutoHyphens/>
            <w:ind w:left="5103"/>
            <w:rPr>
              <w:color w:val="000000"/>
            </w:rPr>
            <w:sectPr>
              <w:pgSz w:w="11907" w:h="16840" w:code="9"/>
              <w:pgMar w:top="1134" w:right="1134" w:bottom="1134" w:left="1701" w:header="567" w:footer="284" w:gutter="0"/>
              <w:pgNumType w:start="1"/>
              <w:cols w:space="1296"/>
              <w:titlePg/>
              <w:docGrid w:linePitch="360"/>
            </w:sectPr>
          </w:pPr>
        </w:p>
        <w:p>
          <w:pPr>
            <w:keepLines/>
            <w:widowControl w:val="0"/>
            <w:suppressAutoHyphens/>
            <w:ind w:left="5103"/>
            <w:rPr>
              <w:color w:val="000000"/>
            </w:rPr>
          </w:pPr>
          <w:r>
            <w:rPr>
              <w:color w:val="000000"/>
            </w:rPr>
            <w:t xml:space="preserve">Lietuvos Respublikos </w:t>
          </w:r>
        </w:p>
        <w:p>
          <w:pPr>
            <w:keepLines/>
            <w:widowControl w:val="0"/>
            <w:suppressAutoHyphens/>
            <w:ind w:left="5103"/>
            <w:rPr>
              <w:color w:val="000000"/>
            </w:rPr>
          </w:pPr>
          <w:r>
            <w:rPr>
              <w:color w:val="000000"/>
            </w:rPr>
            <w:t xml:space="preserve">teisėjų atlyginimų </w:t>
          </w:r>
        </w:p>
        <w:p>
          <w:pPr>
            <w:keepLines/>
            <w:widowControl w:val="0"/>
            <w:suppressAutoHyphens/>
            <w:ind w:left="5103"/>
            <w:rPr>
              <w:color w:val="000000"/>
            </w:rPr>
          </w:pPr>
          <w:r>
            <w:rPr>
              <w:color w:val="000000"/>
            </w:rPr>
            <w:t xml:space="preserve">įstatymo </w:t>
          </w:r>
        </w:p>
        <w:p>
          <w:pPr>
            <w:keepLines/>
            <w:widowControl w:val="0"/>
            <w:suppressAutoHyphens/>
            <w:ind w:left="5103"/>
            <w:rPr>
              <w:color w:val="000000"/>
            </w:rPr>
          </w:pPr>
          <w:r>
            <w:rPr>
              <w:color w:val="000000"/>
            </w:rPr>
            <w:t>priedėlis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 LIETUVOS RESPUBLIKOS KONSTITUCINIO TEISMO TEISĖJŲ ATLYGINIMAI</w:t>
          </w:r>
        </w:p>
        <w:p>
          <w:pPr>
            <w:widowControl w:val="0"/>
            <w:suppressAutoHyphens/>
            <w:rPr>
              <w:color w:val="000000"/>
            </w:rPr>
          </w:pPr>
        </w:p>
        <w:p>
          <w:pPr>
            <w:widowControl w:val="0"/>
            <w:suppressAutoHyphens/>
            <w:ind w:left="7080"/>
            <w:rPr>
              <w:color w:val="000000"/>
            </w:rPr>
          </w:pPr>
          <w:r>
            <w:rPr>
              <w:color w:val="000000"/>
            </w:rPr>
            <w:t>(Baziniais dydžiais)</w:t>
          </w:r>
        </w:p>
        <w:tbl>
          <w:tblPr>
            <w:tblW w:w="9070" w:type="dxa"/>
            <w:tblLayout w:type="fixed"/>
            <w:tblCellMar>
              <w:left w:w="0" w:type="dxa"/>
              <w:right w:w="0" w:type="dxa"/>
            </w:tblCellMar>
            <w:tblLook w:val="0000" w:firstRow="0" w:lastRow="0" w:firstColumn="0" w:lastColumn="0" w:noHBand="0" w:noVBand="0"/>
          </w:tblPr>
          <w:tblGrid>
            <w:gridCol w:w="728"/>
            <w:gridCol w:w="5245"/>
            <w:gridCol w:w="3097"/>
          </w:tblGrid>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Pareigybės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Atlyginimo koeficientas</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pirmininkas (ar jį pavaduojantis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21</w:t>
                </w:r>
              </w:p>
            </w:tc>
          </w:tr>
          <w:tr>
            <w:trPr>
              <w:trHeight w:val="60"/>
            </w:trPr>
            <w:tc>
              <w:tcPr>
                <w:tcW w:w="770"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567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Respublikos Konstitucinio Teismo teisėjas</w:t>
                </w:r>
              </w:p>
            </w:tc>
            <w:tc>
              <w:tcPr>
                <w:tcW w:w="334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19,06</w:t>
                </w:r>
              </w:p>
            </w:tc>
          </w:tr>
        </w:tbl>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II. BENDROSIOS KOMPETENCIJOS IR SPECIALIZUOTŲ TEISMŲ TEISĖJŲ PAREIGINĖS ALGOS</w:t>
          </w:r>
        </w:p>
        <w:p>
          <w:pPr>
            <w:widowControl w:val="0"/>
            <w:suppressAutoHyphens/>
            <w:ind w:firstLine="567"/>
            <w:jc w:val="both"/>
            <w:rPr>
              <w:color w:val="000000"/>
            </w:rPr>
          </w:pPr>
        </w:p>
        <w:p>
          <w:pPr>
            <w:widowControl w:val="0"/>
            <w:suppressAutoHyphens/>
            <w:ind w:left="7080"/>
            <w:rPr>
              <w:color w:val="000000"/>
            </w:rPr>
          </w:pPr>
          <w:r>
            <w:rPr>
              <w:color w:val="000000"/>
            </w:rPr>
            <w:t>(Baziniais</w:t>
          </w:r>
          <w:r>
            <w:rPr>
              <w:b/>
              <w:bCs/>
              <w:color w:val="000000"/>
            </w:rPr>
            <w:t xml:space="preserve"> </w:t>
          </w:r>
          <w:r>
            <w:rPr>
              <w:color w:val="000000"/>
            </w:rPr>
            <w:t xml:space="preserve">dydžiais) </w:t>
          </w:r>
        </w:p>
        <w:tbl>
          <w:tblPr>
            <w:tblW w:w="9070" w:type="dxa"/>
            <w:tblLayout w:type="fixed"/>
            <w:tblCellMar>
              <w:left w:w="0" w:type="dxa"/>
              <w:right w:w="0" w:type="dxa"/>
            </w:tblCellMar>
            <w:tblLook w:val="0000" w:firstRow="0" w:lastRow="0" w:firstColumn="0" w:lastColumn="0" w:noHBand="0" w:noVBand="0"/>
          </w:tblPr>
          <w:tblGrid>
            <w:gridCol w:w="639"/>
            <w:gridCol w:w="2357"/>
            <w:gridCol w:w="2381"/>
            <w:gridCol w:w="1317"/>
            <w:gridCol w:w="1318"/>
            <w:gridCol w:w="1058"/>
          </w:tblGrid>
          <w:tr>
            <w:trPr>
              <w:trHeight w:val="377"/>
              <w:tblHeader/>
            </w:trPr>
            <w:tc>
              <w:tcPr>
                <w:tcW w:w="675"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Eil. Nr.</w:t>
                </w:r>
              </w:p>
            </w:tc>
            <w:tc>
              <w:tcPr>
                <w:tcW w:w="2552" w:type="dxa"/>
                <w:vMerge w:val="restart"/>
                <w:tcBorders>
                  <w:top w:val="single" w:sz="4" w:space="0" w:color="000000"/>
                  <w:left w:val="single" w:sz="4" w:space="0" w:color="000000"/>
                  <w:bottom w:val="single" w:sz="8"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Įstaigos pavadinimas</w:t>
                </w:r>
              </w:p>
            </w:tc>
            <w:tc>
              <w:tcPr>
                <w:tcW w:w="6548" w:type="dxa"/>
                <w:gridSpan w:val="4"/>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Pareiginės algos koeficientas:</w:t>
                </w:r>
              </w:p>
            </w:tc>
          </w:tr>
          <w:tr>
            <w:trPr>
              <w:trHeight w:val="60"/>
              <w:tblHeader/>
            </w:trPr>
            <w:tc>
              <w:tcPr>
                <w:tcW w:w="675" w:type="dxa"/>
                <w:vMerge/>
                <w:tcBorders>
                  <w:top w:val="single" w:sz="8" w:space="0" w:color="000000"/>
                  <w:left w:val="single" w:sz="4" w:space="0" w:color="000000"/>
                  <w:bottom w:val="single" w:sz="4" w:space="0" w:color="000000"/>
                  <w:right w:val="single" w:sz="4" w:space="0" w:color="000000"/>
                </w:tcBorders>
              </w:tcPr>
              <w:p>
                <w:pPr>
                  <w:widowControl w:val="0"/>
                </w:pPr>
              </w:p>
            </w:tc>
            <w:tc>
              <w:tcPr>
                <w:tcW w:w="2552" w:type="dxa"/>
                <w:vMerge/>
                <w:tcBorders>
                  <w:top w:val="single" w:sz="8" w:space="0" w:color="000000"/>
                  <w:left w:val="single" w:sz="4" w:space="0" w:color="000000"/>
                  <w:bottom w:val="single" w:sz="4" w:space="0" w:color="000000"/>
                  <w:right w:val="single" w:sz="4" w:space="0" w:color="000000"/>
                </w:tcBorders>
              </w:tcPr>
              <w:p>
                <w:pPr>
                  <w:widowControl w:val="0"/>
                </w:pP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ar jį pavaduojančiojo (kai nėra etatinio pavaduotojo)</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pirmininko pavaduotojo</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skyriaus pirmininko</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teisėjo</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Aukščiausiasis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17,67</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vyriausiasis administracinis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17,01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16,07</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15,23</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3.</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Lietuvos apeliacinis teismas</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16,45</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 xml:space="preserve">15,63 </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4.</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5.</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Apygardų administraciniai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15,63</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14,98</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Apylinkių teismai:</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pP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6.1.</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15 ir daugiau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14,41</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13,02</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r>
            <w:trPr>
              <w:trHeight w:val="60"/>
            </w:trPr>
            <w:tc>
              <w:tcPr>
                <w:tcW w:w="675"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jc w:val="center"/>
                  <w:rPr>
                    <w:color w:val="000000"/>
                  </w:rPr>
                </w:pPr>
                <w:r>
                  <w:rPr>
                    <w:color w:val="000000"/>
                  </w:rPr>
                  <w:t>6.2.</w:t>
                </w:r>
              </w:p>
            </w:tc>
            <w:tc>
              <w:tcPr>
                <w:tcW w:w="2552"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tcPr>
              <w:p>
                <w:pPr>
                  <w:widowControl w:val="0"/>
                  <w:suppressAutoHyphens/>
                  <w:rPr>
                    <w:color w:val="000000"/>
                  </w:rPr>
                </w:pPr>
                <w:r>
                  <w:rPr>
                    <w:color w:val="000000"/>
                  </w:rPr>
                  <w:t>kuriuose dirba 14 ir mažiau teisėjų</w:t>
                </w:r>
              </w:p>
            </w:tc>
            <w:tc>
              <w:tcPr>
                <w:tcW w:w="2579"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13,6</w:t>
                </w:r>
              </w:p>
            </w:tc>
            <w:tc>
              <w:tcPr>
                <w:tcW w:w="1417"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12,45</w:t>
                </w:r>
              </w:p>
            </w:tc>
            <w:tc>
              <w:tcPr>
                <w:tcW w:w="1418"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w:t>
                </w:r>
              </w:p>
            </w:tc>
            <w:tc>
              <w:tcPr>
                <w:tcW w:w="1134" w:type="dxa"/>
                <w:tcBorders>
                  <w:top w:val="single" w:sz="4" w:space="0" w:color="000000"/>
                  <w:left w:val="single" w:sz="4" w:space="0" w:color="000000"/>
                  <w:bottom w:val="single" w:sz="4" w:space="0" w:color="000000"/>
                  <w:right w:val="single" w:sz="4" w:space="0" w:color="000000"/>
                </w:tcBorders>
                <w:tcMar>
                  <w:top w:w="28" w:type="dxa"/>
                  <w:left w:w="108" w:type="dxa"/>
                  <w:bottom w:w="28" w:type="dxa"/>
                  <w:right w:w="108" w:type="dxa"/>
                </w:tcMar>
                <w:vAlign w:val="center"/>
              </w:tcPr>
              <w:p>
                <w:pPr>
                  <w:widowControl w:val="0"/>
                  <w:suppressAutoHyphens/>
                  <w:jc w:val="center"/>
                  <w:rPr>
                    <w:color w:val="000000"/>
                  </w:rPr>
                </w:pPr>
                <w:r>
                  <w:rPr>
                    <w:color w:val="000000"/>
                  </w:rPr>
                  <w:t>11,56</w:t>
                </w:r>
              </w:p>
            </w:tc>
          </w:tr>
        </w:tbl>
        <w:p>
          <w:pPr>
            <w:ind w:firstLine="567"/>
            <w:jc w:val="both"/>
          </w:pPr>
        </w:p>
        <w:p>
          <w:pPr>
            <w:ind w:firstLine="567"/>
            <w:jc w:val="both"/>
          </w:pPr>
        </w:p>
        <w:p>
          <w:pPr>
            <w:jc w:val="both"/>
            <w:rPr>
              <w:b/>
              <w:i/>
            </w:rPr>
          </w:pPr>
          <w:r>
            <w:rPr>
              <w:b/>
              <w:i/>
            </w:rPr>
            <w:t>Priedėlio redakcija nuo 2011-01-01:</w:t>
          </w:r>
        </w:p>
        <w:sdt>
          <w:sdtPr>
            <w:alias w:val="pr."/>
            <w:tag w:val="part_442cfa719dc747169f0951134737be07"/>
            <w:lock w:val="sdtLocked"/>
            <w:richText/>
          </w:sdtPr>
          <w:sdtContent>
            <w:p>
              <w:pPr>
                <w:ind w:left="5103"/>
              </w:pPr>
              <w:r>
                <w:t xml:space="preserve">Lietuvos Respublikos </w:t>
              </w:r>
            </w:p>
            <w:p>
              <w:pPr>
                <w:ind w:left="5103"/>
              </w:pPr>
              <w:r>
                <w:t xml:space="preserve">teisėjų atlyginimų įstatymo </w:t>
              </w:r>
            </w:p>
            <w:p>
              <w:pPr>
                <w:ind w:left="5103"/>
              </w:pPr>
              <w:r>
                <w:t>priedėlis</w:t>
              </w:r>
            </w:p>
            <w:p>
              <w:pPr>
                <w:ind w:firstLine="567"/>
                <w:jc w:val="both"/>
              </w:pPr>
            </w:p>
            <w:p>
              <w:pPr>
                <w:jc w:val="center"/>
                <w:rPr>
                  <w:b/>
                  <w:bCs/>
                </w:rPr>
              </w:pPr>
              <w:r>
                <w:rPr>
                  <w:b/>
                  <w:bCs/>
                </w:rPr>
                <w:t>I. LIETUVOS RESPUBLIKOS KONSTITUCINIO TEISMO TEISĖJŲ ATLYGINIMAI</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742"/>
                <w:gridCol w:w="4754"/>
                <w:gridCol w:w="3579"/>
              </w:tblGrid>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Eil. Nr.</w:t>
                    </w:r>
                  </w:p>
                </w:tc>
                <w:tc>
                  <w:tcPr>
                    <w:tcW w:w="5150" w:type="dxa"/>
                    <w:tcBorders>
                      <w:top w:val="single" w:sz="6" w:space="0" w:color="auto"/>
                      <w:left w:val="single" w:sz="6" w:space="0" w:color="auto"/>
                      <w:bottom w:val="single" w:sz="6" w:space="0" w:color="auto"/>
                      <w:right w:val="single" w:sz="6" w:space="0" w:color="auto"/>
                    </w:tcBorders>
                    <w:hideMark/>
                  </w:tcPr>
                  <w:p>
                    <w:pPr>
                      <w:jc w:val="center"/>
                    </w:pPr>
                    <w:r>
                      <w:t>Pareigybės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1.</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pirmininkas (ar jį pavaduojantis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hideMark/>
                  </w:tcPr>
                  <w:p>
                    <w:pPr>
                      <w:jc w:val="center"/>
                    </w:pPr>
                    <w:r>
                      <w:t>2.</w:t>
                    </w:r>
                  </w:p>
                </w:tc>
                <w:tc>
                  <w:tcPr>
                    <w:tcW w:w="5150" w:type="dxa"/>
                    <w:tcBorders>
                      <w:top w:val="single" w:sz="6" w:space="0" w:color="auto"/>
                      <w:left w:val="single" w:sz="6" w:space="0" w:color="auto"/>
                      <w:bottom w:val="single" w:sz="6" w:space="0" w:color="auto"/>
                      <w:right w:val="single" w:sz="6" w:space="0" w:color="auto"/>
                    </w:tcBorders>
                    <w:hideMark/>
                  </w:tcPr>
                  <w:p>
                    <w:pPr/>
                    <w:r>
                      <w:t>Lietuvos Respublikos Konstitucinio Teismo teisėjas</w:t>
                    </w:r>
                  </w:p>
                </w:tc>
                <w:tc>
                  <w:tcPr>
                    <w:tcW w:w="3875" w:type="dxa"/>
                    <w:tcBorders>
                      <w:top w:val="single" w:sz="6" w:space="0" w:color="auto"/>
                      <w:left w:val="single" w:sz="6" w:space="0" w:color="auto"/>
                      <w:bottom w:val="single" w:sz="6" w:space="0" w:color="auto"/>
                      <w:right w:val="single" w:sz="6" w:space="0" w:color="auto"/>
                    </w:tcBorders>
                    <w:hideMark/>
                  </w:tcPr>
                  <w:p>
                    <w:pPr>
                      <w:jc w:val="center"/>
                    </w:pPr>
                    <w:r>
                      <w:t>29,35</w:t>
                    </w:r>
                  </w:p>
                </w:tc>
              </w:tr>
            </w:tbl>
            <w:p>
              <w:pPr>
                <w:ind w:firstLine="567"/>
                <w:jc w:val="both"/>
                <w:rPr>
                  <w:rFonts w:hAnsi="Calibri"/>
                </w:rPr>
              </w:pPr>
            </w:p>
            <w:p>
              <w:pPr>
                <w:jc w:val="center"/>
                <w:rPr>
                  <w:b/>
                  <w:bCs/>
                </w:rPr>
              </w:pPr>
              <w:r>
                <w:rPr>
                  <w:b/>
                  <w:bCs/>
                </w:rPr>
                <w:t>II. BENDROSIOS KOMPETENCIJOS IR SPECIALIZUOTŲ TEISMŲ TEISĖJŲ PAREIGINĖS ALGOS</w:t>
              </w:r>
            </w:p>
            <w:p>
              <w:pPr>
                <w:ind w:firstLine="567"/>
                <w:jc w:val="both"/>
              </w:pPr>
            </w:p>
            <w:p>
              <w:pPr>
                <w:ind w:firstLine="567"/>
                <w:jc w:val="right"/>
              </w:pPr>
              <w:r>
                <w:t>(Baziniais dydžiais)</w:t>
              </w:r>
            </w:p>
            <w:p>
              <w:pPr>
                <w:ind w:firstLine="567"/>
                <w:jc w:val="both"/>
                <w:rPr>
                  <w:rFonts w:hAnsi="Calibri"/>
                </w:rPr>
              </w:pPr>
            </w:p>
            <w:tbl>
              <w:tblPr>
                <w:tblW w:w="9075" w:type="dxa"/>
                <w:tblLayout w:type="fixed"/>
                <w:tblCellMar>
                  <w:left w:w="40" w:type="dxa"/>
                  <w:right w:w="40" w:type="dxa"/>
                </w:tblCellMar>
                <w:tblLook w:val="04A0" w:firstRow="1" w:lastRow="0" w:firstColumn="1" w:lastColumn="0" w:noHBand="0" w:noVBand="1"/>
              </w:tblPr>
              <w:tblGrid>
                <w:gridCol w:w="541"/>
                <w:gridCol w:w="2980"/>
                <w:gridCol w:w="1942"/>
                <w:gridCol w:w="1437"/>
                <w:gridCol w:w="1187"/>
                <w:gridCol w:w="988"/>
              </w:tblGrid>
              <w:tr>
                <w:trPr>
                  <w:cantSplit/>
                  <w:trHeight w:val="23"/>
                  <w:tblHeader/>
                </w:trPr>
                <w:tc>
                  <w:tcPr>
                    <w:tcW w:w="542"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Eil. Nr.</w:t>
                    </w:r>
                  </w:p>
                </w:tc>
                <w:tc>
                  <w:tcPr>
                    <w:tcW w:w="2978" w:type="dxa"/>
                    <w:vMerge w:val="restart"/>
                    <w:tcBorders>
                      <w:top w:val="single" w:sz="6" w:space="0" w:color="auto"/>
                      <w:left w:val="single" w:sz="6" w:space="0" w:color="auto"/>
                      <w:bottom w:val="single" w:sz="6" w:space="0" w:color="auto"/>
                      <w:right w:val="single" w:sz="6" w:space="0" w:color="auto"/>
                    </w:tcBorders>
                    <w:vAlign w:val="center"/>
                    <w:hideMark/>
                  </w:tcPr>
                  <w:p>
                    <w:pPr>
                      <w:jc w:val="center"/>
                    </w:pPr>
                    <w:r>
                      <w:t>Įstaigos pavadinimas</w:t>
                    </w:r>
                  </w:p>
                </w:tc>
                <w:tc>
                  <w:tcPr>
                    <w:tcW w:w="5550" w:type="dxa"/>
                    <w:gridSpan w:val="4"/>
                    <w:tcBorders>
                      <w:top w:val="single" w:sz="6" w:space="0" w:color="auto"/>
                      <w:left w:val="single" w:sz="6" w:space="0" w:color="auto"/>
                      <w:bottom w:val="single" w:sz="6" w:space="0" w:color="auto"/>
                      <w:right w:val="single" w:sz="6" w:space="0" w:color="auto"/>
                    </w:tcBorders>
                    <w:vAlign w:val="center"/>
                    <w:hideMark/>
                  </w:tcPr>
                  <w:p>
                    <w:pPr>
                      <w:jc w:val="center"/>
                    </w:pPr>
                    <w:r>
                      <w:t>Pareiginės algos koeficientas</w:t>
                    </w:r>
                  </w:p>
                </w:tc>
              </w:tr>
              <w:tr>
                <w:trPr>
                  <w:cantSplit/>
                  <w:trHeight w:val="23"/>
                  <w:tblHeader/>
                </w:trPr>
                <w:tc>
                  <w:tcPr>
                    <w:tcW w:w="542" w:type="dxa"/>
                    <w:vMerge/>
                    <w:tcBorders>
                      <w:top w:val="single" w:sz="6" w:space="0" w:color="auto"/>
                      <w:left w:val="single" w:sz="6" w:space="0" w:color="auto"/>
                      <w:bottom w:val="single" w:sz="6" w:space="0" w:color="auto"/>
                      <w:right w:val="single" w:sz="6" w:space="0" w:color="auto"/>
                    </w:tcBorders>
                    <w:vAlign w:val="center"/>
                    <w:hideMark/>
                  </w:tcPr>
                  <w:p>
                    <w:pPr/>
                  </w:p>
                </w:tc>
                <w:tc>
                  <w:tcPr>
                    <w:tcW w:w="2978" w:type="dxa"/>
                    <w:vMerge/>
                    <w:tcBorders>
                      <w:top w:val="single" w:sz="6" w:space="0" w:color="auto"/>
                      <w:left w:val="single" w:sz="6" w:space="0" w:color="auto"/>
                      <w:bottom w:val="single" w:sz="6" w:space="0" w:color="auto"/>
                      <w:right w:val="single" w:sz="6" w:space="0" w:color="auto"/>
                    </w:tcBorders>
                    <w:vAlign w:val="center"/>
                    <w:hideMark/>
                  </w:tcPr>
                  <w:p>
                    <w:pP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pirmininko ar jį pavaduojančiojo (kai nėra etatinio pavaduotojo)</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pirmininko pavaduotojo</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skyriaus pirmininko</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teisėjo</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1.</w:t>
                    </w:r>
                  </w:p>
                </w:tc>
                <w:tc>
                  <w:tcPr>
                    <w:tcW w:w="2978" w:type="dxa"/>
                    <w:tcBorders>
                      <w:top w:val="single" w:sz="6" w:space="0" w:color="auto"/>
                      <w:left w:val="single" w:sz="6" w:space="0" w:color="auto"/>
                      <w:bottom w:val="single" w:sz="6" w:space="0" w:color="auto"/>
                      <w:right w:val="single" w:sz="6" w:space="0" w:color="auto"/>
                    </w:tcBorders>
                    <w:hideMark/>
                  </w:tcPr>
                  <w:p>
                    <w:pPr/>
                    <w:r>
                      <w:t>Lietuvos Aukščiausiasis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21,7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2.</w:t>
                    </w:r>
                  </w:p>
                </w:tc>
                <w:tc>
                  <w:tcPr>
                    <w:tcW w:w="2978" w:type="dxa"/>
                    <w:tcBorders>
                      <w:top w:val="single" w:sz="6" w:space="0" w:color="auto"/>
                      <w:left w:val="single" w:sz="6" w:space="0" w:color="auto"/>
                      <w:bottom w:val="single" w:sz="6" w:space="0" w:color="auto"/>
                      <w:right w:val="single" w:sz="6" w:space="0" w:color="auto"/>
                    </w:tcBorders>
                    <w:hideMark/>
                  </w:tcPr>
                  <w:p>
                    <w:pPr/>
                    <w:r>
                      <w:t>Lietuvos vyriausiasis administracinis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20,9</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19,7</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18,7</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3.</w:t>
                    </w:r>
                  </w:p>
                </w:tc>
                <w:tc>
                  <w:tcPr>
                    <w:tcW w:w="2978" w:type="dxa"/>
                    <w:tcBorders>
                      <w:top w:val="single" w:sz="6" w:space="0" w:color="auto"/>
                      <w:left w:val="single" w:sz="6" w:space="0" w:color="auto"/>
                      <w:bottom w:val="single" w:sz="6" w:space="0" w:color="auto"/>
                      <w:right w:val="single" w:sz="6" w:space="0" w:color="auto"/>
                    </w:tcBorders>
                    <w:hideMark/>
                  </w:tcPr>
                  <w:p>
                    <w:pPr/>
                    <w:r>
                      <w:t>Lietuvos apeliacinis teismas</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20,2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4.</w:t>
                    </w:r>
                  </w:p>
                </w:tc>
                <w:tc>
                  <w:tcPr>
                    <w:tcW w:w="2978" w:type="dxa"/>
                    <w:tcBorders>
                      <w:top w:val="single" w:sz="6" w:space="0" w:color="auto"/>
                      <w:left w:val="single" w:sz="6" w:space="0" w:color="auto"/>
                      <w:bottom w:val="single" w:sz="6" w:space="0" w:color="auto"/>
                      <w:right w:val="single" w:sz="6" w:space="0" w:color="auto"/>
                    </w:tcBorders>
                    <w:hideMark/>
                  </w:tcPr>
                  <w:p>
                    <w:pPr/>
                    <w:r>
                      <w:t>Apygardų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5.</w:t>
                    </w:r>
                  </w:p>
                </w:tc>
                <w:tc>
                  <w:tcPr>
                    <w:tcW w:w="2978" w:type="dxa"/>
                    <w:tcBorders>
                      <w:top w:val="single" w:sz="6" w:space="0" w:color="auto"/>
                      <w:left w:val="single" w:sz="6" w:space="0" w:color="auto"/>
                      <w:bottom w:val="single" w:sz="6" w:space="0" w:color="auto"/>
                      <w:right w:val="single" w:sz="6" w:space="0" w:color="auto"/>
                    </w:tcBorders>
                    <w:hideMark/>
                  </w:tcPr>
                  <w:p>
                    <w:pPr/>
                    <w:r>
                      <w:t>Apygardų administraciniai teismai</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19,2</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18,2</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17,2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w:t>
                    </w:r>
                  </w:p>
                </w:tc>
                <w:tc>
                  <w:tcPr>
                    <w:tcW w:w="2978" w:type="dxa"/>
                    <w:tcBorders>
                      <w:top w:val="single" w:sz="6" w:space="0" w:color="auto"/>
                      <w:left w:val="single" w:sz="6" w:space="0" w:color="auto"/>
                      <w:bottom w:val="single" w:sz="6" w:space="0" w:color="auto"/>
                      <w:right w:val="single" w:sz="6" w:space="0" w:color="auto"/>
                    </w:tcBorders>
                    <w:hideMark/>
                  </w:tcPr>
                  <w:p>
                    <w:pPr/>
                    <w:r>
                      <w:t>Apylinkių teismai:</w:t>
                    </w:r>
                  </w:p>
                </w:tc>
                <w:tc>
                  <w:tcPr>
                    <w:tcW w:w="1941" w:type="dxa"/>
                    <w:tcBorders>
                      <w:top w:val="single" w:sz="6" w:space="0" w:color="auto"/>
                      <w:left w:val="single" w:sz="6" w:space="0" w:color="auto"/>
                      <w:bottom w:val="single" w:sz="6" w:space="0" w:color="auto"/>
                      <w:right w:val="single" w:sz="6" w:space="0" w:color="auto"/>
                    </w:tcBorders>
                    <w:vAlign w:val="center"/>
                  </w:tcPr>
                  <w:p>
                    <w:pPr>
                      <w:jc w:val="center"/>
                    </w:pPr>
                  </w:p>
                </w:tc>
                <w:tc>
                  <w:tcPr>
                    <w:tcW w:w="1436" w:type="dxa"/>
                    <w:tcBorders>
                      <w:top w:val="single" w:sz="6" w:space="0" w:color="auto"/>
                      <w:left w:val="single" w:sz="6" w:space="0" w:color="auto"/>
                      <w:bottom w:val="single" w:sz="6" w:space="0" w:color="auto"/>
                      <w:right w:val="single" w:sz="6" w:space="0" w:color="auto"/>
                    </w:tcBorders>
                    <w:vAlign w:val="center"/>
                  </w:tcPr>
                  <w:p>
                    <w:pPr>
                      <w:jc w:val="center"/>
                    </w:pPr>
                  </w:p>
                </w:tc>
                <w:tc>
                  <w:tcPr>
                    <w:tcW w:w="1186" w:type="dxa"/>
                    <w:tcBorders>
                      <w:top w:val="single" w:sz="6" w:space="0" w:color="auto"/>
                      <w:left w:val="single" w:sz="6" w:space="0" w:color="auto"/>
                      <w:bottom w:val="single" w:sz="6" w:space="0" w:color="auto"/>
                      <w:right w:val="single" w:sz="6" w:space="0" w:color="auto"/>
                    </w:tcBorders>
                    <w:vAlign w:val="center"/>
                  </w:tcPr>
                  <w:p>
                    <w:pPr>
                      <w:jc w:val="center"/>
                    </w:pPr>
                  </w:p>
                </w:tc>
                <w:tc>
                  <w:tcPr>
                    <w:tcW w:w="987" w:type="dxa"/>
                    <w:tcBorders>
                      <w:top w:val="single" w:sz="6" w:space="0" w:color="auto"/>
                      <w:left w:val="single" w:sz="6" w:space="0" w:color="auto"/>
                      <w:bottom w:val="single" w:sz="6" w:space="0" w:color="auto"/>
                      <w:right w:val="single" w:sz="6" w:space="0" w:color="auto"/>
                    </w:tcBorders>
                    <w:vAlign w:val="center"/>
                  </w:tcPr>
                  <w:p>
                    <w:pPr>
                      <w:jc w:val="center"/>
                    </w:pP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6.1.</w:t>
                    </w:r>
                  </w:p>
                </w:tc>
                <w:tc>
                  <w:tcPr>
                    <w:tcW w:w="2978" w:type="dxa"/>
                    <w:tcBorders>
                      <w:top w:val="single" w:sz="6" w:space="0" w:color="auto"/>
                      <w:left w:val="single" w:sz="6" w:space="0" w:color="auto"/>
                      <w:bottom w:val="single" w:sz="6" w:space="0" w:color="auto"/>
                      <w:right w:val="single" w:sz="6" w:space="0" w:color="auto"/>
                    </w:tcBorders>
                    <w:hideMark/>
                  </w:tcPr>
                  <w:p>
                    <w:pPr/>
                    <w:r>
                      <w:t>kuriuose dirba 15 ir daugiau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17,7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16</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r>
                <w:trPr>
                  <w:cantSplit/>
                  <w:trHeight w:val="23"/>
                </w:trPr>
                <w:tc>
                  <w:tcPr>
                    <w:tcW w:w="542" w:type="dxa"/>
                    <w:tcBorders>
                      <w:top w:val="single" w:sz="6" w:space="0" w:color="auto"/>
                      <w:left w:val="single" w:sz="6" w:space="0" w:color="auto"/>
                      <w:bottom w:val="single" w:sz="6" w:space="0" w:color="auto"/>
                      <w:right w:val="single" w:sz="6" w:space="0" w:color="auto"/>
                    </w:tcBorders>
                    <w:hideMark/>
                  </w:tcPr>
                  <w:p>
                    <w:pPr>
                      <w:jc w:val="center"/>
                    </w:pPr>
                    <w:r>
                      <w:t>6.2.</w:t>
                    </w:r>
                  </w:p>
                </w:tc>
                <w:tc>
                  <w:tcPr>
                    <w:tcW w:w="2978" w:type="dxa"/>
                    <w:tcBorders>
                      <w:top w:val="single" w:sz="6" w:space="0" w:color="auto"/>
                      <w:left w:val="single" w:sz="6" w:space="0" w:color="auto"/>
                      <w:bottom w:val="single" w:sz="6" w:space="0" w:color="auto"/>
                      <w:right w:val="single" w:sz="6" w:space="0" w:color="auto"/>
                    </w:tcBorders>
                    <w:hideMark/>
                  </w:tcPr>
                  <w:p>
                    <w:pPr/>
                    <w:r>
                      <w:t>kuriuose dirba 14 ir mažiau teisėjų</w:t>
                    </w:r>
                  </w:p>
                </w:tc>
                <w:tc>
                  <w:tcPr>
                    <w:tcW w:w="1941" w:type="dxa"/>
                    <w:tcBorders>
                      <w:top w:val="single" w:sz="6" w:space="0" w:color="auto"/>
                      <w:left w:val="single" w:sz="6" w:space="0" w:color="auto"/>
                      <w:bottom w:val="single" w:sz="6" w:space="0" w:color="auto"/>
                      <w:right w:val="single" w:sz="6" w:space="0" w:color="auto"/>
                    </w:tcBorders>
                    <w:vAlign w:val="center"/>
                    <w:hideMark/>
                  </w:tcPr>
                  <w:p>
                    <w:pPr>
                      <w:jc w:val="center"/>
                    </w:pPr>
                    <w:r>
                      <w:t>16,7</w:t>
                    </w:r>
                  </w:p>
                </w:tc>
                <w:tc>
                  <w:tcPr>
                    <w:tcW w:w="1436" w:type="dxa"/>
                    <w:tcBorders>
                      <w:top w:val="single" w:sz="6" w:space="0" w:color="auto"/>
                      <w:left w:val="single" w:sz="6" w:space="0" w:color="auto"/>
                      <w:bottom w:val="single" w:sz="6" w:space="0" w:color="auto"/>
                      <w:right w:val="single" w:sz="6" w:space="0" w:color="auto"/>
                    </w:tcBorders>
                    <w:vAlign w:val="center"/>
                    <w:hideMark/>
                  </w:tcPr>
                  <w:p>
                    <w:pPr>
                      <w:jc w:val="center"/>
                    </w:pPr>
                    <w:r>
                      <w:t>15,3</w:t>
                    </w:r>
                  </w:p>
                </w:tc>
                <w:tc>
                  <w:tcPr>
                    <w:tcW w:w="1186" w:type="dxa"/>
                    <w:tcBorders>
                      <w:top w:val="single" w:sz="6" w:space="0" w:color="auto"/>
                      <w:left w:val="single" w:sz="6" w:space="0" w:color="auto"/>
                      <w:bottom w:val="single" w:sz="6" w:space="0" w:color="auto"/>
                      <w:right w:val="single" w:sz="6" w:space="0" w:color="auto"/>
                    </w:tcBorders>
                    <w:vAlign w:val="center"/>
                    <w:hideMark/>
                  </w:tcPr>
                  <w:p>
                    <w:pPr>
                      <w:jc w:val="center"/>
                    </w:pPr>
                    <w:r>
                      <w:t>–</w:t>
                    </w:r>
                  </w:p>
                </w:tc>
                <w:tc>
                  <w:tcPr>
                    <w:tcW w:w="987" w:type="dxa"/>
                    <w:tcBorders>
                      <w:top w:val="single" w:sz="6" w:space="0" w:color="auto"/>
                      <w:left w:val="single" w:sz="6" w:space="0" w:color="auto"/>
                      <w:bottom w:val="single" w:sz="6" w:space="0" w:color="auto"/>
                      <w:right w:val="single" w:sz="6" w:space="0" w:color="auto"/>
                    </w:tcBorders>
                    <w:vAlign w:val="center"/>
                    <w:hideMark/>
                  </w:tcPr>
                  <w:p>
                    <w:pPr>
                      <w:jc w:val="center"/>
                    </w:pPr>
                    <w:r>
                      <w:t>14,2</w:t>
                    </w:r>
                  </w:p>
                </w:tc>
              </w:tr>
            </w:tbl>
            <w:p>
              <w:pPr>
                <w:ind w:firstLine="567"/>
                <w:jc w:val="both"/>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7B48ECFF5F">
            <w:r w:rsidRPr="00532B9F">
              <w:rPr>
                <w:rFonts w:ascii="Times New Roman" w:eastAsia="MS Mincho" w:hAnsi="Times New Roman"/>
                <w:sz w:val="20"/>
                <w:i/>
                <w:iCs/>
                <w:color w:val="0000FF" w:themeColor="hyperlink"/>
                <w:u w:val="single"/>
              </w:rPr>
              <w:t>XI-235</w:t>
            </w:r>
          </w:fldSimple>
          <w:r>
            <w:rPr>
              <w:rFonts w:ascii="Times New Roman" w:eastAsia="MS Mincho" w:hAnsi="Times New Roman"/>
              <w:sz w:val="20"/>
              <w:i/>
              <w:iCs/>
            </w:rPr>
            <w:t>,
2009-04-28,
Žin., 2009, Nr.
49-1940 (2009-04-30), i. k. 1091010ISTA00XI-235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39B71379DA7">
            <w:r w:rsidRPr="00532B9F">
              <w:rPr>
                <w:rFonts w:ascii="Times New Roman" w:eastAsia="MS Mincho" w:hAnsi="Times New Roman"/>
                <w:sz w:val="20"/>
                <w:i/>
                <w:iCs/>
                <w:color w:val="0000FF" w:themeColor="hyperlink"/>
                <w:u w:val="single"/>
              </w:rPr>
              <w:t>XI-362</w:t>
            </w:r>
          </w:fldSimple>
          <w:r>
            <w:rPr>
              <w:rFonts w:ascii="Times New Roman" w:eastAsia="MS Mincho" w:hAnsi="Times New Roman"/>
              <w:sz w:val="20"/>
              <w:i/>
              <w:iCs/>
            </w:rPr>
            <w:t>,
2009-07-17,
Žin., 2009, Nr.
91-3917 (2009-07-31), i. k. 1091010ISTA00XI-362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7B48ECFF5F">
            <w:r w:rsidRPr="00532B9F">
              <w:rPr>
                <w:rFonts w:ascii="Times New Roman" w:eastAsia="MS Mincho" w:hAnsi="Times New Roman"/>
                <w:sz w:val="20"/>
                <w:iCs/>
                <w:color w:val="0000FF" w:themeColor="hyperlink"/>
                <w:u w:val="single"/>
              </w:rPr>
              <w:t>XI-235</w:t>
            </w:r>
          </w:fldSimple>
          <w:r>
            <w:rPr>
              <w:rFonts w:ascii="Times New Roman" w:eastAsia="MS Mincho" w:hAnsi="Times New Roman"/>
              <w:sz w:val="20"/>
              <w:iCs/>
            </w:rPr>
            <w:t>,
2009-04-28,
Žin., 2009, Nr.
49-1940 (2009-04-30), i. k. 1091010ISTA00XI-235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39B71379DA7">
            <w:r w:rsidRPr="00532B9F">
              <w:rPr>
                <w:rFonts w:ascii="Times New Roman" w:eastAsia="MS Mincho" w:hAnsi="Times New Roman"/>
                <w:sz w:val="20"/>
                <w:iCs/>
                <w:color w:val="0000FF" w:themeColor="hyperlink"/>
                <w:u w:val="single"/>
              </w:rPr>
              <w:t>XI-362</w:t>
            </w:r>
          </w:fldSimple>
          <w:r>
            <w:rPr>
              <w:rFonts w:ascii="Times New Roman" w:eastAsia="MS Mincho" w:hAnsi="Times New Roman"/>
              <w:sz w:val="20"/>
              <w:iCs/>
            </w:rPr>
            <w:t>,
2009-07-17,
Žin., 2009, Nr.
91-3917 (2009-07-31), i. k. 1091010ISTA00XI-362                </w:t>
          </w:r>
        </w:p>
        <w:p>
          <w:pPr>
            <w:jc w:val="both"/>
            <w:rPr>
              <w:rFonts w:ascii="Times New Roman" w:hAnsi="Times New Roman"/>
            </w:rPr>
          </w:pPr>
          <w:r>
            <w:rPr>
              <w:rFonts w:ascii="Times New Roman" w:hAnsi="Times New Roman"/>
              <w:sz w:val="20"/>
            </w:rPr>
            <w:t>Lietuvos Respublikos teisėjų atlyginimų įstatymo priedėlio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B0BF1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4.wmf"/>
  <Relationship Id="rId16" Type="http://schemas.openxmlformats.org/officeDocument/2006/relationships/control" Target="activeX/activeX4.xml"/>
  <Relationship Id="rId17" Type="http://schemas.openxmlformats.org/officeDocument/2006/relationships/hyperlink" TargetMode="External" Target="https://www.e-tar.lt/portal/lt/legalAct/TAR.1522CADCB7A8"/>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b4b3e462eedc4351b8cc058949e4220e">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d90ad56dfc3c4dec999b12a250617cbd"/>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730146a1243e4eb29b42fd91df57bb05">
    <Part Type="priedas" Abbr="pr." DocPartId="ae0178d1735b43d6a74f9bfa0013f72d" PartId="442cfa719dc747169f0951134737be07"/>
  </Part>
</Parts>
</file>

<file path=customXml/itemProps1.xml><?xml version="1.0" encoding="utf-8"?>
<ds:datastoreItem xmlns:ds="http://schemas.openxmlformats.org/officeDocument/2006/customXml" ds:itemID="{6E3FD9A7-F89F-43A6-A8DB-17ACAFEB85FC}">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5784</Words>
  <Characters>3298</Characters>
  <Application>Microsoft Office Word</Application>
  <DocSecurity>0</DocSecurity>
  <Lines>27</Lines>
  <Paragraphs>18</Paragraphs>
  <ScaleCrop>false</ScaleCrop>
  <Company/>
  <LinksUpToDate>false</LinksUpToDate>
  <CharactersWithSpaces>9064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2018-12-11T13:04:00Z</dcterms:modified>
  <revision>11</revision>
  <dc:title>LIETUVOS RESPUBLIKOS TEISĖJŲ ATLYGINIMŲ ĮSTATYMAS</dc:title>
</coreProperties>
</file>